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Supreme Court Act 1935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Rules of the Supreme Court 1971</w:t>
      </w:r>
      <w: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Rules of the Supreme Court 1971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Order 1 — Application, elimination of delay and forms</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_Toc163120595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 and saving</w:t>
      </w:r>
      <w:r>
        <w:tab/>
      </w:r>
      <w:r>
        <w:fldChar w:fldCharType="begin"/>
      </w:r>
      <w:r>
        <w:instrText xml:space="preserve"> PAGEREF _Toc163120596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Certain proceedings excluded</w:t>
      </w:r>
      <w:r>
        <w:tab/>
      </w:r>
      <w:r>
        <w:fldChar w:fldCharType="begin"/>
      </w:r>
      <w:r>
        <w:instrText xml:space="preserve"> PAGEREF _Toc163120597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Inherent powers not affected</w:t>
      </w:r>
      <w:r>
        <w:tab/>
      </w:r>
      <w:r>
        <w:fldChar w:fldCharType="begin"/>
      </w:r>
      <w:r>
        <w:instrText xml:space="preserve"> PAGEREF _Toc163120598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_Toc163120599 \h </w:instrText>
      </w:r>
      <w:r>
        <w:fldChar w:fldCharType="separate"/>
      </w:r>
      <w:r>
        <w:t>3</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Delays, elimination of</w:t>
      </w:r>
      <w:r>
        <w:tab/>
      </w:r>
      <w:r>
        <w:fldChar w:fldCharType="begin"/>
      </w:r>
      <w:r>
        <w:instrText xml:space="preserve"> PAGEREF _Toc163120600 \h </w:instrText>
      </w:r>
      <w:r>
        <w:fldChar w:fldCharType="separate"/>
      </w:r>
      <w:r>
        <w:t>7</w:t>
      </w:r>
      <w:r>
        <w:fldChar w:fldCharType="end"/>
      </w:r>
    </w:p>
    <w:p>
      <w:pPr>
        <w:pStyle w:val="TOC8"/>
        <w:rPr>
          <w:rFonts w:asciiTheme="minorHAnsi" w:eastAsiaTheme="minorEastAsia" w:hAnsiTheme="minorHAnsi" w:cstheme="minorBidi"/>
          <w:szCs w:val="22"/>
        </w:rPr>
      </w:pPr>
      <w:r>
        <w:t>4B</w:t>
      </w:r>
      <w:r>
        <w:rPr>
          <w:snapToGrid w:val="0"/>
        </w:rPr>
        <w:t>.</w:t>
      </w:r>
      <w:r>
        <w:rPr>
          <w:snapToGrid w:val="0"/>
        </w:rPr>
        <w:tab/>
        <w:t>Case flow management, use and objects of</w:t>
      </w:r>
      <w:r>
        <w:tab/>
      </w:r>
      <w:r>
        <w:fldChar w:fldCharType="begin"/>
      </w:r>
      <w:r>
        <w:instrText xml:space="preserve"> PAGEREF _Toc163120601 \h </w:instrText>
      </w:r>
      <w:r>
        <w:fldChar w:fldCharType="separate"/>
      </w:r>
      <w:r>
        <w:t>7</w:t>
      </w:r>
      <w:r>
        <w:fldChar w:fldCharType="end"/>
      </w:r>
    </w:p>
    <w:p>
      <w:pPr>
        <w:pStyle w:val="TOC8"/>
        <w:rPr>
          <w:rFonts w:asciiTheme="minorHAnsi" w:eastAsiaTheme="minorEastAsia" w:hAnsiTheme="minorHAnsi" w:cstheme="minorBidi"/>
          <w:szCs w:val="22"/>
        </w:rPr>
      </w:pPr>
      <w:r>
        <w:t>4C</w:t>
      </w:r>
      <w:r>
        <w:rPr>
          <w:snapToGrid w:val="0"/>
        </w:rPr>
        <w:t>.</w:t>
      </w:r>
      <w:r>
        <w:rPr>
          <w:snapToGrid w:val="0"/>
        </w:rPr>
        <w:tab/>
        <w:t>Parties to notify settlement</w:t>
      </w:r>
      <w:r>
        <w:tab/>
      </w:r>
      <w:r>
        <w:fldChar w:fldCharType="begin"/>
      </w:r>
      <w:r>
        <w:instrText xml:space="preserve"> PAGEREF _Toc163120602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Forms</w:t>
      </w:r>
      <w:r>
        <w:tab/>
      </w:r>
      <w:r>
        <w:fldChar w:fldCharType="begin"/>
      </w:r>
      <w:r>
        <w:instrText xml:space="preserve"> PAGEREF _Toc163120603 \h </w:instrText>
      </w:r>
      <w:r>
        <w:fldChar w:fldCharType="separate"/>
      </w:r>
      <w:r>
        <w:t>8</w:t>
      </w:r>
      <w:r>
        <w:fldChar w:fldCharType="end"/>
      </w:r>
    </w:p>
    <w:p>
      <w:pPr>
        <w:pStyle w:val="TOC8"/>
        <w:rPr>
          <w:rFonts w:asciiTheme="minorHAnsi" w:eastAsiaTheme="minorEastAsia" w:hAnsiTheme="minorHAnsi" w:cstheme="minorBidi"/>
          <w:szCs w:val="22"/>
        </w:rPr>
      </w:pPr>
      <w:r>
        <w:t>6A.</w:t>
      </w:r>
      <w:r>
        <w:tab/>
        <w:t xml:space="preserve">Forms under </w:t>
      </w:r>
      <w:r>
        <w:rPr>
          <w:i/>
        </w:rPr>
        <w:t>Restraining Orders Act 1997</w:t>
      </w:r>
      <w:r>
        <w:tab/>
      </w:r>
      <w:r>
        <w:fldChar w:fldCharType="begin"/>
      </w:r>
      <w:r>
        <w:instrText xml:space="preserve"> PAGEREF _Toc163120604 \h </w:instrText>
      </w:r>
      <w:r>
        <w:fldChar w:fldCharType="separate"/>
      </w:r>
      <w:r>
        <w:t>9</w:t>
      </w:r>
      <w:r>
        <w:fldChar w:fldCharType="end"/>
      </w:r>
    </w:p>
    <w:p>
      <w:pPr>
        <w:pStyle w:val="TOC8"/>
        <w:rPr>
          <w:rFonts w:asciiTheme="minorHAnsi" w:eastAsiaTheme="minorEastAsia" w:hAnsiTheme="minorHAnsi" w:cstheme="minorBidi"/>
          <w:szCs w:val="22"/>
        </w:rPr>
      </w:pPr>
      <w:r>
        <w:t>7.</w:t>
      </w:r>
      <w:r>
        <w:tab/>
        <w:t>Court fees</w:t>
      </w:r>
      <w:r>
        <w:tab/>
      </w:r>
      <w:r>
        <w:fldChar w:fldCharType="begin"/>
      </w:r>
      <w:r>
        <w:instrText xml:space="preserve"> PAGEREF _Toc163120605 \h </w:instrText>
      </w:r>
      <w:r>
        <w:fldChar w:fldCharType="separate"/>
      </w:r>
      <w:r>
        <w:t>9</w:t>
      </w:r>
      <w:r>
        <w:fldChar w:fldCharType="end"/>
      </w:r>
    </w:p>
    <w:p>
      <w:pPr>
        <w:pStyle w:val="TOC8"/>
        <w:rPr>
          <w:rFonts w:asciiTheme="minorHAnsi" w:eastAsiaTheme="minorEastAsia" w:hAnsiTheme="minorHAnsi" w:cstheme="minorBidi"/>
          <w:szCs w:val="22"/>
        </w:rPr>
      </w:pPr>
      <w:r>
        <w:t>8.</w:t>
      </w:r>
      <w:r>
        <w:tab/>
        <w:t>Documents given to authorised users or Court by means of ECMS</w:t>
      </w:r>
      <w:r>
        <w:tab/>
      </w:r>
      <w:r>
        <w:fldChar w:fldCharType="begin"/>
      </w:r>
      <w:r>
        <w:instrText xml:space="preserve"> PAGEREF _Toc163120606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Order 2 — Effect of non</w:t>
      </w:r>
      <w:r>
        <w:noBreakHyphen/>
        <w:t>compliance</w:t>
      </w:r>
    </w:p>
    <w:p>
      <w:pPr>
        <w:pStyle w:val="TOC8"/>
        <w:rPr>
          <w:rFonts w:asciiTheme="minorHAnsi" w:eastAsiaTheme="minorEastAsia" w:hAnsiTheme="minorHAnsi" w:cstheme="minorBidi"/>
          <w:szCs w:val="22"/>
        </w:rPr>
      </w:pPr>
      <w:r>
        <w:t>1</w:t>
      </w:r>
      <w:r>
        <w:rPr>
          <w:snapToGrid w:val="0"/>
        </w:rPr>
        <w:t>.</w:t>
      </w:r>
      <w:r>
        <w:rPr>
          <w:snapToGrid w:val="0"/>
        </w:rPr>
        <w:tab/>
        <w:t>Non</w:t>
      </w:r>
      <w:r>
        <w:rPr>
          <w:snapToGrid w:val="0"/>
        </w:rPr>
        <w:noBreakHyphen/>
        <w:t>compliance with rules</w:t>
      </w:r>
      <w:r>
        <w:tab/>
      </w:r>
      <w:r>
        <w:fldChar w:fldCharType="begin"/>
      </w:r>
      <w:r>
        <w:instrText xml:space="preserve"> PAGEREF _Toc163120608 \h </w:instrText>
      </w:r>
      <w:r>
        <w:fldChar w:fldCharType="separate"/>
      </w:r>
      <w:r>
        <w:t>11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to set aside for irregularity</w:t>
      </w:r>
      <w:r>
        <w:tab/>
      </w:r>
      <w:r>
        <w:fldChar w:fldCharType="begin"/>
      </w:r>
      <w:r>
        <w:instrText xml:space="preserve"> PAGEREF _Toc163120609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Order 3 — Time</w:t>
      </w:r>
    </w:p>
    <w:p>
      <w:pPr>
        <w:pStyle w:val="TOC8"/>
        <w:rPr>
          <w:rFonts w:asciiTheme="minorHAnsi" w:eastAsiaTheme="minorEastAsia" w:hAnsiTheme="minorHAnsi" w:cstheme="minorBidi"/>
          <w:szCs w:val="22"/>
        </w:rPr>
      </w:pPr>
      <w:r>
        <w:t>1</w:t>
      </w:r>
      <w:r>
        <w:rPr>
          <w:snapToGrid w:val="0"/>
        </w:rPr>
        <w:t>.</w:t>
      </w:r>
      <w:r>
        <w:rPr>
          <w:snapToGrid w:val="0"/>
        </w:rPr>
        <w:tab/>
        <w:t>Term used: month</w:t>
      </w:r>
      <w:r>
        <w:tab/>
      </w:r>
      <w:r>
        <w:fldChar w:fldCharType="begin"/>
      </w:r>
      <w:r>
        <w:instrText xml:space="preserve"> PAGEREF _Toc163120611 \h </w:instrText>
      </w:r>
      <w:r>
        <w:fldChar w:fldCharType="separate"/>
      </w:r>
      <w:r>
        <w:t>13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Reckoning periods of time</w:t>
      </w:r>
      <w:r>
        <w:tab/>
      </w:r>
      <w:r>
        <w:fldChar w:fldCharType="begin"/>
      </w:r>
      <w:r>
        <w:instrText xml:space="preserve"> PAGEREF _Toc163120612 \h </w:instrText>
      </w:r>
      <w:r>
        <w:fldChar w:fldCharType="separate"/>
      </w:r>
      <w:r>
        <w:t>13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Period between 24 Dec and 15 Jan excluded when computing time</w:t>
      </w:r>
      <w:r>
        <w:tab/>
      </w:r>
      <w:r>
        <w:fldChar w:fldCharType="begin"/>
      </w:r>
      <w:r>
        <w:instrText xml:space="preserve"> PAGEREF _Toc163120613 \h </w:instrText>
      </w:r>
      <w:r>
        <w:fldChar w:fldCharType="separate"/>
      </w:r>
      <w:r>
        <w:t>13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expiring on day Central Office closed, effect of</w:t>
      </w:r>
      <w:r>
        <w:tab/>
      </w:r>
      <w:r>
        <w:fldChar w:fldCharType="begin"/>
      </w:r>
      <w:r>
        <w:instrText xml:space="preserve"> PAGEREF _Toc163120614 \h </w:instrText>
      </w:r>
      <w:r>
        <w:fldChar w:fldCharType="separate"/>
      </w:r>
      <w:r>
        <w:t>14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Extending and abridging time</w:t>
      </w:r>
      <w:r>
        <w:tab/>
      </w:r>
      <w:r>
        <w:fldChar w:fldCharType="begin"/>
      </w:r>
      <w:r>
        <w:instrText xml:space="preserve"> PAGEREF _Toc163120615 \h </w:instrText>
      </w:r>
      <w:r>
        <w:fldChar w:fldCharType="separate"/>
      </w:r>
      <w:r>
        <w:t>14</w:t>
      </w:r>
      <w:r>
        <w:fldChar w:fldCharType="end"/>
      </w:r>
    </w:p>
    <w:p>
      <w:pPr>
        <w:pStyle w:val="TOC8"/>
        <w:rPr>
          <w:rFonts w:asciiTheme="minorHAnsi" w:eastAsiaTheme="minorEastAsia" w:hAnsiTheme="minorHAnsi" w:cstheme="minorBidi"/>
          <w:szCs w:val="22"/>
        </w:rPr>
      </w:pPr>
      <w:r>
        <w:lastRenderedPageBreak/>
        <w:t>6</w:t>
      </w:r>
      <w:r>
        <w:rPr>
          <w:snapToGrid w:val="0"/>
        </w:rPr>
        <w:t>.</w:t>
      </w:r>
      <w:r>
        <w:rPr>
          <w:snapToGrid w:val="0"/>
        </w:rPr>
        <w:tab/>
        <w:t>Extension of time where security ordered</w:t>
      </w:r>
      <w:r>
        <w:tab/>
      </w:r>
      <w:r>
        <w:fldChar w:fldCharType="begin"/>
      </w:r>
      <w:r>
        <w:instrText xml:space="preserve"> PAGEREF _Toc163120616 \h </w:instrText>
      </w:r>
      <w:r>
        <w:fldChar w:fldCharType="separate"/>
      </w:r>
      <w:r>
        <w:t>14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Notice of intention to proceed after year’s delay</w:t>
      </w:r>
      <w:r>
        <w:tab/>
      </w:r>
      <w:r>
        <w:fldChar w:fldCharType="begin"/>
      </w:r>
      <w:r>
        <w:instrText xml:space="preserve"> PAGEREF _Toc163120617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Order 4A</w:t>
      </w:r>
      <w:r>
        <w:rPr>
          <w:b w:val="0"/>
        </w:rPr>
        <w:t> </w:t>
      </w:r>
      <w:r>
        <w:t>—</w:t>
      </w:r>
      <w:r>
        <w:rPr>
          <w:b w:val="0"/>
        </w:rPr>
        <w:t> </w:t>
      </w:r>
      <w:r>
        <w:t>Case management</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_Toc163120620 \h </w:instrText>
      </w:r>
      <w:r>
        <w:fldChar w:fldCharType="separate"/>
      </w:r>
      <w:r>
        <w:t>16</w:t>
      </w:r>
      <w:r>
        <w:fldChar w:fldCharType="end"/>
      </w:r>
    </w:p>
    <w:p>
      <w:pPr>
        <w:pStyle w:val="TOC8"/>
        <w:rPr>
          <w:rFonts w:asciiTheme="minorHAnsi" w:eastAsiaTheme="minorEastAsia" w:hAnsiTheme="minorHAnsi" w:cstheme="minorBidi"/>
          <w:szCs w:val="22"/>
        </w:rPr>
      </w:pPr>
      <w:r>
        <w:t>2.</w:t>
      </w:r>
      <w:r>
        <w:tab/>
        <w:t>Term used: case management direction</w:t>
      </w:r>
      <w:r>
        <w:tab/>
      </w:r>
      <w:r>
        <w:fldChar w:fldCharType="begin"/>
      </w:r>
      <w:r>
        <w:instrText xml:space="preserve"> PAGEREF _Toc163120621 \h </w:instrText>
      </w:r>
      <w:r>
        <w:fldChar w:fldCharType="separate"/>
      </w:r>
      <w:r>
        <w:t>16</w:t>
      </w:r>
      <w:r>
        <w:fldChar w:fldCharType="end"/>
      </w:r>
    </w:p>
    <w:p>
      <w:pPr>
        <w:pStyle w:val="TOC8"/>
        <w:rPr>
          <w:rFonts w:asciiTheme="minorHAnsi" w:eastAsiaTheme="minorEastAsia" w:hAnsiTheme="minorHAnsi" w:cstheme="minorBidi"/>
          <w:szCs w:val="22"/>
        </w:rPr>
      </w:pPr>
      <w:r>
        <w:t>3.</w:t>
      </w:r>
      <w:r>
        <w:tab/>
        <w:t>Term used: enforcement order</w:t>
      </w:r>
      <w:r>
        <w:tab/>
      </w:r>
      <w:r>
        <w:fldChar w:fldCharType="begin"/>
      </w:r>
      <w:r>
        <w:instrText xml:space="preserve"> PAGEREF _Toc163120622 \h </w:instrText>
      </w:r>
      <w:r>
        <w:fldChar w:fldCharType="separate"/>
      </w:r>
      <w:r>
        <w:t>21</w:t>
      </w:r>
      <w:r>
        <w:fldChar w:fldCharType="end"/>
      </w:r>
    </w:p>
    <w:p>
      <w:pPr>
        <w:pStyle w:val="TOC8"/>
        <w:rPr>
          <w:rFonts w:asciiTheme="minorHAnsi" w:eastAsiaTheme="minorEastAsia" w:hAnsiTheme="minorHAnsi" w:cstheme="minorBidi"/>
          <w:szCs w:val="22"/>
        </w:rPr>
      </w:pPr>
      <w:r>
        <w:t>4.</w:t>
      </w:r>
      <w:r>
        <w:tab/>
        <w:t>Inconsistencies with other rules</w:t>
      </w:r>
      <w:r>
        <w:tab/>
      </w:r>
      <w:r>
        <w:fldChar w:fldCharType="begin"/>
      </w:r>
      <w:r>
        <w:instrText xml:space="preserve"> PAGEREF _Toc163120623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Provisions applicable to all cases</w:t>
      </w:r>
    </w:p>
    <w:p>
      <w:pPr>
        <w:pStyle w:val="TOC8"/>
        <w:rPr>
          <w:rFonts w:asciiTheme="minorHAnsi" w:eastAsiaTheme="minorEastAsia" w:hAnsiTheme="minorHAnsi" w:cstheme="minorBidi"/>
          <w:szCs w:val="22"/>
        </w:rPr>
      </w:pPr>
      <w:r>
        <w:t>4A.</w:t>
      </w:r>
      <w:r>
        <w:tab/>
        <w:t>Case management conferences</w:t>
      </w:r>
      <w:r>
        <w:tab/>
      </w:r>
      <w:r>
        <w:fldChar w:fldCharType="begin"/>
      </w:r>
      <w:r>
        <w:instrText xml:space="preserve"> PAGEREF _Toc163120625 \h </w:instrText>
      </w:r>
      <w:r>
        <w:fldChar w:fldCharType="separate"/>
      </w:r>
      <w:r>
        <w:t>21</w:t>
      </w:r>
      <w:r>
        <w:fldChar w:fldCharType="end"/>
      </w:r>
    </w:p>
    <w:p>
      <w:pPr>
        <w:pStyle w:val="TOC8"/>
        <w:rPr>
          <w:rFonts w:asciiTheme="minorHAnsi" w:eastAsiaTheme="minorEastAsia" w:hAnsiTheme="minorHAnsi" w:cstheme="minorBidi"/>
          <w:szCs w:val="22"/>
        </w:rPr>
      </w:pPr>
      <w:r>
        <w:t>5.</w:t>
      </w:r>
      <w:r>
        <w:tab/>
        <w:t>Case manager may review case at any time</w:t>
      </w:r>
      <w:r>
        <w:tab/>
      </w:r>
      <w:r>
        <w:fldChar w:fldCharType="begin"/>
      </w:r>
      <w:r>
        <w:instrText xml:space="preserve"> PAGEREF _Toc163120626 \h </w:instrText>
      </w:r>
      <w:r>
        <w:fldChar w:fldCharType="separate"/>
      </w:r>
      <w:r>
        <w:t>22</w:t>
      </w:r>
      <w:r>
        <w:fldChar w:fldCharType="end"/>
      </w:r>
    </w:p>
    <w:p>
      <w:pPr>
        <w:pStyle w:val="TOC8"/>
        <w:rPr>
          <w:rFonts w:asciiTheme="minorHAnsi" w:eastAsiaTheme="minorEastAsia" w:hAnsiTheme="minorHAnsi" w:cstheme="minorBidi"/>
          <w:szCs w:val="22"/>
        </w:rPr>
      </w:pPr>
      <w:r>
        <w:t>5A.</w:t>
      </w:r>
      <w:r>
        <w:tab/>
        <w:t>Requesting interlocutory orders and case management directions</w:t>
      </w:r>
      <w:r>
        <w:tab/>
      </w:r>
      <w:r>
        <w:fldChar w:fldCharType="begin"/>
      </w:r>
      <w:r>
        <w:instrText xml:space="preserve"> PAGEREF _Toc163120627 \h </w:instrText>
      </w:r>
      <w:r>
        <w:fldChar w:fldCharType="separate"/>
      </w:r>
      <w:r>
        <w:t>23</w:t>
      </w:r>
      <w:r>
        <w:fldChar w:fldCharType="end"/>
      </w:r>
    </w:p>
    <w:p>
      <w:pPr>
        <w:pStyle w:val="TOC8"/>
        <w:rPr>
          <w:rFonts w:asciiTheme="minorHAnsi" w:eastAsiaTheme="minorEastAsia" w:hAnsiTheme="minorHAnsi" w:cstheme="minorBidi"/>
          <w:szCs w:val="22"/>
        </w:rPr>
      </w:pPr>
      <w:r>
        <w:t>5B.</w:t>
      </w:r>
      <w:r>
        <w:tab/>
        <w:t>Request under r. 5A by letter</w:t>
      </w:r>
      <w:r>
        <w:tab/>
      </w:r>
      <w:r>
        <w:fldChar w:fldCharType="begin"/>
      </w:r>
      <w:r>
        <w:instrText xml:space="preserve"> PAGEREF _Toc163120628 \h </w:instrText>
      </w:r>
      <w:r>
        <w:fldChar w:fldCharType="separate"/>
      </w:r>
      <w:r>
        <w:t>23</w:t>
      </w:r>
      <w:r>
        <w:fldChar w:fldCharType="end"/>
      </w:r>
    </w:p>
    <w:p>
      <w:pPr>
        <w:pStyle w:val="TOC8"/>
        <w:rPr>
          <w:rFonts w:asciiTheme="minorHAnsi" w:eastAsiaTheme="minorEastAsia" w:hAnsiTheme="minorHAnsi" w:cstheme="minorBidi"/>
          <w:szCs w:val="22"/>
        </w:rPr>
      </w:pPr>
      <w:r>
        <w:t>5C.</w:t>
      </w:r>
      <w:r>
        <w:tab/>
        <w:t>Request under r. 5A at case management conference or hearing</w:t>
      </w:r>
      <w:r>
        <w:tab/>
      </w:r>
      <w:r>
        <w:fldChar w:fldCharType="begin"/>
      </w:r>
      <w:r>
        <w:instrText xml:space="preserve"> PAGEREF _Toc163120629 \h </w:instrText>
      </w:r>
      <w:r>
        <w:fldChar w:fldCharType="separate"/>
      </w:r>
      <w:r>
        <w:t>25</w:t>
      </w:r>
      <w:r>
        <w:fldChar w:fldCharType="end"/>
      </w:r>
    </w:p>
    <w:p>
      <w:pPr>
        <w:pStyle w:val="TOC8"/>
        <w:rPr>
          <w:rFonts w:asciiTheme="minorHAnsi" w:eastAsiaTheme="minorEastAsia" w:hAnsiTheme="minorHAnsi" w:cstheme="minorBidi"/>
          <w:szCs w:val="22"/>
        </w:rPr>
      </w:pPr>
      <w:r>
        <w:t>6.</w:t>
      </w:r>
      <w:r>
        <w:tab/>
        <w:t>Timetables</w:t>
      </w:r>
      <w:r>
        <w:tab/>
      </w:r>
      <w:r>
        <w:fldChar w:fldCharType="begin"/>
      </w:r>
      <w:r>
        <w:instrText xml:space="preserve"> PAGEREF _Toc163120630 \h </w:instrText>
      </w:r>
      <w:r>
        <w:fldChar w:fldCharType="separate"/>
      </w:r>
      <w:r>
        <w:t>25</w:t>
      </w:r>
      <w:r>
        <w:fldChar w:fldCharType="end"/>
      </w:r>
    </w:p>
    <w:p>
      <w:pPr>
        <w:pStyle w:val="TOC8"/>
        <w:rPr>
          <w:rFonts w:asciiTheme="minorHAnsi" w:eastAsiaTheme="minorEastAsia" w:hAnsiTheme="minorHAnsi" w:cstheme="minorBidi"/>
          <w:szCs w:val="22"/>
        </w:rPr>
      </w:pPr>
      <w:r>
        <w:t>7.</w:t>
      </w:r>
      <w:r>
        <w:tab/>
        <w:t>Attendance at proceedings under this Order</w:t>
      </w:r>
      <w:r>
        <w:tab/>
      </w:r>
      <w:r>
        <w:fldChar w:fldCharType="begin"/>
      </w:r>
      <w:r>
        <w:instrText xml:space="preserve"> PAGEREF _Toc163120631 \h </w:instrText>
      </w:r>
      <w:r>
        <w:fldChar w:fldCharType="separate"/>
      </w:r>
      <w:r>
        <w:t>26</w:t>
      </w:r>
      <w:r>
        <w:fldChar w:fldCharType="end"/>
      </w:r>
    </w:p>
    <w:p>
      <w:pPr>
        <w:pStyle w:val="TOC8"/>
        <w:rPr>
          <w:rFonts w:asciiTheme="minorHAnsi" w:eastAsiaTheme="minorEastAsia" w:hAnsiTheme="minorHAnsi" w:cstheme="minorBidi"/>
          <w:szCs w:val="22"/>
        </w:rPr>
      </w:pPr>
      <w:r>
        <w:t>8.</w:t>
      </w:r>
      <w:r>
        <w:tab/>
        <w:t>Conferences of parties with mediator</w:t>
      </w:r>
      <w:r>
        <w:tab/>
      </w:r>
      <w:r>
        <w:fldChar w:fldCharType="begin"/>
      </w:r>
      <w:r>
        <w:instrText xml:space="preserve"> PAGEREF _Toc163120632 \h </w:instrText>
      </w:r>
      <w:r>
        <w:fldChar w:fldCharType="separate"/>
      </w:r>
      <w:r>
        <w:t>27</w:t>
      </w:r>
      <w:r>
        <w:fldChar w:fldCharType="end"/>
      </w:r>
    </w:p>
    <w:p>
      <w:pPr>
        <w:pStyle w:val="TOC8"/>
        <w:rPr>
          <w:rFonts w:asciiTheme="minorHAnsi" w:eastAsiaTheme="minorEastAsia" w:hAnsiTheme="minorHAnsi" w:cstheme="minorBidi"/>
          <w:szCs w:val="22"/>
        </w:rPr>
      </w:pPr>
      <w:r>
        <w:t>9.</w:t>
      </w:r>
      <w:r>
        <w:tab/>
        <w:t>Referees</w:t>
      </w:r>
      <w:r>
        <w:tab/>
      </w:r>
      <w:r>
        <w:fldChar w:fldCharType="begin"/>
      </w:r>
      <w:r>
        <w:instrText xml:space="preserve"> PAGEREF _Toc163120633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3 — Cases on the CMC List</w:t>
      </w:r>
    </w:p>
    <w:p>
      <w:pPr>
        <w:pStyle w:val="TOC8"/>
        <w:rPr>
          <w:rFonts w:asciiTheme="minorHAnsi" w:eastAsiaTheme="minorEastAsia" w:hAnsiTheme="minorHAnsi" w:cstheme="minorBidi"/>
          <w:szCs w:val="22"/>
        </w:rPr>
      </w:pPr>
      <w:r>
        <w:t>10.</w:t>
      </w:r>
      <w:r>
        <w:tab/>
        <w:t>Application of this Division</w:t>
      </w:r>
      <w:r>
        <w:tab/>
      </w:r>
      <w:r>
        <w:fldChar w:fldCharType="begin"/>
      </w:r>
      <w:r>
        <w:instrText xml:space="preserve"> PAGEREF _Toc163120635 \h </w:instrText>
      </w:r>
      <w:r>
        <w:fldChar w:fldCharType="separate"/>
      </w:r>
      <w:r>
        <w:t>30</w:t>
      </w:r>
      <w:r>
        <w:fldChar w:fldCharType="end"/>
      </w:r>
    </w:p>
    <w:p>
      <w:pPr>
        <w:pStyle w:val="TOC8"/>
        <w:rPr>
          <w:rFonts w:asciiTheme="minorHAnsi" w:eastAsiaTheme="minorEastAsia" w:hAnsiTheme="minorHAnsi" w:cstheme="minorBidi"/>
          <w:szCs w:val="22"/>
        </w:rPr>
      </w:pPr>
      <w:r>
        <w:t>11.</w:t>
      </w:r>
      <w:r>
        <w:tab/>
        <w:t>Cases on CMC List</w:t>
      </w:r>
      <w:r>
        <w:tab/>
      </w:r>
      <w:r>
        <w:fldChar w:fldCharType="begin"/>
      </w:r>
      <w:r>
        <w:instrText xml:space="preserve"> PAGEREF _Toc163120636 \h </w:instrText>
      </w:r>
      <w:r>
        <w:fldChar w:fldCharType="separate"/>
      </w:r>
      <w:r>
        <w:t>30</w:t>
      </w:r>
      <w:r>
        <w:fldChar w:fldCharType="end"/>
      </w:r>
    </w:p>
    <w:p>
      <w:pPr>
        <w:pStyle w:val="TOC8"/>
        <w:rPr>
          <w:rFonts w:asciiTheme="minorHAnsi" w:eastAsiaTheme="minorEastAsia" w:hAnsiTheme="minorHAnsi" w:cstheme="minorBidi"/>
          <w:szCs w:val="22"/>
        </w:rPr>
      </w:pPr>
      <w:r>
        <w:t>12.</w:t>
      </w:r>
      <w:r>
        <w:tab/>
        <w:t>Headings to documents</w:t>
      </w:r>
      <w:r>
        <w:tab/>
      </w:r>
      <w:r>
        <w:fldChar w:fldCharType="begin"/>
      </w:r>
      <w:r>
        <w:instrText xml:space="preserve"> PAGEREF _Toc163120637 \h </w:instrText>
      </w:r>
      <w:r>
        <w:fldChar w:fldCharType="separate"/>
      </w:r>
      <w:r>
        <w:t>31</w:t>
      </w:r>
      <w:r>
        <w:fldChar w:fldCharType="end"/>
      </w:r>
    </w:p>
    <w:p>
      <w:pPr>
        <w:pStyle w:val="TOC8"/>
        <w:rPr>
          <w:rFonts w:asciiTheme="minorHAnsi" w:eastAsiaTheme="minorEastAsia" w:hAnsiTheme="minorHAnsi" w:cstheme="minorBidi"/>
          <w:szCs w:val="22"/>
        </w:rPr>
      </w:pPr>
      <w:r>
        <w:t>13.</w:t>
      </w:r>
      <w:r>
        <w:tab/>
        <w:t>CMC List case manager may direct case to be on or taken off CMC List</w:t>
      </w:r>
      <w:r>
        <w:tab/>
      </w:r>
      <w:r>
        <w:fldChar w:fldCharType="begin"/>
      </w:r>
      <w:r>
        <w:instrText xml:space="preserve"> PAGEREF _Toc163120638 \h </w:instrText>
      </w:r>
      <w:r>
        <w:fldChar w:fldCharType="separate"/>
      </w:r>
      <w:r>
        <w:t>31</w:t>
      </w:r>
      <w:r>
        <w:fldChar w:fldCharType="end"/>
      </w:r>
    </w:p>
    <w:p>
      <w:pPr>
        <w:pStyle w:val="TOC8"/>
        <w:rPr>
          <w:rFonts w:asciiTheme="minorHAnsi" w:eastAsiaTheme="minorEastAsia" w:hAnsiTheme="minorHAnsi" w:cstheme="minorBidi"/>
          <w:szCs w:val="22"/>
        </w:rPr>
      </w:pPr>
      <w:r>
        <w:t>14.</w:t>
      </w:r>
      <w:r>
        <w:tab/>
        <w:t>Requesting case be put on CMC List</w:t>
      </w:r>
      <w:r>
        <w:tab/>
      </w:r>
      <w:r>
        <w:fldChar w:fldCharType="begin"/>
      </w:r>
      <w:r>
        <w:instrText xml:space="preserve"> PAGEREF _Toc163120639 \h </w:instrText>
      </w:r>
      <w:r>
        <w:fldChar w:fldCharType="separate"/>
      </w:r>
      <w:r>
        <w:t>31</w:t>
      </w:r>
      <w:r>
        <w:fldChar w:fldCharType="end"/>
      </w:r>
    </w:p>
    <w:p>
      <w:pPr>
        <w:pStyle w:val="TOC8"/>
        <w:rPr>
          <w:rFonts w:asciiTheme="minorHAnsi" w:eastAsiaTheme="minorEastAsia" w:hAnsiTheme="minorHAnsi" w:cstheme="minorBidi"/>
          <w:szCs w:val="22"/>
        </w:rPr>
      </w:pPr>
      <w:r>
        <w:t>14A.</w:t>
      </w:r>
      <w:r>
        <w:tab/>
        <w:t>Strategic conferences</w:t>
      </w:r>
      <w:r>
        <w:tab/>
      </w:r>
      <w:r>
        <w:fldChar w:fldCharType="begin"/>
      </w:r>
      <w:r>
        <w:instrText xml:space="preserve"> PAGEREF _Toc163120640 \h </w:instrText>
      </w:r>
      <w:r>
        <w:fldChar w:fldCharType="separate"/>
      </w:r>
      <w:r>
        <w:t>32</w:t>
      </w:r>
      <w:r>
        <w:fldChar w:fldCharType="end"/>
      </w:r>
    </w:p>
    <w:p>
      <w:pPr>
        <w:pStyle w:val="TOC8"/>
        <w:rPr>
          <w:rFonts w:asciiTheme="minorHAnsi" w:eastAsiaTheme="minorEastAsia" w:hAnsiTheme="minorHAnsi" w:cstheme="minorBidi"/>
          <w:szCs w:val="22"/>
        </w:rPr>
      </w:pPr>
      <w:r>
        <w:t>15.</w:t>
      </w:r>
      <w:r>
        <w:tab/>
        <w:t>Interlocutory hearings</w:t>
      </w:r>
      <w:r>
        <w:tab/>
      </w:r>
      <w:r>
        <w:fldChar w:fldCharType="begin"/>
      </w:r>
      <w:r>
        <w:instrText xml:space="preserve"> PAGEREF _Toc163120641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4 — Cases not on the CMC List</w:t>
      </w:r>
    </w:p>
    <w:p>
      <w:pPr>
        <w:pStyle w:val="TOC8"/>
        <w:rPr>
          <w:rFonts w:asciiTheme="minorHAnsi" w:eastAsiaTheme="minorEastAsia" w:hAnsiTheme="minorHAnsi" w:cstheme="minorBidi"/>
          <w:szCs w:val="22"/>
        </w:rPr>
      </w:pPr>
      <w:r>
        <w:t>16.</w:t>
      </w:r>
      <w:r>
        <w:tab/>
        <w:t>Application of this Division</w:t>
      </w:r>
      <w:r>
        <w:tab/>
      </w:r>
      <w:r>
        <w:fldChar w:fldCharType="begin"/>
      </w:r>
      <w:r>
        <w:instrText xml:space="preserve"> PAGEREF _Toc163120643 \h </w:instrText>
      </w:r>
      <w:r>
        <w:fldChar w:fldCharType="separate"/>
      </w:r>
      <w:r>
        <w:t>33</w:t>
      </w:r>
      <w:r>
        <w:fldChar w:fldCharType="end"/>
      </w:r>
    </w:p>
    <w:p>
      <w:pPr>
        <w:pStyle w:val="TOC8"/>
        <w:rPr>
          <w:rFonts w:asciiTheme="minorHAnsi" w:eastAsiaTheme="minorEastAsia" w:hAnsiTheme="minorHAnsi" w:cstheme="minorBidi"/>
          <w:szCs w:val="22"/>
        </w:rPr>
      </w:pPr>
      <w:r>
        <w:t>18.</w:t>
      </w:r>
      <w:r>
        <w:tab/>
        <w:t>Case management conferences for cases not on CMC List</w:t>
      </w:r>
      <w:r>
        <w:tab/>
      </w:r>
      <w:r>
        <w:fldChar w:fldCharType="begin"/>
      </w:r>
      <w:r>
        <w:instrText xml:space="preserve"> PAGEREF _Toc163120644 \h </w:instrText>
      </w:r>
      <w:r>
        <w:fldChar w:fldCharType="separate"/>
      </w:r>
      <w:r>
        <w:t>33</w:t>
      </w:r>
      <w:r>
        <w:fldChar w:fldCharType="end"/>
      </w:r>
    </w:p>
    <w:p>
      <w:pPr>
        <w:pStyle w:val="TOC8"/>
        <w:rPr>
          <w:rFonts w:asciiTheme="minorHAnsi" w:eastAsiaTheme="minorEastAsia" w:hAnsiTheme="minorHAnsi" w:cstheme="minorBidi"/>
          <w:szCs w:val="22"/>
        </w:rPr>
      </w:pPr>
      <w:r>
        <w:t>19.</w:t>
      </w:r>
      <w:r>
        <w:tab/>
        <w:t>Powers of case manager at case management conferences for cases not on CMC List</w:t>
      </w:r>
      <w:r>
        <w:tab/>
      </w:r>
      <w:r>
        <w:fldChar w:fldCharType="begin"/>
      </w:r>
      <w:r>
        <w:instrText xml:space="preserve"> PAGEREF _Toc163120645 \h </w:instrText>
      </w:r>
      <w:r>
        <w:fldChar w:fldCharType="separate"/>
      </w:r>
      <w:r>
        <w:t>35</w:t>
      </w:r>
      <w:r>
        <w:fldChar w:fldCharType="end"/>
      </w:r>
    </w:p>
    <w:p>
      <w:pPr>
        <w:pStyle w:val="TOC8"/>
        <w:rPr>
          <w:rFonts w:asciiTheme="minorHAnsi" w:eastAsiaTheme="minorEastAsia" w:hAnsiTheme="minorHAnsi" w:cstheme="minorBidi"/>
          <w:szCs w:val="22"/>
        </w:rPr>
      </w:pPr>
      <w:r>
        <w:t>20.</w:t>
      </w:r>
      <w:r>
        <w:tab/>
        <w:t>Listing conference</w:t>
      </w:r>
      <w:r>
        <w:tab/>
      </w:r>
      <w:r>
        <w:fldChar w:fldCharType="begin"/>
      </w:r>
      <w:r>
        <w:instrText xml:space="preserve"> PAGEREF _Toc163120646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5 — Inactive Cases List</w:t>
      </w:r>
    </w:p>
    <w:p>
      <w:pPr>
        <w:pStyle w:val="TOC8"/>
        <w:rPr>
          <w:rFonts w:asciiTheme="minorHAnsi" w:eastAsiaTheme="minorEastAsia" w:hAnsiTheme="minorHAnsi" w:cstheme="minorBidi"/>
          <w:szCs w:val="22"/>
        </w:rPr>
      </w:pPr>
      <w:r>
        <w:t>21.</w:t>
      </w:r>
      <w:r>
        <w:tab/>
        <w:t>Term used: Inactive Cases List</w:t>
      </w:r>
      <w:r>
        <w:tab/>
      </w:r>
      <w:r>
        <w:fldChar w:fldCharType="begin"/>
      </w:r>
      <w:r>
        <w:instrText xml:space="preserve"> PAGEREF _Toc163120648 \h </w:instrText>
      </w:r>
      <w:r>
        <w:fldChar w:fldCharType="separate"/>
      </w:r>
      <w:r>
        <w:t>37</w:t>
      </w:r>
      <w:r>
        <w:fldChar w:fldCharType="end"/>
      </w:r>
    </w:p>
    <w:p>
      <w:pPr>
        <w:pStyle w:val="TOC8"/>
        <w:rPr>
          <w:rFonts w:asciiTheme="minorHAnsi" w:eastAsiaTheme="minorEastAsia" w:hAnsiTheme="minorHAnsi" w:cstheme="minorBidi"/>
          <w:szCs w:val="22"/>
        </w:rPr>
      </w:pPr>
      <w:r>
        <w:lastRenderedPageBreak/>
        <w:t>22.</w:t>
      </w:r>
      <w:r>
        <w:tab/>
        <w:t>Case manager may direct party to show cause</w:t>
      </w:r>
      <w:r>
        <w:tab/>
      </w:r>
      <w:r>
        <w:fldChar w:fldCharType="begin"/>
      </w:r>
      <w:r>
        <w:instrText xml:space="preserve"> PAGEREF _Toc163120649 \h </w:instrText>
      </w:r>
      <w:r>
        <w:fldChar w:fldCharType="separate"/>
      </w:r>
      <w:r>
        <w:t>37</w:t>
      </w:r>
      <w:r>
        <w:fldChar w:fldCharType="end"/>
      </w:r>
    </w:p>
    <w:p>
      <w:pPr>
        <w:pStyle w:val="TOC8"/>
        <w:rPr>
          <w:rFonts w:asciiTheme="minorHAnsi" w:eastAsiaTheme="minorEastAsia" w:hAnsiTheme="minorHAnsi" w:cstheme="minorBidi"/>
          <w:szCs w:val="22"/>
        </w:rPr>
      </w:pPr>
      <w:r>
        <w:t>23.</w:t>
      </w:r>
      <w:r>
        <w:tab/>
        <w:t>Springing order that case be put on Inactive Cases List</w:t>
      </w:r>
      <w:r>
        <w:tab/>
      </w:r>
      <w:r>
        <w:fldChar w:fldCharType="begin"/>
      </w:r>
      <w:r>
        <w:instrText xml:space="preserve"> PAGEREF _Toc163120650 \h </w:instrText>
      </w:r>
      <w:r>
        <w:fldChar w:fldCharType="separate"/>
      </w:r>
      <w:r>
        <w:t>38</w:t>
      </w:r>
      <w:r>
        <w:fldChar w:fldCharType="end"/>
      </w:r>
    </w:p>
    <w:p>
      <w:pPr>
        <w:pStyle w:val="TOC8"/>
        <w:rPr>
          <w:rFonts w:asciiTheme="minorHAnsi" w:eastAsiaTheme="minorEastAsia" w:hAnsiTheme="minorHAnsi" w:cstheme="minorBidi"/>
          <w:szCs w:val="22"/>
        </w:rPr>
      </w:pPr>
      <w:r>
        <w:t>24.</w:t>
      </w:r>
      <w:r>
        <w:tab/>
        <w:t>Cases inactive for 12 months deemed inactive</w:t>
      </w:r>
      <w:r>
        <w:tab/>
      </w:r>
      <w:r>
        <w:fldChar w:fldCharType="begin"/>
      </w:r>
      <w:r>
        <w:instrText xml:space="preserve"> PAGEREF _Toc163120651 \h </w:instrText>
      </w:r>
      <w:r>
        <w:fldChar w:fldCharType="separate"/>
      </w:r>
      <w:r>
        <w:t>38</w:t>
      </w:r>
      <w:r>
        <w:fldChar w:fldCharType="end"/>
      </w:r>
    </w:p>
    <w:p>
      <w:pPr>
        <w:pStyle w:val="TOC8"/>
        <w:rPr>
          <w:rFonts w:asciiTheme="minorHAnsi" w:eastAsiaTheme="minorEastAsia" w:hAnsiTheme="minorHAnsi" w:cstheme="minorBidi"/>
          <w:szCs w:val="22"/>
        </w:rPr>
      </w:pPr>
      <w:r>
        <w:t>25.</w:t>
      </w:r>
      <w:r>
        <w:tab/>
        <w:t>Parties to be notified of case being on Inactive Cases List</w:t>
      </w:r>
      <w:r>
        <w:tab/>
      </w:r>
      <w:r>
        <w:fldChar w:fldCharType="begin"/>
      </w:r>
      <w:r>
        <w:instrText xml:space="preserve"> PAGEREF _Toc163120652 \h </w:instrText>
      </w:r>
      <w:r>
        <w:fldChar w:fldCharType="separate"/>
      </w:r>
      <w:r>
        <w:t>38</w:t>
      </w:r>
      <w:r>
        <w:fldChar w:fldCharType="end"/>
      </w:r>
    </w:p>
    <w:p>
      <w:pPr>
        <w:pStyle w:val="TOC8"/>
        <w:rPr>
          <w:rFonts w:asciiTheme="minorHAnsi" w:eastAsiaTheme="minorEastAsia" w:hAnsiTheme="minorHAnsi" w:cstheme="minorBidi"/>
          <w:szCs w:val="22"/>
        </w:rPr>
      </w:pPr>
      <w:r>
        <w:t>26.</w:t>
      </w:r>
      <w:r>
        <w:tab/>
        <w:t>Consequences of case being on Inactive Cases List</w:t>
      </w:r>
      <w:r>
        <w:tab/>
      </w:r>
      <w:r>
        <w:fldChar w:fldCharType="begin"/>
      </w:r>
      <w:r>
        <w:instrText xml:space="preserve"> PAGEREF _Toc163120653 \h </w:instrText>
      </w:r>
      <w:r>
        <w:fldChar w:fldCharType="separate"/>
      </w:r>
      <w:r>
        <w:t>39</w:t>
      </w:r>
      <w:r>
        <w:fldChar w:fldCharType="end"/>
      </w:r>
    </w:p>
    <w:p>
      <w:pPr>
        <w:pStyle w:val="TOC8"/>
        <w:rPr>
          <w:rFonts w:asciiTheme="minorHAnsi" w:eastAsiaTheme="minorEastAsia" w:hAnsiTheme="minorHAnsi" w:cstheme="minorBidi"/>
          <w:szCs w:val="22"/>
        </w:rPr>
      </w:pPr>
      <w:r>
        <w:t>27.</w:t>
      </w:r>
      <w:r>
        <w:tab/>
        <w:t>Removing cases from Inactive Cases List</w:t>
      </w:r>
      <w:r>
        <w:tab/>
      </w:r>
      <w:r>
        <w:fldChar w:fldCharType="begin"/>
      </w:r>
      <w:r>
        <w:instrText xml:space="preserve"> PAGEREF _Toc163120654 \h </w:instrText>
      </w:r>
      <w:r>
        <w:fldChar w:fldCharType="separate"/>
      </w:r>
      <w:r>
        <w:t>40</w:t>
      </w:r>
      <w:r>
        <w:fldChar w:fldCharType="end"/>
      </w:r>
    </w:p>
    <w:p>
      <w:pPr>
        <w:pStyle w:val="TOC8"/>
        <w:rPr>
          <w:rFonts w:asciiTheme="minorHAnsi" w:eastAsiaTheme="minorEastAsia" w:hAnsiTheme="minorHAnsi" w:cstheme="minorBidi"/>
          <w:szCs w:val="22"/>
        </w:rPr>
      </w:pPr>
      <w:r>
        <w:t>28.</w:t>
      </w:r>
      <w:r>
        <w:tab/>
        <w:t>Certain cases taken to have been dismissed</w:t>
      </w:r>
      <w:r>
        <w:tab/>
      </w:r>
      <w:r>
        <w:fldChar w:fldCharType="begin"/>
      </w:r>
      <w:r>
        <w:instrText xml:space="preserve"> PAGEREF _Toc163120655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Order 4 — Mode of commencing proceedings: applications in pending proceedings</w:t>
      </w:r>
    </w:p>
    <w:p>
      <w:pPr>
        <w:pStyle w:val="TOC8"/>
        <w:rPr>
          <w:rFonts w:asciiTheme="minorHAnsi" w:eastAsiaTheme="minorEastAsia" w:hAnsiTheme="minorHAnsi" w:cstheme="minorBidi"/>
          <w:szCs w:val="22"/>
        </w:rPr>
      </w:pPr>
      <w:r>
        <w:t>1</w:t>
      </w:r>
      <w:r>
        <w:rPr>
          <w:snapToGrid w:val="0"/>
        </w:rPr>
        <w:t>.</w:t>
      </w:r>
      <w:r>
        <w:rPr>
          <w:snapToGrid w:val="0"/>
        </w:rPr>
        <w:tab/>
        <w:t>Commencing civil proceedings</w:t>
      </w:r>
      <w:r>
        <w:tab/>
      </w:r>
      <w:r>
        <w:fldChar w:fldCharType="begin"/>
      </w:r>
      <w:r>
        <w:instrText xml:space="preserve"> PAGEREF _Toc163120657 \h </w:instrText>
      </w:r>
      <w:r>
        <w:fldChar w:fldCharType="separate"/>
      </w:r>
      <w:r>
        <w:t>42</w:t>
      </w:r>
      <w:r>
        <w:fldChar w:fldCharType="end"/>
      </w:r>
    </w:p>
    <w:p>
      <w:pPr>
        <w:pStyle w:val="TOC8"/>
        <w:rPr>
          <w:rFonts w:asciiTheme="minorHAnsi" w:eastAsiaTheme="minorEastAsia" w:hAnsiTheme="minorHAnsi" w:cstheme="minorBidi"/>
          <w:szCs w:val="22"/>
        </w:rPr>
      </w:pPr>
      <w:r>
        <w:t>2.</w:t>
      </w:r>
      <w:r>
        <w:tab/>
        <w:t>Applications in pending proceedings</w:t>
      </w:r>
      <w:r>
        <w:tab/>
      </w:r>
      <w:r>
        <w:fldChar w:fldCharType="begin"/>
      </w:r>
      <w:r>
        <w:instrText xml:space="preserve"> PAGEREF _Toc163120658 \h </w:instrText>
      </w:r>
      <w:r>
        <w:fldChar w:fldCharType="separate"/>
      </w:r>
      <w:r>
        <w:t>42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Individual may act in person or by solicitor; body corporate must act by solicitor</w:t>
      </w:r>
      <w:r>
        <w:tab/>
      </w:r>
      <w:r>
        <w:fldChar w:fldCharType="begin"/>
      </w:r>
      <w:r>
        <w:instrText xml:space="preserve"> PAGEREF _Toc163120659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Order 4AA — Mortgage actions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_Toc163120661 \h </w:instrText>
      </w:r>
      <w:r>
        <w:fldChar w:fldCharType="separate"/>
      </w:r>
      <w:r>
        <w:t>43</w:t>
      </w:r>
      <w:r>
        <w:fldChar w:fldCharType="end"/>
      </w:r>
    </w:p>
    <w:p>
      <w:pPr>
        <w:pStyle w:val="TOC8"/>
        <w:rPr>
          <w:rFonts w:asciiTheme="minorHAnsi" w:eastAsiaTheme="minorEastAsia" w:hAnsiTheme="minorHAnsi" w:cstheme="minorBidi"/>
          <w:szCs w:val="22"/>
        </w:rPr>
      </w:pPr>
      <w:r>
        <w:t>2.</w:t>
      </w:r>
      <w:r>
        <w:tab/>
        <w:t>Application</w:t>
      </w:r>
      <w:r>
        <w:tab/>
      </w:r>
      <w:r>
        <w:fldChar w:fldCharType="begin"/>
      </w:r>
      <w:r>
        <w:instrText xml:space="preserve"> PAGEREF _Toc163120662 \h </w:instrText>
      </w:r>
      <w:r>
        <w:fldChar w:fldCharType="separate"/>
      </w:r>
      <w:r>
        <w:t>43</w:t>
      </w:r>
      <w:r>
        <w:fldChar w:fldCharType="end"/>
      </w:r>
    </w:p>
    <w:p>
      <w:pPr>
        <w:pStyle w:val="TOC8"/>
        <w:rPr>
          <w:rFonts w:asciiTheme="minorHAnsi" w:eastAsiaTheme="minorEastAsia" w:hAnsiTheme="minorHAnsi" w:cstheme="minorBidi"/>
          <w:szCs w:val="22"/>
        </w:rPr>
      </w:pPr>
      <w:r>
        <w:t>3.</w:t>
      </w:r>
      <w:r>
        <w:tab/>
        <w:t>Commencing mortgage actions</w:t>
      </w:r>
      <w:r>
        <w:tab/>
      </w:r>
      <w:r>
        <w:fldChar w:fldCharType="begin"/>
      </w:r>
      <w:r>
        <w:instrText xml:space="preserve"> PAGEREF _Toc163120663 \h </w:instrText>
      </w:r>
      <w:r>
        <w:fldChar w:fldCharType="separate"/>
      </w:r>
      <w:r>
        <w:t>44</w:t>
      </w:r>
      <w:r>
        <w:fldChar w:fldCharType="end"/>
      </w:r>
    </w:p>
    <w:p>
      <w:pPr>
        <w:pStyle w:val="TOC8"/>
        <w:rPr>
          <w:rFonts w:asciiTheme="minorHAnsi" w:eastAsiaTheme="minorEastAsia" w:hAnsiTheme="minorHAnsi" w:cstheme="minorBidi"/>
          <w:szCs w:val="22"/>
        </w:rPr>
      </w:pPr>
      <w:r>
        <w:t>4.</w:t>
      </w:r>
      <w:r>
        <w:tab/>
        <w:t>Transitional provision for former Order 62A</w:t>
      </w:r>
      <w:r>
        <w:tab/>
      </w:r>
      <w:r>
        <w:fldChar w:fldCharType="begin"/>
      </w:r>
      <w:r>
        <w:instrText xml:space="preserve"> PAGEREF _Toc163120664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Order 5 — Writs of summons</w:t>
      </w:r>
    </w:p>
    <w:p>
      <w:pPr>
        <w:pStyle w:val="TOC8"/>
        <w:rPr>
          <w:rFonts w:asciiTheme="minorHAnsi" w:eastAsiaTheme="minorEastAsia" w:hAnsiTheme="minorHAnsi" w:cstheme="minorBidi"/>
          <w:szCs w:val="22"/>
        </w:rPr>
      </w:pPr>
      <w:r>
        <w:t>1</w:t>
      </w:r>
      <w:r>
        <w:rPr>
          <w:snapToGrid w:val="0"/>
        </w:rPr>
        <w:t>.</w:t>
      </w:r>
      <w:r>
        <w:rPr>
          <w:snapToGrid w:val="0"/>
        </w:rPr>
        <w:tab/>
        <w:t>Form of writ</w:t>
      </w:r>
      <w:r>
        <w:tab/>
      </w:r>
      <w:r>
        <w:fldChar w:fldCharType="begin"/>
      </w:r>
      <w:r>
        <w:instrText xml:space="preserve"> PAGEREF _Toc163120666 \h </w:instrText>
      </w:r>
      <w:r>
        <w:fldChar w:fldCharType="separate"/>
      </w:r>
      <w:r>
        <w:t>46</w:t>
      </w:r>
      <w:r>
        <w:fldChar w:fldCharType="end"/>
      </w:r>
    </w:p>
    <w:p>
      <w:pPr>
        <w:pStyle w:val="TOC8"/>
        <w:rPr>
          <w:rFonts w:asciiTheme="minorHAnsi" w:eastAsiaTheme="minorEastAsia" w:hAnsiTheme="minorHAnsi" w:cstheme="minorBidi"/>
          <w:szCs w:val="22"/>
        </w:rPr>
      </w:pPr>
      <w:r>
        <w:t>2.</w:t>
      </w:r>
      <w:r>
        <w:tab/>
        <w:t>Writ for service outside WA, form of</w:t>
      </w:r>
      <w:r>
        <w:tab/>
      </w:r>
      <w:r>
        <w:fldChar w:fldCharType="begin"/>
      </w:r>
      <w:r>
        <w:instrText xml:space="preserve"> PAGEREF _Toc163120667 \h </w:instrText>
      </w:r>
      <w:r>
        <w:fldChar w:fldCharType="separate"/>
      </w:r>
      <w:r>
        <w:t>46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Place of trial to be shown</w:t>
      </w:r>
      <w:r>
        <w:tab/>
      </w:r>
      <w:r>
        <w:fldChar w:fldCharType="begin"/>
      </w:r>
      <w:r>
        <w:instrText xml:space="preserve"> PAGEREF _Toc163120668 \h </w:instrText>
      </w:r>
      <w:r>
        <w:fldChar w:fldCharType="separate"/>
      </w:r>
      <w:r>
        <w:t>46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Place of issue</w:t>
      </w:r>
      <w:r>
        <w:tab/>
      </w:r>
      <w:r>
        <w:fldChar w:fldCharType="begin"/>
      </w:r>
      <w:r>
        <w:instrText xml:space="preserve"> PAGEREF _Toc163120669 \h </w:instrText>
      </w:r>
      <w:r>
        <w:fldChar w:fldCharType="separate"/>
      </w:r>
      <w:r>
        <w:t>46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Preparation of writ</w:t>
      </w:r>
      <w:r>
        <w:tab/>
      </w:r>
      <w:r>
        <w:fldChar w:fldCharType="begin"/>
      </w:r>
      <w:r>
        <w:instrText xml:space="preserve"> PAGEREF _Toc163120670 \h </w:instrText>
      </w:r>
      <w:r>
        <w:fldChar w:fldCharType="separate"/>
      </w:r>
      <w:r>
        <w:t>46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Sealing of writ</w:t>
      </w:r>
      <w:r>
        <w:tab/>
      </w:r>
      <w:r>
        <w:fldChar w:fldCharType="begin"/>
      </w:r>
      <w:r>
        <w:instrText xml:space="preserve"> PAGEREF _Toc163120671 \h </w:instrText>
      </w:r>
      <w:r>
        <w:fldChar w:fldCharType="separate"/>
      </w:r>
      <w:r>
        <w:t>46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Copy to be left with officer</w:t>
      </w:r>
      <w:r>
        <w:tab/>
      </w:r>
      <w:r>
        <w:fldChar w:fldCharType="begin"/>
      </w:r>
      <w:r>
        <w:instrText xml:space="preserve"> PAGEREF _Toc163120672 \h </w:instrText>
      </w:r>
      <w:r>
        <w:fldChar w:fldCharType="separate"/>
      </w:r>
      <w:r>
        <w:t>46</w:t>
      </w:r>
      <w:r>
        <w:fldChar w:fldCharType="end"/>
      </w:r>
    </w:p>
    <w:p>
      <w:pPr>
        <w:pStyle w:val="TOC8"/>
        <w:rPr>
          <w:rFonts w:asciiTheme="minorHAnsi" w:eastAsiaTheme="minorEastAsia" w:hAnsiTheme="minorHAnsi" w:cstheme="minorBidi"/>
          <w:szCs w:val="22"/>
        </w:rPr>
      </w:pPr>
      <w:r>
        <w:t>8.</w:t>
      </w:r>
      <w:r>
        <w:tab/>
        <w:t>Writ to be recorded when issued</w:t>
      </w:r>
      <w:r>
        <w:tab/>
      </w:r>
      <w:r>
        <w:fldChar w:fldCharType="begin"/>
      </w:r>
      <w:r>
        <w:instrText xml:space="preserve"> PAGEREF _Toc163120673 \h </w:instrText>
      </w:r>
      <w:r>
        <w:fldChar w:fldCharType="separate"/>
      </w:r>
      <w:r>
        <w:t>47</w:t>
      </w:r>
      <w:r>
        <w:fldChar w:fldCharType="end"/>
      </w:r>
    </w:p>
    <w:p>
      <w:pPr>
        <w:pStyle w:val="TOC8"/>
        <w:rPr>
          <w:rFonts w:asciiTheme="minorHAnsi" w:eastAsiaTheme="minorEastAsia" w:hAnsiTheme="minorHAnsi" w:cstheme="minorBidi"/>
          <w:szCs w:val="22"/>
        </w:rPr>
      </w:pPr>
      <w:r>
        <w:t>9.</w:t>
      </w:r>
      <w:r>
        <w:tab/>
        <w:t>Writ for service outside Australia, leave to issue needed</w:t>
      </w:r>
      <w:r>
        <w:tab/>
      </w:r>
      <w:r>
        <w:fldChar w:fldCharType="begin"/>
      </w:r>
      <w:r>
        <w:instrText xml:space="preserve"> PAGEREF _Toc163120674 \h </w:instrText>
      </w:r>
      <w:r>
        <w:fldChar w:fldCharType="separate"/>
      </w:r>
      <w:r>
        <w:t>47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All writs to be in name of Chief Justice or Senior Puisne Judge</w:t>
      </w:r>
      <w:r>
        <w:tab/>
      </w:r>
      <w:r>
        <w:fldChar w:fldCharType="begin"/>
      </w:r>
      <w:r>
        <w:instrText xml:space="preserve"> PAGEREF _Toc163120675 \h </w:instrText>
      </w:r>
      <w:r>
        <w:fldChar w:fldCharType="separate"/>
      </w:r>
      <w:r>
        <w:t>47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Time for appearance to be stated in writ</w:t>
      </w:r>
      <w:r>
        <w:tab/>
      </w:r>
      <w:r>
        <w:fldChar w:fldCharType="begin"/>
      </w:r>
      <w:r>
        <w:instrText xml:space="preserve"> PAGEREF _Toc163120676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Order 6 — Indorsement of claim: other indorsements</w:t>
      </w:r>
    </w:p>
    <w:p>
      <w:pPr>
        <w:pStyle w:val="TOC8"/>
        <w:rPr>
          <w:rFonts w:asciiTheme="minorHAnsi" w:eastAsiaTheme="minorEastAsia" w:hAnsiTheme="minorHAnsi" w:cstheme="minorBidi"/>
          <w:szCs w:val="22"/>
        </w:rPr>
      </w:pPr>
      <w:r>
        <w:t>1</w:t>
      </w:r>
      <w:r>
        <w:rPr>
          <w:snapToGrid w:val="0"/>
        </w:rPr>
        <w:t>.</w:t>
      </w:r>
      <w:r>
        <w:rPr>
          <w:snapToGrid w:val="0"/>
        </w:rPr>
        <w:tab/>
        <w:t>Nature of claim etc. to be indorsed on writ</w:t>
      </w:r>
      <w:r>
        <w:tab/>
      </w:r>
      <w:r>
        <w:fldChar w:fldCharType="begin"/>
      </w:r>
      <w:r>
        <w:instrText xml:space="preserve"> PAGEREF _Toc163120678 \h </w:instrText>
      </w:r>
      <w:r>
        <w:fldChar w:fldCharType="separate"/>
      </w:r>
      <w:r>
        <w:t>49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Action for defamation by publication</w:t>
      </w:r>
      <w:r>
        <w:tab/>
      </w:r>
      <w:r>
        <w:fldChar w:fldCharType="begin"/>
      </w:r>
      <w:r>
        <w:instrText xml:space="preserve"> PAGEREF _Toc163120679 \h </w:instrText>
      </w:r>
      <w:r>
        <w:fldChar w:fldCharType="separate"/>
      </w:r>
      <w:r>
        <w:t>49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Statement of claim may be indorsed on writ in some actions</w:t>
      </w:r>
      <w:r>
        <w:tab/>
      </w:r>
      <w:r>
        <w:fldChar w:fldCharType="begin"/>
      </w:r>
      <w:r>
        <w:instrText xml:space="preserve"> PAGEREF _Toc163120680 \h </w:instrText>
      </w:r>
      <w:r>
        <w:fldChar w:fldCharType="separate"/>
      </w:r>
      <w:r>
        <w:t>49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Claim for liquidated demand, indorsements required for, costs etc.</w:t>
      </w:r>
      <w:r>
        <w:tab/>
      </w:r>
      <w:r>
        <w:fldChar w:fldCharType="begin"/>
      </w:r>
      <w:r>
        <w:instrText xml:space="preserve"> PAGEREF _Toc163120681 \h </w:instrText>
      </w:r>
      <w:r>
        <w:fldChar w:fldCharType="separate"/>
      </w:r>
      <w:r>
        <w:t>49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Representative character</w:t>
      </w:r>
      <w:r>
        <w:tab/>
      </w:r>
      <w:r>
        <w:fldChar w:fldCharType="begin"/>
      </w:r>
      <w:r>
        <w:instrText xml:space="preserve"> PAGEREF _Toc163120682 \h </w:instrText>
      </w:r>
      <w:r>
        <w:fldChar w:fldCharType="separate"/>
      </w:r>
      <w:r>
        <w:t>50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Claim for account</w:t>
      </w:r>
      <w:r>
        <w:tab/>
      </w:r>
      <w:r>
        <w:fldChar w:fldCharType="begin"/>
      </w:r>
      <w:r>
        <w:instrText xml:space="preserve"> PAGEREF _Toc163120683 \h </w:instrText>
      </w:r>
      <w:r>
        <w:fldChar w:fldCharType="separate"/>
      </w:r>
      <w:r>
        <w:t>50</w:t>
      </w:r>
      <w:r>
        <w:fldChar w:fldCharType="end"/>
      </w:r>
    </w:p>
    <w:p>
      <w:pPr>
        <w:pStyle w:val="TOC8"/>
        <w:rPr>
          <w:rFonts w:asciiTheme="minorHAnsi" w:eastAsiaTheme="minorEastAsia" w:hAnsiTheme="minorHAnsi" w:cstheme="minorBidi"/>
          <w:szCs w:val="22"/>
        </w:rPr>
      </w:pPr>
      <w:r>
        <w:t>7.</w:t>
      </w:r>
      <w:r>
        <w:tab/>
        <w:t>Writ etc. to state contact details</w:t>
      </w:r>
      <w:r>
        <w:tab/>
      </w:r>
      <w:r>
        <w:fldChar w:fldCharType="begin"/>
      </w:r>
      <w:r>
        <w:instrText xml:space="preserve"> PAGEREF _Toc163120684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Order 7 — Duration and renewal of writ: concurrent writs</w:t>
      </w:r>
    </w:p>
    <w:p>
      <w:pPr>
        <w:pStyle w:val="TOC8"/>
        <w:rPr>
          <w:rFonts w:asciiTheme="minorHAnsi" w:eastAsiaTheme="minorEastAsia" w:hAnsiTheme="minorHAnsi" w:cstheme="minorBidi"/>
          <w:szCs w:val="22"/>
        </w:rPr>
      </w:pPr>
      <w:r>
        <w:t>1</w:t>
      </w:r>
      <w:r>
        <w:rPr>
          <w:snapToGrid w:val="0"/>
        </w:rPr>
        <w:t>.</w:t>
      </w:r>
      <w:r>
        <w:rPr>
          <w:snapToGrid w:val="0"/>
        </w:rPr>
        <w:tab/>
        <w:t>Duration and renewal of writ</w:t>
      </w:r>
      <w:r>
        <w:tab/>
      </w:r>
      <w:r>
        <w:fldChar w:fldCharType="begin"/>
      </w:r>
      <w:r>
        <w:instrText xml:space="preserve"> PAGEREF _Toc163120686 \h </w:instrText>
      </w:r>
      <w:r>
        <w:fldChar w:fldCharType="separate"/>
      </w:r>
      <w:r>
        <w:t>51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Proof of extension of validity of writ</w:t>
      </w:r>
      <w:r>
        <w:tab/>
      </w:r>
      <w:r>
        <w:fldChar w:fldCharType="begin"/>
      </w:r>
      <w:r>
        <w:instrText xml:space="preserve"> PAGEREF _Toc163120687 \h </w:instrText>
      </w:r>
      <w:r>
        <w:fldChar w:fldCharType="separate"/>
      </w:r>
      <w:r>
        <w:t>51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Concurrent writs</w:t>
      </w:r>
      <w:r>
        <w:tab/>
      </w:r>
      <w:r>
        <w:fldChar w:fldCharType="begin"/>
      </w:r>
      <w:r>
        <w:instrText xml:space="preserve"> PAGEREF _Toc163120688 \h </w:instrText>
      </w:r>
      <w:r>
        <w:fldChar w:fldCharType="separate"/>
      </w:r>
      <w:r>
        <w:t>52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Unserved writs may be struck out</w:t>
      </w:r>
      <w:r>
        <w:tab/>
      </w:r>
      <w:r>
        <w:fldChar w:fldCharType="begin"/>
      </w:r>
      <w:r>
        <w:instrText xml:space="preserve"> PAGEREF _Toc163120689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Order 8 — Disclosure by solicitors: change of solicitors</w:t>
      </w:r>
    </w:p>
    <w:p>
      <w:pPr>
        <w:pStyle w:val="TOC8"/>
        <w:rPr>
          <w:rFonts w:asciiTheme="minorHAnsi" w:eastAsiaTheme="minorEastAsia" w:hAnsiTheme="minorHAnsi" w:cstheme="minorBidi"/>
          <w:szCs w:val="22"/>
        </w:rPr>
      </w:pPr>
      <w:r>
        <w:t>1</w:t>
      </w:r>
      <w:r>
        <w:rPr>
          <w:snapToGrid w:val="0"/>
        </w:rPr>
        <w:t>.</w:t>
      </w:r>
      <w:r>
        <w:rPr>
          <w:snapToGrid w:val="0"/>
        </w:rPr>
        <w:tab/>
        <w:t>Solicitor to declare, if required to, whether writ issued by him</w:t>
      </w:r>
      <w:r>
        <w:tab/>
      </w:r>
      <w:r>
        <w:fldChar w:fldCharType="begin"/>
      </w:r>
      <w:r>
        <w:instrText xml:space="preserve"> PAGEREF _Toc163120691 \h </w:instrText>
      </w:r>
      <w:r>
        <w:fldChar w:fldCharType="separate"/>
      </w:r>
      <w:r>
        <w:t>54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Change of solicitor</w:t>
      </w:r>
      <w:r>
        <w:tab/>
      </w:r>
      <w:r>
        <w:fldChar w:fldCharType="begin"/>
      </w:r>
      <w:r>
        <w:instrText xml:space="preserve"> PAGEREF _Toc163120692 \h </w:instrText>
      </w:r>
      <w:r>
        <w:fldChar w:fldCharType="separate"/>
      </w:r>
      <w:r>
        <w:t>54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Appointment of solicitor by self-represented person</w:t>
      </w:r>
      <w:r>
        <w:tab/>
      </w:r>
      <w:r>
        <w:fldChar w:fldCharType="begin"/>
      </w:r>
      <w:r>
        <w:instrText xml:space="preserve"> PAGEREF _Toc163120693 \h </w:instrText>
      </w:r>
      <w:r>
        <w:fldChar w:fldCharType="separate"/>
      </w:r>
      <w:r>
        <w:t>55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Intention to act in person, notice of</w:t>
      </w:r>
      <w:r>
        <w:tab/>
      </w:r>
      <w:r>
        <w:fldChar w:fldCharType="begin"/>
      </w:r>
      <w:r>
        <w:instrText xml:space="preserve"> PAGEREF _Toc163120694 \h </w:instrText>
      </w:r>
      <w:r>
        <w:fldChar w:fldCharType="separate"/>
      </w:r>
      <w:r>
        <w:t>55</w:t>
      </w:r>
      <w:r>
        <w:fldChar w:fldCharType="end"/>
      </w:r>
    </w:p>
    <w:p>
      <w:pPr>
        <w:pStyle w:val="TOC8"/>
        <w:rPr>
          <w:rFonts w:asciiTheme="minorHAnsi" w:eastAsiaTheme="minorEastAsia" w:hAnsiTheme="minorHAnsi" w:cstheme="minorBidi"/>
          <w:szCs w:val="22"/>
        </w:rPr>
      </w:pPr>
      <w:r>
        <w:t>5A.</w:t>
      </w:r>
      <w:r>
        <w:tab/>
        <w:t>Form and content of notices</w:t>
      </w:r>
      <w:r>
        <w:tab/>
      </w:r>
      <w:r>
        <w:fldChar w:fldCharType="begin"/>
      </w:r>
      <w:r>
        <w:instrText xml:space="preserve"> PAGEREF _Toc163120695 \h </w:instrText>
      </w:r>
      <w:r>
        <w:fldChar w:fldCharType="separate"/>
      </w:r>
      <w:r>
        <w:t>55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Removal of solicitor from record</w:t>
      </w:r>
      <w:r>
        <w:tab/>
      </w:r>
      <w:r>
        <w:fldChar w:fldCharType="begin"/>
      </w:r>
      <w:r>
        <w:instrText xml:space="preserve"> PAGEREF _Toc163120696 \h </w:instrText>
      </w:r>
      <w:r>
        <w:fldChar w:fldCharType="separate"/>
      </w:r>
      <w:r>
        <w:t>55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Withdrawal of solicitor who has ceased to act for party</w:t>
      </w:r>
      <w:r>
        <w:tab/>
      </w:r>
      <w:r>
        <w:fldChar w:fldCharType="begin"/>
      </w:r>
      <w:r>
        <w:instrText xml:space="preserve"> PAGEREF _Toc163120697 \h </w:instrText>
      </w:r>
      <w:r>
        <w:fldChar w:fldCharType="separate"/>
      </w:r>
      <w:r>
        <w:t>56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Effect of order made under this Order</w:t>
      </w:r>
      <w:r>
        <w:tab/>
      </w:r>
      <w:r>
        <w:fldChar w:fldCharType="begin"/>
      </w:r>
      <w:r>
        <w:instrText xml:space="preserve"> PAGEREF _Toc163120698 \h </w:instrText>
      </w:r>
      <w:r>
        <w:fldChar w:fldCharType="separate"/>
      </w:r>
      <w:r>
        <w:t>57</w:t>
      </w:r>
      <w:r>
        <w:fldChar w:fldCharType="end"/>
      </w:r>
    </w:p>
    <w:p>
      <w:pPr>
        <w:pStyle w:val="TOC8"/>
        <w:rPr>
          <w:rFonts w:asciiTheme="minorHAnsi" w:eastAsiaTheme="minorEastAsia" w:hAnsiTheme="minorHAnsi" w:cstheme="minorBidi"/>
          <w:szCs w:val="22"/>
        </w:rPr>
      </w:pPr>
      <w:r>
        <w:t>9.</w:t>
      </w:r>
      <w:r>
        <w:tab/>
        <w:t>Service details of party whose solicitor is removed</w:t>
      </w:r>
      <w:r>
        <w:tab/>
      </w:r>
      <w:r>
        <w:fldChar w:fldCharType="begin"/>
      </w:r>
      <w:r>
        <w:instrText xml:space="preserve"> PAGEREF _Toc163120699 \h </w:instrText>
      </w:r>
      <w:r>
        <w:fldChar w:fldCharType="separate"/>
      </w:r>
      <w:r>
        <w:t>57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Solicitor not to act for adverse parties</w:t>
      </w:r>
      <w:r>
        <w:tab/>
      </w:r>
      <w:r>
        <w:fldChar w:fldCharType="begin"/>
      </w:r>
      <w:r>
        <w:instrText xml:space="preserve"> PAGEREF _Toc163120700 \h </w:instrText>
      </w:r>
      <w:r>
        <w:fldChar w:fldCharType="separate"/>
      </w:r>
      <w:r>
        <w:t>58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Legal practitioner or clerk not to be security</w:t>
      </w:r>
      <w:r>
        <w:tab/>
      </w:r>
      <w:r>
        <w:fldChar w:fldCharType="begin"/>
      </w:r>
      <w:r>
        <w:instrText xml:space="preserve"> PAGEREF _Toc163120701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Order 9A — Interested non</w:t>
      </w:r>
      <w:r>
        <w:noBreakHyphen/>
        <w:t>parties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_Toc163120703 \h </w:instrText>
      </w:r>
      <w:r>
        <w:fldChar w:fldCharType="separate"/>
      </w:r>
      <w:r>
        <w:t>59</w:t>
      </w:r>
      <w:r>
        <w:fldChar w:fldCharType="end"/>
      </w:r>
    </w:p>
    <w:p>
      <w:pPr>
        <w:pStyle w:val="TOC8"/>
        <w:rPr>
          <w:rFonts w:asciiTheme="minorHAnsi" w:eastAsiaTheme="minorEastAsia" w:hAnsiTheme="minorHAnsi" w:cstheme="minorBidi"/>
          <w:szCs w:val="22"/>
        </w:rPr>
      </w:pPr>
      <w:r>
        <w:t>2.</w:t>
      </w:r>
      <w:r>
        <w:tab/>
        <w:t>Parties to advise identity of interested non</w:t>
      </w:r>
      <w:r>
        <w:noBreakHyphen/>
        <w:t>parties</w:t>
      </w:r>
      <w:r>
        <w:tab/>
      </w:r>
      <w:r>
        <w:fldChar w:fldCharType="begin"/>
      </w:r>
      <w:r>
        <w:instrText xml:space="preserve"> PAGEREF _Toc163120704 \h </w:instrText>
      </w:r>
      <w:r>
        <w:fldChar w:fldCharType="separate"/>
      </w:r>
      <w:r>
        <w:t>59</w:t>
      </w:r>
      <w:r>
        <w:fldChar w:fldCharType="end"/>
      </w:r>
    </w:p>
    <w:p>
      <w:pPr>
        <w:pStyle w:val="TOC8"/>
        <w:rPr>
          <w:rFonts w:asciiTheme="minorHAnsi" w:eastAsiaTheme="minorEastAsia" w:hAnsiTheme="minorHAnsi" w:cstheme="minorBidi"/>
          <w:szCs w:val="22"/>
        </w:rPr>
      </w:pPr>
      <w:r>
        <w:lastRenderedPageBreak/>
        <w:t>3.</w:t>
      </w:r>
      <w:r>
        <w:tab/>
        <w:t>Duties of interested non</w:t>
      </w:r>
      <w:r>
        <w:noBreakHyphen/>
        <w:t>party</w:t>
      </w:r>
      <w:r>
        <w:tab/>
      </w:r>
      <w:r>
        <w:fldChar w:fldCharType="begin"/>
      </w:r>
      <w:r>
        <w:instrText xml:space="preserve"> PAGEREF _Toc163120705 \h </w:instrText>
      </w:r>
      <w:r>
        <w:fldChar w:fldCharType="separate"/>
      </w:r>
      <w:r>
        <w:t>59</w:t>
      </w:r>
      <w:r>
        <w:fldChar w:fldCharType="end"/>
      </w:r>
    </w:p>
    <w:p>
      <w:pPr>
        <w:pStyle w:val="TOC8"/>
        <w:rPr>
          <w:rFonts w:asciiTheme="minorHAnsi" w:eastAsiaTheme="minorEastAsia" w:hAnsiTheme="minorHAnsi" w:cstheme="minorBidi"/>
          <w:szCs w:val="22"/>
        </w:rPr>
      </w:pPr>
      <w:r>
        <w:t>4.</w:t>
      </w:r>
      <w:r>
        <w:tab/>
        <w:t>Disclosure of agreements relating to litigation funding</w:t>
      </w:r>
      <w:r>
        <w:tab/>
      </w:r>
      <w:r>
        <w:fldChar w:fldCharType="begin"/>
      </w:r>
      <w:r>
        <w:instrText xml:space="preserve"> PAGEREF _Toc163120706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Order 9 — Service of originating process: general provisions</w:t>
      </w:r>
    </w:p>
    <w:p>
      <w:pPr>
        <w:pStyle w:val="TOC8"/>
        <w:rPr>
          <w:rFonts w:asciiTheme="minorHAnsi" w:eastAsiaTheme="minorEastAsia" w:hAnsiTheme="minorHAnsi" w:cstheme="minorBidi"/>
          <w:szCs w:val="22"/>
        </w:rPr>
      </w:pPr>
      <w:r>
        <w:t>1</w:t>
      </w:r>
      <w:r>
        <w:rPr>
          <w:snapToGrid w:val="0"/>
        </w:rPr>
        <w:t>.</w:t>
      </w:r>
      <w:r>
        <w:rPr>
          <w:snapToGrid w:val="0"/>
        </w:rPr>
        <w:tab/>
      </w:r>
      <w:r>
        <w:t>Service of writ: general provisions</w:t>
      </w:r>
      <w:r>
        <w:tab/>
      </w:r>
      <w:r>
        <w:fldChar w:fldCharType="begin"/>
      </w:r>
      <w:r>
        <w:instrText xml:space="preserve"> PAGEREF _Toc163120708 \h </w:instrText>
      </w:r>
      <w:r>
        <w:fldChar w:fldCharType="separate"/>
      </w:r>
      <w:r>
        <w:t>61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Service of writ as to contract on agent of principal who is outside WA</w:t>
      </w:r>
      <w:r>
        <w:tab/>
      </w:r>
      <w:r>
        <w:fldChar w:fldCharType="begin"/>
      </w:r>
      <w:r>
        <w:instrText xml:space="preserve"> PAGEREF _Toc163120709 \h </w:instrText>
      </w:r>
      <w:r>
        <w:fldChar w:fldCharType="separate"/>
      </w:r>
      <w:r>
        <w:t>62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r>
      <w:r>
        <w:t>Effect of serving writ in accordance with contract</w:t>
      </w:r>
      <w:r>
        <w:tab/>
      </w:r>
      <w:r>
        <w:fldChar w:fldCharType="begin"/>
      </w:r>
      <w:r>
        <w:instrText xml:space="preserve"> PAGEREF _Toc163120710 \h </w:instrText>
      </w:r>
      <w:r>
        <w:fldChar w:fldCharType="separate"/>
      </w:r>
      <w:r>
        <w:t>63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Writ for possession of land where no person in possession, service of</w:t>
      </w:r>
      <w:r>
        <w:tab/>
      </w:r>
      <w:r>
        <w:fldChar w:fldCharType="begin"/>
      </w:r>
      <w:r>
        <w:instrText xml:space="preserve"> PAGEREF _Toc163120711 \h </w:instrText>
      </w:r>
      <w:r>
        <w:fldChar w:fldCharType="separate"/>
      </w:r>
      <w:r>
        <w:t>63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Service of other originating process</w:t>
      </w:r>
      <w:r>
        <w:tab/>
      </w:r>
      <w:r>
        <w:fldChar w:fldCharType="begin"/>
      </w:r>
      <w:r>
        <w:instrText xml:space="preserve"> PAGEREF _Toc163120712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Order 10 — Service outside jurisdiction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 used: originating process</w:t>
      </w:r>
      <w:r>
        <w:tab/>
      </w:r>
      <w:r>
        <w:fldChar w:fldCharType="begin"/>
      </w:r>
      <w:r>
        <w:instrText xml:space="preserve"> PAGEREF _Toc163120715 \h </w:instrText>
      </w:r>
      <w:r>
        <w:fldChar w:fldCharType="separate"/>
      </w:r>
      <w:r>
        <w:t>65</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_Toc163120716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2 — Service outside jurisdiction but in Australia</w:t>
      </w:r>
    </w:p>
    <w:p>
      <w:pPr>
        <w:pStyle w:val="TOC8"/>
        <w:rPr>
          <w:rFonts w:asciiTheme="minorHAnsi" w:eastAsiaTheme="minorEastAsia" w:hAnsiTheme="minorHAnsi" w:cstheme="minorBidi"/>
          <w:szCs w:val="22"/>
        </w:rPr>
      </w:pPr>
      <w:r>
        <w:t>3.</w:t>
      </w:r>
      <w:r>
        <w:tab/>
        <w:t>Service outside State but in Australia</w:t>
      </w:r>
      <w:r>
        <w:tab/>
      </w:r>
      <w:r>
        <w:fldChar w:fldCharType="begin"/>
      </w:r>
      <w:r>
        <w:instrText xml:space="preserve"> PAGEREF _Toc163120718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3 — Service outside Australia</w:t>
      </w:r>
    </w:p>
    <w:p>
      <w:pPr>
        <w:pStyle w:val="TOC8"/>
        <w:rPr>
          <w:rFonts w:asciiTheme="minorHAnsi" w:eastAsiaTheme="minorEastAsia" w:hAnsiTheme="minorHAnsi" w:cstheme="minorBidi"/>
          <w:szCs w:val="22"/>
        </w:rPr>
      </w:pPr>
      <w:r>
        <w:t>4.</w:t>
      </w:r>
      <w:r>
        <w:tab/>
        <w:t>Service in New Zealand of documents in relation to Trans</w:t>
      </w:r>
      <w:r>
        <w:noBreakHyphen/>
        <w:t>Tasman proceedings</w:t>
      </w:r>
      <w:r>
        <w:tab/>
      </w:r>
      <w:r>
        <w:fldChar w:fldCharType="begin"/>
      </w:r>
      <w:r>
        <w:instrText xml:space="preserve"> PAGEREF _Toc163120720 \h </w:instrText>
      </w:r>
      <w:r>
        <w:fldChar w:fldCharType="separate"/>
      </w:r>
      <w:r>
        <w:t>66</w:t>
      </w:r>
      <w:r>
        <w:fldChar w:fldCharType="end"/>
      </w:r>
    </w:p>
    <w:p>
      <w:pPr>
        <w:pStyle w:val="TOC8"/>
        <w:rPr>
          <w:rFonts w:asciiTheme="minorHAnsi" w:eastAsiaTheme="minorEastAsia" w:hAnsiTheme="minorHAnsi" w:cstheme="minorBidi"/>
          <w:szCs w:val="22"/>
        </w:rPr>
      </w:pPr>
      <w:r>
        <w:t>5.</w:t>
      </w:r>
      <w:r>
        <w:tab/>
        <w:t>When allowed without leave under Division</w:t>
      </w:r>
      <w:r>
        <w:tab/>
      </w:r>
      <w:r>
        <w:fldChar w:fldCharType="begin"/>
      </w:r>
      <w:r>
        <w:instrText xml:space="preserve"> PAGEREF _Toc163120721 \h </w:instrText>
      </w:r>
      <w:r>
        <w:fldChar w:fldCharType="separate"/>
      </w:r>
      <w:r>
        <w:t>66</w:t>
      </w:r>
      <w:r>
        <w:fldChar w:fldCharType="end"/>
      </w:r>
    </w:p>
    <w:p>
      <w:pPr>
        <w:pStyle w:val="TOC8"/>
        <w:rPr>
          <w:rFonts w:asciiTheme="minorHAnsi" w:eastAsiaTheme="minorEastAsia" w:hAnsiTheme="minorHAnsi" w:cstheme="minorBidi"/>
          <w:szCs w:val="22"/>
        </w:rPr>
      </w:pPr>
      <w:r>
        <w:t>6.</w:t>
      </w:r>
      <w:r>
        <w:tab/>
        <w:t>When allowed with leave</w:t>
      </w:r>
      <w:r>
        <w:tab/>
      </w:r>
      <w:r>
        <w:fldChar w:fldCharType="begin"/>
      </w:r>
      <w:r>
        <w:instrText xml:space="preserve"> PAGEREF _Toc163120722 \h </w:instrText>
      </w:r>
      <w:r>
        <w:fldChar w:fldCharType="separate"/>
      </w:r>
      <w:r>
        <w:t>70</w:t>
      </w:r>
      <w:r>
        <w:fldChar w:fldCharType="end"/>
      </w:r>
    </w:p>
    <w:p>
      <w:pPr>
        <w:pStyle w:val="TOC8"/>
        <w:rPr>
          <w:rFonts w:asciiTheme="minorHAnsi" w:eastAsiaTheme="minorEastAsia" w:hAnsiTheme="minorHAnsi" w:cstheme="minorBidi"/>
          <w:szCs w:val="22"/>
        </w:rPr>
      </w:pPr>
      <w:r>
        <w:t>7.</w:t>
      </w:r>
      <w:r>
        <w:tab/>
        <w:t>Court’s discretion whether to assume jurisdiction</w:t>
      </w:r>
      <w:r>
        <w:tab/>
      </w:r>
      <w:r>
        <w:fldChar w:fldCharType="begin"/>
      </w:r>
      <w:r>
        <w:instrText xml:space="preserve"> PAGEREF _Toc163120723 \h </w:instrText>
      </w:r>
      <w:r>
        <w:fldChar w:fldCharType="separate"/>
      </w:r>
      <w:r>
        <w:t>71</w:t>
      </w:r>
      <w:r>
        <w:fldChar w:fldCharType="end"/>
      </w:r>
    </w:p>
    <w:p>
      <w:pPr>
        <w:pStyle w:val="TOC8"/>
        <w:rPr>
          <w:rFonts w:asciiTheme="minorHAnsi" w:eastAsiaTheme="minorEastAsia" w:hAnsiTheme="minorHAnsi" w:cstheme="minorBidi"/>
          <w:szCs w:val="22"/>
        </w:rPr>
      </w:pPr>
      <w:r>
        <w:t>8.</w:t>
      </w:r>
      <w:r>
        <w:tab/>
        <w:t>Notice to person served outside Australia</w:t>
      </w:r>
      <w:r>
        <w:tab/>
      </w:r>
      <w:r>
        <w:fldChar w:fldCharType="begin"/>
      </w:r>
      <w:r>
        <w:instrText xml:space="preserve"> PAGEREF _Toc163120724 \h </w:instrText>
      </w:r>
      <w:r>
        <w:fldChar w:fldCharType="separate"/>
      </w:r>
      <w:r>
        <w:t>71</w:t>
      </w:r>
      <w:r>
        <w:fldChar w:fldCharType="end"/>
      </w:r>
    </w:p>
    <w:p>
      <w:pPr>
        <w:pStyle w:val="TOC8"/>
        <w:rPr>
          <w:rFonts w:asciiTheme="minorHAnsi" w:eastAsiaTheme="minorEastAsia" w:hAnsiTheme="minorHAnsi" w:cstheme="minorBidi"/>
          <w:szCs w:val="22"/>
        </w:rPr>
      </w:pPr>
      <w:r>
        <w:t>9.</w:t>
      </w:r>
      <w:r>
        <w:tab/>
        <w:t>Time for entering appearance</w:t>
      </w:r>
      <w:r>
        <w:tab/>
      </w:r>
      <w:r>
        <w:fldChar w:fldCharType="begin"/>
      </w:r>
      <w:r>
        <w:instrText xml:space="preserve"> PAGEREF _Toc163120725 \h </w:instrText>
      </w:r>
      <w:r>
        <w:fldChar w:fldCharType="separate"/>
      </w:r>
      <w:r>
        <w:t>72</w:t>
      </w:r>
      <w:r>
        <w:fldChar w:fldCharType="end"/>
      </w:r>
    </w:p>
    <w:p>
      <w:pPr>
        <w:pStyle w:val="TOC8"/>
        <w:rPr>
          <w:rFonts w:asciiTheme="minorHAnsi" w:eastAsiaTheme="minorEastAsia" w:hAnsiTheme="minorHAnsi" w:cstheme="minorBidi"/>
          <w:szCs w:val="22"/>
        </w:rPr>
      </w:pPr>
      <w:r>
        <w:t>10.</w:t>
      </w:r>
      <w:r>
        <w:tab/>
        <w:t>Leave to proceed where no appearance by person</w:t>
      </w:r>
      <w:r>
        <w:tab/>
      </w:r>
      <w:r>
        <w:fldChar w:fldCharType="begin"/>
      </w:r>
      <w:r>
        <w:instrText xml:space="preserve"> PAGEREF _Toc163120726 \h </w:instrText>
      </w:r>
      <w:r>
        <w:fldChar w:fldCharType="separate"/>
      </w:r>
      <w:r>
        <w:t>72</w:t>
      </w:r>
      <w:r>
        <w:fldChar w:fldCharType="end"/>
      </w:r>
    </w:p>
    <w:p>
      <w:pPr>
        <w:pStyle w:val="TOC8"/>
        <w:rPr>
          <w:rFonts w:asciiTheme="minorHAnsi" w:eastAsiaTheme="minorEastAsia" w:hAnsiTheme="minorHAnsi" w:cstheme="minorBidi"/>
          <w:szCs w:val="22"/>
        </w:rPr>
      </w:pPr>
      <w:r>
        <w:t>11.</w:t>
      </w:r>
      <w:r>
        <w:tab/>
        <w:t>Service of other documents outside Australia</w:t>
      </w:r>
      <w:r>
        <w:tab/>
      </w:r>
      <w:r>
        <w:fldChar w:fldCharType="begin"/>
      </w:r>
      <w:r>
        <w:instrText xml:space="preserve"> PAGEREF _Toc163120727 \h </w:instrText>
      </w:r>
      <w:r>
        <w:fldChar w:fldCharType="separate"/>
      </w:r>
      <w:r>
        <w:t>72</w:t>
      </w:r>
      <w:r>
        <w:fldChar w:fldCharType="end"/>
      </w:r>
    </w:p>
    <w:p>
      <w:pPr>
        <w:pStyle w:val="TOC8"/>
        <w:rPr>
          <w:rFonts w:asciiTheme="minorHAnsi" w:eastAsiaTheme="minorEastAsia" w:hAnsiTheme="minorHAnsi" w:cstheme="minorBidi"/>
          <w:szCs w:val="22"/>
        </w:rPr>
      </w:pPr>
      <w:r>
        <w:t>12.</w:t>
      </w:r>
      <w:r>
        <w:tab/>
        <w:t>Mode of service</w:t>
      </w:r>
      <w:r>
        <w:tab/>
      </w:r>
      <w:r>
        <w:fldChar w:fldCharType="begin"/>
      </w:r>
      <w:r>
        <w:instrText xml:space="preserve"> PAGEREF _Toc163120728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4 — Service through foreign or diplomatic officials outside Australia in non</w:t>
      </w:r>
      <w:r>
        <w:noBreakHyphen/>
        <w:t>Convention countries</w:t>
      </w:r>
    </w:p>
    <w:p>
      <w:pPr>
        <w:pStyle w:val="TOC8"/>
        <w:rPr>
          <w:rFonts w:asciiTheme="minorHAnsi" w:eastAsiaTheme="minorEastAsia" w:hAnsiTheme="minorHAnsi" w:cstheme="minorBidi"/>
          <w:szCs w:val="22"/>
        </w:rPr>
      </w:pPr>
      <w:r>
        <w:t>13.</w:t>
      </w:r>
      <w:r>
        <w:tab/>
        <w:t>Application of Division</w:t>
      </w:r>
      <w:r>
        <w:tab/>
      </w:r>
      <w:r>
        <w:fldChar w:fldCharType="begin"/>
      </w:r>
      <w:r>
        <w:instrText xml:space="preserve"> PAGEREF _Toc163120730 \h </w:instrText>
      </w:r>
      <w:r>
        <w:fldChar w:fldCharType="separate"/>
      </w:r>
      <w:r>
        <w:t>73</w:t>
      </w:r>
      <w:r>
        <w:fldChar w:fldCharType="end"/>
      </w:r>
    </w:p>
    <w:p>
      <w:pPr>
        <w:pStyle w:val="TOC8"/>
        <w:rPr>
          <w:rFonts w:asciiTheme="minorHAnsi" w:eastAsiaTheme="minorEastAsia" w:hAnsiTheme="minorHAnsi" w:cstheme="minorBidi"/>
          <w:szCs w:val="22"/>
        </w:rPr>
      </w:pPr>
      <w:r>
        <w:lastRenderedPageBreak/>
        <w:t>14.</w:t>
      </w:r>
      <w:r>
        <w:tab/>
        <w:t>Method of service of originating process and Form 5AB</w:t>
      </w:r>
      <w:r>
        <w:tab/>
      </w:r>
      <w:r>
        <w:fldChar w:fldCharType="begin"/>
      </w:r>
      <w:r>
        <w:instrText xml:space="preserve"> PAGEREF _Toc163120731 \h </w:instrText>
      </w:r>
      <w:r>
        <w:fldChar w:fldCharType="separate"/>
      </w:r>
      <w:r>
        <w:t>73</w:t>
      </w:r>
      <w:r>
        <w:fldChar w:fldCharType="end"/>
      </w:r>
    </w:p>
    <w:p>
      <w:pPr>
        <w:pStyle w:val="TOC8"/>
        <w:rPr>
          <w:rFonts w:asciiTheme="minorHAnsi" w:eastAsiaTheme="minorEastAsia" w:hAnsiTheme="minorHAnsi" w:cstheme="minorBidi"/>
          <w:szCs w:val="22"/>
        </w:rPr>
      </w:pPr>
      <w:r>
        <w:t>15.</w:t>
      </w:r>
      <w:r>
        <w:tab/>
        <w:t>Request for service of originating process</w:t>
      </w:r>
      <w:r>
        <w:tab/>
      </w:r>
      <w:r>
        <w:fldChar w:fldCharType="begin"/>
      </w:r>
      <w:r>
        <w:instrText xml:space="preserve"> PAGEREF _Toc163120732 \h </w:instrText>
      </w:r>
      <w:r>
        <w:fldChar w:fldCharType="separate"/>
      </w:r>
      <w:r>
        <w:t>74</w:t>
      </w:r>
      <w:r>
        <w:fldChar w:fldCharType="end"/>
      </w:r>
    </w:p>
    <w:p>
      <w:pPr>
        <w:pStyle w:val="TOC8"/>
        <w:rPr>
          <w:rFonts w:asciiTheme="minorHAnsi" w:eastAsiaTheme="minorEastAsia" w:hAnsiTheme="minorHAnsi" w:cstheme="minorBidi"/>
          <w:szCs w:val="22"/>
        </w:rPr>
      </w:pPr>
      <w:r>
        <w:t>16.</w:t>
      </w:r>
      <w:r>
        <w:tab/>
        <w:t>Serving documents under Division</w:t>
      </w:r>
      <w:r>
        <w:tab/>
      </w:r>
      <w:r>
        <w:fldChar w:fldCharType="begin"/>
      </w:r>
      <w:r>
        <w:instrText xml:space="preserve"> PAGEREF _Toc163120733 \h </w:instrText>
      </w:r>
      <w:r>
        <w:fldChar w:fldCharType="separate"/>
      </w:r>
      <w:r>
        <w:t>75</w:t>
      </w:r>
      <w:r>
        <w:fldChar w:fldCharType="end"/>
      </w:r>
    </w:p>
    <w:p>
      <w:pPr>
        <w:pStyle w:val="TOC8"/>
        <w:rPr>
          <w:rFonts w:asciiTheme="minorHAnsi" w:eastAsiaTheme="minorEastAsia" w:hAnsiTheme="minorHAnsi" w:cstheme="minorBidi"/>
          <w:szCs w:val="22"/>
        </w:rPr>
      </w:pPr>
      <w:r>
        <w:t>17.</w:t>
      </w:r>
      <w:r>
        <w:tab/>
        <w:t>Certification of service taken to be proof of service</w:t>
      </w:r>
      <w:r>
        <w:tab/>
      </w:r>
      <w:r>
        <w:fldChar w:fldCharType="begin"/>
      </w:r>
      <w:r>
        <w:instrText xml:space="preserve"> PAGEREF _Toc163120734 \h </w:instrText>
      </w:r>
      <w:r>
        <w:fldChar w:fldCharType="separate"/>
      </w:r>
      <w:r>
        <w:t>75</w:t>
      </w:r>
      <w:r>
        <w:fldChar w:fldCharType="end"/>
      </w:r>
    </w:p>
    <w:p>
      <w:pPr>
        <w:pStyle w:val="TOC8"/>
        <w:rPr>
          <w:rFonts w:asciiTheme="minorHAnsi" w:eastAsiaTheme="minorEastAsia" w:hAnsiTheme="minorHAnsi" w:cstheme="minorBidi"/>
          <w:szCs w:val="22"/>
        </w:rPr>
      </w:pPr>
      <w:r>
        <w:t>18.</w:t>
      </w:r>
      <w:r>
        <w:tab/>
      </w:r>
      <w:r>
        <w:rPr>
          <w:snapToGrid w:val="0"/>
        </w:rPr>
        <w:t>Paying expenses</w:t>
      </w:r>
      <w:r>
        <w:tab/>
      </w:r>
      <w:r>
        <w:fldChar w:fldCharType="begin"/>
      </w:r>
      <w:r>
        <w:instrText xml:space="preserve"> PAGEREF _Toc163120735 \h </w:instrText>
      </w:r>
      <w:r>
        <w:fldChar w:fldCharType="separate"/>
      </w:r>
      <w:r>
        <w:t>76</w:t>
      </w:r>
      <w:r>
        <w:fldChar w:fldCharType="end"/>
      </w:r>
    </w:p>
    <w:p>
      <w:pPr>
        <w:pStyle w:val="TOC8"/>
        <w:rPr>
          <w:rFonts w:asciiTheme="minorHAnsi" w:eastAsiaTheme="minorEastAsia" w:hAnsiTheme="minorHAnsi" w:cstheme="minorBidi"/>
          <w:szCs w:val="22"/>
        </w:rPr>
      </w:pPr>
      <w:r>
        <w:t>19.</w:t>
      </w:r>
      <w:r>
        <w:tab/>
        <w:t>Other methods of service outside Australia not excluded by Division</w:t>
      </w:r>
      <w:r>
        <w:tab/>
      </w:r>
      <w:r>
        <w:fldChar w:fldCharType="begin"/>
      </w:r>
      <w:r>
        <w:instrText xml:space="preserve"> PAGEREF _Toc163120736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Order 11 — Service of foreign process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_Toc163120738 \h </w:instrText>
      </w:r>
      <w:r>
        <w:fldChar w:fldCharType="separate"/>
      </w:r>
      <w:r>
        <w:t>78</w:t>
      </w:r>
      <w:r>
        <w:fldChar w:fldCharType="end"/>
      </w:r>
    </w:p>
    <w:p>
      <w:pPr>
        <w:pStyle w:val="TOC8"/>
        <w:rPr>
          <w:rFonts w:asciiTheme="minorHAnsi" w:eastAsiaTheme="minorEastAsia" w:hAnsiTheme="minorHAnsi" w:cstheme="minorBidi"/>
          <w:szCs w:val="22"/>
        </w:rPr>
      </w:pPr>
      <w:r>
        <w:t>2A.</w:t>
      </w:r>
      <w:r>
        <w:tab/>
        <w:t>Application of this Order</w:t>
      </w:r>
      <w:r>
        <w:tab/>
      </w:r>
      <w:r>
        <w:fldChar w:fldCharType="begin"/>
      </w:r>
      <w:r>
        <w:instrText xml:space="preserve"> PAGEREF _Toc163120739 \h </w:instrText>
      </w:r>
      <w:r>
        <w:fldChar w:fldCharType="separate"/>
      </w:r>
      <w:r>
        <w:t>78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Service pursuant to letter of request for service</w:t>
      </w:r>
      <w:r>
        <w:tab/>
      </w:r>
      <w:r>
        <w:fldChar w:fldCharType="begin"/>
      </w:r>
      <w:r>
        <w:instrText xml:space="preserve"> PAGEREF _Toc163120740 \h </w:instrText>
      </w:r>
      <w:r>
        <w:fldChar w:fldCharType="separate"/>
      </w:r>
      <w:r>
        <w:t>78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Service under Convention</w:t>
      </w:r>
      <w:r>
        <w:tab/>
      </w:r>
      <w:r>
        <w:fldChar w:fldCharType="begin"/>
      </w:r>
      <w:r>
        <w:instrText xml:space="preserve"> PAGEREF _Toc163120741 \h </w:instrText>
      </w:r>
      <w:r>
        <w:fldChar w:fldCharType="separate"/>
      </w:r>
      <w:r>
        <w:t>79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Service to be through sheriff</w:t>
      </w:r>
      <w:r>
        <w:tab/>
      </w:r>
      <w:r>
        <w:fldChar w:fldCharType="begin"/>
      </w:r>
      <w:r>
        <w:instrText xml:space="preserve"> PAGEREF _Toc163120742 \h </w:instrText>
      </w:r>
      <w:r>
        <w:fldChar w:fldCharType="separate"/>
      </w:r>
      <w:r>
        <w:t>80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Consequential orders</w:t>
      </w:r>
      <w:r>
        <w:tab/>
      </w:r>
      <w:r>
        <w:fldChar w:fldCharType="begin"/>
      </w:r>
      <w:r>
        <w:instrText xml:space="preserve"> PAGEREF _Toc163120743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Order 11A</w:t>
      </w:r>
      <w:r>
        <w:rPr>
          <w:b w:val="0"/>
        </w:rPr>
        <w:t> </w:t>
      </w:r>
      <w:r>
        <w:t>—</w:t>
      </w:r>
      <w:r>
        <w:rPr>
          <w:b w:val="0"/>
        </w:rPr>
        <w:t> </w:t>
      </w:r>
      <w:r>
        <w:t>Service under the Hague Convention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_Toc163120746 \h </w:instrText>
      </w:r>
      <w:r>
        <w:fldChar w:fldCharType="separate"/>
      </w:r>
      <w:r>
        <w:t>82</w:t>
      </w:r>
      <w:r>
        <w:fldChar w:fldCharType="end"/>
      </w:r>
    </w:p>
    <w:p>
      <w:pPr>
        <w:pStyle w:val="TOC8"/>
        <w:rPr>
          <w:rFonts w:asciiTheme="minorHAnsi" w:eastAsiaTheme="minorEastAsia" w:hAnsiTheme="minorHAnsi" w:cstheme="minorBidi"/>
          <w:szCs w:val="22"/>
        </w:rPr>
      </w:pPr>
      <w:r>
        <w:t>2.</w:t>
      </w:r>
      <w:r>
        <w:tab/>
        <w:t>Provisions of this Order to prevail</w:t>
      </w:r>
      <w:r>
        <w:tab/>
      </w:r>
      <w:r>
        <w:fldChar w:fldCharType="begin"/>
      </w:r>
      <w:r>
        <w:instrText xml:space="preserve"> PAGEREF _Toc163120747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2 — Service abroad of local judicial documents</w:t>
      </w:r>
    </w:p>
    <w:p>
      <w:pPr>
        <w:pStyle w:val="TOC8"/>
        <w:rPr>
          <w:rFonts w:asciiTheme="minorHAnsi" w:eastAsiaTheme="minorEastAsia" w:hAnsiTheme="minorHAnsi" w:cstheme="minorBidi"/>
          <w:szCs w:val="22"/>
        </w:rPr>
      </w:pPr>
      <w:r>
        <w:t>3.</w:t>
      </w:r>
      <w:r>
        <w:tab/>
        <w:t>Application of this Division</w:t>
      </w:r>
      <w:r>
        <w:tab/>
      </w:r>
      <w:r>
        <w:fldChar w:fldCharType="begin"/>
      </w:r>
      <w:r>
        <w:instrText xml:space="preserve"> PAGEREF _Toc163120749 \h </w:instrText>
      </w:r>
      <w:r>
        <w:fldChar w:fldCharType="separate"/>
      </w:r>
      <w:r>
        <w:t>84</w:t>
      </w:r>
      <w:r>
        <w:fldChar w:fldCharType="end"/>
      </w:r>
    </w:p>
    <w:p>
      <w:pPr>
        <w:pStyle w:val="TOC8"/>
        <w:rPr>
          <w:rFonts w:asciiTheme="minorHAnsi" w:eastAsiaTheme="minorEastAsia" w:hAnsiTheme="minorHAnsi" w:cstheme="minorBidi"/>
          <w:szCs w:val="22"/>
        </w:rPr>
      </w:pPr>
      <w:r>
        <w:t>4.</w:t>
      </w:r>
      <w:r>
        <w:tab/>
        <w:t>Application for request for service abroad</w:t>
      </w:r>
      <w:r>
        <w:tab/>
      </w:r>
      <w:r>
        <w:fldChar w:fldCharType="begin"/>
      </w:r>
      <w:r>
        <w:instrText xml:space="preserve"> PAGEREF _Toc163120750 \h </w:instrText>
      </w:r>
      <w:r>
        <w:fldChar w:fldCharType="separate"/>
      </w:r>
      <w:r>
        <w:t>85</w:t>
      </w:r>
      <w:r>
        <w:fldChar w:fldCharType="end"/>
      </w:r>
    </w:p>
    <w:p>
      <w:pPr>
        <w:pStyle w:val="TOC8"/>
        <w:rPr>
          <w:rFonts w:asciiTheme="minorHAnsi" w:eastAsiaTheme="minorEastAsia" w:hAnsiTheme="minorHAnsi" w:cstheme="minorBidi"/>
          <w:szCs w:val="22"/>
        </w:rPr>
      </w:pPr>
      <w:r>
        <w:t>5.</w:t>
      </w:r>
      <w:r>
        <w:tab/>
        <w:t>How application to be dealt with</w:t>
      </w:r>
      <w:r>
        <w:tab/>
      </w:r>
      <w:r>
        <w:fldChar w:fldCharType="begin"/>
      </w:r>
      <w:r>
        <w:instrText xml:space="preserve"> PAGEREF _Toc163120751 \h </w:instrText>
      </w:r>
      <w:r>
        <w:fldChar w:fldCharType="separate"/>
      </w:r>
      <w:r>
        <w:t>87</w:t>
      </w:r>
      <w:r>
        <w:fldChar w:fldCharType="end"/>
      </w:r>
    </w:p>
    <w:p>
      <w:pPr>
        <w:pStyle w:val="TOC8"/>
        <w:rPr>
          <w:rFonts w:asciiTheme="minorHAnsi" w:eastAsiaTheme="minorEastAsia" w:hAnsiTheme="minorHAnsi" w:cstheme="minorBidi"/>
          <w:szCs w:val="22"/>
        </w:rPr>
      </w:pPr>
      <w:r>
        <w:t>6.</w:t>
      </w:r>
      <w:r>
        <w:tab/>
        <w:t>Procedure on receipt of certificate of service</w:t>
      </w:r>
      <w:r>
        <w:tab/>
      </w:r>
      <w:r>
        <w:fldChar w:fldCharType="begin"/>
      </w:r>
      <w:r>
        <w:instrText xml:space="preserve"> PAGEREF _Toc163120752 \h </w:instrText>
      </w:r>
      <w:r>
        <w:fldChar w:fldCharType="separate"/>
      </w:r>
      <w:r>
        <w:t>88</w:t>
      </w:r>
      <w:r>
        <w:fldChar w:fldCharType="end"/>
      </w:r>
    </w:p>
    <w:p>
      <w:pPr>
        <w:pStyle w:val="TOC8"/>
        <w:rPr>
          <w:rFonts w:asciiTheme="minorHAnsi" w:eastAsiaTheme="minorEastAsia" w:hAnsiTheme="minorHAnsi" w:cstheme="minorBidi"/>
          <w:szCs w:val="22"/>
        </w:rPr>
      </w:pPr>
      <w:r>
        <w:t>7.</w:t>
      </w:r>
      <w:r>
        <w:tab/>
        <w:t>Payment of costs</w:t>
      </w:r>
      <w:r>
        <w:tab/>
      </w:r>
      <w:r>
        <w:fldChar w:fldCharType="begin"/>
      </w:r>
      <w:r>
        <w:instrText xml:space="preserve"> PAGEREF _Toc163120753 \h </w:instrText>
      </w:r>
      <w:r>
        <w:fldChar w:fldCharType="separate"/>
      </w:r>
      <w:r>
        <w:t>89</w:t>
      </w:r>
      <w:r>
        <w:fldChar w:fldCharType="end"/>
      </w:r>
    </w:p>
    <w:p>
      <w:pPr>
        <w:pStyle w:val="TOC8"/>
        <w:rPr>
          <w:rFonts w:asciiTheme="minorHAnsi" w:eastAsiaTheme="minorEastAsia" w:hAnsiTheme="minorHAnsi" w:cstheme="minorBidi"/>
          <w:szCs w:val="22"/>
        </w:rPr>
      </w:pPr>
      <w:r>
        <w:t>8.</w:t>
      </w:r>
      <w:r>
        <w:tab/>
        <w:t>Evidence of service</w:t>
      </w:r>
      <w:r>
        <w:tab/>
      </w:r>
      <w:r>
        <w:fldChar w:fldCharType="begin"/>
      </w:r>
      <w:r>
        <w:instrText xml:space="preserve"> PAGEREF _Toc163120754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3 — Default judgment following service abroad of initiating process</w:t>
      </w:r>
    </w:p>
    <w:p>
      <w:pPr>
        <w:pStyle w:val="TOC8"/>
        <w:rPr>
          <w:rFonts w:asciiTheme="minorHAnsi" w:eastAsiaTheme="minorEastAsia" w:hAnsiTheme="minorHAnsi" w:cstheme="minorBidi"/>
          <w:szCs w:val="22"/>
        </w:rPr>
      </w:pPr>
      <w:r>
        <w:t>9.</w:t>
      </w:r>
      <w:r>
        <w:tab/>
        <w:t>Application of this Division</w:t>
      </w:r>
      <w:r>
        <w:tab/>
      </w:r>
      <w:r>
        <w:fldChar w:fldCharType="begin"/>
      </w:r>
      <w:r>
        <w:instrText xml:space="preserve"> PAGEREF _Toc163120756 \h </w:instrText>
      </w:r>
      <w:r>
        <w:fldChar w:fldCharType="separate"/>
      </w:r>
      <w:r>
        <w:t>90</w:t>
      </w:r>
      <w:r>
        <w:fldChar w:fldCharType="end"/>
      </w:r>
    </w:p>
    <w:p>
      <w:pPr>
        <w:pStyle w:val="TOC8"/>
        <w:rPr>
          <w:rFonts w:asciiTheme="minorHAnsi" w:eastAsiaTheme="minorEastAsia" w:hAnsiTheme="minorHAnsi" w:cstheme="minorBidi"/>
          <w:szCs w:val="22"/>
        </w:rPr>
      </w:pPr>
      <w:r>
        <w:t>10.</w:t>
      </w:r>
      <w:r>
        <w:tab/>
        <w:t>Restriction on power to enter default judgment if certificate of service filed</w:t>
      </w:r>
      <w:r>
        <w:tab/>
      </w:r>
      <w:r>
        <w:fldChar w:fldCharType="begin"/>
      </w:r>
      <w:r>
        <w:instrText xml:space="preserve"> PAGEREF _Toc163120757 \h </w:instrText>
      </w:r>
      <w:r>
        <w:fldChar w:fldCharType="separate"/>
      </w:r>
      <w:r>
        <w:t>90</w:t>
      </w:r>
      <w:r>
        <w:fldChar w:fldCharType="end"/>
      </w:r>
    </w:p>
    <w:p>
      <w:pPr>
        <w:pStyle w:val="TOC8"/>
        <w:rPr>
          <w:rFonts w:asciiTheme="minorHAnsi" w:eastAsiaTheme="minorEastAsia" w:hAnsiTheme="minorHAnsi" w:cstheme="minorBidi"/>
          <w:szCs w:val="22"/>
        </w:rPr>
      </w:pPr>
      <w:r>
        <w:t>11.</w:t>
      </w:r>
      <w:r>
        <w:tab/>
        <w:t>Restriction on power to enter default judgment if certificate of service not filed</w:t>
      </w:r>
      <w:r>
        <w:tab/>
      </w:r>
      <w:r>
        <w:fldChar w:fldCharType="begin"/>
      </w:r>
      <w:r>
        <w:instrText xml:space="preserve"> PAGEREF _Toc163120758 \h </w:instrText>
      </w:r>
      <w:r>
        <w:fldChar w:fldCharType="separate"/>
      </w:r>
      <w:r>
        <w:t>92</w:t>
      </w:r>
      <w:r>
        <w:fldChar w:fldCharType="end"/>
      </w:r>
    </w:p>
    <w:p>
      <w:pPr>
        <w:pStyle w:val="TOC8"/>
        <w:rPr>
          <w:rFonts w:asciiTheme="minorHAnsi" w:eastAsiaTheme="minorEastAsia" w:hAnsiTheme="minorHAnsi" w:cstheme="minorBidi"/>
          <w:szCs w:val="22"/>
        </w:rPr>
      </w:pPr>
      <w:r>
        <w:t>12.</w:t>
      </w:r>
      <w:r>
        <w:tab/>
        <w:t>Setting aside judgment in default of appearance</w:t>
      </w:r>
      <w:r>
        <w:tab/>
      </w:r>
      <w:r>
        <w:fldChar w:fldCharType="begin"/>
      </w:r>
      <w:r>
        <w:instrText xml:space="preserve"> PAGEREF _Toc163120759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Local service of foreign judicial documents</w:t>
      </w:r>
    </w:p>
    <w:p>
      <w:pPr>
        <w:pStyle w:val="TOC8"/>
        <w:rPr>
          <w:rFonts w:asciiTheme="minorHAnsi" w:eastAsiaTheme="minorEastAsia" w:hAnsiTheme="minorHAnsi" w:cstheme="minorBidi"/>
          <w:szCs w:val="22"/>
        </w:rPr>
      </w:pPr>
      <w:r>
        <w:t>13.</w:t>
      </w:r>
      <w:r>
        <w:tab/>
        <w:t>Application of this Division</w:t>
      </w:r>
      <w:r>
        <w:tab/>
      </w:r>
      <w:r>
        <w:fldChar w:fldCharType="begin"/>
      </w:r>
      <w:r>
        <w:instrText xml:space="preserve"> PAGEREF _Toc163120761 \h </w:instrText>
      </w:r>
      <w:r>
        <w:fldChar w:fldCharType="separate"/>
      </w:r>
      <w:r>
        <w:t>93</w:t>
      </w:r>
      <w:r>
        <w:fldChar w:fldCharType="end"/>
      </w:r>
    </w:p>
    <w:p>
      <w:pPr>
        <w:pStyle w:val="TOC8"/>
        <w:rPr>
          <w:rFonts w:asciiTheme="minorHAnsi" w:eastAsiaTheme="minorEastAsia" w:hAnsiTheme="minorHAnsi" w:cstheme="minorBidi"/>
          <w:szCs w:val="22"/>
        </w:rPr>
      </w:pPr>
      <w:r>
        <w:t>14.</w:t>
      </w:r>
      <w:r>
        <w:tab/>
        <w:t>Certain documents to be referred back to Attorney</w:t>
      </w:r>
      <w:r>
        <w:noBreakHyphen/>
        <w:t>General’s Department of Commonwealth</w:t>
      </w:r>
      <w:r>
        <w:tab/>
      </w:r>
      <w:r>
        <w:fldChar w:fldCharType="begin"/>
      </w:r>
      <w:r>
        <w:instrText xml:space="preserve"> PAGEREF _Toc163120762 \h </w:instrText>
      </w:r>
      <w:r>
        <w:fldChar w:fldCharType="separate"/>
      </w:r>
      <w:r>
        <w:t>94</w:t>
      </w:r>
      <w:r>
        <w:fldChar w:fldCharType="end"/>
      </w:r>
    </w:p>
    <w:p>
      <w:pPr>
        <w:pStyle w:val="TOC8"/>
        <w:rPr>
          <w:rFonts w:asciiTheme="minorHAnsi" w:eastAsiaTheme="minorEastAsia" w:hAnsiTheme="minorHAnsi" w:cstheme="minorBidi"/>
          <w:szCs w:val="22"/>
        </w:rPr>
      </w:pPr>
      <w:r>
        <w:t>15.</w:t>
      </w:r>
      <w:r>
        <w:tab/>
        <w:t>Service</w:t>
      </w:r>
      <w:r>
        <w:tab/>
      </w:r>
      <w:r>
        <w:fldChar w:fldCharType="begin"/>
      </w:r>
      <w:r>
        <w:instrText xml:space="preserve"> PAGEREF _Toc163120763 \h </w:instrText>
      </w:r>
      <w:r>
        <w:fldChar w:fldCharType="separate"/>
      </w:r>
      <w:r>
        <w:t>95</w:t>
      </w:r>
      <w:r>
        <w:fldChar w:fldCharType="end"/>
      </w:r>
    </w:p>
    <w:p>
      <w:pPr>
        <w:pStyle w:val="TOC8"/>
        <w:rPr>
          <w:rFonts w:asciiTheme="minorHAnsi" w:eastAsiaTheme="minorEastAsia" w:hAnsiTheme="minorHAnsi" w:cstheme="minorBidi"/>
          <w:szCs w:val="22"/>
        </w:rPr>
      </w:pPr>
      <w:r>
        <w:t>16.</w:t>
      </w:r>
      <w:r>
        <w:tab/>
        <w:t>Affidavit as to service</w:t>
      </w:r>
      <w:r>
        <w:tab/>
      </w:r>
      <w:r>
        <w:fldChar w:fldCharType="begin"/>
      </w:r>
      <w:r>
        <w:instrText xml:space="preserve"> PAGEREF _Toc163120764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Order 12 — Appearance</w:t>
      </w:r>
    </w:p>
    <w:p>
      <w:pPr>
        <w:pStyle w:val="TOC8"/>
        <w:rPr>
          <w:rFonts w:asciiTheme="minorHAnsi" w:eastAsiaTheme="minorEastAsia" w:hAnsiTheme="minorHAnsi" w:cstheme="minorBidi"/>
          <w:szCs w:val="22"/>
        </w:rPr>
      </w:pPr>
      <w:r>
        <w:t>1</w:t>
      </w:r>
      <w:r>
        <w:rPr>
          <w:snapToGrid w:val="0"/>
        </w:rPr>
        <w:t>.</w:t>
      </w:r>
      <w:r>
        <w:rPr>
          <w:snapToGrid w:val="0"/>
        </w:rPr>
        <w:tab/>
        <w:t>Who may enter appearance</w:t>
      </w:r>
      <w:r>
        <w:tab/>
      </w:r>
      <w:r>
        <w:fldChar w:fldCharType="begin"/>
      </w:r>
      <w:r>
        <w:instrText xml:space="preserve"> PAGEREF _Toc163120766 \h </w:instrText>
      </w:r>
      <w:r>
        <w:fldChar w:fldCharType="separate"/>
      </w:r>
      <w:r>
        <w:t>98</w:t>
      </w:r>
      <w:r>
        <w:fldChar w:fldCharType="end"/>
      </w:r>
    </w:p>
    <w:p>
      <w:pPr>
        <w:pStyle w:val="TOC8"/>
        <w:rPr>
          <w:rFonts w:asciiTheme="minorHAnsi" w:eastAsiaTheme="minorEastAsia" w:hAnsiTheme="minorHAnsi" w:cstheme="minorBidi"/>
          <w:szCs w:val="22"/>
        </w:rPr>
      </w:pPr>
      <w:r>
        <w:t>2.</w:t>
      </w:r>
      <w:r>
        <w:tab/>
        <w:t>How to enter an appearance</w:t>
      </w:r>
      <w:r>
        <w:tab/>
      </w:r>
      <w:r>
        <w:fldChar w:fldCharType="begin"/>
      </w:r>
      <w:r>
        <w:instrText xml:space="preserve"> PAGEREF _Toc163120767 \h </w:instrText>
      </w:r>
      <w:r>
        <w:fldChar w:fldCharType="separate"/>
      </w:r>
      <w:r>
        <w:t>98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Procedure on receipt of requisite documents</w:t>
      </w:r>
      <w:r>
        <w:tab/>
      </w:r>
      <w:r>
        <w:fldChar w:fldCharType="begin"/>
      </w:r>
      <w:r>
        <w:instrText xml:space="preserve"> PAGEREF _Toc163120768 \h </w:instrText>
      </w:r>
      <w:r>
        <w:fldChar w:fldCharType="separate"/>
      </w:r>
      <w:r>
        <w:t>99</w:t>
      </w:r>
      <w:r>
        <w:fldChar w:fldCharType="end"/>
      </w:r>
    </w:p>
    <w:p>
      <w:pPr>
        <w:pStyle w:val="TOC8"/>
        <w:rPr>
          <w:rFonts w:asciiTheme="minorHAnsi" w:eastAsiaTheme="minorEastAsia" w:hAnsiTheme="minorHAnsi" w:cstheme="minorBidi"/>
          <w:szCs w:val="22"/>
        </w:rPr>
      </w:pPr>
      <w:r>
        <w:t>4.</w:t>
      </w:r>
      <w:r>
        <w:tab/>
        <w:t>Appearance to be served on plaintiff</w:t>
      </w:r>
      <w:r>
        <w:tab/>
      </w:r>
      <w:r>
        <w:fldChar w:fldCharType="begin"/>
      </w:r>
      <w:r>
        <w:instrText xml:space="preserve"> PAGEREF _Toc163120769 \h </w:instrText>
      </w:r>
      <w:r>
        <w:fldChar w:fldCharType="separate"/>
      </w:r>
      <w:r>
        <w:t>99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Late appearance</w:t>
      </w:r>
      <w:r>
        <w:tab/>
      </w:r>
      <w:r>
        <w:fldChar w:fldCharType="begin"/>
      </w:r>
      <w:r>
        <w:instrText xml:space="preserve"> PAGEREF _Toc163120770 \h </w:instrText>
      </w:r>
      <w:r>
        <w:fldChar w:fldCharType="separate"/>
      </w:r>
      <w:r>
        <w:t>99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Conditional appearance</w:t>
      </w:r>
      <w:r>
        <w:tab/>
      </w:r>
      <w:r>
        <w:fldChar w:fldCharType="begin"/>
      </w:r>
      <w:r>
        <w:instrText xml:space="preserve"> PAGEREF _Toc163120771 \h </w:instrText>
      </w:r>
      <w:r>
        <w:fldChar w:fldCharType="separate"/>
      </w:r>
      <w:r>
        <w:t>100</w:t>
      </w:r>
      <w:r>
        <w:fldChar w:fldCharType="end"/>
      </w:r>
    </w:p>
    <w:p>
      <w:pPr>
        <w:pStyle w:val="TOC8"/>
        <w:rPr>
          <w:rFonts w:asciiTheme="minorHAnsi" w:eastAsiaTheme="minorEastAsia" w:hAnsiTheme="minorHAnsi" w:cstheme="minorBidi"/>
          <w:szCs w:val="22"/>
        </w:rPr>
      </w:pPr>
      <w:r>
        <w:t>7.</w:t>
      </w:r>
      <w:r>
        <w:tab/>
        <w:t>Setting aside writ etc. before appearance</w:t>
      </w:r>
      <w:r>
        <w:tab/>
      </w:r>
      <w:r>
        <w:fldChar w:fldCharType="begin"/>
      </w:r>
      <w:r>
        <w:instrText xml:space="preserve"> PAGEREF _Toc163120772 \h </w:instrText>
      </w:r>
      <w:r>
        <w:fldChar w:fldCharType="separate"/>
      </w:r>
      <w:r>
        <w:t>100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Person not named may defend action for possession of land</w:t>
      </w:r>
      <w:r>
        <w:tab/>
      </w:r>
      <w:r>
        <w:fldChar w:fldCharType="begin"/>
      </w:r>
      <w:r>
        <w:instrText xml:space="preserve"> PAGEREF _Toc163120773 \h </w:instrText>
      </w:r>
      <w:r>
        <w:fldChar w:fldCharType="separate"/>
      </w:r>
      <w:r>
        <w:t>100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Person appearing under r. 8 to be named as defendant</w:t>
      </w:r>
      <w:r>
        <w:tab/>
      </w:r>
      <w:r>
        <w:fldChar w:fldCharType="begin"/>
      </w:r>
      <w:r>
        <w:instrText xml:space="preserve"> PAGEREF _Toc163120774 \h </w:instrText>
      </w:r>
      <w:r>
        <w:fldChar w:fldCharType="separate"/>
      </w:r>
      <w:r>
        <w:t>101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Limiting defence in action for possession of land</w:t>
      </w:r>
      <w:r>
        <w:tab/>
      </w:r>
      <w:r>
        <w:fldChar w:fldCharType="begin"/>
      </w:r>
      <w:r>
        <w:instrText xml:space="preserve"> PAGEREF _Toc163120775 \h </w:instrText>
      </w:r>
      <w:r>
        <w:fldChar w:fldCharType="separate"/>
      </w:r>
      <w:r>
        <w:t>101</w:t>
      </w:r>
      <w:r>
        <w:fldChar w:fldCharType="end"/>
      </w:r>
    </w:p>
    <w:p>
      <w:pPr>
        <w:pStyle w:val="TOC8"/>
        <w:rPr>
          <w:rFonts w:asciiTheme="minorHAnsi" w:eastAsiaTheme="minorEastAsia" w:hAnsiTheme="minorHAnsi" w:cstheme="minorBidi"/>
          <w:szCs w:val="22"/>
        </w:rPr>
      </w:pPr>
      <w:r>
        <w:t>11.</w:t>
      </w:r>
      <w:r>
        <w:tab/>
        <w:t>Defendant who wishes to abide by decision of court to file notice of intention to abide</w:t>
      </w:r>
      <w:r>
        <w:tab/>
      </w:r>
      <w:r>
        <w:fldChar w:fldCharType="begin"/>
      </w:r>
      <w:r>
        <w:instrText xml:space="preserve"> PAGEREF _Toc163120776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Order 13 — Judgment in default of appearance to writ</w:t>
      </w:r>
    </w:p>
    <w:p>
      <w:pPr>
        <w:pStyle w:val="TOC8"/>
        <w:rPr>
          <w:rFonts w:asciiTheme="minorHAnsi" w:eastAsiaTheme="minorEastAsia" w:hAnsiTheme="minorHAnsi" w:cstheme="minorBidi"/>
          <w:szCs w:val="22"/>
        </w:rPr>
      </w:pPr>
      <w:r>
        <w:t>1.</w:t>
      </w:r>
      <w:r>
        <w:tab/>
        <w:t>Plaintiff may enter judgment if defendant fails to enter appearance</w:t>
      </w:r>
      <w:r>
        <w:tab/>
      </w:r>
      <w:r>
        <w:fldChar w:fldCharType="begin"/>
      </w:r>
      <w:r>
        <w:instrText xml:space="preserve"> PAGEREF _Toc163120778 \h </w:instrText>
      </w:r>
      <w:r>
        <w:fldChar w:fldCharType="separate"/>
      </w:r>
      <w:r>
        <w:t>103</w:t>
      </w:r>
      <w:r>
        <w:fldChar w:fldCharType="end"/>
      </w:r>
    </w:p>
    <w:p>
      <w:pPr>
        <w:pStyle w:val="TOC8"/>
        <w:rPr>
          <w:rFonts w:asciiTheme="minorHAnsi" w:eastAsiaTheme="minorEastAsia" w:hAnsiTheme="minorHAnsi" w:cstheme="minorBidi"/>
          <w:szCs w:val="22"/>
        </w:rPr>
      </w:pPr>
      <w:r>
        <w:t>2.</w:t>
      </w:r>
      <w:r>
        <w:tab/>
        <w:t>Claim for liquidated demand</w:t>
      </w:r>
      <w:r>
        <w:tab/>
      </w:r>
      <w:r>
        <w:fldChar w:fldCharType="begin"/>
      </w:r>
      <w:r>
        <w:instrText xml:space="preserve"> PAGEREF _Toc163120779 \h </w:instrText>
      </w:r>
      <w:r>
        <w:fldChar w:fldCharType="separate"/>
      </w:r>
      <w:r>
        <w:t>103</w:t>
      </w:r>
      <w:r>
        <w:fldChar w:fldCharType="end"/>
      </w:r>
    </w:p>
    <w:p>
      <w:pPr>
        <w:pStyle w:val="TOC8"/>
        <w:rPr>
          <w:rFonts w:asciiTheme="minorHAnsi" w:eastAsiaTheme="minorEastAsia" w:hAnsiTheme="minorHAnsi" w:cstheme="minorBidi"/>
          <w:szCs w:val="22"/>
        </w:rPr>
      </w:pPr>
      <w:r>
        <w:t>3.</w:t>
      </w:r>
      <w:r>
        <w:tab/>
        <w:t>Claims for unliquidated damages</w:t>
      </w:r>
      <w:r>
        <w:tab/>
      </w:r>
      <w:r>
        <w:fldChar w:fldCharType="begin"/>
      </w:r>
      <w:r>
        <w:instrText xml:space="preserve"> PAGEREF _Toc163120780 \h </w:instrText>
      </w:r>
      <w:r>
        <w:fldChar w:fldCharType="separate"/>
      </w:r>
      <w:r>
        <w:t>104</w:t>
      </w:r>
      <w:r>
        <w:fldChar w:fldCharType="end"/>
      </w:r>
    </w:p>
    <w:p>
      <w:pPr>
        <w:pStyle w:val="TOC8"/>
        <w:rPr>
          <w:rFonts w:asciiTheme="minorHAnsi" w:eastAsiaTheme="minorEastAsia" w:hAnsiTheme="minorHAnsi" w:cstheme="minorBidi"/>
          <w:szCs w:val="22"/>
        </w:rPr>
      </w:pPr>
      <w:r>
        <w:t>4.</w:t>
      </w:r>
      <w:r>
        <w:tab/>
        <w:t>Claim relating to detention of goods (excluding mortgage actions)</w:t>
      </w:r>
      <w:r>
        <w:tab/>
      </w:r>
      <w:r>
        <w:fldChar w:fldCharType="begin"/>
      </w:r>
      <w:r>
        <w:instrText xml:space="preserve"> PAGEREF _Toc163120781 \h </w:instrText>
      </w:r>
      <w:r>
        <w:fldChar w:fldCharType="separate"/>
      </w:r>
      <w:r>
        <w:t>104</w:t>
      </w:r>
      <w:r>
        <w:fldChar w:fldCharType="end"/>
      </w:r>
    </w:p>
    <w:p>
      <w:pPr>
        <w:pStyle w:val="TOC8"/>
        <w:rPr>
          <w:rFonts w:asciiTheme="minorHAnsi" w:eastAsiaTheme="minorEastAsia" w:hAnsiTheme="minorHAnsi" w:cstheme="minorBidi"/>
          <w:szCs w:val="22"/>
        </w:rPr>
      </w:pPr>
      <w:r>
        <w:t>5.</w:t>
      </w:r>
      <w:r>
        <w:tab/>
        <w:t>Claim for possession of land (excluding mortgage actions)</w:t>
      </w:r>
      <w:r>
        <w:tab/>
      </w:r>
      <w:r>
        <w:fldChar w:fldCharType="begin"/>
      </w:r>
      <w:r>
        <w:instrText xml:space="preserve"> PAGEREF _Toc163120782 \h </w:instrText>
      </w:r>
      <w:r>
        <w:fldChar w:fldCharType="separate"/>
      </w:r>
      <w:r>
        <w:t>105</w:t>
      </w:r>
      <w:r>
        <w:fldChar w:fldCharType="end"/>
      </w:r>
    </w:p>
    <w:p>
      <w:pPr>
        <w:pStyle w:val="TOC8"/>
        <w:rPr>
          <w:rFonts w:asciiTheme="minorHAnsi" w:eastAsiaTheme="minorEastAsia" w:hAnsiTheme="minorHAnsi" w:cstheme="minorBidi"/>
          <w:szCs w:val="22"/>
        </w:rPr>
      </w:pPr>
      <w:r>
        <w:t>6.</w:t>
      </w:r>
      <w:r>
        <w:tab/>
        <w:t>Mortgage actions</w:t>
      </w:r>
      <w:r>
        <w:tab/>
      </w:r>
      <w:r>
        <w:fldChar w:fldCharType="begin"/>
      </w:r>
      <w:r>
        <w:instrText xml:space="preserve"> PAGEREF _Toc163120783 \h </w:instrText>
      </w:r>
      <w:r>
        <w:fldChar w:fldCharType="separate"/>
      </w:r>
      <w:r>
        <w:t>106</w:t>
      </w:r>
      <w:r>
        <w:fldChar w:fldCharType="end"/>
      </w:r>
    </w:p>
    <w:p>
      <w:pPr>
        <w:pStyle w:val="TOC8"/>
        <w:rPr>
          <w:rFonts w:asciiTheme="minorHAnsi" w:eastAsiaTheme="minorEastAsia" w:hAnsiTheme="minorHAnsi" w:cstheme="minorBidi"/>
          <w:szCs w:val="22"/>
        </w:rPr>
      </w:pPr>
      <w:r>
        <w:t>7.</w:t>
      </w:r>
      <w:r>
        <w:tab/>
        <w:t>Content of affidavit required by r. 6(2)(b)(ii)</w:t>
      </w:r>
      <w:r>
        <w:tab/>
      </w:r>
      <w:r>
        <w:fldChar w:fldCharType="begin"/>
      </w:r>
      <w:r>
        <w:instrText xml:space="preserve"> PAGEREF _Toc163120784 \h </w:instrText>
      </w:r>
      <w:r>
        <w:fldChar w:fldCharType="separate"/>
      </w:r>
      <w:r>
        <w:t>107</w:t>
      </w:r>
      <w:r>
        <w:fldChar w:fldCharType="end"/>
      </w:r>
    </w:p>
    <w:p>
      <w:pPr>
        <w:pStyle w:val="TOC8"/>
        <w:rPr>
          <w:rFonts w:asciiTheme="minorHAnsi" w:eastAsiaTheme="minorEastAsia" w:hAnsiTheme="minorHAnsi" w:cstheme="minorBidi"/>
          <w:szCs w:val="22"/>
        </w:rPr>
      </w:pPr>
      <w:r>
        <w:t>8.</w:t>
      </w:r>
      <w:r>
        <w:tab/>
        <w:t>Writs for 2 or more claims to which r. 2 to 6 apply</w:t>
      </w:r>
      <w:r>
        <w:tab/>
      </w:r>
      <w:r>
        <w:fldChar w:fldCharType="begin"/>
      </w:r>
      <w:r>
        <w:instrText xml:space="preserve"> PAGEREF _Toc163120785 \h </w:instrText>
      </w:r>
      <w:r>
        <w:fldChar w:fldCharType="separate"/>
      </w:r>
      <w:r>
        <w:t>109</w:t>
      </w:r>
      <w:r>
        <w:fldChar w:fldCharType="end"/>
      </w:r>
    </w:p>
    <w:p>
      <w:pPr>
        <w:pStyle w:val="TOC8"/>
        <w:rPr>
          <w:rFonts w:asciiTheme="minorHAnsi" w:eastAsiaTheme="minorEastAsia" w:hAnsiTheme="minorHAnsi" w:cstheme="minorBidi"/>
          <w:szCs w:val="22"/>
        </w:rPr>
      </w:pPr>
      <w:r>
        <w:t>9.</w:t>
      </w:r>
      <w:r>
        <w:tab/>
        <w:t>Writs for other claims</w:t>
      </w:r>
      <w:r>
        <w:tab/>
      </w:r>
      <w:r>
        <w:fldChar w:fldCharType="begin"/>
      </w:r>
      <w:r>
        <w:instrText xml:space="preserve"> PAGEREF _Toc163120786 \h </w:instrText>
      </w:r>
      <w:r>
        <w:fldChar w:fldCharType="separate"/>
      </w:r>
      <w:r>
        <w:t>110</w:t>
      </w:r>
      <w:r>
        <w:fldChar w:fldCharType="end"/>
      </w:r>
    </w:p>
    <w:p>
      <w:pPr>
        <w:pStyle w:val="TOC8"/>
        <w:rPr>
          <w:rFonts w:asciiTheme="minorHAnsi" w:eastAsiaTheme="minorEastAsia" w:hAnsiTheme="minorHAnsi" w:cstheme="minorBidi"/>
          <w:szCs w:val="22"/>
        </w:rPr>
      </w:pPr>
      <w:r>
        <w:t>10.</w:t>
      </w:r>
      <w:r>
        <w:tab/>
        <w:t>Entry of judgment for costs only upon writs for other claims</w:t>
      </w:r>
      <w:r>
        <w:tab/>
      </w:r>
      <w:r>
        <w:fldChar w:fldCharType="begin"/>
      </w:r>
      <w:r>
        <w:instrText xml:space="preserve"> PAGEREF _Toc163120787 \h </w:instrText>
      </w:r>
      <w:r>
        <w:fldChar w:fldCharType="separate"/>
      </w:r>
      <w:r>
        <w:t>111</w:t>
      </w:r>
      <w:r>
        <w:fldChar w:fldCharType="end"/>
      </w:r>
    </w:p>
    <w:p>
      <w:pPr>
        <w:pStyle w:val="TOC8"/>
        <w:rPr>
          <w:rFonts w:asciiTheme="minorHAnsi" w:eastAsiaTheme="minorEastAsia" w:hAnsiTheme="minorHAnsi" w:cstheme="minorBidi"/>
          <w:szCs w:val="22"/>
        </w:rPr>
      </w:pPr>
      <w:r>
        <w:lastRenderedPageBreak/>
        <w:t>11.</w:t>
      </w:r>
      <w:r>
        <w:tab/>
        <w:t>Reference to Court in case of doubt or difficulty</w:t>
      </w:r>
      <w:r>
        <w:tab/>
      </w:r>
      <w:r>
        <w:fldChar w:fldCharType="begin"/>
      </w:r>
      <w:r>
        <w:instrText xml:space="preserve"> PAGEREF _Toc163120788 \h </w:instrText>
      </w:r>
      <w:r>
        <w:fldChar w:fldCharType="separate"/>
      </w:r>
      <w:r>
        <w:t>111</w:t>
      </w:r>
      <w:r>
        <w:fldChar w:fldCharType="end"/>
      </w:r>
    </w:p>
    <w:p>
      <w:pPr>
        <w:pStyle w:val="TOC8"/>
        <w:rPr>
          <w:rFonts w:asciiTheme="minorHAnsi" w:eastAsiaTheme="minorEastAsia" w:hAnsiTheme="minorHAnsi" w:cstheme="minorBidi"/>
          <w:szCs w:val="22"/>
        </w:rPr>
      </w:pPr>
      <w:r>
        <w:t>12.</w:t>
      </w:r>
      <w:r>
        <w:tab/>
        <w:t>Default judgment to inform defendant of certain matters</w:t>
      </w:r>
      <w:r>
        <w:tab/>
      </w:r>
      <w:r>
        <w:fldChar w:fldCharType="begin"/>
      </w:r>
      <w:r>
        <w:instrText xml:space="preserve"> PAGEREF _Toc163120789 \h </w:instrText>
      </w:r>
      <w:r>
        <w:fldChar w:fldCharType="separate"/>
      </w:r>
      <w:r>
        <w:t>111</w:t>
      </w:r>
      <w:r>
        <w:fldChar w:fldCharType="end"/>
      </w:r>
    </w:p>
    <w:p>
      <w:pPr>
        <w:pStyle w:val="TOC8"/>
        <w:rPr>
          <w:rFonts w:asciiTheme="minorHAnsi" w:eastAsiaTheme="minorEastAsia" w:hAnsiTheme="minorHAnsi" w:cstheme="minorBidi"/>
          <w:szCs w:val="22"/>
        </w:rPr>
      </w:pPr>
      <w:r>
        <w:t>13.</w:t>
      </w:r>
      <w:r>
        <w:tab/>
        <w:t>Service of default judgment</w:t>
      </w:r>
      <w:r>
        <w:tab/>
      </w:r>
      <w:r>
        <w:fldChar w:fldCharType="begin"/>
      </w:r>
      <w:r>
        <w:instrText xml:space="preserve"> PAGEREF _Toc163120790 \h </w:instrText>
      </w:r>
      <w:r>
        <w:fldChar w:fldCharType="separate"/>
      </w:r>
      <w:r>
        <w:t>112</w:t>
      </w:r>
      <w:r>
        <w:fldChar w:fldCharType="end"/>
      </w:r>
    </w:p>
    <w:p>
      <w:pPr>
        <w:pStyle w:val="TOC8"/>
        <w:rPr>
          <w:rFonts w:asciiTheme="minorHAnsi" w:eastAsiaTheme="minorEastAsia" w:hAnsiTheme="minorHAnsi" w:cstheme="minorBidi"/>
          <w:szCs w:val="22"/>
        </w:rPr>
      </w:pPr>
      <w:r>
        <w:t>14.</w:t>
      </w:r>
      <w:r>
        <w:tab/>
        <w:t>Setting aside or varying default judgment</w:t>
      </w:r>
      <w:r>
        <w:tab/>
      </w:r>
      <w:r>
        <w:fldChar w:fldCharType="begin"/>
      </w:r>
      <w:r>
        <w:instrText xml:space="preserve"> PAGEREF _Toc163120791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Order 14 — Summary judgment</w:t>
      </w:r>
    </w:p>
    <w:p>
      <w:pPr>
        <w:pStyle w:val="TOC8"/>
        <w:rPr>
          <w:rFonts w:asciiTheme="minorHAnsi" w:eastAsiaTheme="minorEastAsia" w:hAnsiTheme="minorHAnsi" w:cstheme="minorBidi"/>
          <w:szCs w:val="22"/>
        </w:rPr>
      </w:pPr>
      <w:r>
        <w:t>1</w:t>
      </w:r>
      <w:r>
        <w:rPr>
          <w:snapToGrid w:val="0"/>
        </w:rPr>
        <w:t>.</w:t>
      </w:r>
      <w:r>
        <w:rPr>
          <w:snapToGrid w:val="0"/>
        </w:rPr>
        <w:tab/>
        <w:t>When plaintiff may apply for summary judgment</w:t>
      </w:r>
      <w:r>
        <w:tab/>
      </w:r>
      <w:r>
        <w:fldChar w:fldCharType="begin"/>
      </w:r>
      <w:r>
        <w:instrText xml:space="preserve"> PAGEREF _Toc163120793 \h </w:instrText>
      </w:r>
      <w:r>
        <w:fldChar w:fldCharType="separate"/>
      </w:r>
      <w:r>
        <w:t>113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under r. 1, how to make</w:t>
      </w:r>
      <w:r>
        <w:tab/>
      </w:r>
      <w:r>
        <w:fldChar w:fldCharType="begin"/>
      </w:r>
      <w:r>
        <w:instrText xml:space="preserve"> PAGEREF _Toc163120794 \h </w:instrText>
      </w:r>
      <w:r>
        <w:fldChar w:fldCharType="separate"/>
      </w:r>
      <w:r>
        <w:t>113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Judgment may be given for plaintiff</w:t>
      </w:r>
      <w:r>
        <w:tab/>
      </w:r>
      <w:r>
        <w:fldChar w:fldCharType="begin"/>
      </w:r>
      <w:r>
        <w:instrText xml:space="preserve"> PAGEREF _Toc163120795 \h </w:instrText>
      </w:r>
      <w:r>
        <w:fldChar w:fldCharType="separate"/>
      </w:r>
      <w:r>
        <w:t>114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Defendant may be given leave to defend</w:t>
      </w:r>
      <w:r>
        <w:tab/>
      </w:r>
      <w:r>
        <w:fldChar w:fldCharType="begin"/>
      </w:r>
      <w:r>
        <w:instrText xml:space="preserve"> PAGEREF _Toc163120796 \h </w:instrText>
      </w:r>
      <w:r>
        <w:fldChar w:fldCharType="separate"/>
      </w:r>
      <w:r>
        <w:t>114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Summary judgment on counterclaim</w:t>
      </w:r>
      <w:r>
        <w:tab/>
      </w:r>
      <w:r>
        <w:fldChar w:fldCharType="begin"/>
      </w:r>
      <w:r>
        <w:instrText xml:space="preserve"> PAGEREF _Toc163120797 \h </w:instrText>
      </w:r>
      <w:r>
        <w:fldChar w:fldCharType="separate"/>
      </w:r>
      <w:r>
        <w:t>115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Court’s powers if leave to defend given etc.</w:t>
      </w:r>
      <w:r>
        <w:tab/>
      </w:r>
      <w:r>
        <w:fldChar w:fldCharType="begin"/>
      </w:r>
      <w:r>
        <w:instrText xml:space="preserve"> PAGEREF _Toc163120798 \h </w:instrText>
      </w:r>
      <w:r>
        <w:fldChar w:fldCharType="separate"/>
      </w:r>
      <w:r>
        <w:t>115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Costs</w:t>
      </w:r>
      <w:r>
        <w:tab/>
      </w:r>
      <w:r>
        <w:fldChar w:fldCharType="begin"/>
      </w:r>
      <w:r>
        <w:instrText xml:space="preserve"> PAGEREF _Toc163120799 \h </w:instrText>
      </w:r>
      <w:r>
        <w:fldChar w:fldCharType="separate"/>
      </w:r>
      <w:r>
        <w:t>116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Right to proceed with residue of action or counterclaim</w:t>
      </w:r>
      <w:r>
        <w:tab/>
      </w:r>
      <w:r>
        <w:fldChar w:fldCharType="begin"/>
      </w:r>
      <w:r>
        <w:instrText xml:space="preserve"> PAGEREF _Toc163120800 \h </w:instrText>
      </w:r>
      <w:r>
        <w:fldChar w:fldCharType="separate"/>
      </w:r>
      <w:r>
        <w:t>116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Judgment for delivery of specific chattel</w:t>
      </w:r>
      <w:r>
        <w:tab/>
      </w:r>
      <w:r>
        <w:fldChar w:fldCharType="begin"/>
      </w:r>
      <w:r>
        <w:instrText xml:space="preserve"> PAGEREF _Toc163120801 \h </w:instrText>
      </w:r>
      <w:r>
        <w:fldChar w:fldCharType="separate"/>
      </w:r>
      <w:r>
        <w:t>117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Relief from judgment for recovery of land</w:t>
      </w:r>
      <w:r>
        <w:tab/>
      </w:r>
      <w:r>
        <w:fldChar w:fldCharType="begin"/>
      </w:r>
      <w:r>
        <w:instrText xml:space="preserve"> PAGEREF _Toc163120802 \h </w:instrText>
      </w:r>
      <w:r>
        <w:fldChar w:fldCharType="separate"/>
      </w:r>
      <w:r>
        <w:t>117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Summary judgment against absent party may be set aside or varied</w:t>
      </w:r>
      <w:r>
        <w:tab/>
      </w:r>
      <w:r>
        <w:fldChar w:fldCharType="begin"/>
      </w:r>
      <w:r>
        <w:instrText xml:space="preserve"> PAGEREF _Toc163120803 \h </w:instrText>
      </w:r>
      <w:r>
        <w:fldChar w:fldCharType="separate"/>
      </w:r>
      <w:r>
        <w:t>117</w:t>
      </w:r>
      <w:r>
        <w:fldChar w:fldCharType="end"/>
      </w:r>
    </w:p>
    <w:p>
      <w:pPr>
        <w:pStyle w:val="TOC2"/>
        <w:tabs>
          <w:tab w:val="right" w:leader="dot" w:pos="7077"/>
        </w:tabs>
        <w:rPr>
          <w:rFonts w:asciiTheme="minorHAnsi" w:eastAsiaTheme="minorEastAsia" w:hAnsiTheme="minorHAnsi" w:cstheme="minorBidi"/>
          <w:b w:val="0"/>
          <w:sz w:val="22"/>
          <w:szCs w:val="22"/>
        </w:rPr>
      </w:pPr>
      <w:r>
        <w:t>Order 16 — Summary judgment on application of defendant</w:t>
      </w:r>
    </w:p>
    <w:p>
      <w:pPr>
        <w:pStyle w:val="TOC8"/>
        <w:rPr>
          <w:rFonts w:asciiTheme="minorHAnsi" w:eastAsiaTheme="minorEastAsia" w:hAnsiTheme="minorHAnsi" w:cstheme="minorBidi"/>
          <w:szCs w:val="22"/>
        </w:rPr>
      </w:pPr>
      <w:r>
        <w:t>1</w:t>
      </w:r>
      <w:r>
        <w:rPr>
          <w:snapToGrid w:val="0"/>
        </w:rPr>
        <w:t>.</w:t>
      </w:r>
      <w:r>
        <w:rPr>
          <w:snapToGrid w:val="0"/>
        </w:rPr>
        <w:tab/>
        <w:t>Application by defendant for summary judgment</w:t>
      </w:r>
      <w:r>
        <w:tab/>
      </w:r>
      <w:r>
        <w:fldChar w:fldCharType="begin"/>
      </w:r>
      <w:r>
        <w:instrText xml:space="preserve"> PAGEREF _Toc163120805 \h </w:instrText>
      </w:r>
      <w:r>
        <w:fldChar w:fldCharType="separate"/>
      </w:r>
      <w:r>
        <w:t>118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Plaintiff may show cause</w:t>
      </w:r>
      <w:r>
        <w:tab/>
      </w:r>
      <w:r>
        <w:fldChar w:fldCharType="begin"/>
      </w:r>
      <w:r>
        <w:instrText xml:space="preserve"> PAGEREF _Toc163120806 \h </w:instrText>
      </w:r>
      <w:r>
        <w:fldChar w:fldCharType="separate"/>
      </w:r>
      <w:r>
        <w:t>118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Court’s powers if action to go to trial</w:t>
      </w:r>
      <w:r>
        <w:tab/>
      </w:r>
      <w:r>
        <w:fldChar w:fldCharType="begin"/>
      </w:r>
      <w:r>
        <w:instrText xml:space="preserve"> PAGEREF _Toc163120807 \h </w:instrText>
      </w:r>
      <w:r>
        <w:fldChar w:fldCharType="separate"/>
      </w:r>
      <w:r>
        <w:t>119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Summary judgment against absent party may be set aside or varied</w:t>
      </w:r>
      <w:r>
        <w:tab/>
      </w:r>
      <w:r>
        <w:fldChar w:fldCharType="begin"/>
      </w:r>
      <w:r>
        <w:instrText xml:space="preserve"> PAGEREF _Toc163120808 \h </w:instrText>
      </w:r>
      <w:r>
        <w:fldChar w:fldCharType="separate"/>
      </w:r>
      <w:r>
        <w:t>119</w:t>
      </w:r>
      <w:r>
        <w:fldChar w:fldCharType="end"/>
      </w:r>
    </w:p>
    <w:p>
      <w:pPr>
        <w:pStyle w:val="TOC2"/>
        <w:tabs>
          <w:tab w:val="right" w:leader="dot" w:pos="7077"/>
        </w:tabs>
        <w:rPr>
          <w:rFonts w:asciiTheme="minorHAnsi" w:eastAsiaTheme="minorEastAsia" w:hAnsiTheme="minorHAnsi" w:cstheme="minorBidi"/>
          <w:b w:val="0"/>
          <w:sz w:val="22"/>
          <w:szCs w:val="22"/>
        </w:rPr>
      </w:pPr>
      <w:r>
        <w:t>Order 17 — Interpleader</w:t>
      </w:r>
    </w:p>
    <w:p>
      <w:pPr>
        <w:pStyle w:val="TOC8"/>
        <w:rPr>
          <w:rFonts w:asciiTheme="minorHAnsi" w:eastAsiaTheme="minorEastAsia" w:hAnsiTheme="minorHAnsi" w:cstheme="minorBidi"/>
          <w:szCs w:val="22"/>
        </w:rPr>
      </w:pPr>
      <w:r>
        <w:t>1</w:t>
      </w:r>
      <w:r>
        <w:rPr>
          <w:snapToGrid w:val="0"/>
        </w:rPr>
        <w:t>.</w:t>
      </w:r>
      <w:r>
        <w:rPr>
          <w:snapToGrid w:val="0"/>
        </w:rPr>
        <w:tab/>
        <w:t>When interpleader relief may be granted</w:t>
      </w:r>
      <w:r>
        <w:tab/>
      </w:r>
      <w:r>
        <w:fldChar w:fldCharType="begin"/>
      </w:r>
      <w:r>
        <w:instrText xml:space="preserve"> PAGEREF _Toc163120810 \h </w:instrText>
      </w:r>
      <w:r>
        <w:fldChar w:fldCharType="separate"/>
      </w:r>
      <w:r>
        <w:t>120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How to apply for interpleader relief</w:t>
      </w:r>
      <w:r>
        <w:tab/>
      </w:r>
      <w:r>
        <w:fldChar w:fldCharType="begin"/>
      </w:r>
      <w:r>
        <w:instrText xml:space="preserve"> PAGEREF _Toc163120811 \h </w:instrText>
      </w:r>
      <w:r>
        <w:fldChar w:fldCharType="separate"/>
      </w:r>
      <w:r>
        <w:t>120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Time for application by defendant</w:t>
      </w:r>
      <w:r>
        <w:tab/>
      </w:r>
      <w:r>
        <w:fldChar w:fldCharType="begin"/>
      </w:r>
      <w:r>
        <w:instrText xml:space="preserve"> PAGEREF _Toc163120812 \h </w:instrText>
      </w:r>
      <w:r>
        <w:fldChar w:fldCharType="separate"/>
      </w:r>
      <w:r>
        <w:t>121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Stay of proceedings</w:t>
      </w:r>
      <w:r>
        <w:tab/>
      </w:r>
      <w:r>
        <w:fldChar w:fldCharType="begin"/>
      </w:r>
      <w:r>
        <w:instrText xml:space="preserve"> PAGEREF _Toc163120813 \h </w:instrText>
      </w:r>
      <w:r>
        <w:fldChar w:fldCharType="separate"/>
      </w:r>
      <w:r>
        <w:t>121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Court’s powers on application</w:t>
      </w:r>
      <w:r>
        <w:tab/>
      </w:r>
      <w:r>
        <w:fldChar w:fldCharType="begin"/>
      </w:r>
      <w:r>
        <w:instrText xml:space="preserve"> PAGEREF _Toc163120814 \h </w:instrText>
      </w:r>
      <w:r>
        <w:fldChar w:fldCharType="separate"/>
      </w:r>
      <w:r>
        <w:t>121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Summary determination</w:t>
      </w:r>
      <w:r>
        <w:tab/>
      </w:r>
      <w:r>
        <w:fldChar w:fldCharType="begin"/>
      </w:r>
      <w:r>
        <w:instrText xml:space="preserve"> PAGEREF _Toc163120815 \h </w:instrText>
      </w:r>
      <w:r>
        <w:fldChar w:fldCharType="separate"/>
      </w:r>
      <w:r>
        <w:t>121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Where question of law only</w:t>
      </w:r>
      <w:r>
        <w:tab/>
      </w:r>
      <w:r>
        <w:fldChar w:fldCharType="begin"/>
      </w:r>
      <w:r>
        <w:instrText xml:space="preserve"> PAGEREF _Toc163120816 \h </w:instrText>
      </w:r>
      <w:r>
        <w:fldChar w:fldCharType="separate"/>
      </w:r>
      <w:r>
        <w:t>121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Claimant failing to appear etc.</w:t>
      </w:r>
      <w:r>
        <w:tab/>
      </w:r>
      <w:r>
        <w:fldChar w:fldCharType="begin"/>
      </w:r>
      <w:r>
        <w:instrText xml:space="preserve"> PAGEREF _Toc163120817 \h </w:instrText>
      </w:r>
      <w:r>
        <w:fldChar w:fldCharType="separate"/>
      </w:r>
      <w:r>
        <w:t>122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Power to order sale of goods</w:t>
      </w:r>
      <w:r>
        <w:tab/>
      </w:r>
      <w:r>
        <w:fldChar w:fldCharType="begin"/>
      </w:r>
      <w:r>
        <w:instrText xml:space="preserve"> PAGEREF _Toc163120818 \h </w:instrText>
      </w:r>
      <w:r>
        <w:fldChar w:fldCharType="separate"/>
      </w:r>
      <w:r>
        <w:t>122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Discovery etc. and trial</w:t>
      </w:r>
      <w:r>
        <w:tab/>
      </w:r>
      <w:r>
        <w:fldChar w:fldCharType="begin"/>
      </w:r>
      <w:r>
        <w:instrText xml:space="preserve"> PAGEREF _Toc163120819 \h </w:instrText>
      </w:r>
      <w:r>
        <w:fldChar w:fldCharType="separate"/>
      </w:r>
      <w:r>
        <w:t>122</w:t>
      </w:r>
      <w:r>
        <w:fldChar w:fldCharType="end"/>
      </w:r>
    </w:p>
    <w:p>
      <w:pPr>
        <w:pStyle w:val="TOC8"/>
        <w:rPr>
          <w:rFonts w:asciiTheme="minorHAnsi" w:eastAsiaTheme="minorEastAsia" w:hAnsiTheme="minorHAnsi" w:cstheme="minorBidi"/>
          <w:szCs w:val="22"/>
        </w:rPr>
      </w:pPr>
      <w:r>
        <w:lastRenderedPageBreak/>
        <w:t>11</w:t>
      </w:r>
      <w:r>
        <w:rPr>
          <w:snapToGrid w:val="0"/>
        </w:rPr>
        <w:t>.</w:t>
      </w:r>
      <w:r>
        <w:rPr>
          <w:snapToGrid w:val="0"/>
        </w:rPr>
        <w:tab/>
        <w:t>One order where several causes pending</w:t>
      </w:r>
      <w:r>
        <w:tab/>
      </w:r>
      <w:r>
        <w:fldChar w:fldCharType="begin"/>
      </w:r>
      <w:r>
        <w:instrText xml:space="preserve"> PAGEREF _Toc163120820 \h </w:instrText>
      </w:r>
      <w:r>
        <w:fldChar w:fldCharType="separate"/>
      </w:r>
      <w:r>
        <w:t>122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Orders as to costs etc.</w:t>
      </w:r>
      <w:r>
        <w:tab/>
      </w:r>
      <w:r>
        <w:fldChar w:fldCharType="begin"/>
      </w:r>
      <w:r>
        <w:instrText xml:space="preserve"> PAGEREF _Toc163120821 \h </w:instrText>
      </w:r>
      <w:r>
        <w:fldChar w:fldCharType="separate"/>
      </w:r>
      <w:r>
        <w:t>123</w:t>
      </w:r>
      <w:r>
        <w:fldChar w:fldCharType="end"/>
      </w:r>
    </w:p>
    <w:p>
      <w:pPr>
        <w:pStyle w:val="TOC2"/>
        <w:tabs>
          <w:tab w:val="right" w:leader="dot" w:pos="7077"/>
        </w:tabs>
        <w:rPr>
          <w:rFonts w:asciiTheme="minorHAnsi" w:eastAsiaTheme="minorEastAsia" w:hAnsiTheme="minorHAnsi" w:cstheme="minorBidi"/>
          <w:b w:val="0"/>
          <w:sz w:val="22"/>
          <w:szCs w:val="22"/>
        </w:rPr>
      </w:pPr>
      <w:r>
        <w:t>Order 18 — Causes of action, counterclaims and parties</w:t>
      </w:r>
    </w:p>
    <w:p>
      <w:pPr>
        <w:pStyle w:val="TOC8"/>
        <w:rPr>
          <w:rFonts w:asciiTheme="minorHAnsi" w:eastAsiaTheme="minorEastAsia" w:hAnsiTheme="minorHAnsi" w:cstheme="minorBidi"/>
          <w:szCs w:val="22"/>
        </w:rPr>
      </w:pPr>
      <w:r>
        <w:t>1</w:t>
      </w:r>
      <w:r>
        <w:rPr>
          <w:snapToGrid w:val="0"/>
        </w:rPr>
        <w:t>.</w:t>
      </w:r>
      <w:r>
        <w:rPr>
          <w:snapToGrid w:val="0"/>
        </w:rPr>
        <w:tab/>
        <w:t>Joinder of causes of action</w:t>
      </w:r>
      <w:r>
        <w:tab/>
      </w:r>
      <w:r>
        <w:fldChar w:fldCharType="begin"/>
      </w:r>
      <w:r>
        <w:instrText xml:space="preserve"> PAGEREF _Toc163120823 \h </w:instrText>
      </w:r>
      <w:r>
        <w:fldChar w:fldCharType="separate"/>
      </w:r>
      <w:r>
        <w:t>124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Counterclaim against plaintiff</w:t>
      </w:r>
      <w:r>
        <w:tab/>
      </w:r>
      <w:r>
        <w:fldChar w:fldCharType="begin"/>
      </w:r>
      <w:r>
        <w:instrText xml:space="preserve"> PAGEREF _Toc163120824 \h </w:instrText>
      </w:r>
      <w:r>
        <w:fldChar w:fldCharType="separate"/>
      </w:r>
      <w:r>
        <w:t>124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Counterclaim against additional parties</w:t>
      </w:r>
      <w:r>
        <w:tab/>
      </w:r>
      <w:r>
        <w:fldChar w:fldCharType="begin"/>
      </w:r>
      <w:r>
        <w:instrText xml:space="preserve"> PAGEREF _Toc163120825 \h </w:instrText>
      </w:r>
      <w:r>
        <w:fldChar w:fldCharType="separate"/>
      </w:r>
      <w:r>
        <w:t>125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Joinder of parties</w:t>
      </w:r>
      <w:r>
        <w:tab/>
      </w:r>
      <w:r>
        <w:fldChar w:fldCharType="begin"/>
      </w:r>
      <w:r>
        <w:instrText xml:space="preserve"> PAGEREF _Toc163120826 \h </w:instrText>
      </w:r>
      <w:r>
        <w:fldChar w:fldCharType="separate"/>
      </w:r>
      <w:r>
        <w:t>126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order separate trials etc.</w:t>
      </w:r>
      <w:r>
        <w:tab/>
      </w:r>
      <w:r>
        <w:fldChar w:fldCharType="begin"/>
      </w:r>
      <w:r>
        <w:instrText xml:space="preserve"> PAGEREF _Toc163120827 \h </w:instrText>
      </w:r>
      <w:r>
        <w:fldChar w:fldCharType="separate"/>
      </w:r>
      <w:r>
        <w:t>127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Misjoinder and nonjoinder of parties</w:t>
      </w:r>
      <w:r>
        <w:tab/>
      </w:r>
      <w:r>
        <w:fldChar w:fldCharType="begin"/>
      </w:r>
      <w:r>
        <w:instrText xml:space="preserve"> PAGEREF _Toc163120828 \h </w:instrText>
      </w:r>
      <w:r>
        <w:fldChar w:fldCharType="separate"/>
      </w:r>
      <w:r>
        <w:t>127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Change of parties by reason of death etc.</w:t>
      </w:r>
      <w:r>
        <w:tab/>
      </w:r>
      <w:r>
        <w:fldChar w:fldCharType="begin"/>
      </w:r>
      <w:r>
        <w:instrText xml:space="preserve"> PAGEREF _Toc163120829 \h </w:instrText>
      </w:r>
      <w:r>
        <w:fldChar w:fldCharType="separate"/>
      </w:r>
      <w:r>
        <w:t>128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Order made under r. 6 or 7, consequences of</w:t>
      </w:r>
      <w:r>
        <w:tab/>
      </w:r>
      <w:r>
        <w:fldChar w:fldCharType="begin"/>
      </w:r>
      <w:r>
        <w:instrText xml:space="preserve"> PAGEREF _Toc163120830 \h </w:instrText>
      </w:r>
      <w:r>
        <w:fldChar w:fldCharType="separate"/>
      </w:r>
      <w:r>
        <w:t>129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Failure to proceed after death of party</w:t>
      </w:r>
      <w:r>
        <w:tab/>
      </w:r>
      <w:r>
        <w:fldChar w:fldCharType="begin"/>
      </w:r>
      <w:r>
        <w:instrText xml:space="preserve"> PAGEREF _Toc163120831 \h </w:instrText>
      </w:r>
      <w:r>
        <w:fldChar w:fldCharType="separate"/>
      </w:r>
      <w:r>
        <w:t>131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Action for possession of land, joining non-party who is in possession</w:t>
      </w:r>
      <w:r>
        <w:tab/>
      </w:r>
      <w:r>
        <w:fldChar w:fldCharType="begin"/>
      </w:r>
      <w:r>
        <w:instrText xml:space="preserve"> PAGEREF _Toc163120832 \h </w:instrText>
      </w:r>
      <w:r>
        <w:fldChar w:fldCharType="separate"/>
      </w:r>
      <w:r>
        <w:t>131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Relator actions</w:t>
      </w:r>
      <w:r>
        <w:tab/>
      </w:r>
      <w:r>
        <w:fldChar w:fldCharType="begin"/>
      </w:r>
      <w:r>
        <w:instrText xml:space="preserve"> PAGEREF _Toc163120833 \h </w:instrText>
      </w:r>
      <w:r>
        <w:fldChar w:fldCharType="separate"/>
      </w:r>
      <w:r>
        <w:t>132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r>
      <w:r>
        <w:t>Representation of persons with same interest in proceedings</w:t>
      </w:r>
      <w:r>
        <w:tab/>
      </w:r>
      <w:r>
        <w:fldChar w:fldCharType="begin"/>
      </w:r>
      <w:r>
        <w:instrText xml:space="preserve"> PAGEREF _Toc163120834 \h </w:instrText>
      </w:r>
      <w:r>
        <w:fldChar w:fldCharType="separate"/>
      </w:r>
      <w:r>
        <w:t>132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Representation of interested persons who cannot be ascertained etc.</w:t>
      </w:r>
      <w:r>
        <w:tab/>
      </w:r>
      <w:r>
        <w:fldChar w:fldCharType="begin"/>
      </w:r>
      <w:r>
        <w:instrText xml:space="preserve"> PAGEREF _Toc163120835 \h </w:instrText>
      </w:r>
      <w:r>
        <w:fldChar w:fldCharType="separate"/>
      </w:r>
      <w:r>
        <w:t>133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Representation of beneficiaries by trustees etc.</w:t>
      </w:r>
      <w:r>
        <w:tab/>
      </w:r>
      <w:r>
        <w:fldChar w:fldCharType="begin"/>
      </w:r>
      <w:r>
        <w:instrText xml:space="preserve"> PAGEREF _Toc163120836 \h </w:instrText>
      </w:r>
      <w:r>
        <w:fldChar w:fldCharType="separate"/>
      </w:r>
      <w:r>
        <w:t>135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Representation of deceased person interested in proceedings</w:t>
      </w:r>
      <w:r>
        <w:tab/>
      </w:r>
      <w:r>
        <w:fldChar w:fldCharType="begin"/>
      </w:r>
      <w:r>
        <w:instrText xml:space="preserve"> PAGEREF _Toc163120837 \h </w:instrText>
      </w:r>
      <w:r>
        <w:fldChar w:fldCharType="separate"/>
      </w:r>
      <w:r>
        <w:t>135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Declaratory judgment</w:t>
      </w:r>
      <w:r>
        <w:tab/>
      </w:r>
      <w:r>
        <w:fldChar w:fldCharType="begin"/>
      </w:r>
      <w:r>
        <w:instrText xml:space="preserve"> PAGEREF _Toc163120838 \h </w:instrText>
      </w:r>
      <w:r>
        <w:fldChar w:fldCharType="separate"/>
      </w:r>
      <w:r>
        <w:t>136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Conduct of proceedings</w:t>
      </w:r>
      <w:r>
        <w:tab/>
      </w:r>
      <w:r>
        <w:fldChar w:fldCharType="begin"/>
      </w:r>
      <w:r>
        <w:instrText xml:space="preserve"> PAGEREF _Toc163120839 \h </w:instrText>
      </w:r>
      <w:r>
        <w:fldChar w:fldCharType="separate"/>
      </w:r>
      <w:r>
        <w:t>136</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Order 18A — Representative proceedings under the </w:t>
      </w:r>
      <w:r>
        <w:rPr>
          <w:i/>
        </w:rPr>
        <w:t>Civil Procedure (Representative Proceedings) Act 2022</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_Toc163120841 \h </w:instrText>
      </w:r>
      <w:r>
        <w:fldChar w:fldCharType="separate"/>
      </w:r>
      <w:r>
        <w:t>137</w:t>
      </w:r>
      <w:r>
        <w:fldChar w:fldCharType="end"/>
      </w:r>
    </w:p>
    <w:p>
      <w:pPr>
        <w:pStyle w:val="TOC8"/>
        <w:rPr>
          <w:rFonts w:asciiTheme="minorHAnsi" w:eastAsiaTheme="minorEastAsia" w:hAnsiTheme="minorHAnsi" w:cstheme="minorBidi"/>
          <w:szCs w:val="22"/>
        </w:rPr>
      </w:pPr>
      <w:r>
        <w:t>2.</w:t>
      </w:r>
      <w:r>
        <w:tab/>
        <w:t>Person must act by legal practitioner</w:t>
      </w:r>
      <w:r>
        <w:tab/>
      </w:r>
      <w:r>
        <w:fldChar w:fldCharType="begin"/>
      </w:r>
      <w:r>
        <w:instrText xml:space="preserve"> PAGEREF _Toc163120842 \h </w:instrText>
      </w:r>
      <w:r>
        <w:fldChar w:fldCharType="separate"/>
      </w:r>
      <w:r>
        <w:t>137</w:t>
      </w:r>
      <w:r>
        <w:fldChar w:fldCharType="end"/>
      </w:r>
    </w:p>
    <w:p>
      <w:pPr>
        <w:pStyle w:val="TOC8"/>
        <w:rPr>
          <w:rFonts w:asciiTheme="minorHAnsi" w:eastAsiaTheme="minorEastAsia" w:hAnsiTheme="minorHAnsi" w:cstheme="minorBidi"/>
          <w:szCs w:val="22"/>
        </w:rPr>
      </w:pPr>
      <w:r>
        <w:t>3.</w:t>
      </w:r>
      <w:r>
        <w:tab/>
        <w:t>Representative Proceedings List; headings to documents</w:t>
      </w:r>
      <w:r>
        <w:tab/>
      </w:r>
      <w:r>
        <w:fldChar w:fldCharType="begin"/>
      </w:r>
      <w:r>
        <w:instrText xml:space="preserve"> PAGEREF _Toc163120843 \h </w:instrText>
      </w:r>
      <w:r>
        <w:fldChar w:fldCharType="separate"/>
      </w:r>
      <w:r>
        <w:t>137</w:t>
      </w:r>
      <w:r>
        <w:fldChar w:fldCharType="end"/>
      </w:r>
    </w:p>
    <w:p>
      <w:pPr>
        <w:pStyle w:val="TOC8"/>
        <w:rPr>
          <w:rFonts w:asciiTheme="minorHAnsi" w:eastAsiaTheme="minorEastAsia" w:hAnsiTheme="minorHAnsi" w:cstheme="minorBidi"/>
          <w:szCs w:val="22"/>
        </w:rPr>
      </w:pPr>
      <w:r>
        <w:t>4.</w:t>
      </w:r>
      <w:r>
        <w:tab/>
        <w:t>Form of consent to be group member</w:t>
      </w:r>
      <w:r>
        <w:tab/>
      </w:r>
      <w:r>
        <w:fldChar w:fldCharType="begin"/>
      </w:r>
      <w:r>
        <w:instrText xml:space="preserve"> PAGEREF _Toc163120844 \h </w:instrText>
      </w:r>
      <w:r>
        <w:fldChar w:fldCharType="separate"/>
      </w:r>
      <w:r>
        <w:t>138</w:t>
      </w:r>
      <w:r>
        <w:fldChar w:fldCharType="end"/>
      </w:r>
    </w:p>
    <w:p>
      <w:pPr>
        <w:pStyle w:val="TOC8"/>
        <w:rPr>
          <w:rFonts w:asciiTheme="minorHAnsi" w:eastAsiaTheme="minorEastAsia" w:hAnsiTheme="minorHAnsi" w:cstheme="minorBidi"/>
          <w:szCs w:val="22"/>
        </w:rPr>
      </w:pPr>
      <w:r>
        <w:t>5.</w:t>
      </w:r>
      <w:r>
        <w:tab/>
        <w:t>Form of opt</w:t>
      </w:r>
      <w:r>
        <w:noBreakHyphen/>
        <w:t>out notice</w:t>
      </w:r>
      <w:r>
        <w:tab/>
      </w:r>
      <w:r>
        <w:fldChar w:fldCharType="begin"/>
      </w:r>
      <w:r>
        <w:instrText xml:space="preserve"> PAGEREF _Toc163120845 \h </w:instrText>
      </w:r>
      <w:r>
        <w:fldChar w:fldCharType="separate"/>
      </w:r>
      <w:r>
        <w:t>138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Order 19 — Third party and similar proceedings</w:t>
      </w:r>
    </w:p>
    <w:p>
      <w:pPr>
        <w:pStyle w:val="TOC8"/>
        <w:rPr>
          <w:rFonts w:asciiTheme="minorHAnsi" w:eastAsiaTheme="minorEastAsia" w:hAnsiTheme="minorHAnsi" w:cstheme="minorBidi"/>
          <w:szCs w:val="22"/>
        </w:rPr>
      </w:pPr>
      <w:r>
        <w:t>1</w:t>
      </w:r>
      <w:r>
        <w:rPr>
          <w:snapToGrid w:val="0"/>
        </w:rPr>
        <w:t>.</w:t>
      </w:r>
      <w:r>
        <w:rPr>
          <w:snapToGrid w:val="0"/>
        </w:rPr>
        <w:tab/>
        <w:t>Third party notice</w:t>
      </w:r>
      <w:r>
        <w:tab/>
      </w:r>
      <w:r>
        <w:fldChar w:fldCharType="begin"/>
      </w:r>
      <w:r>
        <w:instrText xml:space="preserve"> PAGEREF _Toc163120847 \h </w:instrText>
      </w:r>
      <w:r>
        <w:fldChar w:fldCharType="separate"/>
      </w:r>
      <w:r>
        <w:t>139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for leave to issue third party notice</w:t>
      </w:r>
      <w:r>
        <w:tab/>
      </w:r>
      <w:r>
        <w:fldChar w:fldCharType="begin"/>
      </w:r>
      <w:r>
        <w:instrText xml:space="preserve"> PAGEREF _Toc163120848 \h </w:instrText>
      </w:r>
      <w:r>
        <w:fldChar w:fldCharType="separate"/>
      </w:r>
      <w:r>
        <w:t>140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Issue and service of, and entry of appearance to, third party notice</w:t>
      </w:r>
      <w:r>
        <w:tab/>
      </w:r>
      <w:r>
        <w:fldChar w:fldCharType="begin"/>
      </w:r>
      <w:r>
        <w:instrText xml:space="preserve"> PAGEREF _Toc163120849 \h </w:instrText>
      </w:r>
      <w:r>
        <w:fldChar w:fldCharType="separate"/>
      </w:r>
      <w:r>
        <w:t>140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Third party directions</w:t>
      </w:r>
      <w:r>
        <w:tab/>
      </w:r>
      <w:r>
        <w:fldChar w:fldCharType="begin"/>
      </w:r>
      <w:r>
        <w:instrText xml:space="preserve"> PAGEREF _Toc163120850 \h </w:instrText>
      </w:r>
      <w:r>
        <w:fldChar w:fldCharType="separate"/>
      </w:r>
      <w:r>
        <w:t>141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Default of third party etc.</w:t>
      </w:r>
      <w:r>
        <w:tab/>
      </w:r>
      <w:r>
        <w:fldChar w:fldCharType="begin"/>
      </w:r>
      <w:r>
        <w:instrText xml:space="preserve"> PAGEREF _Toc163120851 \h </w:instrText>
      </w:r>
      <w:r>
        <w:fldChar w:fldCharType="separate"/>
      </w:r>
      <w:r>
        <w:t>142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Setting aside third party proceedings</w:t>
      </w:r>
      <w:r>
        <w:tab/>
      </w:r>
      <w:r>
        <w:fldChar w:fldCharType="begin"/>
      </w:r>
      <w:r>
        <w:instrText xml:space="preserve"> PAGEREF _Toc163120852 \h </w:instrText>
      </w:r>
      <w:r>
        <w:fldChar w:fldCharType="separate"/>
      </w:r>
      <w:r>
        <w:t>143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Judgment between defendant and third party</w:t>
      </w:r>
      <w:r>
        <w:tab/>
      </w:r>
      <w:r>
        <w:fldChar w:fldCharType="begin"/>
      </w:r>
      <w:r>
        <w:instrText xml:space="preserve"> PAGEREF _Toc163120853 \h </w:instrText>
      </w:r>
      <w:r>
        <w:fldChar w:fldCharType="separate"/>
      </w:r>
      <w:r>
        <w:t>143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Claims and issues between defendant and another party</w:t>
      </w:r>
      <w:r>
        <w:tab/>
      </w:r>
      <w:r>
        <w:fldChar w:fldCharType="begin"/>
      </w:r>
      <w:r>
        <w:instrText xml:space="preserve"> PAGEREF _Toc163120854 \h </w:instrText>
      </w:r>
      <w:r>
        <w:fldChar w:fldCharType="separate"/>
      </w:r>
      <w:r>
        <w:t>143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Claims by third and subsequent parties</w:t>
      </w:r>
      <w:r>
        <w:tab/>
      </w:r>
      <w:r>
        <w:fldChar w:fldCharType="begin"/>
      </w:r>
      <w:r>
        <w:instrText xml:space="preserve"> PAGEREF _Toc163120855 \h </w:instrText>
      </w:r>
      <w:r>
        <w:fldChar w:fldCharType="separate"/>
      </w:r>
      <w:r>
        <w:t>144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Offer of contribution</w:t>
      </w:r>
      <w:r>
        <w:tab/>
      </w:r>
      <w:r>
        <w:fldChar w:fldCharType="begin"/>
      </w:r>
      <w:r>
        <w:instrText xml:space="preserve"> PAGEREF _Toc163120856 \h </w:instrText>
      </w:r>
      <w:r>
        <w:fldChar w:fldCharType="separate"/>
      </w:r>
      <w:r>
        <w:t>145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Counterclaim by defendant</w:t>
      </w:r>
      <w:r>
        <w:tab/>
      </w:r>
      <w:r>
        <w:fldChar w:fldCharType="begin"/>
      </w:r>
      <w:r>
        <w:instrText xml:space="preserve"> PAGEREF _Toc163120857 \h </w:instrText>
      </w:r>
      <w:r>
        <w:fldChar w:fldCharType="separate"/>
      </w:r>
      <w:r>
        <w:t>145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Costs</w:t>
      </w:r>
      <w:r>
        <w:tab/>
      </w:r>
      <w:r>
        <w:fldChar w:fldCharType="begin"/>
      </w:r>
      <w:r>
        <w:instrText xml:space="preserve"> PAGEREF _Toc163120858 \h </w:instrText>
      </w:r>
      <w:r>
        <w:fldChar w:fldCharType="separate"/>
      </w:r>
      <w:r>
        <w:t>146</w:t>
      </w:r>
      <w:r>
        <w:fldChar w:fldCharType="end"/>
      </w:r>
    </w:p>
    <w:p>
      <w:pPr>
        <w:pStyle w:val="TOC2"/>
        <w:tabs>
          <w:tab w:val="right" w:leader="dot" w:pos="7077"/>
        </w:tabs>
        <w:rPr>
          <w:rFonts w:asciiTheme="minorHAnsi" w:eastAsiaTheme="minorEastAsia" w:hAnsiTheme="minorHAnsi" w:cstheme="minorBidi"/>
          <w:b w:val="0"/>
          <w:sz w:val="22"/>
          <w:szCs w:val="22"/>
        </w:rPr>
      </w:pPr>
      <w:r>
        <w:t>Order 20 — Pleadings</w:t>
      </w:r>
    </w:p>
    <w:p>
      <w:pPr>
        <w:pStyle w:val="TOC8"/>
        <w:rPr>
          <w:rFonts w:asciiTheme="minorHAnsi" w:eastAsiaTheme="minorEastAsia" w:hAnsiTheme="minorHAnsi" w:cstheme="minorBidi"/>
          <w:szCs w:val="22"/>
        </w:rPr>
      </w:pPr>
      <w:r>
        <w:t>1</w:t>
      </w:r>
      <w:r>
        <w:rPr>
          <w:snapToGrid w:val="0"/>
        </w:rPr>
        <w:t>.</w:t>
      </w:r>
      <w:r>
        <w:rPr>
          <w:snapToGrid w:val="0"/>
        </w:rPr>
        <w:tab/>
        <w:t>Statement of claim, service of</w:t>
      </w:r>
      <w:r>
        <w:tab/>
      </w:r>
      <w:r>
        <w:fldChar w:fldCharType="begin"/>
      </w:r>
      <w:r>
        <w:instrText xml:space="preserve"> PAGEREF _Toc163120860 \h </w:instrText>
      </w:r>
      <w:r>
        <w:fldChar w:fldCharType="separate"/>
      </w:r>
      <w:r>
        <w:t>147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Statement of claim, content of</w:t>
      </w:r>
      <w:r>
        <w:tab/>
      </w:r>
      <w:r>
        <w:fldChar w:fldCharType="begin"/>
      </w:r>
      <w:r>
        <w:instrText xml:space="preserve"> PAGEREF _Toc163120861 \h </w:instrText>
      </w:r>
      <w:r>
        <w:fldChar w:fldCharType="separate"/>
      </w:r>
      <w:r>
        <w:t>147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Pleadings etc. to be filed before service</w:t>
      </w:r>
      <w:r>
        <w:tab/>
      </w:r>
      <w:r>
        <w:fldChar w:fldCharType="begin"/>
      </w:r>
      <w:r>
        <w:instrText xml:space="preserve"> PAGEREF _Toc163120862 \h </w:instrText>
      </w:r>
      <w:r>
        <w:fldChar w:fldCharType="separate"/>
      </w:r>
      <w:r>
        <w:t>147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Defence, service of</w:t>
      </w:r>
      <w:r>
        <w:tab/>
      </w:r>
      <w:r>
        <w:fldChar w:fldCharType="begin"/>
      </w:r>
      <w:r>
        <w:instrText xml:space="preserve"> PAGEREF _Toc163120863 \h </w:instrText>
      </w:r>
      <w:r>
        <w:fldChar w:fldCharType="separate"/>
      </w:r>
      <w:r>
        <w:t>148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Reply and defence to counterclaim, service of</w:t>
      </w:r>
      <w:r>
        <w:tab/>
      </w:r>
      <w:r>
        <w:fldChar w:fldCharType="begin"/>
      </w:r>
      <w:r>
        <w:instrText xml:space="preserve"> PAGEREF _Toc163120864 \h </w:instrText>
      </w:r>
      <w:r>
        <w:fldChar w:fldCharType="separate"/>
      </w:r>
      <w:r>
        <w:t>148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Pleadings subsequent to reply etc., leave required for</w:t>
      </w:r>
      <w:r>
        <w:tab/>
      </w:r>
      <w:r>
        <w:fldChar w:fldCharType="begin"/>
      </w:r>
      <w:r>
        <w:instrText xml:space="preserve"> PAGEREF _Toc163120865 \h </w:instrText>
      </w:r>
      <w:r>
        <w:fldChar w:fldCharType="separate"/>
      </w:r>
      <w:r>
        <w:t>149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Pleadings, formal requirements of</w:t>
      </w:r>
      <w:r>
        <w:tab/>
      </w:r>
      <w:r>
        <w:fldChar w:fldCharType="begin"/>
      </w:r>
      <w:r>
        <w:instrText xml:space="preserve"> PAGEREF _Toc163120866 \h </w:instrText>
      </w:r>
      <w:r>
        <w:fldChar w:fldCharType="separate"/>
      </w:r>
      <w:r>
        <w:t>149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Facts, not evidence, to be pleaded</w:t>
      </w:r>
      <w:r>
        <w:tab/>
      </w:r>
      <w:r>
        <w:fldChar w:fldCharType="begin"/>
      </w:r>
      <w:r>
        <w:instrText xml:space="preserve"> PAGEREF _Toc163120867 \h </w:instrText>
      </w:r>
      <w:r>
        <w:fldChar w:fldCharType="separate"/>
      </w:r>
      <w:r>
        <w:t>150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Matters which must be specifically pleaded</w:t>
      </w:r>
      <w:r>
        <w:tab/>
      </w:r>
      <w:r>
        <w:fldChar w:fldCharType="begin"/>
      </w:r>
      <w:r>
        <w:instrText xml:space="preserve"> PAGEREF _Toc163120868 \h </w:instrText>
      </w:r>
      <w:r>
        <w:fldChar w:fldCharType="separate"/>
      </w:r>
      <w:r>
        <w:t>151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Matter may be pleaded whenever arising</w:t>
      </w:r>
      <w:r>
        <w:tab/>
      </w:r>
      <w:r>
        <w:fldChar w:fldCharType="begin"/>
      </w:r>
      <w:r>
        <w:instrText xml:space="preserve"> PAGEREF _Toc163120869 \h </w:instrText>
      </w:r>
      <w:r>
        <w:fldChar w:fldCharType="separate"/>
      </w:r>
      <w:r>
        <w:t>152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Party’s pleadings to be consistent</w:t>
      </w:r>
      <w:r>
        <w:tab/>
      </w:r>
      <w:r>
        <w:fldChar w:fldCharType="begin"/>
      </w:r>
      <w:r>
        <w:instrText xml:space="preserve"> PAGEREF _Toc163120870 \h </w:instrText>
      </w:r>
      <w:r>
        <w:fldChar w:fldCharType="separate"/>
      </w:r>
      <w:r>
        <w:t>152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Points of law may be pleaded</w:t>
      </w:r>
      <w:r>
        <w:tab/>
      </w:r>
      <w:r>
        <w:fldChar w:fldCharType="begin"/>
      </w:r>
      <w:r>
        <w:instrText xml:space="preserve"> PAGEREF _Toc163120871 \h </w:instrText>
      </w:r>
      <w:r>
        <w:fldChar w:fldCharType="separate"/>
      </w:r>
      <w:r>
        <w:t>152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Particulars of claims etc.</w:t>
      </w:r>
      <w:r>
        <w:tab/>
      </w:r>
      <w:r>
        <w:fldChar w:fldCharType="begin"/>
      </w:r>
      <w:r>
        <w:instrText xml:space="preserve"> PAGEREF _Toc163120872 \h </w:instrText>
      </w:r>
      <w:r>
        <w:fldChar w:fldCharType="separate"/>
      </w:r>
      <w:r>
        <w:t>152</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Particulars in defamation actions</w:t>
      </w:r>
      <w:r>
        <w:tab/>
      </w:r>
      <w:r>
        <w:fldChar w:fldCharType="begin"/>
      </w:r>
      <w:r>
        <w:instrText xml:space="preserve"> PAGEREF _Toc163120873 \h </w:instrText>
      </w:r>
      <w:r>
        <w:fldChar w:fldCharType="separate"/>
      </w:r>
      <w:r>
        <w:t>154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Admissions, traverses etc.</w:t>
      </w:r>
      <w:r>
        <w:tab/>
      </w:r>
      <w:r>
        <w:fldChar w:fldCharType="begin"/>
      </w:r>
      <w:r>
        <w:instrText xml:space="preserve"> PAGEREF _Toc163120874 \h </w:instrText>
      </w:r>
      <w:r>
        <w:fldChar w:fldCharType="separate"/>
      </w:r>
      <w:r>
        <w:t>155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Denial by joinder of issue</w:t>
      </w:r>
      <w:r>
        <w:tab/>
      </w:r>
      <w:r>
        <w:fldChar w:fldCharType="begin"/>
      </w:r>
      <w:r>
        <w:instrText xml:space="preserve"> PAGEREF _Toc163120875 \h </w:instrText>
      </w:r>
      <w:r>
        <w:fldChar w:fldCharType="separate"/>
      </w:r>
      <w:r>
        <w:t>155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Defence of tender not available without payment into court</w:t>
      </w:r>
      <w:r>
        <w:tab/>
      </w:r>
      <w:r>
        <w:fldChar w:fldCharType="begin"/>
      </w:r>
      <w:r>
        <w:instrText xml:space="preserve"> PAGEREF _Toc163120876 \h </w:instrText>
      </w:r>
      <w:r>
        <w:fldChar w:fldCharType="separate"/>
      </w:r>
      <w:r>
        <w:t>156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Defence of set</w:t>
      </w:r>
      <w:r>
        <w:rPr>
          <w:snapToGrid w:val="0"/>
        </w:rPr>
        <w:noBreakHyphen/>
        <w:t>off</w:t>
      </w:r>
      <w:r>
        <w:tab/>
      </w:r>
      <w:r>
        <w:fldChar w:fldCharType="begin"/>
      </w:r>
      <w:r>
        <w:instrText xml:space="preserve"> PAGEREF _Toc163120877 \h </w:instrText>
      </w:r>
      <w:r>
        <w:fldChar w:fldCharType="separate"/>
      </w:r>
      <w:r>
        <w:t>156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Counterclaim and defence to counterclaim</w:t>
      </w:r>
      <w:r>
        <w:tab/>
      </w:r>
      <w:r>
        <w:fldChar w:fldCharType="begin"/>
      </w:r>
      <w:r>
        <w:instrText xml:space="preserve"> PAGEREF _Toc163120878 \h </w:instrText>
      </w:r>
      <w:r>
        <w:fldChar w:fldCharType="separate"/>
      </w:r>
      <w:r>
        <w:t>156</w:t>
      </w:r>
      <w:r>
        <w:fldChar w:fldCharType="end"/>
      </w:r>
    </w:p>
    <w:p>
      <w:pPr>
        <w:pStyle w:val="TOC8"/>
        <w:rPr>
          <w:rFonts w:asciiTheme="minorHAnsi" w:eastAsiaTheme="minorEastAsia" w:hAnsiTheme="minorHAnsi" w:cstheme="minorBidi"/>
          <w:szCs w:val="22"/>
        </w:rPr>
      </w:pPr>
      <w:r>
        <w:lastRenderedPageBreak/>
        <w:t>19</w:t>
      </w:r>
      <w:r>
        <w:rPr>
          <w:snapToGrid w:val="0"/>
        </w:rPr>
        <w:t>.</w:t>
      </w:r>
      <w:r>
        <w:rPr>
          <w:snapToGrid w:val="0"/>
        </w:rPr>
        <w:tab/>
        <w:t>Striking out pleadings etc.</w:t>
      </w:r>
      <w:r>
        <w:tab/>
      </w:r>
      <w:r>
        <w:fldChar w:fldCharType="begin"/>
      </w:r>
      <w:r>
        <w:instrText xml:space="preserve"> PAGEREF _Toc163120879 \h </w:instrText>
      </w:r>
      <w:r>
        <w:fldChar w:fldCharType="separate"/>
      </w:r>
      <w:r>
        <w:t>157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Close of pleadings</w:t>
      </w:r>
      <w:r>
        <w:tab/>
      </w:r>
      <w:r>
        <w:fldChar w:fldCharType="begin"/>
      </w:r>
      <w:r>
        <w:instrText xml:space="preserve"> PAGEREF _Toc163120880 \h </w:instrText>
      </w:r>
      <w:r>
        <w:fldChar w:fldCharType="separate"/>
      </w:r>
      <w:r>
        <w:t>158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Trial without pleadings</w:t>
      </w:r>
      <w:r>
        <w:tab/>
      </w:r>
      <w:r>
        <w:fldChar w:fldCharType="begin"/>
      </w:r>
      <w:r>
        <w:instrText xml:space="preserve"> PAGEREF _Toc163120881 \h </w:instrText>
      </w:r>
      <w:r>
        <w:fldChar w:fldCharType="separate"/>
      </w:r>
      <w:r>
        <w:t>158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Preparation of issues</w:t>
      </w:r>
      <w:r>
        <w:tab/>
      </w:r>
      <w:r>
        <w:fldChar w:fldCharType="begin"/>
      </w:r>
      <w:r>
        <w:instrText xml:space="preserve"> PAGEREF _Toc163120882 \h </w:instrText>
      </w:r>
      <w:r>
        <w:fldChar w:fldCharType="separate"/>
      </w:r>
      <w:r>
        <w:t>159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Collision between vessels, content etc. of Preliminary Act</w:t>
      </w:r>
      <w:r>
        <w:tab/>
      </w:r>
      <w:r>
        <w:fldChar w:fldCharType="begin"/>
      </w:r>
      <w:r>
        <w:instrText xml:space="preserve"> PAGEREF _Toc163120883 \h </w:instrText>
      </w:r>
      <w:r>
        <w:fldChar w:fldCharType="separate"/>
      </w:r>
      <w:r>
        <w:t>159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Failure to file Preliminary Act</w:t>
      </w:r>
      <w:r>
        <w:tab/>
      </w:r>
      <w:r>
        <w:fldChar w:fldCharType="begin"/>
      </w:r>
      <w:r>
        <w:instrText xml:space="preserve"> PAGEREF _Toc163120884 \h </w:instrText>
      </w:r>
      <w:r>
        <w:fldChar w:fldCharType="separate"/>
      </w:r>
      <w:r>
        <w:t>161</w:t>
      </w:r>
      <w:r>
        <w:fldChar w:fldCharType="end"/>
      </w:r>
    </w:p>
    <w:p>
      <w:pPr>
        <w:pStyle w:val="TOC2"/>
        <w:tabs>
          <w:tab w:val="right" w:leader="dot" w:pos="7077"/>
        </w:tabs>
        <w:rPr>
          <w:rFonts w:asciiTheme="minorHAnsi" w:eastAsiaTheme="minorEastAsia" w:hAnsiTheme="minorHAnsi" w:cstheme="minorBidi"/>
          <w:b w:val="0"/>
          <w:sz w:val="22"/>
          <w:szCs w:val="22"/>
        </w:rPr>
      </w:pPr>
      <w:r>
        <w:t>Order 21 — Amendment</w:t>
      </w:r>
    </w:p>
    <w:p>
      <w:pPr>
        <w:pStyle w:val="TOC8"/>
        <w:rPr>
          <w:rFonts w:asciiTheme="minorHAnsi" w:eastAsiaTheme="minorEastAsia" w:hAnsiTheme="minorHAnsi" w:cstheme="minorBidi"/>
          <w:szCs w:val="22"/>
        </w:rPr>
      </w:pPr>
      <w:r>
        <w:t>1</w:t>
      </w:r>
      <w:r>
        <w:rPr>
          <w:snapToGrid w:val="0"/>
        </w:rPr>
        <w:t>.</w:t>
      </w:r>
      <w:r>
        <w:rPr>
          <w:snapToGrid w:val="0"/>
        </w:rPr>
        <w:tab/>
        <w:t>Amending writ without leave</w:t>
      </w:r>
      <w:r>
        <w:tab/>
      </w:r>
      <w:r>
        <w:fldChar w:fldCharType="begin"/>
      </w:r>
      <w:r>
        <w:instrText xml:space="preserve"> PAGEREF _Toc163120886 \h </w:instrText>
      </w:r>
      <w:r>
        <w:fldChar w:fldCharType="separate"/>
      </w:r>
      <w:r>
        <w:t>163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Amending memorandum of appearance</w:t>
      </w:r>
      <w:r>
        <w:tab/>
      </w:r>
      <w:r>
        <w:fldChar w:fldCharType="begin"/>
      </w:r>
      <w:r>
        <w:instrText xml:space="preserve"> PAGEREF _Toc163120887 \h </w:instrText>
      </w:r>
      <w:r>
        <w:fldChar w:fldCharType="separate"/>
      </w:r>
      <w:r>
        <w:t>163</w:t>
      </w:r>
      <w:r>
        <w:fldChar w:fldCharType="end"/>
      </w:r>
    </w:p>
    <w:p>
      <w:pPr>
        <w:pStyle w:val="TOC8"/>
        <w:rPr>
          <w:rFonts w:asciiTheme="minorHAnsi" w:eastAsiaTheme="minorEastAsia" w:hAnsiTheme="minorHAnsi" w:cstheme="minorBidi"/>
          <w:szCs w:val="22"/>
        </w:rPr>
      </w:pPr>
      <w:r>
        <w:t>3.</w:t>
      </w:r>
      <w:r>
        <w:tab/>
        <w:t>Amending pleadings without leave</w:t>
      </w:r>
      <w:r>
        <w:tab/>
      </w:r>
      <w:r>
        <w:fldChar w:fldCharType="begin"/>
      </w:r>
      <w:r>
        <w:instrText xml:space="preserve"> PAGEREF _Toc163120888 \h </w:instrText>
      </w:r>
      <w:r>
        <w:fldChar w:fldCharType="separate"/>
      </w:r>
      <w:r>
        <w:t>163</w:t>
      </w:r>
      <w:r>
        <w:fldChar w:fldCharType="end"/>
      </w:r>
    </w:p>
    <w:p>
      <w:pPr>
        <w:pStyle w:val="TOC8"/>
        <w:rPr>
          <w:rFonts w:asciiTheme="minorHAnsi" w:eastAsiaTheme="minorEastAsia" w:hAnsiTheme="minorHAnsi" w:cstheme="minorBidi"/>
          <w:szCs w:val="22"/>
        </w:rPr>
      </w:pPr>
      <w:r>
        <w:t>5.</w:t>
      </w:r>
      <w:r>
        <w:tab/>
        <w:t>Amending writ or pleading with leave</w:t>
      </w:r>
      <w:r>
        <w:tab/>
      </w:r>
      <w:r>
        <w:fldChar w:fldCharType="begin"/>
      </w:r>
      <w:r>
        <w:instrText xml:space="preserve"> PAGEREF _Toc163120889 \h </w:instrText>
      </w:r>
      <w:r>
        <w:fldChar w:fldCharType="separate"/>
      </w:r>
      <w:r>
        <w:t>164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Amending other originating process</w:t>
      </w:r>
      <w:r>
        <w:tab/>
      </w:r>
      <w:r>
        <w:fldChar w:fldCharType="begin"/>
      </w:r>
      <w:r>
        <w:instrText xml:space="preserve"> PAGEREF _Toc163120890 \h </w:instrText>
      </w:r>
      <w:r>
        <w:fldChar w:fldCharType="separate"/>
      </w:r>
      <w:r>
        <w:t>165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Amending other documents</w:t>
      </w:r>
      <w:r>
        <w:tab/>
      </w:r>
      <w:r>
        <w:fldChar w:fldCharType="begin"/>
      </w:r>
      <w:r>
        <w:instrText xml:space="preserve"> PAGEREF _Toc163120891 \h </w:instrText>
      </w:r>
      <w:r>
        <w:fldChar w:fldCharType="separate"/>
      </w:r>
      <w:r>
        <w:t>165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Failure to amend after order</w:t>
      </w:r>
      <w:r>
        <w:tab/>
      </w:r>
      <w:r>
        <w:fldChar w:fldCharType="begin"/>
      </w:r>
      <w:r>
        <w:instrText xml:space="preserve"> PAGEREF _Toc163120892 \h </w:instrText>
      </w:r>
      <w:r>
        <w:fldChar w:fldCharType="separate"/>
      </w:r>
      <w:r>
        <w:t>165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How amendments to be made</w:t>
      </w:r>
      <w:r>
        <w:tab/>
      </w:r>
      <w:r>
        <w:fldChar w:fldCharType="begin"/>
      </w:r>
      <w:r>
        <w:instrText xml:space="preserve"> PAGEREF _Toc163120893 \h </w:instrText>
      </w:r>
      <w:r>
        <w:fldChar w:fldCharType="separate"/>
      </w:r>
      <w:r>
        <w:t>165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Clerical errors etc., correcting (slip rule)</w:t>
      </w:r>
      <w:r>
        <w:tab/>
      </w:r>
      <w:r>
        <w:fldChar w:fldCharType="begin"/>
      </w:r>
      <w:r>
        <w:instrText xml:space="preserve"> PAGEREF _Toc163120894 \h </w:instrText>
      </w:r>
      <w:r>
        <w:fldChar w:fldCharType="separate"/>
      </w:r>
      <w:r>
        <w:t>166</w:t>
      </w:r>
      <w:r>
        <w:fldChar w:fldCharType="end"/>
      </w:r>
    </w:p>
    <w:p>
      <w:pPr>
        <w:pStyle w:val="TOC8"/>
        <w:rPr>
          <w:rFonts w:asciiTheme="minorHAnsi" w:eastAsiaTheme="minorEastAsia" w:hAnsiTheme="minorHAnsi" w:cstheme="minorBidi"/>
          <w:szCs w:val="22"/>
        </w:rPr>
      </w:pPr>
      <w:r>
        <w:t>11.</w:t>
      </w:r>
      <w:r>
        <w:tab/>
        <w:t>Service of amended documents</w:t>
      </w:r>
      <w:r>
        <w:tab/>
      </w:r>
      <w:r>
        <w:fldChar w:fldCharType="begin"/>
      </w:r>
      <w:r>
        <w:instrText xml:space="preserve"> PAGEREF _Toc163120895 \h </w:instrText>
      </w:r>
      <w:r>
        <w:fldChar w:fldCharType="separate"/>
      </w:r>
      <w:r>
        <w:t>166</w:t>
      </w:r>
      <w:r>
        <w:fldChar w:fldCharType="end"/>
      </w:r>
    </w:p>
    <w:p>
      <w:pPr>
        <w:pStyle w:val="TOC2"/>
        <w:tabs>
          <w:tab w:val="right" w:leader="dot" w:pos="7077"/>
        </w:tabs>
        <w:rPr>
          <w:rFonts w:asciiTheme="minorHAnsi" w:eastAsiaTheme="minorEastAsia" w:hAnsiTheme="minorHAnsi" w:cstheme="minorBidi"/>
          <w:b w:val="0"/>
          <w:sz w:val="22"/>
          <w:szCs w:val="22"/>
        </w:rPr>
      </w:pPr>
      <w:r>
        <w:t>Order 23 — Discontinuance</w:t>
      </w:r>
    </w:p>
    <w:p>
      <w:pPr>
        <w:pStyle w:val="TOC8"/>
        <w:rPr>
          <w:rFonts w:asciiTheme="minorHAnsi" w:eastAsiaTheme="minorEastAsia" w:hAnsiTheme="minorHAnsi" w:cstheme="minorBidi"/>
          <w:szCs w:val="22"/>
        </w:rPr>
      </w:pPr>
      <w:r>
        <w:t>1</w:t>
      </w:r>
      <w:r>
        <w:rPr>
          <w:snapToGrid w:val="0"/>
        </w:rPr>
        <w:t>.</w:t>
      </w:r>
      <w:r>
        <w:rPr>
          <w:snapToGrid w:val="0"/>
        </w:rPr>
        <w:tab/>
        <w:t>Withdrawing appearance</w:t>
      </w:r>
      <w:r>
        <w:tab/>
      </w:r>
      <w:r>
        <w:fldChar w:fldCharType="begin"/>
      </w:r>
      <w:r>
        <w:instrText xml:space="preserve"> PAGEREF _Toc163120897 \h </w:instrText>
      </w:r>
      <w:r>
        <w:fldChar w:fldCharType="separate"/>
      </w:r>
      <w:r>
        <w:t>167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Plaintiff may discontinue; defence etc. may be withdrawn</w:t>
      </w:r>
      <w:r>
        <w:tab/>
      </w:r>
      <w:r>
        <w:fldChar w:fldCharType="begin"/>
      </w:r>
      <w:r>
        <w:instrText xml:space="preserve"> PAGEREF _Toc163120898 \h </w:instrText>
      </w:r>
      <w:r>
        <w:fldChar w:fldCharType="separate"/>
      </w:r>
      <w:r>
        <w:t>167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Costs</w:t>
      </w:r>
      <w:r>
        <w:tab/>
      </w:r>
      <w:r>
        <w:fldChar w:fldCharType="begin"/>
      </w:r>
      <w:r>
        <w:instrText xml:space="preserve"> PAGEREF _Toc163120899 \h </w:instrText>
      </w:r>
      <w:r>
        <w:fldChar w:fldCharType="separate"/>
      </w:r>
      <w:r>
        <w:t>168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Subsequent action stayed pending payment</w:t>
      </w:r>
      <w:r>
        <w:tab/>
      </w:r>
      <w:r>
        <w:fldChar w:fldCharType="begin"/>
      </w:r>
      <w:r>
        <w:instrText xml:space="preserve"> PAGEREF _Toc163120900 \h </w:instrText>
      </w:r>
      <w:r>
        <w:fldChar w:fldCharType="separate"/>
      </w:r>
      <w:r>
        <w:t>168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Withdrawal of summons</w:t>
      </w:r>
      <w:r>
        <w:tab/>
      </w:r>
      <w:r>
        <w:fldChar w:fldCharType="begin"/>
      </w:r>
      <w:r>
        <w:instrText xml:space="preserve"> PAGEREF _Toc163120901 \h </w:instrText>
      </w:r>
      <w:r>
        <w:fldChar w:fldCharType="separate"/>
      </w:r>
      <w:r>
        <w:t>168</w:t>
      </w:r>
      <w:r>
        <w:fldChar w:fldCharType="end"/>
      </w:r>
    </w:p>
    <w:p>
      <w:pPr>
        <w:pStyle w:val="TOC2"/>
        <w:tabs>
          <w:tab w:val="right" w:leader="dot" w:pos="7077"/>
        </w:tabs>
        <w:rPr>
          <w:rFonts w:asciiTheme="minorHAnsi" w:eastAsiaTheme="minorEastAsia" w:hAnsiTheme="minorHAnsi" w:cstheme="minorBidi"/>
          <w:b w:val="0"/>
          <w:sz w:val="22"/>
          <w:szCs w:val="22"/>
        </w:rPr>
      </w:pPr>
      <w:r>
        <w:t>Order 24 — Payment into court — offers to consent to judgment</w:t>
      </w:r>
    </w:p>
    <w:p>
      <w:pPr>
        <w:pStyle w:val="TOC8"/>
        <w:rPr>
          <w:rFonts w:asciiTheme="minorHAnsi" w:eastAsiaTheme="minorEastAsia" w:hAnsiTheme="minorHAnsi" w:cstheme="minorBidi"/>
          <w:szCs w:val="22"/>
        </w:rPr>
      </w:pPr>
      <w:r>
        <w:t>9</w:t>
      </w:r>
      <w:r>
        <w:rPr>
          <w:snapToGrid w:val="0"/>
        </w:rPr>
        <w:t>.</w:t>
      </w:r>
      <w:r>
        <w:rPr>
          <w:snapToGrid w:val="0"/>
        </w:rPr>
        <w:tab/>
        <w:t>In certain cases no payment out without order</w:t>
      </w:r>
      <w:r>
        <w:tab/>
      </w:r>
      <w:r>
        <w:fldChar w:fldCharType="begin"/>
      </w:r>
      <w:r>
        <w:instrText xml:space="preserve"> PAGEREF _Toc163120903 \h </w:instrText>
      </w:r>
      <w:r>
        <w:fldChar w:fldCharType="separate"/>
      </w:r>
      <w:r>
        <w:t>169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Intestate’s estate, Court may direct some payments without administration</w:t>
      </w:r>
      <w:r>
        <w:tab/>
      </w:r>
      <w:r>
        <w:fldChar w:fldCharType="begin"/>
      </w:r>
      <w:r>
        <w:instrText xml:space="preserve"> PAGEREF _Toc163120904 \h </w:instrText>
      </w:r>
      <w:r>
        <w:fldChar w:fldCharType="separate"/>
      </w:r>
      <w:r>
        <w:t>169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Regulations (Sch. 3)</w:t>
      </w:r>
      <w:r>
        <w:tab/>
      </w:r>
      <w:r>
        <w:fldChar w:fldCharType="begin"/>
      </w:r>
      <w:r>
        <w:instrText xml:space="preserve"> PAGEREF _Toc163120905 \h </w:instrText>
      </w:r>
      <w:r>
        <w:fldChar w:fldCharType="separate"/>
      </w:r>
      <w:r>
        <w:t>170</w:t>
      </w:r>
      <w:r>
        <w:fldChar w:fldCharType="end"/>
      </w:r>
    </w:p>
    <w:p>
      <w:pPr>
        <w:pStyle w:val="TOC2"/>
        <w:tabs>
          <w:tab w:val="right" w:leader="dot" w:pos="7077"/>
        </w:tabs>
        <w:rPr>
          <w:rFonts w:asciiTheme="minorHAnsi" w:eastAsiaTheme="minorEastAsia" w:hAnsiTheme="minorHAnsi" w:cstheme="minorBidi"/>
          <w:b w:val="0"/>
          <w:sz w:val="22"/>
          <w:szCs w:val="22"/>
        </w:rPr>
      </w:pPr>
      <w:r>
        <w:t>Order 24A — Offer of compromise</w:t>
      </w:r>
    </w:p>
    <w:p>
      <w:pPr>
        <w:pStyle w:val="TOC8"/>
        <w:rPr>
          <w:rFonts w:asciiTheme="minorHAnsi" w:eastAsiaTheme="minorEastAsia" w:hAnsiTheme="minorHAnsi" w:cstheme="minorBidi"/>
          <w:szCs w:val="22"/>
        </w:rPr>
      </w:pPr>
      <w:r>
        <w:t>1.</w:t>
      </w:r>
      <w:r>
        <w:tab/>
        <w:t>Parties entitled to make offer</w:t>
      </w:r>
      <w:r>
        <w:tab/>
      </w:r>
      <w:r>
        <w:fldChar w:fldCharType="begin"/>
      </w:r>
      <w:r>
        <w:instrText xml:space="preserve"> PAGEREF _Toc163120907 \h </w:instrText>
      </w:r>
      <w:r>
        <w:fldChar w:fldCharType="separate"/>
      </w:r>
      <w:r>
        <w:t>171</w:t>
      </w:r>
      <w:r>
        <w:fldChar w:fldCharType="end"/>
      </w:r>
    </w:p>
    <w:p>
      <w:pPr>
        <w:pStyle w:val="TOC8"/>
        <w:rPr>
          <w:rFonts w:asciiTheme="minorHAnsi" w:eastAsiaTheme="minorEastAsia" w:hAnsiTheme="minorHAnsi" w:cstheme="minorBidi"/>
          <w:szCs w:val="22"/>
        </w:rPr>
      </w:pPr>
      <w:r>
        <w:lastRenderedPageBreak/>
        <w:t>2.</w:t>
      </w:r>
      <w:r>
        <w:tab/>
        <w:t>Application of this Order to counterclaims and third party notices</w:t>
      </w:r>
      <w:r>
        <w:tab/>
      </w:r>
      <w:r>
        <w:fldChar w:fldCharType="begin"/>
      </w:r>
      <w:r>
        <w:instrText xml:space="preserve"> PAGEREF _Toc163120908 \h </w:instrText>
      </w:r>
      <w:r>
        <w:fldChar w:fldCharType="separate"/>
      </w:r>
      <w:r>
        <w:t>171</w:t>
      </w:r>
      <w:r>
        <w:fldChar w:fldCharType="end"/>
      </w:r>
    </w:p>
    <w:p>
      <w:pPr>
        <w:pStyle w:val="TOC8"/>
        <w:rPr>
          <w:rFonts w:asciiTheme="minorHAnsi" w:eastAsiaTheme="minorEastAsia" w:hAnsiTheme="minorHAnsi" w:cstheme="minorBidi"/>
          <w:szCs w:val="22"/>
        </w:rPr>
      </w:pPr>
      <w:r>
        <w:t>3A.</w:t>
      </w:r>
      <w:r>
        <w:tab/>
        <w:t>How to make offer</w:t>
      </w:r>
      <w:r>
        <w:tab/>
      </w:r>
      <w:r>
        <w:fldChar w:fldCharType="begin"/>
      </w:r>
      <w:r>
        <w:instrText xml:space="preserve"> PAGEREF _Toc163120909 \h </w:instrText>
      </w:r>
      <w:r>
        <w:fldChar w:fldCharType="separate"/>
      </w:r>
      <w:r>
        <w:t>171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Time etc. for making, accepting etc. offer</w:t>
      </w:r>
      <w:r>
        <w:tab/>
      </w:r>
      <w:r>
        <w:fldChar w:fldCharType="begin"/>
      </w:r>
      <w:r>
        <w:instrText xml:space="preserve"> PAGEREF _Toc163120910 \h </w:instrText>
      </w:r>
      <w:r>
        <w:fldChar w:fldCharType="separate"/>
      </w:r>
      <w:r>
        <w:t>171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for payment of sum offered</w:t>
      </w:r>
      <w:r>
        <w:tab/>
      </w:r>
      <w:r>
        <w:fldChar w:fldCharType="begin"/>
      </w:r>
      <w:r>
        <w:instrText xml:space="preserve"> PAGEREF _Toc163120911 \h </w:instrText>
      </w:r>
      <w:r>
        <w:fldChar w:fldCharType="separate"/>
      </w:r>
      <w:r>
        <w:t>173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Withdrawing acceptance of offer</w:t>
      </w:r>
      <w:r>
        <w:tab/>
      </w:r>
      <w:r>
        <w:fldChar w:fldCharType="begin"/>
      </w:r>
      <w:r>
        <w:instrText xml:space="preserve"> PAGEREF _Toc163120912 \h </w:instrText>
      </w:r>
      <w:r>
        <w:fldChar w:fldCharType="separate"/>
      </w:r>
      <w:r>
        <w:t>173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Offer without prejudice</w:t>
      </w:r>
      <w:r>
        <w:tab/>
      </w:r>
      <w:r>
        <w:fldChar w:fldCharType="begin"/>
      </w:r>
      <w:r>
        <w:instrText xml:space="preserve"> PAGEREF _Toc163120913 \h </w:instrText>
      </w:r>
      <w:r>
        <w:fldChar w:fldCharType="separate"/>
      </w:r>
      <w:r>
        <w:t>174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Disclosure of offer to Court</w:t>
      </w:r>
      <w:r>
        <w:tab/>
      </w:r>
      <w:r>
        <w:fldChar w:fldCharType="begin"/>
      </w:r>
      <w:r>
        <w:instrText xml:space="preserve"> PAGEREF _Toc163120914 \h </w:instrText>
      </w:r>
      <w:r>
        <w:fldChar w:fldCharType="separate"/>
      </w:r>
      <w:r>
        <w:t>174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Failure to comply with accepted offer</w:t>
      </w:r>
      <w:r>
        <w:tab/>
      </w:r>
      <w:r>
        <w:fldChar w:fldCharType="begin"/>
      </w:r>
      <w:r>
        <w:instrText xml:space="preserve"> PAGEREF _Toc163120915 \h </w:instrText>
      </w:r>
      <w:r>
        <w:fldChar w:fldCharType="separate"/>
      </w:r>
      <w:r>
        <w:t>174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Multiple defendants</w:t>
      </w:r>
      <w:r>
        <w:tab/>
      </w:r>
      <w:r>
        <w:fldChar w:fldCharType="begin"/>
      </w:r>
      <w:r>
        <w:instrText xml:space="preserve"> PAGEREF _Toc163120916 \h </w:instrText>
      </w:r>
      <w:r>
        <w:fldChar w:fldCharType="separate"/>
      </w:r>
      <w:r>
        <w:t>175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Costs</w:t>
      </w:r>
      <w:r>
        <w:tab/>
      </w:r>
      <w:r>
        <w:fldChar w:fldCharType="begin"/>
      </w:r>
      <w:r>
        <w:instrText xml:space="preserve"> PAGEREF _Toc163120917 \h </w:instrText>
      </w:r>
      <w:r>
        <w:fldChar w:fldCharType="separate"/>
      </w:r>
      <w:r>
        <w:t>175</w:t>
      </w:r>
      <w:r>
        <w:fldChar w:fldCharType="end"/>
      </w:r>
    </w:p>
    <w:p>
      <w:pPr>
        <w:pStyle w:val="TOC2"/>
        <w:tabs>
          <w:tab w:val="right" w:leader="dot" w:pos="7077"/>
        </w:tabs>
        <w:rPr>
          <w:rFonts w:asciiTheme="minorHAnsi" w:eastAsiaTheme="minorEastAsia" w:hAnsiTheme="minorHAnsi" w:cstheme="minorBidi"/>
          <w:b w:val="0"/>
          <w:sz w:val="22"/>
          <w:szCs w:val="22"/>
        </w:rPr>
      </w:pPr>
      <w:r>
        <w:t>Order 25 — Security for costs</w:t>
      </w:r>
    </w:p>
    <w:p>
      <w:pPr>
        <w:pStyle w:val="TOC8"/>
        <w:rPr>
          <w:rFonts w:asciiTheme="minorHAnsi" w:eastAsiaTheme="minorEastAsia" w:hAnsiTheme="minorHAnsi" w:cstheme="minorBidi"/>
          <w:szCs w:val="22"/>
        </w:rPr>
      </w:pPr>
      <w:r>
        <w:t>1</w:t>
      </w:r>
      <w:r>
        <w:rPr>
          <w:snapToGrid w:val="0"/>
        </w:rPr>
        <w:t>.</w:t>
      </w:r>
      <w:r>
        <w:rPr>
          <w:snapToGrid w:val="0"/>
        </w:rPr>
        <w:tab/>
        <w:t>Factors that are not grounds for ordering security for costs</w:t>
      </w:r>
      <w:r>
        <w:tab/>
      </w:r>
      <w:r>
        <w:fldChar w:fldCharType="begin"/>
      </w:r>
      <w:r>
        <w:instrText xml:space="preserve"> PAGEREF _Toc163120919 \h </w:instrText>
      </w:r>
      <w:r>
        <w:fldChar w:fldCharType="separate"/>
      </w:r>
      <w:r>
        <w:t>179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Grounds for ordering security for costs</w:t>
      </w:r>
      <w:r>
        <w:tab/>
      </w:r>
      <w:r>
        <w:fldChar w:fldCharType="begin"/>
      </w:r>
      <w:r>
        <w:instrText xml:space="preserve"> PAGEREF _Toc163120920 \h </w:instrText>
      </w:r>
      <w:r>
        <w:fldChar w:fldCharType="separate"/>
      </w:r>
      <w:r>
        <w:t>179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Court has discretion</w:t>
      </w:r>
      <w:r>
        <w:tab/>
      </w:r>
      <w:r>
        <w:fldChar w:fldCharType="begin"/>
      </w:r>
      <w:r>
        <w:instrText xml:space="preserve"> PAGEREF _Toc163120921 \h </w:instrText>
      </w:r>
      <w:r>
        <w:fldChar w:fldCharType="separate"/>
      </w:r>
      <w:r>
        <w:t>180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 used: plaintiff</w:t>
      </w:r>
      <w:r>
        <w:tab/>
      </w:r>
      <w:r>
        <w:fldChar w:fldCharType="begin"/>
      </w:r>
      <w:r>
        <w:instrText xml:space="preserve"> PAGEREF _Toc163120922 \h </w:instrText>
      </w:r>
      <w:r>
        <w:fldChar w:fldCharType="separate"/>
      </w:r>
      <w:r>
        <w:t>180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Manner of giving security</w:t>
      </w:r>
      <w:r>
        <w:tab/>
      </w:r>
      <w:r>
        <w:fldChar w:fldCharType="begin"/>
      </w:r>
      <w:r>
        <w:instrText xml:space="preserve"> PAGEREF _Toc163120923 \h </w:instrText>
      </w:r>
      <w:r>
        <w:fldChar w:fldCharType="separate"/>
      </w:r>
      <w:r>
        <w:t>180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Action may be stayed</w:t>
      </w:r>
      <w:r>
        <w:tab/>
      </w:r>
      <w:r>
        <w:fldChar w:fldCharType="begin"/>
      </w:r>
      <w:r>
        <w:instrText xml:space="preserve"> PAGEREF _Toc163120924 \h </w:instrText>
      </w:r>
      <w:r>
        <w:fldChar w:fldCharType="separate"/>
      </w:r>
      <w:r>
        <w:t>180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Payment out</w:t>
      </w:r>
      <w:r>
        <w:tab/>
      </w:r>
      <w:r>
        <w:fldChar w:fldCharType="begin"/>
      </w:r>
      <w:r>
        <w:instrText xml:space="preserve"> PAGEREF _Toc163120925 \h </w:instrText>
      </w:r>
      <w:r>
        <w:fldChar w:fldCharType="separate"/>
      </w:r>
      <w:r>
        <w:t>181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Saving</w:t>
      </w:r>
      <w:r>
        <w:tab/>
      </w:r>
      <w:r>
        <w:fldChar w:fldCharType="begin"/>
      </w:r>
      <w:r>
        <w:instrText xml:space="preserve"> PAGEREF _Toc163120926 \h </w:instrText>
      </w:r>
      <w:r>
        <w:fldChar w:fldCharType="separate"/>
      </w:r>
      <w:r>
        <w:t>181</w:t>
      </w:r>
      <w:r>
        <w:fldChar w:fldCharType="end"/>
      </w:r>
    </w:p>
    <w:p>
      <w:pPr>
        <w:pStyle w:val="TOC2"/>
        <w:tabs>
          <w:tab w:val="right" w:leader="dot" w:pos="7077"/>
        </w:tabs>
        <w:rPr>
          <w:rFonts w:asciiTheme="minorHAnsi" w:eastAsiaTheme="minorEastAsia" w:hAnsiTheme="minorHAnsi" w:cstheme="minorBidi"/>
          <w:b w:val="0"/>
          <w:sz w:val="22"/>
          <w:szCs w:val="22"/>
        </w:rPr>
      </w:pPr>
      <w:r>
        <w:t>Order 26 — Discovery and inspection</w:t>
      </w:r>
    </w:p>
    <w:p>
      <w:pPr>
        <w:pStyle w:val="TOC8"/>
        <w:rPr>
          <w:rFonts w:asciiTheme="minorHAnsi" w:eastAsiaTheme="minorEastAsia" w:hAnsiTheme="minorHAnsi" w:cstheme="minorBidi"/>
          <w:szCs w:val="22"/>
        </w:rPr>
      </w:pPr>
      <w:r>
        <w:t>1A</w:t>
      </w:r>
      <w:r>
        <w:rPr>
          <w:snapToGrid w:val="0"/>
        </w:rPr>
        <w:t>.</w:t>
      </w:r>
      <w:r>
        <w:rPr>
          <w:snapToGrid w:val="0"/>
        </w:rPr>
        <w:tab/>
        <w:t>Terms used</w:t>
      </w:r>
      <w:r>
        <w:tab/>
      </w:r>
      <w:r>
        <w:fldChar w:fldCharType="begin"/>
      </w:r>
      <w:r>
        <w:instrText xml:space="preserve"> PAGEREF _Toc163120928 \h </w:instrText>
      </w:r>
      <w:r>
        <w:fldChar w:fldCharType="separate"/>
      </w:r>
      <w:r>
        <w:t>182</w:t>
      </w:r>
      <w:r>
        <w:fldChar w:fldCharType="end"/>
      </w:r>
    </w:p>
    <w:p>
      <w:pPr>
        <w:pStyle w:val="TOC8"/>
        <w:rPr>
          <w:rFonts w:asciiTheme="minorHAnsi" w:eastAsiaTheme="minorEastAsia" w:hAnsiTheme="minorHAnsi" w:cstheme="minorBidi"/>
          <w:szCs w:val="22"/>
        </w:rPr>
      </w:pPr>
      <w:r>
        <w:t>1B.</w:t>
      </w:r>
      <w:r>
        <w:tab/>
        <w:t>Documents not wholly discoverable</w:t>
      </w:r>
      <w:r>
        <w:tab/>
      </w:r>
      <w:r>
        <w:fldChar w:fldCharType="begin"/>
      </w:r>
      <w:r>
        <w:instrText xml:space="preserve"> PAGEREF _Toc163120929 \h </w:instrText>
      </w:r>
      <w:r>
        <w:fldChar w:fldCharType="separate"/>
      </w:r>
      <w:r>
        <w:t>182</w:t>
      </w:r>
      <w:r>
        <w:fldChar w:fldCharType="end"/>
      </w:r>
    </w:p>
    <w:p>
      <w:pPr>
        <w:pStyle w:val="TOC8"/>
        <w:rPr>
          <w:rFonts w:asciiTheme="minorHAnsi" w:eastAsiaTheme="minorEastAsia" w:hAnsiTheme="minorHAnsi" w:cstheme="minorBidi"/>
          <w:szCs w:val="22"/>
        </w:rPr>
      </w:pPr>
      <w:r>
        <w:t>1</w:t>
      </w:r>
      <w:r>
        <w:rPr>
          <w:snapToGrid w:val="0"/>
        </w:rPr>
        <w:t>.</w:t>
      </w:r>
      <w:r>
        <w:rPr>
          <w:snapToGrid w:val="0"/>
        </w:rPr>
        <w:tab/>
        <w:t>Discovery without order</w:t>
      </w:r>
      <w:r>
        <w:tab/>
      </w:r>
      <w:r>
        <w:fldChar w:fldCharType="begin"/>
      </w:r>
      <w:r>
        <w:instrText xml:space="preserve"> PAGEREF _Toc163120930 \h </w:instrText>
      </w:r>
      <w:r>
        <w:fldChar w:fldCharType="separate"/>
      </w:r>
      <w:r>
        <w:t>183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Continuing obligation to give discovery</w:t>
      </w:r>
      <w:r>
        <w:tab/>
      </w:r>
      <w:r>
        <w:fldChar w:fldCharType="begin"/>
      </w:r>
      <w:r>
        <w:instrText xml:space="preserve"> PAGEREF _Toc163120931 \h </w:instrText>
      </w:r>
      <w:r>
        <w:fldChar w:fldCharType="separate"/>
      </w:r>
      <w:r>
        <w:t>184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Determination of issue relevant to right to discovery</w:t>
      </w:r>
      <w:r>
        <w:tab/>
      </w:r>
      <w:r>
        <w:fldChar w:fldCharType="begin"/>
      </w:r>
      <w:r>
        <w:instrText xml:space="preserve"> PAGEREF _Toc163120932 \h </w:instrText>
      </w:r>
      <w:r>
        <w:fldChar w:fldCharType="separate"/>
      </w:r>
      <w:r>
        <w:t>185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List of documents and verifying affidavit, form, content and making of</w:t>
      </w:r>
      <w:r>
        <w:tab/>
      </w:r>
      <w:r>
        <w:fldChar w:fldCharType="begin"/>
      </w:r>
      <w:r>
        <w:instrText xml:space="preserve"> PAGEREF _Toc163120933 \h </w:instrText>
      </w:r>
      <w:r>
        <w:fldChar w:fldCharType="separate"/>
      </w:r>
      <w:r>
        <w:t>185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Defendant entitled to copy of co</w:t>
      </w:r>
      <w:r>
        <w:rPr>
          <w:snapToGrid w:val="0"/>
        </w:rPr>
        <w:noBreakHyphen/>
        <w:t>defendant’s list etc.</w:t>
      </w:r>
      <w:r>
        <w:tab/>
      </w:r>
      <w:r>
        <w:fldChar w:fldCharType="begin"/>
      </w:r>
      <w:r>
        <w:instrText xml:space="preserve"> PAGEREF _Toc163120934 \h </w:instrText>
      </w:r>
      <w:r>
        <w:fldChar w:fldCharType="separate"/>
      </w:r>
      <w:r>
        <w:t>186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 for information as to particular documents</w:t>
      </w:r>
      <w:r>
        <w:tab/>
      </w:r>
      <w:r>
        <w:fldChar w:fldCharType="begin"/>
      </w:r>
      <w:r>
        <w:instrText xml:space="preserve"> PAGEREF _Toc163120935 \h </w:instrText>
      </w:r>
      <w:r>
        <w:fldChar w:fldCharType="separate"/>
      </w:r>
      <w:r>
        <w:t>187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Orders as to discovery</w:t>
      </w:r>
      <w:r>
        <w:tab/>
      </w:r>
      <w:r>
        <w:fldChar w:fldCharType="begin"/>
      </w:r>
      <w:r>
        <w:instrText xml:space="preserve"> PAGEREF _Toc163120936 \h </w:instrText>
      </w:r>
      <w:r>
        <w:fldChar w:fldCharType="separate"/>
      </w:r>
      <w:r>
        <w:t>188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Inspection of documents in list</w:t>
      </w:r>
      <w:r>
        <w:tab/>
      </w:r>
      <w:r>
        <w:fldChar w:fldCharType="begin"/>
      </w:r>
      <w:r>
        <w:instrText xml:space="preserve"> PAGEREF _Toc163120937 \h </w:instrText>
      </w:r>
      <w:r>
        <w:fldChar w:fldCharType="separate"/>
      </w:r>
      <w:r>
        <w:t>189</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Procedure on discovery</w:t>
      </w:r>
      <w:r>
        <w:tab/>
      </w:r>
      <w:r>
        <w:fldChar w:fldCharType="begin"/>
      </w:r>
      <w:r>
        <w:instrText xml:space="preserve"> PAGEREF _Toc163120938 \h </w:instrText>
      </w:r>
      <w:r>
        <w:fldChar w:fldCharType="separate"/>
      </w:r>
      <w:r>
        <w:t>190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Order for inspection of documents</w:t>
      </w:r>
      <w:r>
        <w:tab/>
      </w:r>
      <w:r>
        <w:fldChar w:fldCharType="begin"/>
      </w:r>
      <w:r>
        <w:instrText xml:space="preserve"> PAGEREF _Toc163120939 \h </w:instrText>
      </w:r>
      <w:r>
        <w:fldChar w:fldCharType="separate"/>
      </w:r>
      <w:r>
        <w:t>191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Order for production to Court</w:t>
      </w:r>
      <w:r>
        <w:tab/>
      </w:r>
      <w:r>
        <w:fldChar w:fldCharType="begin"/>
      </w:r>
      <w:r>
        <w:instrText xml:space="preserve"> PAGEREF _Toc163120940 \h </w:instrText>
      </w:r>
      <w:r>
        <w:fldChar w:fldCharType="separate"/>
      </w:r>
      <w:r>
        <w:t>191</w:t>
      </w:r>
      <w:r>
        <w:fldChar w:fldCharType="end"/>
      </w:r>
    </w:p>
    <w:p>
      <w:pPr>
        <w:pStyle w:val="TOC8"/>
        <w:rPr>
          <w:rFonts w:asciiTheme="minorHAnsi" w:eastAsiaTheme="minorEastAsia" w:hAnsiTheme="minorHAnsi" w:cstheme="minorBidi"/>
          <w:szCs w:val="22"/>
        </w:rPr>
      </w:pPr>
      <w:r>
        <w:lastRenderedPageBreak/>
        <w:t>11</w:t>
      </w:r>
      <w:r>
        <w:rPr>
          <w:snapToGrid w:val="0"/>
        </w:rPr>
        <w:t>.</w:t>
      </w:r>
      <w:r>
        <w:rPr>
          <w:snapToGrid w:val="0"/>
        </w:rPr>
        <w:tab/>
        <w:t>Order for production etc. only if necessary</w:t>
      </w:r>
      <w:r>
        <w:tab/>
      </w:r>
      <w:r>
        <w:fldChar w:fldCharType="begin"/>
      </w:r>
      <w:r>
        <w:instrText xml:space="preserve"> PAGEREF _Toc163120941 \h </w:instrText>
      </w:r>
      <w:r>
        <w:fldChar w:fldCharType="separate"/>
      </w:r>
      <w:r>
        <w:t>192</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Costs of preparing document to facilitate inspection</w:t>
      </w:r>
      <w:r>
        <w:tab/>
      </w:r>
      <w:r>
        <w:fldChar w:fldCharType="begin"/>
      </w:r>
      <w:r>
        <w:instrText xml:space="preserve"> PAGEREF _Toc163120942 \h </w:instrText>
      </w:r>
      <w:r>
        <w:fldChar w:fldCharType="separate"/>
      </w:r>
      <w:r>
        <w:t>192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Claim of privilege</w:t>
      </w:r>
      <w:r>
        <w:tab/>
      </w:r>
      <w:r>
        <w:fldChar w:fldCharType="begin"/>
      </w:r>
      <w:r>
        <w:instrText xml:space="preserve"> PAGEREF _Toc163120943 \h </w:instrText>
      </w:r>
      <w:r>
        <w:fldChar w:fldCharType="separate"/>
      </w:r>
      <w:r>
        <w:t>192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Inspection of copies of business books</w:t>
      </w:r>
      <w:r>
        <w:tab/>
      </w:r>
      <w:r>
        <w:fldChar w:fldCharType="begin"/>
      </w:r>
      <w:r>
        <w:instrText xml:space="preserve"> PAGEREF _Toc163120944 \h </w:instrText>
      </w:r>
      <w:r>
        <w:fldChar w:fldCharType="separate"/>
      </w:r>
      <w:r>
        <w:t>193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Public interest immunity not affected</w:t>
      </w:r>
      <w:r>
        <w:tab/>
      </w:r>
      <w:r>
        <w:fldChar w:fldCharType="begin"/>
      </w:r>
      <w:r>
        <w:instrText xml:space="preserve"> PAGEREF _Toc163120945 \h </w:instrText>
      </w:r>
      <w:r>
        <w:fldChar w:fldCharType="separate"/>
      </w:r>
      <w:r>
        <w:t>193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Non</w:t>
      </w:r>
      <w:r>
        <w:rPr>
          <w:snapToGrid w:val="0"/>
        </w:rPr>
        <w:noBreakHyphen/>
        <w:t>compliance with requirements for discovery etc.</w:t>
      </w:r>
      <w:r>
        <w:tab/>
      </w:r>
      <w:r>
        <w:fldChar w:fldCharType="begin"/>
      </w:r>
      <w:r>
        <w:instrText xml:space="preserve"> PAGEREF _Toc163120946 \h </w:instrText>
      </w:r>
      <w:r>
        <w:fldChar w:fldCharType="separate"/>
      </w:r>
      <w:r>
        <w:t>193</w:t>
      </w:r>
      <w:r>
        <w:fldChar w:fldCharType="end"/>
      </w:r>
    </w:p>
    <w:p>
      <w:pPr>
        <w:pStyle w:val="TOC8"/>
        <w:rPr>
          <w:rFonts w:asciiTheme="minorHAnsi" w:eastAsiaTheme="minorEastAsia" w:hAnsiTheme="minorHAnsi" w:cstheme="minorBidi"/>
          <w:szCs w:val="22"/>
        </w:rPr>
      </w:pPr>
      <w:r>
        <w:t>16A.</w:t>
      </w:r>
      <w:r>
        <w:tab/>
        <w:t>Certificate by legal practitioner</w:t>
      </w:r>
      <w:r>
        <w:tab/>
      </w:r>
      <w:r>
        <w:fldChar w:fldCharType="begin"/>
      </w:r>
      <w:r>
        <w:instrText xml:space="preserve"> PAGEREF _Toc163120947 \h </w:instrText>
      </w:r>
      <w:r>
        <w:fldChar w:fldCharType="separate"/>
      </w:r>
      <w:r>
        <w:t>194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Revocation and variation of orders</w:t>
      </w:r>
      <w:r>
        <w:tab/>
      </w:r>
      <w:r>
        <w:fldChar w:fldCharType="begin"/>
      </w:r>
      <w:r>
        <w:instrText xml:space="preserve"> PAGEREF _Toc163120948 \h </w:instrText>
      </w:r>
      <w:r>
        <w:fldChar w:fldCharType="separate"/>
      </w:r>
      <w:r>
        <w:t>194</w:t>
      </w:r>
      <w:r>
        <w:fldChar w:fldCharType="end"/>
      </w:r>
    </w:p>
    <w:p>
      <w:pPr>
        <w:pStyle w:val="TOC2"/>
        <w:tabs>
          <w:tab w:val="right" w:leader="dot" w:pos="7077"/>
        </w:tabs>
        <w:rPr>
          <w:rFonts w:asciiTheme="minorHAnsi" w:eastAsiaTheme="minorEastAsia" w:hAnsiTheme="minorHAnsi" w:cstheme="minorBidi"/>
          <w:b w:val="0"/>
          <w:sz w:val="22"/>
          <w:szCs w:val="22"/>
        </w:rPr>
      </w:pPr>
      <w:r>
        <w:t>Order 26A — Discovery etc. from non</w:t>
      </w:r>
      <w:r>
        <w:noBreakHyphen/>
        <w:t>parties and potential parties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_Toc163120950 \h </w:instrText>
      </w:r>
      <w:r>
        <w:fldChar w:fldCharType="separate"/>
      </w:r>
      <w:r>
        <w:t>195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Public interest immunity not affected</w:t>
      </w:r>
      <w:r>
        <w:tab/>
      </w:r>
      <w:r>
        <w:fldChar w:fldCharType="begin"/>
      </w:r>
      <w:r>
        <w:instrText xml:space="preserve"> PAGEREF _Toc163120951 \h </w:instrText>
      </w:r>
      <w:r>
        <w:fldChar w:fldCharType="separate"/>
      </w:r>
      <w:r>
        <w:t>195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Discovery etc. to identify a potential party</w:t>
      </w:r>
      <w:r>
        <w:tab/>
      </w:r>
      <w:r>
        <w:fldChar w:fldCharType="begin"/>
      </w:r>
      <w:r>
        <w:instrText xml:space="preserve"> PAGEREF _Toc163120952 \h </w:instrText>
      </w:r>
      <w:r>
        <w:fldChar w:fldCharType="separate"/>
      </w:r>
      <w:r>
        <w:t>195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Discovery from potential party</w:t>
      </w:r>
      <w:r>
        <w:tab/>
      </w:r>
      <w:r>
        <w:fldChar w:fldCharType="begin"/>
      </w:r>
      <w:r>
        <w:instrText xml:space="preserve"> PAGEREF _Toc163120953 \h </w:instrText>
      </w:r>
      <w:r>
        <w:fldChar w:fldCharType="separate"/>
      </w:r>
      <w:r>
        <w:t>196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Discovery from non</w:t>
      </w:r>
      <w:r>
        <w:rPr>
          <w:snapToGrid w:val="0"/>
        </w:rPr>
        <w:noBreakHyphen/>
        <w:t>party</w:t>
      </w:r>
      <w:r>
        <w:tab/>
      </w:r>
      <w:r>
        <w:fldChar w:fldCharType="begin"/>
      </w:r>
      <w:r>
        <w:instrText xml:space="preserve"> PAGEREF _Toc163120954 \h </w:instrText>
      </w:r>
      <w:r>
        <w:fldChar w:fldCharType="separate"/>
      </w:r>
      <w:r>
        <w:t>197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 26 applies to discovery ordered under this Order</w:t>
      </w:r>
      <w:r>
        <w:tab/>
      </w:r>
      <w:r>
        <w:fldChar w:fldCharType="begin"/>
      </w:r>
      <w:r>
        <w:instrText xml:space="preserve"> PAGEREF _Toc163120955 \h </w:instrText>
      </w:r>
      <w:r>
        <w:fldChar w:fldCharType="separate"/>
      </w:r>
      <w:r>
        <w:t>198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Costs</w:t>
      </w:r>
      <w:r>
        <w:tab/>
      </w:r>
      <w:r>
        <w:fldChar w:fldCharType="begin"/>
      </w:r>
      <w:r>
        <w:instrText xml:space="preserve"> PAGEREF _Toc163120956 \h </w:instrText>
      </w:r>
      <w:r>
        <w:fldChar w:fldCharType="separate"/>
      </w:r>
      <w:r>
        <w:t>198</w:t>
      </w:r>
      <w:r>
        <w:fldChar w:fldCharType="end"/>
      </w:r>
    </w:p>
    <w:p>
      <w:pPr>
        <w:pStyle w:val="TOC8"/>
        <w:rPr>
          <w:rFonts w:asciiTheme="minorHAnsi" w:eastAsiaTheme="minorEastAsia" w:hAnsiTheme="minorHAnsi" w:cstheme="minorBidi"/>
          <w:szCs w:val="22"/>
        </w:rPr>
      </w:pPr>
      <w:r>
        <w:t>8.</w:t>
      </w:r>
      <w:r>
        <w:tab/>
        <w:t>Certificate by legal practitioner for non</w:t>
      </w:r>
      <w:r>
        <w:noBreakHyphen/>
        <w:t>party or potential party</w:t>
      </w:r>
      <w:r>
        <w:tab/>
      </w:r>
      <w:r>
        <w:fldChar w:fldCharType="begin"/>
      </w:r>
      <w:r>
        <w:instrText xml:space="preserve"> PAGEREF _Toc163120957 \h </w:instrText>
      </w:r>
      <w:r>
        <w:fldChar w:fldCharType="separate"/>
      </w:r>
      <w:r>
        <w:t>198</w:t>
      </w:r>
      <w:r>
        <w:fldChar w:fldCharType="end"/>
      </w:r>
    </w:p>
    <w:p>
      <w:pPr>
        <w:pStyle w:val="TOC2"/>
        <w:tabs>
          <w:tab w:val="right" w:leader="dot" w:pos="7077"/>
        </w:tabs>
        <w:rPr>
          <w:rFonts w:asciiTheme="minorHAnsi" w:eastAsiaTheme="minorEastAsia" w:hAnsiTheme="minorHAnsi" w:cstheme="minorBidi"/>
          <w:b w:val="0"/>
          <w:sz w:val="22"/>
          <w:szCs w:val="22"/>
        </w:rPr>
      </w:pPr>
      <w:r>
        <w:t>Order 27 — Interrogatories</w:t>
      </w:r>
    </w:p>
    <w:p>
      <w:pPr>
        <w:pStyle w:val="TOC8"/>
        <w:rPr>
          <w:rFonts w:asciiTheme="minorHAnsi" w:eastAsiaTheme="minorEastAsia" w:hAnsiTheme="minorHAnsi" w:cstheme="minorBidi"/>
          <w:szCs w:val="22"/>
        </w:rPr>
      </w:pPr>
      <w:r>
        <w:t>1</w:t>
      </w:r>
      <w:r>
        <w:rPr>
          <w:snapToGrid w:val="0"/>
        </w:rPr>
        <w:t>.</w:t>
      </w:r>
      <w:r>
        <w:rPr>
          <w:snapToGrid w:val="0"/>
        </w:rPr>
        <w:tab/>
        <w:t>Notice of and answers to interrogatories</w:t>
      </w:r>
      <w:r>
        <w:tab/>
      </w:r>
      <w:r>
        <w:fldChar w:fldCharType="begin"/>
      </w:r>
      <w:r>
        <w:instrText xml:space="preserve"> PAGEREF _Toc163120959 \h </w:instrText>
      </w:r>
      <w:r>
        <w:fldChar w:fldCharType="separate"/>
      </w:r>
      <w:r>
        <w:t>200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Answers, time for and manner of giving</w:t>
      </w:r>
      <w:r>
        <w:tab/>
      </w:r>
      <w:r>
        <w:fldChar w:fldCharType="begin"/>
      </w:r>
      <w:r>
        <w:instrText xml:space="preserve"> PAGEREF _Toc163120960 \h </w:instrText>
      </w:r>
      <w:r>
        <w:fldChar w:fldCharType="separate"/>
      </w:r>
      <w:r>
        <w:t>200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Interrogatories given to 2 or more parties etc., who has to answer</w:t>
      </w:r>
      <w:r>
        <w:tab/>
      </w:r>
      <w:r>
        <w:fldChar w:fldCharType="begin"/>
      </w:r>
      <w:r>
        <w:instrText xml:space="preserve"> PAGEREF _Toc163120961 \h </w:instrText>
      </w:r>
      <w:r>
        <w:fldChar w:fldCharType="separate"/>
      </w:r>
      <w:r>
        <w:t>200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Content of answers</w:t>
      </w:r>
      <w:r>
        <w:tab/>
      </w:r>
      <w:r>
        <w:fldChar w:fldCharType="begin"/>
      </w:r>
      <w:r>
        <w:instrText xml:space="preserve"> PAGEREF _Toc163120962 \h </w:instrText>
      </w:r>
      <w:r>
        <w:fldChar w:fldCharType="separate"/>
      </w:r>
      <w:r>
        <w:t>201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Grounds for objecting to answer</w:t>
      </w:r>
      <w:r>
        <w:tab/>
      </w:r>
      <w:r>
        <w:fldChar w:fldCharType="begin"/>
      </w:r>
      <w:r>
        <w:instrText xml:space="preserve"> PAGEREF _Toc163120963 \h </w:instrText>
      </w:r>
      <w:r>
        <w:fldChar w:fldCharType="separate"/>
      </w:r>
      <w:r>
        <w:t>201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Answers, who can make</w:t>
      </w:r>
      <w:r>
        <w:tab/>
      </w:r>
      <w:r>
        <w:fldChar w:fldCharType="begin"/>
      </w:r>
      <w:r>
        <w:instrText xml:space="preserve"> PAGEREF _Toc163120964 \h </w:instrText>
      </w:r>
      <w:r>
        <w:fldChar w:fldCharType="separate"/>
      </w:r>
      <w:r>
        <w:t>201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Failing to answer or to answer sufficiently</w:t>
      </w:r>
      <w:r>
        <w:tab/>
      </w:r>
      <w:r>
        <w:fldChar w:fldCharType="begin"/>
      </w:r>
      <w:r>
        <w:instrText xml:space="preserve"> PAGEREF _Toc163120965 \h </w:instrText>
      </w:r>
      <w:r>
        <w:fldChar w:fldCharType="separate"/>
      </w:r>
      <w:r>
        <w:t>202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Non</w:t>
      </w:r>
      <w:r>
        <w:rPr>
          <w:snapToGrid w:val="0"/>
        </w:rPr>
        <w:noBreakHyphen/>
        <w:t>compliance with order under r. 7</w:t>
      </w:r>
      <w:r>
        <w:tab/>
      </w:r>
      <w:r>
        <w:fldChar w:fldCharType="begin"/>
      </w:r>
      <w:r>
        <w:instrText xml:space="preserve"> PAGEREF _Toc163120966 \h </w:instrText>
      </w:r>
      <w:r>
        <w:fldChar w:fldCharType="separate"/>
      </w:r>
      <w:r>
        <w:t>202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Use of answers in evidence</w:t>
      </w:r>
      <w:r>
        <w:tab/>
      </w:r>
      <w:r>
        <w:fldChar w:fldCharType="begin"/>
      </w:r>
      <w:r>
        <w:instrText xml:space="preserve"> PAGEREF _Toc163120967 \h </w:instrText>
      </w:r>
      <w:r>
        <w:fldChar w:fldCharType="separate"/>
      </w:r>
      <w:r>
        <w:t>203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Revoking and varying orders</w:t>
      </w:r>
      <w:r>
        <w:tab/>
      </w:r>
      <w:r>
        <w:fldChar w:fldCharType="begin"/>
      </w:r>
      <w:r>
        <w:instrText xml:space="preserve"> PAGEREF _Toc163120968 \h </w:instrText>
      </w:r>
      <w:r>
        <w:fldChar w:fldCharType="separate"/>
      </w:r>
      <w:r>
        <w:t>203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Order 28 — Medical examination: inspection of physical objects</w:t>
      </w:r>
    </w:p>
    <w:p>
      <w:pPr>
        <w:pStyle w:val="TOC8"/>
        <w:rPr>
          <w:rFonts w:asciiTheme="minorHAnsi" w:eastAsiaTheme="minorEastAsia" w:hAnsiTheme="minorHAnsi" w:cstheme="minorBidi"/>
          <w:szCs w:val="22"/>
        </w:rPr>
      </w:pPr>
      <w:r>
        <w:t>1</w:t>
      </w:r>
      <w:r>
        <w:rPr>
          <w:snapToGrid w:val="0"/>
        </w:rPr>
        <w:t>.</w:t>
      </w:r>
      <w:r>
        <w:rPr>
          <w:snapToGrid w:val="0"/>
        </w:rPr>
        <w:tab/>
        <w:t>Medical examination of a party</w:t>
      </w:r>
      <w:r>
        <w:tab/>
      </w:r>
      <w:r>
        <w:fldChar w:fldCharType="begin"/>
      </w:r>
      <w:r>
        <w:instrText xml:space="preserve"> PAGEREF _Toc163120970 \h </w:instrText>
      </w:r>
      <w:r>
        <w:fldChar w:fldCharType="separate"/>
      </w:r>
      <w:r>
        <w:t>204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Inspection of physical objects</w:t>
      </w:r>
      <w:r>
        <w:tab/>
      </w:r>
      <w:r>
        <w:fldChar w:fldCharType="begin"/>
      </w:r>
      <w:r>
        <w:instrText xml:space="preserve"> PAGEREF _Toc163120971 \h </w:instrText>
      </w:r>
      <w:r>
        <w:fldChar w:fldCharType="separate"/>
      </w:r>
      <w:r>
        <w:t>205</w:t>
      </w:r>
      <w:r>
        <w:fldChar w:fldCharType="end"/>
      </w:r>
    </w:p>
    <w:p>
      <w:pPr>
        <w:pStyle w:val="TOC2"/>
        <w:tabs>
          <w:tab w:val="right" w:leader="dot" w:pos="7077"/>
        </w:tabs>
        <w:rPr>
          <w:rFonts w:asciiTheme="minorHAnsi" w:eastAsiaTheme="minorEastAsia" w:hAnsiTheme="minorHAnsi" w:cstheme="minorBidi"/>
          <w:b w:val="0"/>
          <w:sz w:val="22"/>
          <w:szCs w:val="22"/>
        </w:rPr>
      </w:pPr>
      <w:r>
        <w:t>Order 30 — Admissions</w:t>
      </w:r>
    </w:p>
    <w:p>
      <w:pPr>
        <w:pStyle w:val="TOC8"/>
        <w:rPr>
          <w:rFonts w:asciiTheme="minorHAnsi" w:eastAsiaTheme="minorEastAsia" w:hAnsiTheme="minorHAnsi" w:cstheme="minorBidi"/>
          <w:szCs w:val="22"/>
        </w:rPr>
      </w:pPr>
      <w:r>
        <w:t>1</w:t>
      </w:r>
      <w:r>
        <w:rPr>
          <w:snapToGrid w:val="0"/>
        </w:rPr>
        <w:t>.</w:t>
      </w:r>
      <w:r>
        <w:rPr>
          <w:snapToGrid w:val="0"/>
        </w:rPr>
        <w:tab/>
        <w:t>Admission of other party’s case</w:t>
      </w:r>
      <w:r>
        <w:tab/>
      </w:r>
      <w:r>
        <w:fldChar w:fldCharType="begin"/>
      </w:r>
      <w:r>
        <w:instrText xml:space="preserve"> PAGEREF _Toc163120973 \h </w:instrText>
      </w:r>
      <w:r>
        <w:fldChar w:fldCharType="separate"/>
      </w:r>
      <w:r>
        <w:t>207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Notice to admit facts</w:t>
      </w:r>
      <w:r>
        <w:tab/>
      </w:r>
      <w:r>
        <w:fldChar w:fldCharType="begin"/>
      </w:r>
      <w:r>
        <w:instrText xml:space="preserve"> PAGEREF _Toc163120974 \h </w:instrText>
      </w:r>
      <w:r>
        <w:fldChar w:fldCharType="separate"/>
      </w:r>
      <w:r>
        <w:t>207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Judgment on admissions</w:t>
      </w:r>
      <w:r>
        <w:tab/>
      </w:r>
      <w:r>
        <w:fldChar w:fldCharType="begin"/>
      </w:r>
      <w:r>
        <w:instrText xml:space="preserve"> PAGEREF _Toc163120975 \h </w:instrText>
      </w:r>
      <w:r>
        <w:fldChar w:fldCharType="separate"/>
      </w:r>
      <w:r>
        <w:t>207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Admissions as to and production of documents</w:t>
      </w:r>
      <w:r>
        <w:tab/>
      </w:r>
      <w:r>
        <w:fldChar w:fldCharType="begin"/>
      </w:r>
      <w:r>
        <w:instrText xml:space="preserve"> PAGEREF _Toc163120976 \h </w:instrText>
      </w:r>
      <w:r>
        <w:fldChar w:fldCharType="separate"/>
      </w:r>
      <w:r>
        <w:t>208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Notice to admit authenticity of documents; notice requiring production of documents at trial</w:t>
      </w:r>
      <w:r>
        <w:tab/>
      </w:r>
      <w:r>
        <w:fldChar w:fldCharType="begin"/>
      </w:r>
      <w:r>
        <w:instrText xml:space="preserve"> PAGEREF _Toc163120977 \h </w:instrText>
      </w:r>
      <w:r>
        <w:fldChar w:fldCharType="separate"/>
      </w:r>
      <w:r>
        <w:t>209</w:t>
      </w:r>
      <w:r>
        <w:fldChar w:fldCharType="end"/>
      </w:r>
    </w:p>
    <w:p>
      <w:pPr>
        <w:pStyle w:val="TOC2"/>
        <w:tabs>
          <w:tab w:val="right" w:leader="dot" w:pos="7077"/>
        </w:tabs>
        <w:rPr>
          <w:rFonts w:asciiTheme="minorHAnsi" w:eastAsiaTheme="minorEastAsia" w:hAnsiTheme="minorHAnsi" w:cstheme="minorBidi"/>
          <w:b w:val="0"/>
          <w:sz w:val="22"/>
          <w:szCs w:val="22"/>
        </w:rPr>
      </w:pPr>
      <w:r>
        <w:t>Order 31 — Special cases and stated cases</w:t>
      </w:r>
    </w:p>
    <w:p>
      <w:pPr>
        <w:pStyle w:val="TOC8"/>
        <w:rPr>
          <w:rFonts w:asciiTheme="minorHAnsi" w:eastAsiaTheme="minorEastAsia" w:hAnsiTheme="minorHAnsi" w:cstheme="minorBidi"/>
          <w:szCs w:val="22"/>
        </w:rPr>
      </w:pPr>
      <w:r>
        <w:t>1</w:t>
      </w:r>
      <w:r>
        <w:rPr>
          <w:snapToGrid w:val="0"/>
        </w:rPr>
        <w:t>.</w:t>
      </w:r>
      <w:r>
        <w:rPr>
          <w:snapToGrid w:val="0"/>
        </w:rPr>
        <w:tab/>
        <w:t>Questions of law, stating of in special case</w:t>
      </w:r>
      <w:r>
        <w:tab/>
      </w:r>
      <w:r>
        <w:fldChar w:fldCharType="begin"/>
      </w:r>
      <w:r>
        <w:instrText xml:space="preserve"> PAGEREF _Toc163120979 \h </w:instrText>
      </w:r>
      <w:r>
        <w:fldChar w:fldCharType="separate"/>
      </w:r>
      <w:r>
        <w:t>210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Preliminary question of law, orders as to</w:t>
      </w:r>
      <w:r>
        <w:tab/>
      </w:r>
      <w:r>
        <w:fldChar w:fldCharType="begin"/>
      </w:r>
      <w:r>
        <w:instrText xml:space="preserve"> PAGEREF _Toc163120980 \h </w:instrText>
      </w:r>
      <w:r>
        <w:fldChar w:fldCharType="separate"/>
      </w:r>
      <w:r>
        <w:t>210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Preparing special case</w:t>
      </w:r>
      <w:r>
        <w:tab/>
      </w:r>
      <w:r>
        <w:fldChar w:fldCharType="begin"/>
      </w:r>
      <w:r>
        <w:instrText xml:space="preserve"> PAGEREF _Toc163120981 \h </w:instrText>
      </w:r>
      <w:r>
        <w:fldChar w:fldCharType="separate"/>
      </w:r>
      <w:r>
        <w:t>210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Special case affecting person under disability, leave needed to enter for argument</w:t>
      </w:r>
      <w:r>
        <w:tab/>
      </w:r>
      <w:r>
        <w:fldChar w:fldCharType="begin"/>
      </w:r>
      <w:r>
        <w:instrText xml:space="preserve"> PAGEREF _Toc163120982 \h </w:instrText>
      </w:r>
      <w:r>
        <w:fldChar w:fldCharType="separate"/>
      </w:r>
      <w:r>
        <w:t>211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Entering special case for argument</w:t>
      </w:r>
      <w:r>
        <w:tab/>
      </w:r>
      <w:r>
        <w:fldChar w:fldCharType="begin"/>
      </w:r>
      <w:r>
        <w:instrText xml:space="preserve"> PAGEREF _Toc163120983 \h </w:instrText>
      </w:r>
      <w:r>
        <w:fldChar w:fldCharType="separate"/>
      </w:r>
      <w:r>
        <w:t>211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Agreement as to payment of money and costs</w:t>
      </w:r>
      <w:r>
        <w:tab/>
      </w:r>
      <w:r>
        <w:fldChar w:fldCharType="begin"/>
      </w:r>
      <w:r>
        <w:instrText xml:space="preserve"> PAGEREF _Toc163120984 \h </w:instrText>
      </w:r>
      <w:r>
        <w:fldChar w:fldCharType="separate"/>
      </w:r>
      <w:r>
        <w:t>211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Reference of case to</w:t>
      </w:r>
      <w:r>
        <w:t xml:space="preserve"> Court of Appeal</w:t>
      </w:r>
      <w:r>
        <w:rPr>
          <w:snapToGrid w:val="0"/>
        </w:rPr>
        <w:t xml:space="preserve"> (Act s. 58(1)(d))</w:t>
      </w:r>
      <w:r>
        <w:tab/>
      </w:r>
      <w:r>
        <w:fldChar w:fldCharType="begin"/>
      </w:r>
      <w:r>
        <w:instrText xml:space="preserve"> PAGEREF _Toc163120985 \h </w:instrText>
      </w:r>
      <w:r>
        <w:fldChar w:fldCharType="separate"/>
      </w:r>
      <w:r>
        <w:t>212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Cases stated to Court (not Court of Appeal) by other courts etc.</w:t>
      </w:r>
      <w:r>
        <w:tab/>
      </w:r>
      <w:r>
        <w:fldChar w:fldCharType="begin"/>
      </w:r>
      <w:r>
        <w:instrText xml:space="preserve"> PAGEREF _Toc163120986 \h </w:instrText>
      </w:r>
      <w:r>
        <w:fldChar w:fldCharType="separate"/>
      </w:r>
      <w:r>
        <w:t>212</w:t>
      </w:r>
      <w:r>
        <w:fldChar w:fldCharType="end"/>
      </w:r>
    </w:p>
    <w:p>
      <w:pPr>
        <w:pStyle w:val="TOC2"/>
        <w:tabs>
          <w:tab w:val="right" w:leader="dot" w:pos="7077"/>
        </w:tabs>
        <w:rPr>
          <w:rFonts w:asciiTheme="minorHAnsi" w:eastAsiaTheme="minorEastAsia" w:hAnsiTheme="minorHAnsi" w:cstheme="minorBidi"/>
          <w:b w:val="0"/>
          <w:sz w:val="22"/>
          <w:szCs w:val="22"/>
        </w:rPr>
      </w:pPr>
      <w:r>
        <w:t>Order 32 — Place and mode of trial</w:t>
      </w:r>
    </w:p>
    <w:p>
      <w:pPr>
        <w:pStyle w:val="TOC8"/>
        <w:rPr>
          <w:rFonts w:asciiTheme="minorHAnsi" w:eastAsiaTheme="minorEastAsia" w:hAnsiTheme="minorHAnsi" w:cstheme="minorBidi"/>
          <w:szCs w:val="22"/>
        </w:rPr>
      </w:pPr>
      <w:r>
        <w:t>1</w:t>
      </w:r>
      <w:r>
        <w:rPr>
          <w:snapToGrid w:val="0"/>
        </w:rPr>
        <w:t>.</w:t>
      </w:r>
      <w:r>
        <w:rPr>
          <w:snapToGrid w:val="0"/>
        </w:rPr>
        <w:tab/>
        <w:t>Trial in circuit town</w:t>
      </w:r>
      <w:r>
        <w:tab/>
      </w:r>
      <w:r>
        <w:fldChar w:fldCharType="begin"/>
      </w:r>
      <w:r>
        <w:instrText xml:space="preserve"> PAGEREF _Toc163120988 \h </w:instrText>
      </w:r>
      <w:r>
        <w:fldChar w:fldCharType="separate"/>
      </w:r>
      <w:r>
        <w:t>214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for trial by jury</w:t>
      </w:r>
      <w:r>
        <w:tab/>
      </w:r>
      <w:r>
        <w:fldChar w:fldCharType="begin"/>
      </w:r>
      <w:r>
        <w:instrText xml:space="preserve"> PAGEREF _Toc163120989 \h </w:instrText>
      </w:r>
      <w:r>
        <w:fldChar w:fldCharType="separate"/>
      </w:r>
      <w:r>
        <w:t>214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Usual mode of trial, other modes</w:t>
      </w:r>
      <w:r>
        <w:tab/>
      </w:r>
      <w:r>
        <w:fldChar w:fldCharType="begin"/>
      </w:r>
      <w:r>
        <w:instrText xml:space="preserve"> PAGEREF _Toc163120990 \h </w:instrText>
      </w:r>
      <w:r>
        <w:fldChar w:fldCharType="separate"/>
      </w:r>
      <w:r>
        <w:t>214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of trial of questions or issues</w:t>
      </w:r>
      <w:r>
        <w:tab/>
      </w:r>
      <w:r>
        <w:fldChar w:fldCharType="begin"/>
      </w:r>
      <w:r>
        <w:instrText xml:space="preserve"> PAGEREF _Toc163120991 \h </w:instrText>
      </w:r>
      <w:r>
        <w:fldChar w:fldCharType="separate"/>
      </w:r>
      <w:r>
        <w:t>214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Issues may be tried differently</w:t>
      </w:r>
      <w:r>
        <w:tab/>
      </w:r>
      <w:r>
        <w:fldChar w:fldCharType="begin"/>
      </w:r>
      <w:r>
        <w:instrText xml:space="preserve"> PAGEREF _Toc163120992 \h </w:instrText>
      </w:r>
      <w:r>
        <w:fldChar w:fldCharType="separate"/>
      </w:r>
      <w:r>
        <w:t>215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Trial with jury to be by single judge</w:t>
      </w:r>
      <w:r>
        <w:tab/>
      </w:r>
      <w:r>
        <w:fldChar w:fldCharType="begin"/>
      </w:r>
      <w:r>
        <w:instrText xml:space="preserve"> PAGEREF _Toc163120993 \h </w:instrText>
      </w:r>
      <w:r>
        <w:fldChar w:fldCharType="separate"/>
      </w:r>
      <w:r>
        <w:t>215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Disposal of action</w:t>
      </w:r>
      <w:r>
        <w:tab/>
      </w:r>
      <w:r>
        <w:fldChar w:fldCharType="begin"/>
      </w:r>
      <w:r>
        <w:instrText xml:space="preserve"> PAGEREF _Toc163120994 \h </w:instrText>
      </w:r>
      <w:r>
        <w:fldChar w:fldCharType="separate"/>
      </w:r>
      <w:r>
        <w:t>215</w:t>
      </w:r>
      <w:r>
        <w:fldChar w:fldCharType="end"/>
      </w:r>
    </w:p>
    <w:p>
      <w:pPr>
        <w:pStyle w:val="TOC8"/>
        <w:rPr>
          <w:rFonts w:asciiTheme="minorHAnsi" w:eastAsiaTheme="minorEastAsia" w:hAnsiTheme="minorHAnsi" w:cstheme="minorBidi"/>
          <w:szCs w:val="22"/>
        </w:rPr>
      </w:pPr>
      <w:r>
        <w:t>8.</w:t>
      </w:r>
      <w:r>
        <w:tab/>
        <w:t>Trial by jury, precepts for etc.</w:t>
      </w:r>
      <w:r>
        <w:tab/>
      </w:r>
      <w:r>
        <w:fldChar w:fldCharType="begin"/>
      </w:r>
      <w:r>
        <w:instrText xml:space="preserve"> PAGEREF _Toc163120995 \h </w:instrText>
      </w:r>
      <w:r>
        <w:fldChar w:fldCharType="separate"/>
      </w:r>
      <w:r>
        <w:t>215</w:t>
      </w:r>
      <w:r>
        <w:fldChar w:fldCharType="end"/>
      </w:r>
    </w:p>
    <w:p>
      <w:pPr>
        <w:pStyle w:val="TOC2"/>
        <w:tabs>
          <w:tab w:val="right" w:leader="dot" w:pos="7077"/>
        </w:tabs>
        <w:rPr>
          <w:rFonts w:asciiTheme="minorHAnsi" w:eastAsiaTheme="minorEastAsia" w:hAnsiTheme="minorHAnsi" w:cstheme="minorBidi"/>
          <w:b w:val="0"/>
          <w:sz w:val="22"/>
          <w:szCs w:val="22"/>
        </w:rPr>
      </w:pPr>
      <w:r>
        <w:t>Order 33 — Entry for trial</w:t>
      </w:r>
    </w:p>
    <w:p>
      <w:pPr>
        <w:pStyle w:val="TOC8"/>
        <w:rPr>
          <w:rFonts w:asciiTheme="minorHAnsi" w:eastAsiaTheme="minorEastAsia" w:hAnsiTheme="minorHAnsi" w:cstheme="minorBidi"/>
          <w:szCs w:val="22"/>
        </w:rPr>
      </w:pPr>
      <w:r>
        <w:t>1.</w:t>
      </w:r>
      <w:r>
        <w:tab/>
        <w:t>Entry for trial</w:t>
      </w:r>
      <w:r>
        <w:tab/>
      </w:r>
      <w:r>
        <w:fldChar w:fldCharType="begin"/>
      </w:r>
      <w:r>
        <w:instrText xml:space="preserve"> PAGEREF _Toc163120997 \h </w:instrText>
      </w:r>
      <w:r>
        <w:fldChar w:fldCharType="separate"/>
      </w:r>
      <w:r>
        <w:t>216</w:t>
      </w:r>
      <w:r>
        <w:fldChar w:fldCharType="end"/>
      </w:r>
    </w:p>
    <w:p>
      <w:pPr>
        <w:pStyle w:val="TOC8"/>
        <w:rPr>
          <w:rFonts w:asciiTheme="minorHAnsi" w:eastAsiaTheme="minorEastAsia" w:hAnsiTheme="minorHAnsi" w:cstheme="minorBidi"/>
          <w:szCs w:val="22"/>
        </w:rPr>
      </w:pPr>
      <w:r>
        <w:lastRenderedPageBreak/>
        <w:t>2</w:t>
      </w:r>
      <w:r>
        <w:rPr>
          <w:snapToGrid w:val="0"/>
        </w:rPr>
        <w:t>.</w:t>
      </w:r>
      <w:r>
        <w:rPr>
          <w:snapToGrid w:val="0"/>
        </w:rPr>
        <w:tab/>
        <w:t>Consequences of failing to enter for trial as directed</w:t>
      </w:r>
      <w:r>
        <w:tab/>
      </w:r>
      <w:r>
        <w:fldChar w:fldCharType="begin"/>
      </w:r>
      <w:r>
        <w:instrText xml:space="preserve"> PAGEREF _Toc163120998 \h </w:instrText>
      </w:r>
      <w:r>
        <w:fldChar w:fldCharType="separate"/>
      </w:r>
      <w:r>
        <w:t>216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entry</w:t>
      </w:r>
      <w:r>
        <w:tab/>
      </w:r>
      <w:r>
        <w:fldChar w:fldCharType="begin"/>
      </w:r>
      <w:r>
        <w:instrText xml:space="preserve"> PAGEREF _Toc163120999 \h </w:instrText>
      </w:r>
      <w:r>
        <w:fldChar w:fldCharType="separate"/>
      </w:r>
      <w:r>
        <w:t>217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 of entry for trial</w:t>
      </w:r>
      <w:r>
        <w:tab/>
      </w:r>
      <w:r>
        <w:fldChar w:fldCharType="begin"/>
      </w:r>
      <w:r>
        <w:instrText xml:space="preserve"> PAGEREF _Toc163121000 \h </w:instrText>
      </w:r>
      <w:r>
        <w:fldChar w:fldCharType="separate"/>
      </w:r>
      <w:r>
        <w:t>217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Papers for judge</w:t>
      </w:r>
      <w:r>
        <w:tab/>
      </w:r>
      <w:r>
        <w:fldChar w:fldCharType="begin"/>
      </w:r>
      <w:r>
        <w:instrText xml:space="preserve"> PAGEREF _Toc163121001 \h </w:instrText>
      </w:r>
      <w:r>
        <w:fldChar w:fldCharType="separate"/>
      </w:r>
      <w:r>
        <w:t>217</w:t>
      </w:r>
      <w:r>
        <w:fldChar w:fldCharType="end"/>
      </w:r>
    </w:p>
    <w:p>
      <w:pPr>
        <w:pStyle w:val="TOC2"/>
        <w:tabs>
          <w:tab w:val="right" w:leader="dot" w:pos="7077"/>
        </w:tabs>
        <w:rPr>
          <w:rFonts w:asciiTheme="minorHAnsi" w:eastAsiaTheme="minorEastAsia" w:hAnsiTheme="minorHAnsi" w:cstheme="minorBidi"/>
          <w:b w:val="0"/>
          <w:sz w:val="22"/>
          <w:szCs w:val="22"/>
        </w:rPr>
      </w:pPr>
      <w:r>
        <w:t>Order 34 — Proceedings at trial</w:t>
      </w:r>
    </w:p>
    <w:p>
      <w:pPr>
        <w:pStyle w:val="TOC8"/>
        <w:rPr>
          <w:rFonts w:asciiTheme="minorHAnsi" w:eastAsiaTheme="minorEastAsia" w:hAnsiTheme="minorHAnsi" w:cstheme="minorBidi"/>
          <w:szCs w:val="22"/>
        </w:rPr>
      </w:pPr>
      <w:r>
        <w:t>1A.</w:t>
      </w:r>
      <w:r>
        <w:tab/>
        <w:t>Outlines for trial</w:t>
      </w:r>
      <w:r>
        <w:tab/>
      </w:r>
      <w:r>
        <w:fldChar w:fldCharType="begin"/>
      </w:r>
      <w:r>
        <w:instrText xml:space="preserve"> PAGEREF _Toc163121003 \h </w:instrText>
      </w:r>
      <w:r>
        <w:fldChar w:fldCharType="separate"/>
      </w:r>
      <w:r>
        <w:t>219</w:t>
      </w:r>
      <w:r>
        <w:fldChar w:fldCharType="end"/>
      </w:r>
    </w:p>
    <w:p>
      <w:pPr>
        <w:pStyle w:val="TOC8"/>
        <w:rPr>
          <w:rFonts w:asciiTheme="minorHAnsi" w:eastAsiaTheme="minorEastAsia" w:hAnsiTheme="minorHAnsi" w:cstheme="minorBidi"/>
          <w:szCs w:val="22"/>
        </w:rPr>
      </w:pPr>
      <w:r>
        <w:t>1</w:t>
      </w:r>
      <w:r>
        <w:rPr>
          <w:snapToGrid w:val="0"/>
        </w:rPr>
        <w:t>.</w:t>
      </w:r>
      <w:r>
        <w:rPr>
          <w:snapToGrid w:val="0"/>
        </w:rPr>
        <w:tab/>
        <w:t>Absence of both parties at trial</w:t>
      </w:r>
      <w:r>
        <w:tab/>
      </w:r>
      <w:r>
        <w:fldChar w:fldCharType="begin"/>
      </w:r>
      <w:r>
        <w:instrText xml:space="preserve"> PAGEREF _Toc163121004 \h </w:instrText>
      </w:r>
      <w:r>
        <w:fldChar w:fldCharType="separate"/>
      </w:r>
      <w:r>
        <w:t>219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Absence of one party at trial</w:t>
      </w:r>
      <w:r>
        <w:tab/>
      </w:r>
      <w:r>
        <w:fldChar w:fldCharType="begin"/>
      </w:r>
      <w:r>
        <w:instrText xml:space="preserve"> PAGEREF _Toc163121005 \h </w:instrText>
      </w:r>
      <w:r>
        <w:fldChar w:fldCharType="separate"/>
      </w:r>
      <w:r>
        <w:t>219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Setting aside judgment given in absence of party</w:t>
      </w:r>
      <w:r>
        <w:tab/>
      </w:r>
      <w:r>
        <w:fldChar w:fldCharType="begin"/>
      </w:r>
      <w:r>
        <w:instrText xml:space="preserve"> PAGEREF _Toc163121006 \h </w:instrText>
      </w:r>
      <w:r>
        <w:fldChar w:fldCharType="separate"/>
      </w:r>
      <w:r>
        <w:t>219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Adjournment of trial</w:t>
      </w:r>
      <w:r>
        <w:tab/>
      </w:r>
      <w:r>
        <w:fldChar w:fldCharType="begin"/>
      </w:r>
      <w:r>
        <w:instrText xml:space="preserve"> PAGEREF _Toc163121007 \h </w:instrText>
      </w:r>
      <w:r>
        <w:fldChar w:fldCharType="separate"/>
      </w:r>
      <w:r>
        <w:t>220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Conduct of trial</w:t>
      </w:r>
      <w:r>
        <w:tab/>
      </w:r>
      <w:r>
        <w:fldChar w:fldCharType="begin"/>
      </w:r>
      <w:r>
        <w:instrText xml:space="preserve"> PAGEREF _Toc163121008 \h </w:instrText>
      </w:r>
      <w:r>
        <w:fldChar w:fldCharType="separate"/>
      </w:r>
      <w:r>
        <w:t>220</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Time etc. limits at trial</w:t>
      </w:r>
      <w:r>
        <w:tab/>
      </w:r>
      <w:r>
        <w:fldChar w:fldCharType="begin"/>
      </w:r>
      <w:r>
        <w:instrText xml:space="preserve"> PAGEREF _Toc163121009 \h </w:instrText>
      </w:r>
      <w:r>
        <w:fldChar w:fldCharType="separate"/>
      </w:r>
      <w:r>
        <w:t>221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Evidence in mitigation of damages for defamation</w:t>
      </w:r>
      <w:r>
        <w:tab/>
      </w:r>
      <w:r>
        <w:fldChar w:fldCharType="begin"/>
      </w:r>
      <w:r>
        <w:instrText xml:space="preserve"> PAGEREF _Toc163121010 \h </w:instrText>
      </w:r>
      <w:r>
        <w:fldChar w:fldCharType="separate"/>
      </w:r>
      <w:r>
        <w:t>222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Inspection by judge or jury</w:t>
      </w:r>
      <w:r>
        <w:tab/>
      </w:r>
      <w:r>
        <w:fldChar w:fldCharType="begin"/>
      </w:r>
      <w:r>
        <w:instrText xml:space="preserve"> PAGEREF _Toc163121011 \h </w:instrText>
      </w:r>
      <w:r>
        <w:fldChar w:fldCharType="separate"/>
      </w:r>
      <w:r>
        <w:t>222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Judgment at or after trial</w:t>
      </w:r>
      <w:r>
        <w:tab/>
      </w:r>
      <w:r>
        <w:fldChar w:fldCharType="begin"/>
      </w:r>
      <w:r>
        <w:instrText xml:space="preserve"> PAGEREF _Toc163121012 \h </w:instrText>
      </w:r>
      <w:r>
        <w:fldChar w:fldCharType="separate"/>
      </w:r>
      <w:r>
        <w:t>222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Record of proceedings</w:t>
      </w:r>
      <w:r>
        <w:tab/>
      </w:r>
      <w:r>
        <w:fldChar w:fldCharType="begin"/>
      </w:r>
      <w:r>
        <w:instrText xml:space="preserve"> PAGEREF _Toc163121013 \h </w:instrText>
      </w:r>
      <w:r>
        <w:fldChar w:fldCharType="separate"/>
      </w:r>
      <w:r>
        <w:t>222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Where time occupied by trial excessive</w:t>
      </w:r>
      <w:r>
        <w:tab/>
      </w:r>
      <w:r>
        <w:fldChar w:fldCharType="begin"/>
      </w:r>
      <w:r>
        <w:instrText xml:space="preserve"> PAGEREF _Toc163121014 \h </w:instrText>
      </w:r>
      <w:r>
        <w:fldChar w:fldCharType="separate"/>
      </w:r>
      <w:r>
        <w:t>223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Entry of findings of fact on trial</w:t>
      </w:r>
      <w:r>
        <w:tab/>
      </w:r>
      <w:r>
        <w:fldChar w:fldCharType="begin"/>
      </w:r>
      <w:r>
        <w:instrText xml:space="preserve"> PAGEREF _Toc163121015 \h </w:instrText>
      </w:r>
      <w:r>
        <w:fldChar w:fldCharType="separate"/>
      </w:r>
      <w:r>
        <w:t>223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Certificate for entry of judgment</w:t>
      </w:r>
      <w:r>
        <w:tab/>
      </w:r>
      <w:r>
        <w:fldChar w:fldCharType="begin"/>
      </w:r>
      <w:r>
        <w:instrText xml:space="preserve"> PAGEREF _Toc163121016 \h </w:instrText>
      </w:r>
      <w:r>
        <w:fldChar w:fldCharType="separate"/>
      </w:r>
      <w:r>
        <w:t>223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Exhibits</w:t>
      </w:r>
      <w:r>
        <w:tab/>
      </w:r>
      <w:r>
        <w:fldChar w:fldCharType="begin"/>
      </w:r>
      <w:r>
        <w:instrText xml:space="preserve"> PAGEREF _Toc163121017 \h </w:instrText>
      </w:r>
      <w:r>
        <w:fldChar w:fldCharType="separate"/>
      </w:r>
      <w:r>
        <w:t>224</w:t>
      </w:r>
      <w:r>
        <w:fldChar w:fldCharType="end"/>
      </w:r>
    </w:p>
    <w:p>
      <w:pPr>
        <w:pStyle w:val="TOC8"/>
        <w:rPr>
          <w:rFonts w:asciiTheme="minorHAnsi" w:eastAsiaTheme="minorEastAsia" w:hAnsiTheme="minorHAnsi" w:cstheme="minorBidi"/>
          <w:szCs w:val="22"/>
        </w:rPr>
      </w:pPr>
      <w:r>
        <w:t>14.</w:t>
      </w:r>
      <w:r>
        <w:tab/>
        <w:t>Return of exhibits</w:t>
      </w:r>
      <w:r>
        <w:tab/>
      </w:r>
      <w:r>
        <w:fldChar w:fldCharType="begin"/>
      </w:r>
      <w:r>
        <w:instrText xml:space="preserve"> PAGEREF _Toc163121018 \h </w:instrText>
      </w:r>
      <w:r>
        <w:fldChar w:fldCharType="separate"/>
      </w:r>
      <w:r>
        <w:t>224</w:t>
      </w:r>
      <w:r>
        <w:fldChar w:fldCharType="end"/>
      </w:r>
    </w:p>
    <w:p>
      <w:pPr>
        <w:pStyle w:val="TOC8"/>
        <w:rPr>
          <w:rFonts w:asciiTheme="minorHAnsi" w:eastAsiaTheme="minorEastAsia" w:hAnsiTheme="minorHAnsi" w:cstheme="minorBidi"/>
          <w:szCs w:val="22"/>
        </w:rPr>
      </w:pPr>
      <w:r>
        <w:t>15A</w:t>
      </w:r>
      <w:r>
        <w:rPr>
          <w:snapToGrid w:val="0"/>
        </w:rPr>
        <w:t>.</w:t>
      </w:r>
      <w:r>
        <w:rPr>
          <w:snapToGrid w:val="0"/>
        </w:rPr>
        <w:tab/>
        <w:t>Return of document etc. to non-party who produced it under subpoena</w:t>
      </w:r>
      <w:r>
        <w:tab/>
      </w:r>
      <w:r>
        <w:fldChar w:fldCharType="begin"/>
      </w:r>
      <w:r>
        <w:instrText xml:space="preserve"> PAGEREF _Toc163121019 \h </w:instrText>
      </w:r>
      <w:r>
        <w:fldChar w:fldCharType="separate"/>
      </w:r>
      <w:r>
        <w:t>225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Death of party before judgment is given</w:t>
      </w:r>
      <w:r>
        <w:tab/>
      </w:r>
      <w:r>
        <w:fldChar w:fldCharType="begin"/>
      </w:r>
      <w:r>
        <w:instrText xml:space="preserve"> PAGEREF _Toc163121020 \h </w:instrText>
      </w:r>
      <w:r>
        <w:fldChar w:fldCharType="separate"/>
      </w:r>
      <w:r>
        <w:t>226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Impounded documents</w:t>
      </w:r>
      <w:r>
        <w:tab/>
      </w:r>
      <w:r>
        <w:fldChar w:fldCharType="begin"/>
      </w:r>
      <w:r>
        <w:instrText xml:space="preserve"> PAGEREF _Toc163121021 \h </w:instrText>
      </w:r>
      <w:r>
        <w:fldChar w:fldCharType="separate"/>
      </w:r>
      <w:r>
        <w:t>226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Assessment of damages by master</w:t>
      </w:r>
      <w:r>
        <w:tab/>
      </w:r>
      <w:r>
        <w:fldChar w:fldCharType="begin"/>
      </w:r>
      <w:r>
        <w:instrText xml:space="preserve"> PAGEREF _Toc163121022 \h </w:instrText>
      </w:r>
      <w:r>
        <w:fldChar w:fldCharType="separate"/>
      </w:r>
      <w:r>
        <w:t>226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Damages to time of assessment</w:t>
      </w:r>
      <w:r>
        <w:tab/>
      </w:r>
      <w:r>
        <w:fldChar w:fldCharType="begin"/>
      </w:r>
      <w:r>
        <w:instrText xml:space="preserve"> PAGEREF _Toc163121023 \h </w:instrText>
      </w:r>
      <w:r>
        <w:fldChar w:fldCharType="separate"/>
      </w:r>
      <w:r>
        <w:t>227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Writ of inquiry not to be used</w:t>
      </w:r>
      <w:r>
        <w:tab/>
      </w:r>
      <w:r>
        <w:fldChar w:fldCharType="begin"/>
      </w:r>
      <w:r>
        <w:instrText xml:space="preserve"> PAGEREF _Toc163121024 \h </w:instrText>
      </w:r>
      <w:r>
        <w:fldChar w:fldCharType="separate"/>
      </w:r>
      <w:r>
        <w:t>227</w:t>
      </w:r>
      <w:r>
        <w:fldChar w:fldCharType="end"/>
      </w:r>
    </w:p>
    <w:p>
      <w:pPr>
        <w:pStyle w:val="TOC2"/>
        <w:tabs>
          <w:tab w:val="right" w:leader="dot" w:pos="7077"/>
        </w:tabs>
        <w:rPr>
          <w:rFonts w:asciiTheme="minorHAnsi" w:eastAsiaTheme="minorEastAsia" w:hAnsiTheme="minorHAnsi" w:cstheme="minorBidi"/>
          <w:b w:val="0"/>
          <w:sz w:val="22"/>
          <w:szCs w:val="22"/>
        </w:rPr>
      </w:pPr>
      <w:r>
        <w:t>Order 35 — Assessors and referees</w:t>
      </w:r>
    </w:p>
    <w:p>
      <w:pPr>
        <w:pStyle w:val="TOC8"/>
        <w:rPr>
          <w:rFonts w:asciiTheme="minorHAnsi" w:eastAsiaTheme="minorEastAsia" w:hAnsiTheme="minorHAnsi" w:cstheme="minorBidi"/>
          <w:szCs w:val="22"/>
        </w:rPr>
      </w:pPr>
      <w:r>
        <w:t>1</w:t>
      </w:r>
      <w:r>
        <w:rPr>
          <w:snapToGrid w:val="0"/>
        </w:rPr>
        <w:t>.</w:t>
      </w:r>
      <w:r>
        <w:rPr>
          <w:snapToGrid w:val="0"/>
        </w:rPr>
        <w:tab/>
        <w:t>Trial with assessors</w:t>
      </w:r>
      <w:r>
        <w:tab/>
      </w:r>
      <w:r>
        <w:fldChar w:fldCharType="begin"/>
      </w:r>
      <w:r>
        <w:instrText xml:space="preserve"> PAGEREF _Toc163121026 \h </w:instrText>
      </w:r>
      <w:r>
        <w:fldChar w:fldCharType="separate"/>
      </w:r>
      <w:r>
        <w:t>228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Trial before referee</w:t>
      </w:r>
      <w:r>
        <w:tab/>
      </w:r>
      <w:r>
        <w:fldChar w:fldCharType="begin"/>
      </w:r>
      <w:r>
        <w:instrText xml:space="preserve"> PAGEREF _Toc163121027 \h </w:instrText>
      </w:r>
      <w:r>
        <w:fldChar w:fldCharType="separate"/>
      </w:r>
      <w:r>
        <w:t>228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Evidence before referee</w:t>
      </w:r>
      <w:r>
        <w:tab/>
      </w:r>
      <w:r>
        <w:fldChar w:fldCharType="begin"/>
      </w:r>
      <w:r>
        <w:instrText xml:space="preserve"> PAGEREF _Toc163121028 \h </w:instrText>
      </w:r>
      <w:r>
        <w:fldChar w:fldCharType="separate"/>
      </w:r>
      <w:r>
        <w:t>228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Authority of referee</w:t>
      </w:r>
      <w:r>
        <w:tab/>
      </w:r>
      <w:r>
        <w:fldChar w:fldCharType="begin"/>
      </w:r>
      <w:r>
        <w:instrText xml:space="preserve"> PAGEREF _Toc163121029 \h </w:instrText>
      </w:r>
      <w:r>
        <w:fldChar w:fldCharType="separate"/>
      </w:r>
      <w:r>
        <w:t>228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Referee cannot order imprisonment</w:t>
      </w:r>
      <w:r>
        <w:tab/>
      </w:r>
      <w:r>
        <w:fldChar w:fldCharType="begin"/>
      </w:r>
      <w:r>
        <w:instrText xml:space="preserve"> PAGEREF _Toc163121030 \h </w:instrText>
      </w:r>
      <w:r>
        <w:fldChar w:fldCharType="separate"/>
      </w:r>
      <w:r>
        <w:t>229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Referee may submit question to Court</w:t>
      </w:r>
      <w:r>
        <w:tab/>
      </w:r>
      <w:r>
        <w:fldChar w:fldCharType="begin"/>
      </w:r>
      <w:r>
        <w:instrText xml:space="preserve"> PAGEREF _Toc163121031 \h </w:instrText>
      </w:r>
      <w:r>
        <w:fldChar w:fldCharType="separate"/>
      </w:r>
      <w:r>
        <w:t>229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Notice of referee’s report</w:t>
      </w:r>
      <w:r>
        <w:tab/>
      </w:r>
      <w:r>
        <w:fldChar w:fldCharType="begin"/>
      </w:r>
      <w:r>
        <w:instrText xml:space="preserve"> PAGEREF _Toc163121032 \h </w:instrText>
      </w:r>
      <w:r>
        <w:fldChar w:fldCharType="separate"/>
      </w:r>
      <w:r>
        <w:t>229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Adoption etc. of referee’s report in adjourned case</w:t>
      </w:r>
      <w:r>
        <w:tab/>
      </w:r>
      <w:r>
        <w:fldChar w:fldCharType="begin"/>
      </w:r>
      <w:r>
        <w:instrText xml:space="preserve"> PAGEREF _Toc163121033 \h </w:instrText>
      </w:r>
      <w:r>
        <w:fldChar w:fldCharType="separate"/>
      </w:r>
      <w:r>
        <w:t>229</w:t>
      </w:r>
      <w:r>
        <w:fldChar w:fldCharType="end"/>
      </w:r>
    </w:p>
    <w:p>
      <w:pPr>
        <w:pStyle w:val="TOC8"/>
        <w:rPr>
          <w:rFonts w:asciiTheme="minorHAnsi" w:eastAsiaTheme="minorEastAsia" w:hAnsiTheme="minorHAnsi" w:cstheme="minorBidi"/>
          <w:szCs w:val="22"/>
        </w:rPr>
      </w:pPr>
      <w:r>
        <w:lastRenderedPageBreak/>
        <w:t>9</w:t>
      </w:r>
      <w:r>
        <w:rPr>
          <w:snapToGrid w:val="0"/>
        </w:rPr>
        <w:t>.</w:t>
      </w:r>
      <w:r>
        <w:rPr>
          <w:snapToGrid w:val="0"/>
        </w:rPr>
        <w:tab/>
        <w:t>Adoption etc. of referee’s report where case not adjourned</w:t>
      </w:r>
      <w:r>
        <w:tab/>
      </w:r>
      <w:r>
        <w:fldChar w:fldCharType="begin"/>
      </w:r>
      <w:r>
        <w:instrText xml:space="preserve"> PAGEREF _Toc163121034 \h </w:instrText>
      </w:r>
      <w:r>
        <w:fldChar w:fldCharType="separate"/>
      </w:r>
      <w:r>
        <w:t>230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Costs</w:t>
      </w:r>
      <w:r>
        <w:tab/>
      </w:r>
      <w:r>
        <w:fldChar w:fldCharType="begin"/>
      </w:r>
      <w:r>
        <w:instrText xml:space="preserve"> PAGEREF _Toc163121035 \h </w:instrText>
      </w:r>
      <w:r>
        <w:fldChar w:fldCharType="separate"/>
      </w:r>
      <w:r>
        <w:t>230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Application of this Order to other references</w:t>
      </w:r>
      <w:r>
        <w:tab/>
      </w:r>
      <w:r>
        <w:fldChar w:fldCharType="begin"/>
      </w:r>
      <w:r>
        <w:instrText xml:space="preserve"> PAGEREF _Toc163121036 \h </w:instrText>
      </w:r>
      <w:r>
        <w:fldChar w:fldCharType="separate"/>
      </w:r>
      <w:r>
        <w:t>230</w:t>
      </w:r>
      <w:r>
        <w:fldChar w:fldCharType="end"/>
      </w:r>
    </w:p>
    <w:p>
      <w:pPr>
        <w:pStyle w:val="TOC2"/>
        <w:tabs>
          <w:tab w:val="right" w:leader="dot" w:pos="7077"/>
        </w:tabs>
        <w:rPr>
          <w:rFonts w:asciiTheme="minorHAnsi" w:eastAsiaTheme="minorEastAsia" w:hAnsiTheme="minorHAnsi" w:cstheme="minorBidi"/>
          <w:b w:val="0"/>
          <w:sz w:val="22"/>
          <w:szCs w:val="22"/>
        </w:rPr>
      </w:pPr>
      <w:r>
        <w:t>Order 36 — Evidence: general</w:t>
      </w:r>
    </w:p>
    <w:p>
      <w:pPr>
        <w:pStyle w:val="TOC8"/>
        <w:rPr>
          <w:rFonts w:asciiTheme="minorHAnsi" w:eastAsiaTheme="minorEastAsia" w:hAnsiTheme="minorHAnsi" w:cstheme="minorBidi"/>
          <w:szCs w:val="22"/>
        </w:rPr>
      </w:pPr>
      <w:r>
        <w:t>1</w:t>
      </w:r>
      <w:r>
        <w:rPr>
          <w:snapToGrid w:val="0"/>
        </w:rPr>
        <w:t>.</w:t>
      </w:r>
      <w:r>
        <w:rPr>
          <w:snapToGrid w:val="0"/>
        </w:rPr>
        <w:tab/>
        <w:t>Facts to be proved usually by oral evidence in open court</w:t>
      </w:r>
      <w:r>
        <w:tab/>
      </w:r>
      <w:r>
        <w:fldChar w:fldCharType="begin"/>
      </w:r>
      <w:r>
        <w:instrText xml:space="preserve"> PAGEREF _Toc163121038 \h </w:instrText>
      </w:r>
      <w:r>
        <w:fldChar w:fldCharType="separate"/>
      </w:r>
      <w:r>
        <w:t>231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Evidence by affidavit</w:t>
      </w:r>
      <w:r>
        <w:tab/>
      </w:r>
      <w:r>
        <w:fldChar w:fldCharType="begin"/>
      </w:r>
      <w:r>
        <w:instrText xml:space="preserve"> PAGEREF _Toc163121039 \h </w:instrText>
      </w:r>
      <w:r>
        <w:fldChar w:fldCharType="separate"/>
      </w:r>
      <w:r>
        <w:t>231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Evidence of children etc. (</w:t>
      </w:r>
      <w:r>
        <w:rPr>
          <w:i/>
          <w:snapToGrid w:val="0"/>
        </w:rPr>
        <w:t>Evidence Act 1906</w:t>
      </w:r>
      <w:r>
        <w:rPr>
          <w:snapToGrid w:val="0"/>
        </w:rPr>
        <w:t xml:space="preserve"> s. 106S)</w:t>
      </w:r>
      <w:r>
        <w:tab/>
      </w:r>
      <w:r>
        <w:fldChar w:fldCharType="begin"/>
      </w:r>
      <w:r>
        <w:instrText xml:space="preserve"> PAGEREF _Toc163121040 \h </w:instrText>
      </w:r>
      <w:r>
        <w:fldChar w:fldCharType="separate"/>
      </w:r>
      <w:r>
        <w:t>231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Reception of plans etc. in evidence</w:t>
      </w:r>
      <w:r>
        <w:tab/>
      </w:r>
      <w:r>
        <w:fldChar w:fldCharType="begin"/>
      </w:r>
      <w:r>
        <w:instrText xml:space="preserve"> PAGEREF _Toc163121041 \h </w:instrText>
      </w:r>
      <w:r>
        <w:fldChar w:fldCharType="separate"/>
      </w:r>
      <w:r>
        <w:t>232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Orders under r. 2 or 4 may be revoked or varied</w:t>
      </w:r>
      <w:r>
        <w:tab/>
      </w:r>
      <w:r>
        <w:fldChar w:fldCharType="begin"/>
      </w:r>
      <w:r>
        <w:instrText xml:space="preserve"> PAGEREF _Toc163121042 \h </w:instrText>
      </w:r>
      <w:r>
        <w:fldChar w:fldCharType="separate"/>
      </w:r>
      <w:r>
        <w:t>232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Trials of issues etc., evidence in</w:t>
      </w:r>
      <w:r>
        <w:tab/>
      </w:r>
      <w:r>
        <w:fldChar w:fldCharType="begin"/>
      </w:r>
      <w:r>
        <w:instrText xml:space="preserve"> PAGEREF _Toc163121043 \h </w:instrText>
      </w:r>
      <w:r>
        <w:fldChar w:fldCharType="separate"/>
      </w:r>
      <w:r>
        <w:t>232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Depositions as evidence</w:t>
      </w:r>
      <w:r>
        <w:tab/>
      </w:r>
      <w:r>
        <w:fldChar w:fldCharType="begin"/>
      </w:r>
      <w:r>
        <w:instrText xml:space="preserve"> PAGEREF _Toc163121044 \h </w:instrText>
      </w:r>
      <w:r>
        <w:fldChar w:fldCharType="separate"/>
      </w:r>
      <w:r>
        <w:t>232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Court documents admissible in evidence</w:t>
      </w:r>
      <w:r>
        <w:tab/>
      </w:r>
      <w:r>
        <w:fldChar w:fldCharType="begin"/>
      </w:r>
      <w:r>
        <w:instrText xml:space="preserve"> PAGEREF _Toc163121045 \h </w:instrText>
      </w:r>
      <w:r>
        <w:fldChar w:fldCharType="separate"/>
      </w:r>
      <w:r>
        <w:t>233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Evidence at trial may be used in subsequent proceedings</w:t>
      </w:r>
      <w:r>
        <w:tab/>
      </w:r>
      <w:r>
        <w:fldChar w:fldCharType="begin"/>
      </w:r>
      <w:r>
        <w:instrText xml:space="preserve"> PAGEREF _Toc163121046 \h </w:instrText>
      </w:r>
      <w:r>
        <w:fldChar w:fldCharType="separate"/>
      </w:r>
      <w:r>
        <w:t>233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Evidence in another cause</w:t>
      </w:r>
      <w:r>
        <w:tab/>
      </w:r>
      <w:r>
        <w:fldChar w:fldCharType="begin"/>
      </w:r>
      <w:r>
        <w:instrText xml:space="preserve"> PAGEREF _Toc163121047 \h </w:instrText>
      </w:r>
      <w:r>
        <w:fldChar w:fldCharType="separate"/>
      </w:r>
      <w:r>
        <w:t>233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Production of documents</w:t>
      </w:r>
      <w:r>
        <w:tab/>
      </w:r>
      <w:r>
        <w:fldChar w:fldCharType="begin"/>
      </w:r>
      <w:r>
        <w:instrText xml:space="preserve"> PAGEREF _Toc163121048 \h </w:instrText>
      </w:r>
      <w:r>
        <w:fldChar w:fldCharType="separate"/>
      </w:r>
      <w:r>
        <w:t>234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Interest for purposes of Act s. 32</w:t>
      </w:r>
      <w:r>
        <w:tab/>
      </w:r>
      <w:r>
        <w:fldChar w:fldCharType="begin"/>
      </w:r>
      <w:r>
        <w:instrText xml:space="preserve"> PAGEREF _Toc163121049 \h </w:instrText>
      </w:r>
      <w:r>
        <w:fldChar w:fldCharType="separate"/>
      </w:r>
      <w:r>
        <w:t>234</w:t>
      </w:r>
      <w:r>
        <w:fldChar w:fldCharType="end"/>
      </w:r>
    </w:p>
    <w:p>
      <w:pPr>
        <w:pStyle w:val="TOC2"/>
        <w:tabs>
          <w:tab w:val="right" w:leader="dot" w:pos="7077"/>
        </w:tabs>
        <w:rPr>
          <w:rFonts w:asciiTheme="minorHAnsi" w:eastAsiaTheme="minorEastAsia" w:hAnsiTheme="minorHAnsi" w:cstheme="minorBidi"/>
          <w:b w:val="0"/>
          <w:sz w:val="22"/>
          <w:szCs w:val="22"/>
        </w:rPr>
      </w:pPr>
      <w:r>
        <w:t>Order 36A — Expert evidence</w:t>
      </w:r>
    </w:p>
    <w:p>
      <w:pPr>
        <w:pStyle w:val="TOC8"/>
        <w:rPr>
          <w:rFonts w:asciiTheme="minorHAnsi" w:eastAsiaTheme="minorEastAsia" w:hAnsiTheme="minorHAnsi" w:cstheme="minorBidi"/>
          <w:szCs w:val="22"/>
        </w:rPr>
      </w:pPr>
      <w:r>
        <w:t>1.</w:t>
      </w:r>
      <w:r>
        <w:tab/>
        <w:t>Expert evidence</w:t>
      </w:r>
      <w:r>
        <w:tab/>
      </w:r>
      <w:r>
        <w:fldChar w:fldCharType="begin"/>
      </w:r>
      <w:r>
        <w:instrText xml:space="preserve"> PAGEREF _Toc163121051 \h </w:instrText>
      </w:r>
      <w:r>
        <w:fldChar w:fldCharType="separate"/>
      </w:r>
      <w:r>
        <w:t>235</w:t>
      </w:r>
      <w:r>
        <w:fldChar w:fldCharType="end"/>
      </w:r>
    </w:p>
    <w:p>
      <w:pPr>
        <w:pStyle w:val="TOC2"/>
        <w:tabs>
          <w:tab w:val="right" w:leader="dot" w:pos="7077"/>
        </w:tabs>
        <w:rPr>
          <w:rFonts w:asciiTheme="minorHAnsi" w:eastAsiaTheme="minorEastAsia" w:hAnsiTheme="minorHAnsi" w:cstheme="minorBidi"/>
          <w:b w:val="0"/>
          <w:sz w:val="22"/>
          <w:szCs w:val="22"/>
        </w:rPr>
      </w:pPr>
      <w:r>
        <w:t>Order 36B — Subpoenas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_Toc163121053 \h </w:instrText>
      </w:r>
      <w:r>
        <w:fldChar w:fldCharType="separate"/>
      </w:r>
      <w:r>
        <w:t>236</w:t>
      </w:r>
      <w:r>
        <w:fldChar w:fldCharType="end"/>
      </w:r>
    </w:p>
    <w:p>
      <w:pPr>
        <w:pStyle w:val="TOC8"/>
        <w:rPr>
          <w:rFonts w:asciiTheme="minorHAnsi" w:eastAsiaTheme="minorEastAsia" w:hAnsiTheme="minorHAnsi" w:cstheme="minorBidi"/>
          <w:szCs w:val="22"/>
        </w:rPr>
      </w:pPr>
      <w:r>
        <w:t>2.</w:t>
      </w:r>
      <w:r>
        <w:tab/>
        <w:t>Issuing subpoenas</w:t>
      </w:r>
      <w:r>
        <w:tab/>
      </w:r>
      <w:r>
        <w:fldChar w:fldCharType="begin"/>
      </w:r>
      <w:r>
        <w:instrText xml:space="preserve"> PAGEREF _Toc163121054 \h </w:instrText>
      </w:r>
      <w:r>
        <w:fldChar w:fldCharType="separate"/>
      </w:r>
      <w:r>
        <w:t>237</w:t>
      </w:r>
      <w:r>
        <w:fldChar w:fldCharType="end"/>
      </w:r>
    </w:p>
    <w:p>
      <w:pPr>
        <w:pStyle w:val="TOC8"/>
        <w:rPr>
          <w:rFonts w:asciiTheme="minorHAnsi" w:eastAsiaTheme="minorEastAsia" w:hAnsiTheme="minorHAnsi" w:cstheme="minorBidi"/>
          <w:szCs w:val="22"/>
        </w:rPr>
      </w:pPr>
      <w:r>
        <w:t>3.</w:t>
      </w:r>
      <w:r>
        <w:tab/>
        <w:t>Form of subpoena</w:t>
      </w:r>
      <w:r>
        <w:tab/>
      </w:r>
      <w:r>
        <w:fldChar w:fldCharType="begin"/>
      </w:r>
      <w:r>
        <w:instrText xml:space="preserve"> PAGEREF _Toc163121055 \h </w:instrText>
      </w:r>
      <w:r>
        <w:fldChar w:fldCharType="separate"/>
      </w:r>
      <w:r>
        <w:t>239</w:t>
      </w:r>
      <w:r>
        <w:fldChar w:fldCharType="end"/>
      </w:r>
    </w:p>
    <w:p>
      <w:pPr>
        <w:pStyle w:val="TOC8"/>
        <w:rPr>
          <w:rFonts w:asciiTheme="minorHAnsi" w:eastAsiaTheme="minorEastAsia" w:hAnsiTheme="minorHAnsi" w:cstheme="minorBidi"/>
          <w:szCs w:val="22"/>
        </w:rPr>
      </w:pPr>
      <w:r>
        <w:t>4.</w:t>
      </w:r>
      <w:r>
        <w:tab/>
        <w:t>Service of subpoenas</w:t>
      </w:r>
      <w:r>
        <w:tab/>
      </w:r>
      <w:r>
        <w:fldChar w:fldCharType="begin"/>
      </w:r>
      <w:r>
        <w:instrText xml:space="preserve"> PAGEREF _Toc163121056 \h </w:instrText>
      </w:r>
      <w:r>
        <w:fldChar w:fldCharType="separate"/>
      </w:r>
      <w:r>
        <w:t>241</w:t>
      </w:r>
      <w:r>
        <w:fldChar w:fldCharType="end"/>
      </w:r>
    </w:p>
    <w:p>
      <w:pPr>
        <w:pStyle w:val="TOC8"/>
        <w:rPr>
          <w:rFonts w:asciiTheme="minorHAnsi" w:eastAsiaTheme="minorEastAsia" w:hAnsiTheme="minorHAnsi" w:cstheme="minorBidi"/>
          <w:szCs w:val="22"/>
        </w:rPr>
      </w:pPr>
      <w:r>
        <w:t>5.</w:t>
      </w:r>
      <w:r>
        <w:tab/>
        <w:t>Party may request notice that subpoena to produce has been obeyed</w:t>
      </w:r>
      <w:r>
        <w:tab/>
      </w:r>
      <w:r>
        <w:fldChar w:fldCharType="begin"/>
      </w:r>
      <w:r>
        <w:instrText xml:space="preserve"> PAGEREF _Toc163121057 \h </w:instrText>
      </w:r>
      <w:r>
        <w:fldChar w:fldCharType="separate"/>
      </w:r>
      <w:r>
        <w:t>241</w:t>
      </w:r>
      <w:r>
        <w:fldChar w:fldCharType="end"/>
      </w:r>
    </w:p>
    <w:p>
      <w:pPr>
        <w:pStyle w:val="TOC8"/>
        <w:rPr>
          <w:rFonts w:asciiTheme="minorHAnsi" w:eastAsiaTheme="minorEastAsia" w:hAnsiTheme="minorHAnsi" w:cstheme="minorBidi"/>
          <w:szCs w:val="22"/>
        </w:rPr>
      </w:pPr>
      <w:r>
        <w:t>5A.</w:t>
      </w:r>
      <w:r>
        <w:tab/>
        <w:t>Altering date for attendance or production</w:t>
      </w:r>
      <w:r>
        <w:tab/>
      </w:r>
      <w:r>
        <w:fldChar w:fldCharType="begin"/>
      </w:r>
      <w:r>
        <w:instrText xml:space="preserve"> PAGEREF _Toc163121058 \h </w:instrText>
      </w:r>
      <w:r>
        <w:fldChar w:fldCharType="separate"/>
      </w:r>
      <w:r>
        <w:t>241</w:t>
      </w:r>
      <w:r>
        <w:fldChar w:fldCharType="end"/>
      </w:r>
    </w:p>
    <w:p>
      <w:pPr>
        <w:pStyle w:val="TOC8"/>
        <w:rPr>
          <w:rFonts w:asciiTheme="minorHAnsi" w:eastAsiaTheme="minorEastAsia" w:hAnsiTheme="minorHAnsi" w:cstheme="minorBidi"/>
          <w:szCs w:val="22"/>
        </w:rPr>
      </w:pPr>
      <w:r>
        <w:t>6.</w:t>
      </w:r>
      <w:r>
        <w:tab/>
        <w:t>Compliance with subpoena</w:t>
      </w:r>
      <w:r>
        <w:tab/>
      </w:r>
      <w:r>
        <w:fldChar w:fldCharType="begin"/>
      </w:r>
      <w:r>
        <w:instrText xml:space="preserve"> PAGEREF _Toc163121059 \h </w:instrText>
      </w:r>
      <w:r>
        <w:fldChar w:fldCharType="separate"/>
      </w:r>
      <w:r>
        <w:t>242</w:t>
      </w:r>
      <w:r>
        <w:fldChar w:fldCharType="end"/>
      </w:r>
    </w:p>
    <w:p>
      <w:pPr>
        <w:pStyle w:val="TOC8"/>
        <w:rPr>
          <w:rFonts w:asciiTheme="minorHAnsi" w:eastAsiaTheme="minorEastAsia" w:hAnsiTheme="minorHAnsi" w:cstheme="minorBidi"/>
          <w:szCs w:val="22"/>
        </w:rPr>
      </w:pPr>
      <w:r>
        <w:t>7.</w:t>
      </w:r>
      <w:r>
        <w:tab/>
        <w:t>Production otherwise than at a trial</w:t>
      </w:r>
      <w:r>
        <w:tab/>
      </w:r>
      <w:r>
        <w:fldChar w:fldCharType="begin"/>
      </w:r>
      <w:r>
        <w:instrText xml:space="preserve"> PAGEREF _Toc163121060 \h </w:instrText>
      </w:r>
      <w:r>
        <w:fldChar w:fldCharType="separate"/>
      </w:r>
      <w:r>
        <w:t>244</w:t>
      </w:r>
      <w:r>
        <w:fldChar w:fldCharType="end"/>
      </w:r>
    </w:p>
    <w:p>
      <w:pPr>
        <w:pStyle w:val="TOC8"/>
        <w:rPr>
          <w:rFonts w:asciiTheme="minorHAnsi" w:eastAsiaTheme="minorEastAsia" w:hAnsiTheme="minorHAnsi" w:cstheme="minorBidi"/>
          <w:szCs w:val="22"/>
        </w:rPr>
      </w:pPr>
      <w:r>
        <w:t>8.</w:t>
      </w:r>
      <w:r>
        <w:tab/>
        <w:t>Setting aside subpoena to attend to give evidence</w:t>
      </w:r>
      <w:r>
        <w:tab/>
      </w:r>
      <w:r>
        <w:fldChar w:fldCharType="begin"/>
      </w:r>
      <w:r>
        <w:instrText xml:space="preserve"> PAGEREF _Toc163121061 \h </w:instrText>
      </w:r>
      <w:r>
        <w:fldChar w:fldCharType="separate"/>
      </w:r>
      <w:r>
        <w:t>244</w:t>
      </w:r>
      <w:r>
        <w:fldChar w:fldCharType="end"/>
      </w:r>
    </w:p>
    <w:p>
      <w:pPr>
        <w:pStyle w:val="TOC8"/>
        <w:rPr>
          <w:rFonts w:asciiTheme="minorHAnsi" w:eastAsiaTheme="minorEastAsia" w:hAnsiTheme="minorHAnsi" w:cstheme="minorBidi"/>
          <w:szCs w:val="22"/>
        </w:rPr>
      </w:pPr>
      <w:r>
        <w:t>8A.</w:t>
      </w:r>
      <w:r>
        <w:tab/>
        <w:t>Setting aside subpoena to produce and directions as to things to be produced</w:t>
      </w:r>
      <w:r>
        <w:tab/>
      </w:r>
      <w:r>
        <w:fldChar w:fldCharType="begin"/>
      </w:r>
      <w:r>
        <w:instrText xml:space="preserve"> PAGEREF _Toc163121062 \h </w:instrText>
      </w:r>
      <w:r>
        <w:fldChar w:fldCharType="separate"/>
      </w:r>
      <w:r>
        <w:t>245</w:t>
      </w:r>
      <w:r>
        <w:fldChar w:fldCharType="end"/>
      </w:r>
    </w:p>
    <w:p>
      <w:pPr>
        <w:pStyle w:val="TOC8"/>
        <w:rPr>
          <w:rFonts w:asciiTheme="minorHAnsi" w:eastAsiaTheme="minorEastAsia" w:hAnsiTheme="minorHAnsi" w:cstheme="minorBidi"/>
          <w:szCs w:val="22"/>
        </w:rPr>
      </w:pPr>
      <w:r>
        <w:t>8B.</w:t>
      </w:r>
      <w:r>
        <w:tab/>
        <w:t>How requests under r. 8 and 8A to be made</w:t>
      </w:r>
      <w:r>
        <w:tab/>
      </w:r>
      <w:r>
        <w:fldChar w:fldCharType="begin"/>
      </w:r>
      <w:r>
        <w:instrText xml:space="preserve"> PAGEREF _Toc163121063 \h </w:instrText>
      </w:r>
      <w:r>
        <w:fldChar w:fldCharType="separate"/>
      </w:r>
      <w:r>
        <w:t>246</w:t>
      </w:r>
      <w:r>
        <w:fldChar w:fldCharType="end"/>
      </w:r>
    </w:p>
    <w:p>
      <w:pPr>
        <w:pStyle w:val="TOC8"/>
        <w:rPr>
          <w:rFonts w:asciiTheme="minorHAnsi" w:eastAsiaTheme="minorEastAsia" w:hAnsiTheme="minorHAnsi" w:cstheme="minorBidi"/>
          <w:szCs w:val="22"/>
        </w:rPr>
      </w:pPr>
      <w:r>
        <w:lastRenderedPageBreak/>
        <w:t>9.</w:t>
      </w:r>
      <w:r>
        <w:tab/>
        <w:t>Inspecting and dealing with documents and things produced otherwise than at a trial</w:t>
      </w:r>
      <w:r>
        <w:tab/>
      </w:r>
      <w:r>
        <w:fldChar w:fldCharType="begin"/>
      </w:r>
      <w:r>
        <w:instrText xml:space="preserve"> PAGEREF _Toc163121064 \h </w:instrText>
      </w:r>
      <w:r>
        <w:fldChar w:fldCharType="separate"/>
      </w:r>
      <w:r>
        <w:t>247</w:t>
      </w:r>
      <w:r>
        <w:fldChar w:fldCharType="end"/>
      </w:r>
    </w:p>
    <w:p>
      <w:pPr>
        <w:pStyle w:val="TOC8"/>
        <w:rPr>
          <w:rFonts w:asciiTheme="minorHAnsi" w:eastAsiaTheme="minorEastAsia" w:hAnsiTheme="minorHAnsi" w:cstheme="minorBidi"/>
          <w:szCs w:val="22"/>
        </w:rPr>
      </w:pPr>
      <w:r>
        <w:t>10.</w:t>
      </w:r>
      <w:r>
        <w:tab/>
        <w:t>Disposal of documents and things produced</w:t>
      </w:r>
      <w:r>
        <w:tab/>
      </w:r>
      <w:r>
        <w:fldChar w:fldCharType="begin"/>
      </w:r>
      <w:r>
        <w:instrText xml:space="preserve"> PAGEREF _Toc163121065 \h </w:instrText>
      </w:r>
      <w:r>
        <w:fldChar w:fldCharType="separate"/>
      </w:r>
      <w:r>
        <w:t>248</w:t>
      </w:r>
      <w:r>
        <w:fldChar w:fldCharType="end"/>
      </w:r>
    </w:p>
    <w:p>
      <w:pPr>
        <w:pStyle w:val="TOC8"/>
        <w:rPr>
          <w:rFonts w:asciiTheme="minorHAnsi" w:eastAsiaTheme="minorEastAsia" w:hAnsiTheme="minorHAnsi" w:cstheme="minorBidi"/>
          <w:szCs w:val="22"/>
        </w:rPr>
      </w:pPr>
      <w:r>
        <w:t>11.</w:t>
      </w:r>
      <w:r>
        <w:tab/>
        <w:t>Costs and expenses of compliance</w:t>
      </w:r>
      <w:r>
        <w:tab/>
      </w:r>
      <w:r>
        <w:fldChar w:fldCharType="begin"/>
      </w:r>
      <w:r>
        <w:instrText xml:space="preserve"> PAGEREF _Toc163121066 \h </w:instrText>
      </w:r>
      <w:r>
        <w:fldChar w:fldCharType="separate"/>
      </w:r>
      <w:r>
        <w:t>249</w:t>
      </w:r>
      <w:r>
        <w:fldChar w:fldCharType="end"/>
      </w:r>
    </w:p>
    <w:p>
      <w:pPr>
        <w:pStyle w:val="TOC8"/>
        <w:rPr>
          <w:rFonts w:asciiTheme="minorHAnsi" w:eastAsiaTheme="minorEastAsia" w:hAnsiTheme="minorHAnsi" w:cstheme="minorBidi"/>
          <w:szCs w:val="22"/>
        </w:rPr>
      </w:pPr>
      <w:r>
        <w:t>12.</w:t>
      </w:r>
      <w:r>
        <w:tab/>
        <w:t>Failure to comply with subpoena is contempt of court</w:t>
      </w:r>
      <w:r>
        <w:tab/>
      </w:r>
      <w:r>
        <w:fldChar w:fldCharType="begin"/>
      </w:r>
      <w:r>
        <w:instrText xml:space="preserve"> PAGEREF _Toc163121067 \h </w:instrText>
      </w:r>
      <w:r>
        <w:fldChar w:fldCharType="separate"/>
      </w:r>
      <w:r>
        <w:t>249</w:t>
      </w:r>
      <w:r>
        <w:fldChar w:fldCharType="end"/>
      </w:r>
    </w:p>
    <w:p>
      <w:pPr>
        <w:pStyle w:val="TOC8"/>
        <w:rPr>
          <w:rFonts w:asciiTheme="minorHAnsi" w:eastAsiaTheme="minorEastAsia" w:hAnsiTheme="minorHAnsi" w:cstheme="minorBidi"/>
          <w:szCs w:val="22"/>
        </w:rPr>
      </w:pPr>
      <w:r>
        <w:t>13.</w:t>
      </w:r>
      <w:r>
        <w:tab/>
        <w:t>Documents and things in custody of court</w:t>
      </w:r>
      <w:r>
        <w:tab/>
      </w:r>
      <w:r>
        <w:fldChar w:fldCharType="begin"/>
      </w:r>
      <w:r>
        <w:instrText xml:space="preserve"> PAGEREF _Toc163121068 \h </w:instrText>
      </w:r>
      <w:r>
        <w:fldChar w:fldCharType="separate"/>
      </w:r>
      <w:r>
        <w:t>250</w:t>
      </w:r>
      <w:r>
        <w:fldChar w:fldCharType="end"/>
      </w:r>
    </w:p>
    <w:p>
      <w:pPr>
        <w:pStyle w:val="TOC2"/>
        <w:tabs>
          <w:tab w:val="right" w:leader="dot" w:pos="7077"/>
        </w:tabs>
        <w:rPr>
          <w:rFonts w:asciiTheme="minorHAnsi" w:eastAsiaTheme="minorEastAsia" w:hAnsiTheme="minorHAnsi" w:cstheme="minorBidi"/>
          <w:b w:val="0"/>
          <w:sz w:val="22"/>
          <w:szCs w:val="22"/>
        </w:rPr>
      </w:pPr>
      <w:r>
        <w:t>Order 37 — Affidavits</w:t>
      </w:r>
    </w:p>
    <w:p>
      <w:pPr>
        <w:pStyle w:val="TOC8"/>
        <w:rPr>
          <w:rFonts w:asciiTheme="minorHAnsi" w:eastAsiaTheme="minorEastAsia" w:hAnsiTheme="minorHAnsi" w:cstheme="minorBidi"/>
          <w:szCs w:val="22"/>
        </w:rPr>
      </w:pPr>
      <w:r>
        <w:t>1</w:t>
      </w:r>
      <w:r>
        <w:rPr>
          <w:snapToGrid w:val="0"/>
        </w:rPr>
        <w:t>.</w:t>
      </w:r>
      <w:r>
        <w:rPr>
          <w:snapToGrid w:val="0"/>
        </w:rPr>
        <w:tab/>
        <w:t>Title of affidavits</w:t>
      </w:r>
      <w:r>
        <w:tab/>
      </w:r>
      <w:r>
        <w:fldChar w:fldCharType="begin"/>
      </w:r>
      <w:r>
        <w:instrText xml:space="preserve"> PAGEREF _Toc163121070 \h </w:instrText>
      </w:r>
      <w:r>
        <w:fldChar w:fldCharType="separate"/>
      </w:r>
      <w:r>
        <w:t>251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Form of affidavits</w:t>
      </w:r>
      <w:r>
        <w:tab/>
      </w:r>
      <w:r>
        <w:fldChar w:fldCharType="begin"/>
      </w:r>
      <w:r>
        <w:instrText xml:space="preserve"> PAGEREF _Toc163121071 \h </w:instrText>
      </w:r>
      <w:r>
        <w:fldChar w:fldCharType="separate"/>
      </w:r>
      <w:r>
        <w:t>251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Affidavits by 2 or more deponents</w:t>
      </w:r>
      <w:r>
        <w:tab/>
      </w:r>
      <w:r>
        <w:fldChar w:fldCharType="begin"/>
      </w:r>
      <w:r>
        <w:instrText xml:space="preserve"> PAGEREF _Toc163121072 \h </w:instrText>
      </w:r>
      <w:r>
        <w:fldChar w:fldCharType="separate"/>
      </w:r>
      <w:r>
        <w:t>252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Irregularity</w:t>
      </w:r>
      <w:r>
        <w:tab/>
      </w:r>
      <w:r>
        <w:fldChar w:fldCharType="begin"/>
      </w:r>
      <w:r>
        <w:instrText xml:space="preserve"> PAGEREF _Toc163121073 \h </w:instrText>
      </w:r>
      <w:r>
        <w:fldChar w:fldCharType="separate"/>
      </w:r>
      <w:r>
        <w:t>253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Contents of affidavits</w:t>
      </w:r>
      <w:r>
        <w:tab/>
      </w:r>
      <w:r>
        <w:fldChar w:fldCharType="begin"/>
      </w:r>
      <w:r>
        <w:instrText xml:space="preserve"> PAGEREF _Toc163121074 \h </w:instrText>
      </w:r>
      <w:r>
        <w:fldChar w:fldCharType="separate"/>
      </w:r>
      <w:r>
        <w:t>253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Scandalous matter</w:t>
      </w:r>
      <w:r>
        <w:tab/>
      </w:r>
      <w:r>
        <w:fldChar w:fldCharType="begin"/>
      </w:r>
      <w:r>
        <w:instrText xml:space="preserve"> PAGEREF _Toc163121075 \h </w:instrText>
      </w:r>
      <w:r>
        <w:fldChar w:fldCharType="separate"/>
      </w:r>
      <w:r>
        <w:t>254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Exhibits</w:t>
      </w:r>
      <w:r>
        <w:tab/>
      </w:r>
      <w:r>
        <w:fldChar w:fldCharType="begin"/>
      </w:r>
      <w:r>
        <w:instrText xml:space="preserve"> PAGEREF _Toc163121076 \h </w:instrText>
      </w:r>
      <w:r>
        <w:fldChar w:fldCharType="separate"/>
      </w:r>
      <w:r>
        <w:t>254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Affidavits to be filed</w:t>
      </w:r>
      <w:r>
        <w:tab/>
      </w:r>
      <w:r>
        <w:fldChar w:fldCharType="begin"/>
      </w:r>
      <w:r>
        <w:instrText xml:space="preserve"> PAGEREF _Toc163121077 \h </w:instrText>
      </w:r>
      <w:r>
        <w:fldChar w:fldCharType="separate"/>
      </w:r>
      <w:r>
        <w:t>255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Affidavits not to be filed out of time without leave</w:t>
      </w:r>
      <w:r>
        <w:tab/>
      </w:r>
      <w:r>
        <w:fldChar w:fldCharType="begin"/>
      </w:r>
      <w:r>
        <w:instrText xml:space="preserve"> PAGEREF _Toc163121078 \h </w:instrText>
      </w:r>
      <w:r>
        <w:fldChar w:fldCharType="separate"/>
      </w:r>
      <w:r>
        <w:t>255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Alterations in accounts</w:t>
      </w:r>
      <w:r>
        <w:tab/>
      </w:r>
      <w:r>
        <w:fldChar w:fldCharType="begin"/>
      </w:r>
      <w:r>
        <w:instrText xml:space="preserve"> PAGEREF _Toc163121079 \h </w:instrText>
      </w:r>
      <w:r>
        <w:fldChar w:fldCharType="separate"/>
      </w:r>
      <w:r>
        <w:t>255</w:t>
      </w:r>
      <w:r>
        <w:fldChar w:fldCharType="end"/>
      </w:r>
    </w:p>
    <w:p>
      <w:pPr>
        <w:pStyle w:val="TOC8"/>
        <w:rPr>
          <w:rFonts w:asciiTheme="minorHAnsi" w:eastAsiaTheme="minorEastAsia" w:hAnsiTheme="minorHAnsi" w:cstheme="minorBidi"/>
          <w:szCs w:val="22"/>
        </w:rPr>
      </w:pPr>
      <w:r>
        <w:t>16.</w:t>
      </w:r>
      <w:r>
        <w:tab/>
        <w:t xml:space="preserve">This Order additional to </w:t>
      </w:r>
      <w:r>
        <w:rPr>
          <w:i/>
        </w:rPr>
        <w:t>Oaths, Affidavits and Statutory Declarations Act 2005</w:t>
      </w:r>
      <w:r>
        <w:tab/>
      </w:r>
      <w:r>
        <w:fldChar w:fldCharType="begin"/>
      </w:r>
      <w:r>
        <w:instrText xml:space="preserve"> PAGEREF _Toc163121080 \h </w:instrText>
      </w:r>
      <w:r>
        <w:fldChar w:fldCharType="separate"/>
      </w:r>
      <w:r>
        <w:t>255</w:t>
      </w:r>
      <w:r>
        <w:fldChar w:fldCharType="end"/>
      </w:r>
    </w:p>
    <w:p>
      <w:pPr>
        <w:pStyle w:val="TOC2"/>
        <w:tabs>
          <w:tab w:val="right" w:leader="dot" w:pos="7077"/>
        </w:tabs>
        <w:rPr>
          <w:rFonts w:asciiTheme="minorHAnsi" w:eastAsiaTheme="minorEastAsia" w:hAnsiTheme="minorHAnsi" w:cstheme="minorBidi"/>
          <w:b w:val="0"/>
          <w:sz w:val="22"/>
          <w:szCs w:val="22"/>
        </w:rPr>
      </w:pPr>
      <w:r>
        <w:t>Order 38 — Evidence by deposition</w:t>
      </w:r>
    </w:p>
    <w:p>
      <w:pPr>
        <w:pStyle w:val="TOC8"/>
        <w:rPr>
          <w:rFonts w:asciiTheme="minorHAnsi" w:eastAsiaTheme="minorEastAsia" w:hAnsiTheme="minorHAnsi" w:cstheme="minorBidi"/>
          <w:szCs w:val="22"/>
        </w:rPr>
      </w:pPr>
      <w:r>
        <w:t>1</w:t>
      </w:r>
      <w:r>
        <w:rPr>
          <w:snapToGrid w:val="0"/>
        </w:rPr>
        <w:t>.</w:t>
      </w:r>
      <w:r>
        <w:rPr>
          <w:snapToGrid w:val="0"/>
        </w:rPr>
        <w:tab/>
        <w:t>Power to order depositions to be taken</w:t>
      </w:r>
      <w:r>
        <w:tab/>
      </w:r>
      <w:r>
        <w:fldChar w:fldCharType="begin"/>
      </w:r>
      <w:r>
        <w:instrText xml:space="preserve"> PAGEREF _Toc163121082 \h </w:instrText>
      </w:r>
      <w:r>
        <w:fldChar w:fldCharType="separate"/>
      </w:r>
      <w:r>
        <w:t>256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Enforcing attendance of witness</w:t>
      </w:r>
      <w:r>
        <w:tab/>
      </w:r>
      <w:r>
        <w:fldChar w:fldCharType="begin"/>
      </w:r>
      <w:r>
        <w:instrText xml:space="preserve"> PAGEREF _Toc163121083 \h </w:instrText>
      </w:r>
      <w:r>
        <w:fldChar w:fldCharType="separate"/>
      </w:r>
      <w:r>
        <w:t>256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Refusal of witness to attend or be sworn</w:t>
      </w:r>
      <w:r>
        <w:tab/>
      </w:r>
      <w:r>
        <w:fldChar w:fldCharType="begin"/>
      </w:r>
      <w:r>
        <w:instrText xml:space="preserve"> PAGEREF _Toc163121084 \h </w:instrText>
      </w:r>
      <w:r>
        <w:fldChar w:fldCharType="separate"/>
      </w:r>
      <w:r>
        <w:t>257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Time and place of examination, notice of</w:t>
      </w:r>
      <w:r>
        <w:tab/>
      </w:r>
      <w:r>
        <w:fldChar w:fldCharType="begin"/>
      </w:r>
      <w:r>
        <w:instrText xml:space="preserve"> PAGEREF _Toc163121085 \h </w:instrText>
      </w:r>
      <w:r>
        <w:fldChar w:fldCharType="separate"/>
      </w:r>
      <w:r>
        <w:t>257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Documents to be given to examiner</w:t>
      </w:r>
      <w:r>
        <w:tab/>
      </w:r>
      <w:r>
        <w:fldChar w:fldCharType="begin"/>
      </w:r>
      <w:r>
        <w:instrText xml:space="preserve"> PAGEREF _Toc163121086 \h </w:instrText>
      </w:r>
      <w:r>
        <w:fldChar w:fldCharType="separate"/>
      </w:r>
      <w:r>
        <w:t>257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Practice on examination</w:t>
      </w:r>
      <w:r>
        <w:tab/>
      </w:r>
      <w:r>
        <w:fldChar w:fldCharType="begin"/>
      </w:r>
      <w:r>
        <w:instrText xml:space="preserve"> PAGEREF _Toc163121087 \h </w:instrText>
      </w:r>
      <w:r>
        <w:fldChar w:fldCharType="separate"/>
      </w:r>
      <w:r>
        <w:t>258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Expenses of witnesses</w:t>
      </w:r>
      <w:r>
        <w:tab/>
      </w:r>
      <w:r>
        <w:fldChar w:fldCharType="begin"/>
      </w:r>
      <w:r>
        <w:instrText xml:space="preserve"> PAGEREF _Toc163121088 \h </w:instrText>
      </w:r>
      <w:r>
        <w:fldChar w:fldCharType="separate"/>
      </w:r>
      <w:r>
        <w:t>258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Additional witnesses may be examined with parties’ consent</w:t>
      </w:r>
      <w:r>
        <w:tab/>
      </w:r>
      <w:r>
        <w:fldChar w:fldCharType="begin"/>
      </w:r>
      <w:r>
        <w:instrText xml:space="preserve"> PAGEREF _Toc163121089 \h </w:instrText>
      </w:r>
      <w:r>
        <w:fldChar w:fldCharType="separate"/>
      </w:r>
      <w:r>
        <w:t>258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How depositions to be taken</w:t>
      </w:r>
      <w:r>
        <w:tab/>
      </w:r>
      <w:r>
        <w:fldChar w:fldCharType="begin"/>
      </w:r>
      <w:r>
        <w:instrText xml:space="preserve"> PAGEREF _Toc163121090 \h </w:instrText>
      </w:r>
      <w:r>
        <w:fldChar w:fldCharType="separate"/>
      </w:r>
      <w:r>
        <w:t>259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Objection to questions</w:t>
      </w:r>
      <w:r>
        <w:tab/>
      </w:r>
      <w:r>
        <w:fldChar w:fldCharType="begin"/>
      </w:r>
      <w:r>
        <w:instrText xml:space="preserve"> PAGEREF _Toc163121091 \h </w:instrText>
      </w:r>
      <w:r>
        <w:fldChar w:fldCharType="separate"/>
      </w:r>
      <w:r>
        <w:t>260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Examiner may give Court special report</w:t>
      </w:r>
      <w:r>
        <w:tab/>
      </w:r>
      <w:r>
        <w:fldChar w:fldCharType="begin"/>
      </w:r>
      <w:r>
        <w:instrText xml:space="preserve"> PAGEREF _Toc163121092 \h </w:instrText>
      </w:r>
      <w:r>
        <w:fldChar w:fldCharType="separate"/>
      </w:r>
      <w:r>
        <w:t>260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Oaths</w:t>
      </w:r>
      <w:r>
        <w:tab/>
      </w:r>
      <w:r>
        <w:fldChar w:fldCharType="begin"/>
      </w:r>
      <w:r>
        <w:instrText xml:space="preserve"> PAGEREF _Toc163121093 \h </w:instrText>
      </w:r>
      <w:r>
        <w:fldChar w:fldCharType="separate"/>
      </w:r>
      <w:r>
        <w:t>260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Perpetuating testimony</w:t>
      </w:r>
      <w:r>
        <w:tab/>
      </w:r>
      <w:r>
        <w:fldChar w:fldCharType="begin"/>
      </w:r>
      <w:r>
        <w:instrText xml:space="preserve"> PAGEREF _Toc163121094 \h </w:instrText>
      </w:r>
      <w:r>
        <w:fldChar w:fldCharType="separate"/>
      </w:r>
      <w:r>
        <w:t>260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Examiner’s fees</w:t>
      </w:r>
      <w:r>
        <w:tab/>
      </w:r>
      <w:r>
        <w:fldChar w:fldCharType="begin"/>
      </w:r>
      <w:r>
        <w:instrText xml:space="preserve"> PAGEREF _Toc163121095 \h </w:instrText>
      </w:r>
      <w:r>
        <w:fldChar w:fldCharType="separate"/>
      </w:r>
      <w:r>
        <w:t>261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Payment of examiner’s fees</w:t>
      </w:r>
      <w:r>
        <w:tab/>
      </w:r>
      <w:r>
        <w:fldChar w:fldCharType="begin"/>
      </w:r>
      <w:r>
        <w:instrText xml:space="preserve"> PAGEREF _Toc163121096 \h </w:instrText>
      </w:r>
      <w:r>
        <w:fldChar w:fldCharType="separate"/>
      </w:r>
      <w:r>
        <w:t>262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Order 38A — Examination of witnesses outside the State</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_Toc163121098 \h </w:instrText>
      </w:r>
      <w:r>
        <w:fldChar w:fldCharType="separate"/>
      </w:r>
      <w:r>
        <w:t>263</w:t>
      </w:r>
      <w:r>
        <w:fldChar w:fldCharType="end"/>
      </w:r>
    </w:p>
    <w:p>
      <w:pPr>
        <w:pStyle w:val="TOC8"/>
        <w:rPr>
          <w:rFonts w:asciiTheme="minorHAnsi" w:eastAsiaTheme="minorEastAsia" w:hAnsiTheme="minorHAnsi" w:cstheme="minorBidi"/>
          <w:szCs w:val="22"/>
        </w:rPr>
      </w:pPr>
      <w:r>
        <w:t>2.</w:t>
      </w:r>
      <w:r>
        <w:tab/>
        <w:t>Order applies to Act s. 110 and 111</w:t>
      </w:r>
      <w:r>
        <w:tab/>
      </w:r>
      <w:r>
        <w:fldChar w:fldCharType="begin"/>
      </w:r>
      <w:r>
        <w:instrText xml:space="preserve"> PAGEREF _Toc163121099 \h </w:instrText>
      </w:r>
      <w:r>
        <w:fldChar w:fldCharType="separate"/>
      </w:r>
      <w:r>
        <w:t>263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Applications under Act s. 110 and 111 in civil proceedings</w:t>
      </w:r>
      <w:r>
        <w:tab/>
      </w:r>
      <w:r>
        <w:fldChar w:fldCharType="begin"/>
      </w:r>
      <w:r>
        <w:instrText xml:space="preserve"> PAGEREF _Toc163121100 \h </w:instrText>
      </w:r>
      <w:r>
        <w:fldChar w:fldCharType="separate"/>
      </w:r>
      <w:r>
        <w:t>263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under Act s. 110 and 111 in criminal proceedings</w:t>
      </w:r>
      <w:r>
        <w:tab/>
      </w:r>
      <w:r>
        <w:fldChar w:fldCharType="begin"/>
      </w:r>
      <w:r>
        <w:instrText xml:space="preserve"> PAGEREF _Toc163121101 \h </w:instrText>
      </w:r>
      <w:r>
        <w:fldChar w:fldCharType="separate"/>
      </w:r>
      <w:r>
        <w:t>264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Orders under Act s. 110 and 111</w:t>
      </w:r>
      <w:r>
        <w:tab/>
      </w:r>
      <w:r>
        <w:fldChar w:fldCharType="begin"/>
      </w:r>
      <w:r>
        <w:instrText xml:space="preserve"> PAGEREF _Toc163121102 \h </w:instrText>
      </w:r>
      <w:r>
        <w:fldChar w:fldCharType="separate"/>
      </w:r>
      <w:r>
        <w:t>264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Manner of examination</w:t>
      </w:r>
      <w:r>
        <w:tab/>
      </w:r>
      <w:r>
        <w:fldChar w:fldCharType="begin"/>
      </w:r>
      <w:r>
        <w:instrText xml:space="preserve"> PAGEREF _Toc163121103 \h </w:instrText>
      </w:r>
      <w:r>
        <w:fldChar w:fldCharType="separate"/>
      </w:r>
      <w:r>
        <w:t>265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Examiner’s remuneration</w:t>
      </w:r>
      <w:r>
        <w:tab/>
      </w:r>
      <w:r>
        <w:fldChar w:fldCharType="begin"/>
      </w:r>
      <w:r>
        <w:instrText xml:space="preserve"> PAGEREF _Toc163121104 \h </w:instrText>
      </w:r>
      <w:r>
        <w:fldChar w:fldCharType="separate"/>
      </w:r>
      <w:r>
        <w:t>265</w:t>
      </w:r>
      <w:r>
        <w:fldChar w:fldCharType="end"/>
      </w:r>
    </w:p>
    <w:p>
      <w:pPr>
        <w:pStyle w:val="TOC2"/>
        <w:tabs>
          <w:tab w:val="right" w:leader="dot" w:pos="7077"/>
        </w:tabs>
        <w:rPr>
          <w:rFonts w:asciiTheme="minorHAnsi" w:eastAsiaTheme="minorEastAsia" w:hAnsiTheme="minorHAnsi" w:cstheme="minorBidi"/>
          <w:b w:val="0"/>
          <w:sz w:val="22"/>
          <w:szCs w:val="22"/>
        </w:rPr>
      </w:pPr>
      <w:r>
        <w:t>Order 39 — Taking of evidence for foreign and Australian courts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_Toc163121106 \h </w:instrText>
      </w:r>
      <w:r>
        <w:fldChar w:fldCharType="separate"/>
      </w:r>
      <w:r>
        <w:t>266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under Act s. 116</w:t>
      </w:r>
      <w:r>
        <w:tab/>
      </w:r>
      <w:r>
        <w:fldChar w:fldCharType="begin"/>
      </w:r>
      <w:r>
        <w:instrText xml:space="preserve"> PAGEREF _Toc163121107 \h </w:instrText>
      </w:r>
      <w:r>
        <w:fldChar w:fldCharType="separate"/>
      </w:r>
      <w:r>
        <w:t>266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Orders under Act s. 117</w:t>
      </w:r>
      <w:r>
        <w:tab/>
      </w:r>
      <w:r>
        <w:fldChar w:fldCharType="begin"/>
      </w:r>
      <w:r>
        <w:instrText xml:space="preserve"> PAGEREF _Toc163121108 \h </w:instrText>
      </w:r>
      <w:r>
        <w:fldChar w:fldCharType="separate"/>
      </w:r>
      <w:r>
        <w:t>266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Examiner’s remuneration</w:t>
      </w:r>
      <w:r>
        <w:tab/>
      </w:r>
      <w:r>
        <w:fldChar w:fldCharType="begin"/>
      </w:r>
      <w:r>
        <w:instrText xml:space="preserve"> PAGEREF _Toc163121109 \h </w:instrText>
      </w:r>
      <w:r>
        <w:fldChar w:fldCharType="separate"/>
      </w:r>
      <w:r>
        <w:t>267</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Examiner’s power to administer oaths</w:t>
      </w:r>
      <w:r>
        <w:tab/>
      </w:r>
      <w:r>
        <w:fldChar w:fldCharType="begin"/>
      </w:r>
      <w:r>
        <w:instrText xml:space="preserve"> PAGEREF _Toc163121110 \h </w:instrText>
      </w:r>
      <w:r>
        <w:fldChar w:fldCharType="separate"/>
      </w:r>
      <w:r>
        <w:t>267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Transmission of depositions</w:t>
      </w:r>
      <w:r>
        <w:tab/>
      </w:r>
      <w:r>
        <w:fldChar w:fldCharType="begin"/>
      </w:r>
      <w:r>
        <w:instrText xml:space="preserve"> PAGEREF _Toc163121111 \h </w:instrText>
      </w:r>
      <w:r>
        <w:fldChar w:fldCharType="separate"/>
      </w:r>
      <w:r>
        <w:t>268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Procedure where witness claims privilege</w:t>
      </w:r>
      <w:r>
        <w:tab/>
      </w:r>
      <w:r>
        <w:fldChar w:fldCharType="begin"/>
      </w:r>
      <w:r>
        <w:instrText xml:space="preserve"> PAGEREF _Toc163121112 \h </w:instrText>
      </w:r>
      <w:r>
        <w:fldChar w:fldCharType="separate"/>
      </w:r>
      <w:r>
        <w:t>268</w:t>
      </w:r>
      <w:r>
        <w:fldChar w:fldCharType="end"/>
      </w:r>
    </w:p>
    <w:p>
      <w:pPr>
        <w:pStyle w:val="TOC2"/>
        <w:tabs>
          <w:tab w:val="right" w:leader="dot" w:pos="7077"/>
        </w:tabs>
        <w:rPr>
          <w:rFonts w:asciiTheme="minorHAnsi" w:eastAsiaTheme="minorEastAsia" w:hAnsiTheme="minorHAnsi" w:cstheme="minorBidi"/>
          <w:b w:val="0"/>
          <w:sz w:val="22"/>
          <w:szCs w:val="22"/>
        </w:rPr>
      </w:pPr>
      <w:r>
        <w:t>Order 39A</w:t>
      </w:r>
      <w:r>
        <w:rPr>
          <w:b w:val="0"/>
        </w:rPr>
        <w:t> </w:t>
      </w:r>
      <w:r>
        <w:t>—</w:t>
      </w:r>
      <w:r>
        <w:rPr>
          <w:b w:val="0"/>
        </w:rPr>
        <w:t> </w:t>
      </w:r>
      <w:r>
        <w:rPr>
          <w:i/>
        </w:rPr>
        <w:t>Trans</w:t>
      </w:r>
      <w:r>
        <w:rPr>
          <w:i/>
        </w:rPr>
        <w:noBreakHyphen/>
        <w:t>Tasman Proceedings Act 2010</w:t>
      </w:r>
      <w:r>
        <w:t xml:space="preserve"> (Commonwealth) rules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t>Term used: Act</w:t>
      </w:r>
      <w:r>
        <w:tab/>
      </w:r>
      <w:r>
        <w:fldChar w:fldCharType="begin"/>
      </w:r>
      <w:r>
        <w:instrText xml:space="preserve"> PAGEREF _Toc163121115 \h </w:instrText>
      </w:r>
      <w:r>
        <w:fldChar w:fldCharType="separate"/>
      </w:r>
      <w:r>
        <w:t>270</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_Toc163121116 \h </w:instrText>
      </w:r>
      <w:r>
        <w:fldChar w:fldCharType="separate"/>
      </w:r>
      <w:r>
        <w:t>270</w:t>
      </w:r>
      <w:r>
        <w:fldChar w:fldCharType="end"/>
      </w:r>
    </w:p>
    <w:p>
      <w:pPr>
        <w:pStyle w:val="TOC4"/>
        <w:tabs>
          <w:tab w:val="right" w:leader="dot" w:pos="7077"/>
        </w:tabs>
        <w:rPr>
          <w:rFonts w:asciiTheme="minorHAnsi" w:eastAsiaTheme="minorEastAsia" w:hAnsiTheme="minorHAnsi" w:cstheme="minorBidi"/>
          <w:b w:val="0"/>
          <w:szCs w:val="22"/>
        </w:rPr>
      </w:pPr>
      <w:r>
        <w:t>Division 2 — Subpoenas to be served in New Zealand</w:t>
      </w:r>
    </w:p>
    <w:p>
      <w:pPr>
        <w:pStyle w:val="TOC8"/>
        <w:rPr>
          <w:rFonts w:asciiTheme="minorHAnsi" w:eastAsiaTheme="minorEastAsia" w:hAnsiTheme="minorHAnsi" w:cstheme="minorBidi"/>
          <w:szCs w:val="22"/>
        </w:rPr>
      </w:pPr>
      <w:r>
        <w:t>2A.</w:t>
      </w:r>
      <w:r>
        <w:tab/>
        <w:t>Form of subpoenas</w:t>
      </w:r>
      <w:r>
        <w:tab/>
      </w:r>
      <w:r>
        <w:fldChar w:fldCharType="begin"/>
      </w:r>
      <w:r>
        <w:instrText xml:space="preserve"> PAGEREF _Toc163121118 \h </w:instrText>
      </w:r>
      <w:r>
        <w:fldChar w:fldCharType="separate"/>
      </w:r>
      <w:r>
        <w:t>270</w:t>
      </w:r>
      <w:r>
        <w:fldChar w:fldCharType="end"/>
      </w:r>
    </w:p>
    <w:p>
      <w:pPr>
        <w:pStyle w:val="TOC8"/>
        <w:rPr>
          <w:rFonts w:asciiTheme="minorHAnsi" w:eastAsiaTheme="minorEastAsia" w:hAnsiTheme="minorHAnsi" w:cstheme="minorBidi"/>
          <w:szCs w:val="22"/>
        </w:rPr>
      </w:pPr>
      <w:r>
        <w:t>3.</w:t>
      </w:r>
      <w:r>
        <w:tab/>
        <w:t>Leave to serve subpoena (Act s. 31)</w:t>
      </w:r>
      <w:r>
        <w:tab/>
      </w:r>
      <w:r>
        <w:fldChar w:fldCharType="begin"/>
      </w:r>
      <w:r>
        <w:instrText xml:space="preserve"> PAGEREF _Toc163121119 \h </w:instrText>
      </w:r>
      <w:r>
        <w:fldChar w:fldCharType="separate"/>
      </w:r>
      <w:r>
        <w:t>271</w:t>
      </w:r>
      <w:r>
        <w:fldChar w:fldCharType="end"/>
      </w:r>
    </w:p>
    <w:p>
      <w:pPr>
        <w:pStyle w:val="TOC8"/>
        <w:rPr>
          <w:rFonts w:asciiTheme="minorHAnsi" w:eastAsiaTheme="minorEastAsia" w:hAnsiTheme="minorHAnsi" w:cstheme="minorBidi"/>
          <w:szCs w:val="22"/>
        </w:rPr>
      </w:pPr>
      <w:r>
        <w:t>4.</w:t>
      </w:r>
      <w:r>
        <w:tab/>
        <w:t>Setting aside subpoena (Act s. 35 and 36)</w:t>
      </w:r>
      <w:r>
        <w:tab/>
      </w:r>
      <w:r>
        <w:fldChar w:fldCharType="begin"/>
      </w:r>
      <w:r>
        <w:instrText xml:space="preserve"> PAGEREF _Toc163121120 \h </w:instrText>
      </w:r>
      <w:r>
        <w:fldChar w:fldCharType="separate"/>
      </w:r>
      <w:r>
        <w:t>272</w:t>
      </w:r>
      <w:r>
        <w:fldChar w:fldCharType="end"/>
      </w:r>
    </w:p>
    <w:p>
      <w:pPr>
        <w:pStyle w:val="TOC8"/>
        <w:rPr>
          <w:rFonts w:asciiTheme="minorHAnsi" w:eastAsiaTheme="minorEastAsia" w:hAnsiTheme="minorHAnsi" w:cstheme="minorBidi"/>
          <w:szCs w:val="22"/>
        </w:rPr>
      </w:pPr>
      <w:r>
        <w:t>5.</w:t>
      </w:r>
      <w:r>
        <w:tab/>
        <w:t>Failure to comply with subpoena (Act s. 38)</w:t>
      </w:r>
      <w:r>
        <w:tab/>
      </w:r>
      <w:r>
        <w:fldChar w:fldCharType="begin"/>
      </w:r>
      <w:r>
        <w:instrText xml:space="preserve"> PAGEREF _Toc163121121 \h </w:instrText>
      </w:r>
      <w:r>
        <w:fldChar w:fldCharType="separate"/>
      </w:r>
      <w:r>
        <w:t>273</w:t>
      </w:r>
      <w:r>
        <w:fldChar w:fldCharType="end"/>
      </w:r>
    </w:p>
    <w:p>
      <w:pPr>
        <w:pStyle w:val="TOC4"/>
        <w:tabs>
          <w:tab w:val="right" w:leader="dot" w:pos="7077"/>
        </w:tabs>
        <w:rPr>
          <w:rFonts w:asciiTheme="minorHAnsi" w:eastAsiaTheme="minorEastAsia" w:hAnsiTheme="minorHAnsi" w:cstheme="minorBidi"/>
          <w:b w:val="0"/>
          <w:szCs w:val="22"/>
        </w:rPr>
      </w:pPr>
      <w:r>
        <w:t>Division 3 — Remote appearances from New Zealand</w:t>
      </w:r>
    </w:p>
    <w:p>
      <w:pPr>
        <w:pStyle w:val="TOC8"/>
        <w:rPr>
          <w:rFonts w:asciiTheme="minorHAnsi" w:eastAsiaTheme="minorEastAsia" w:hAnsiTheme="minorHAnsi" w:cstheme="minorBidi"/>
          <w:szCs w:val="22"/>
        </w:rPr>
      </w:pPr>
      <w:r>
        <w:t>6A.</w:t>
      </w:r>
      <w:r>
        <w:tab/>
        <w:t>Appearances by audio link or audiovisual link (Act s. 48)</w:t>
      </w:r>
      <w:r>
        <w:tab/>
      </w:r>
      <w:r>
        <w:fldChar w:fldCharType="begin"/>
      </w:r>
      <w:r>
        <w:instrText xml:space="preserve"> PAGEREF _Toc163121123 \h </w:instrText>
      </w:r>
      <w:r>
        <w:fldChar w:fldCharType="separate"/>
      </w:r>
      <w:r>
        <w:t>274</w:t>
      </w:r>
      <w:r>
        <w:fldChar w:fldCharType="end"/>
      </w:r>
    </w:p>
    <w:p>
      <w:pPr>
        <w:pStyle w:val="TOC8"/>
        <w:rPr>
          <w:rFonts w:asciiTheme="minorHAnsi" w:eastAsiaTheme="minorEastAsia" w:hAnsiTheme="minorHAnsi" w:cstheme="minorBidi"/>
          <w:szCs w:val="22"/>
        </w:rPr>
      </w:pPr>
      <w:r>
        <w:lastRenderedPageBreak/>
        <w:t>6.</w:t>
      </w:r>
      <w:r>
        <w:tab/>
        <w:t>Evidence by audio link or audiovisual link (Act s. 50)</w:t>
      </w:r>
      <w:r>
        <w:tab/>
      </w:r>
      <w:r>
        <w:fldChar w:fldCharType="begin"/>
      </w:r>
      <w:r>
        <w:instrText xml:space="preserve"> PAGEREF _Toc163121124 \h </w:instrText>
      </w:r>
      <w:r>
        <w:fldChar w:fldCharType="separate"/>
      </w:r>
      <w:r>
        <w:t>275</w:t>
      </w:r>
      <w:r>
        <w:fldChar w:fldCharType="end"/>
      </w:r>
    </w:p>
    <w:p>
      <w:pPr>
        <w:pStyle w:val="TOC4"/>
        <w:tabs>
          <w:tab w:val="right" w:leader="dot" w:pos="7077"/>
        </w:tabs>
        <w:rPr>
          <w:rFonts w:asciiTheme="minorHAnsi" w:eastAsiaTheme="minorEastAsia" w:hAnsiTheme="minorHAnsi" w:cstheme="minorBidi"/>
          <w:b w:val="0"/>
          <w:szCs w:val="22"/>
        </w:rPr>
      </w:pPr>
      <w:r>
        <w:t>Division 4 — Registration and enforcement of NZ judgments</w:t>
      </w:r>
    </w:p>
    <w:p>
      <w:pPr>
        <w:pStyle w:val="TOC8"/>
        <w:rPr>
          <w:rFonts w:asciiTheme="minorHAnsi" w:eastAsiaTheme="minorEastAsia" w:hAnsiTheme="minorHAnsi" w:cstheme="minorBidi"/>
          <w:szCs w:val="22"/>
        </w:rPr>
      </w:pPr>
      <w:r>
        <w:t>7.</w:t>
      </w:r>
      <w:r>
        <w:tab/>
        <w:t>Setting aside registration of NZ judgment (Act s. 72)</w:t>
      </w:r>
      <w:r>
        <w:tab/>
      </w:r>
      <w:r>
        <w:fldChar w:fldCharType="begin"/>
      </w:r>
      <w:r>
        <w:instrText xml:space="preserve"> PAGEREF _Toc163121126 \h </w:instrText>
      </w:r>
      <w:r>
        <w:fldChar w:fldCharType="separate"/>
      </w:r>
      <w:r>
        <w:t>276</w:t>
      </w:r>
      <w:r>
        <w:fldChar w:fldCharType="end"/>
      </w:r>
    </w:p>
    <w:p>
      <w:pPr>
        <w:pStyle w:val="TOC8"/>
        <w:rPr>
          <w:rFonts w:asciiTheme="minorHAnsi" w:eastAsiaTheme="minorEastAsia" w:hAnsiTheme="minorHAnsi" w:cstheme="minorBidi"/>
          <w:szCs w:val="22"/>
        </w:rPr>
      </w:pPr>
      <w:r>
        <w:t>8.</w:t>
      </w:r>
      <w:r>
        <w:tab/>
        <w:t>Stay of enforcement of registered NZ judgment (Act s. 76)</w:t>
      </w:r>
      <w:r>
        <w:tab/>
      </w:r>
      <w:r>
        <w:fldChar w:fldCharType="begin"/>
      </w:r>
      <w:r>
        <w:instrText xml:space="preserve"> PAGEREF _Toc163121127 \h </w:instrText>
      </w:r>
      <w:r>
        <w:fldChar w:fldCharType="separate"/>
      </w:r>
      <w:r>
        <w:t>277</w:t>
      </w:r>
      <w:r>
        <w:fldChar w:fldCharType="end"/>
      </w:r>
    </w:p>
    <w:p>
      <w:pPr>
        <w:pStyle w:val="TOC2"/>
        <w:tabs>
          <w:tab w:val="right" w:leader="dot" w:pos="7077"/>
        </w:tabs>
        <w:rPr>
          <w:rFonts w:asciiTheme="minorHAnsi" w:eastAsiaTheme="minorEastAsia" w:hAnsiTheme="minorHAnsi" w:cstheme="minorBidi"/>
          <w:b w:val="0"/>
          <w:sz w:val="22"/>
          <w:szCs w:val="22"/>
        </w:rPr>
      </w:pPr>
      <w:r>
        <w:t>Order 40 — Court experts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_Toc163121129 \h </w:instrText>
      </w:r>
      <w:r>
        <w:fldChar w:fldCharType="separate"/>
      </w:r>
      <w:r>
        <w:t>278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Court expert, appointment of etc.</w:t>
      </w:r>
      <w:r>
        <w:tab/>
      </w:r>
      <w:r>
        <w:fldChar w:fldCharType="begin"/>
      </w:r>
      <w:r>
        <w:instrText xml:space="preserve"> PAGEREF _Toc163121130 \h </w:instrText>
      </w:r>
      <w:r>
        <w:fldChar w:fldCharType="separate"/>
      </w:r>
      <w:r>
        <w:t>278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Report of Court expert</w:t>
      </w:r>
      <w:r>
        <w:tab/>
      </w:r>
      <w:r>
        <w:fldChar w:fldCharType="begin"/>
      </w:r>
      <w:r>
        <w:instrText xml:space="preserve"> PAGEREF _Toc163121131 \h </w:instrText>
      </w:r>
      <w:r>
        <w:fldChar w:fldCharType="separate"/>
      </w:r>
      <w:r>
        <w:t>279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Cross</w:t>
      </w:r>
      <w:r>
        <w:rPr>
          <w:snapToGrid w:val="0"/>
        </w:rPr>
        <w:noBreakHyphen/>
        <w:t>examination of Court expert</w:t>
      </w:r>
      <w:r>
        <w:tab/>
      </w:r>
      <w:r>
        <w:fldChar w:fldCharType="begin"/>
      </w:r>
      <w:r>
        <w:instrText xml:space="preserve"> PAGEREF _Toc163121132 \h </w:instrText>
      </w:r>
      <w:r>
        <w:fldChar w:fldCharType="separate"/>
      </w:r>
      <w:r>
        <w:t>279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Remuneration of Court expert</w:t>
      </w:r>
      <w:r>
        <w:tab/>
      </w:r>
      <w:r>
        <w:fldChar w:fldCharType="begin"/>
      </w:r>
      <w:r>
        <w:instrText xml:space="preserve"> PAGEREF _Toc163121133 \h </w:instrText>
      </w:r>
      <w:r>
        <w:fldChar w:fldCharType="separate"/>
      </w:r>
      <w:r>
        <w:t>279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Further expert witnesses</w:t>
      </w:r>
      <w:r>
        <w:tab/>
      </w:r>
      <w:r>
        <w:fldChar w:fldCharType="begin"/>
      </w:r>
      <w:r>
        <w:instrText xml:space="preserve"> PAGEREF _Toc163121134 \h </w:instrText>
      </w:r>
      <w:r>
        <w:fldChar w:fldCharType="separate"/>
      </w:r>
      <w:r>
        <w:t>280</w:t>
      </w:r>
      <w:r>
        <w:fldChar w:fldCharType="end"/>
      </w:r>
    </w:p>
    <w:p>
      <w:pPr>
        <w:pStyle w:val="TOC2"/>
        <w:tabs>
          <w:tab w:val="right" w:leader="dot" w:pos="7077"/>
        </w:tabs>
        <w:rPr>
          <w:rFonts w:asciiTheme="minorHAnsi" w:eastAsiaTheme="minorEastAsia" w:hAnsiTheme="minorHAnsi" w:cstheme="minorBidi"/>
          <w:b w:val="0"/>
          <w:sz w:val="22"/>
          <w:szCs w:val="22"/>
        </w:rPr>
      </w:pPr>
      <w:r>
        <w:t>Order 41 — Motion for judgment</w:t>
      </w:r>
    </w:p>
    <w:p>
      <w:pPr>
        <w:pStyle w:val="TOC8"/>
        <w:rPr>
          <w:rFonts w:asciiTheme="minorHAnsi" w:eastAsiaTheme="minorEastAsia" w:hAnsiTheme="minorHAnsi" w:cstheme="minorBidi"/>
          <w:szCs w:val="22"/>
        </w:rPr>
      </w:pPr>
      <w:r>
        <w:t>1</w:t>
      </w:r>
      <w:r>
        <w:rPr>
          <w:snapToGrid w:val="0"/>
        </w:rPr>
        <w:t>.</w:t>
      </w:r>
      <w:r>
        <w:rPr>
          <w:snapToGrid w:val="0"/>
        </w:rPr>
        <w:tab/>
        <w:t>Judgment to be on motion</w:t>
      </w:r>
      <w:r>
        <w:tab/>
      </w:r>
      <w:r>
        <w:fldChar w:fldCharType="begin"/>
      </w:r>
      <w:r>
        <w:instrText xml:space="preserve"> PAGEREF _Toc163121136 \h </w:instrText>
      </w:r>
      <w:r>
        <w:fldChar w:fldCharType="separate"/>
      </w:r>
      <w:r>
        <w:t>281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When motion for judgment may be set down after trial etc.</w:t>
      </w:r>
      <w:r>
        <w:tab/>
      </w:r>
      <w:r>
        <w:fldChar w:fldCharType="begin"/>
      </w:r>
      <w:r>
        <w:instrText xml:space="preserve"> PAGEREF _Toc163121137 \h </w:instrText>
      </w:r>
      <w:r>
        <w:fldChar w:fldCharType="separate"/>
      </w:r>
      <w:r>
        <w:t>281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Motion for judgment before trial etc. of all issues</w:t>
      </w:r>
      <w:r>
        <w:tab/>
      </w:r>
      <w:r>
        <w:fldChar w:fldCharType="begin"/>
      </w:r>
      <w:r>
        <w:instrText xml:space="preserve"> PAGEREF _Toc163121138 \h </w:instrText>
      </w:r>
      <w:r>
        <w:fldChar w:fldCharType="separate"/>
      </w:r>
      <w:r>
        <w:t>281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Motion for judgment to be set down within one year</w:t>
      </w:r>
      <w:r>
        <w:tab/>
      </w:r>
      <w:r>
        <w:fldChar w:fldCharType="begin"/>
      </w:r>
      <w:r>
        <w:instrText xml:space="preserve"> PAGEREF _Toc163121139 \h </w:instrText>
      </w:r>
      <w:r>
        <w:fldChar w:fldCharType="separate"/>
      </w:r>
      <w:r>
        <w:t>282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draw inferences and determine questions</w:t>
      </w:r>
      <w:r>
        <w:tab/>
      </w:r>
      <w:r>
        <w:fldChar w:fldCharType="begin"/>
      </w:r>
      <w:r>
        <w:instrText xml:space="preserve"> PAGEREF _Toc163121140 \h </w:instrText>
      </w:r>
      <w:r>
        <w:fldChar w:fldCharType="separate"/>
      </w:r>
      <w:r>
        <w:t>282</w:t>
      </w:r>
      <w:r>
        <w:fldChar w:fldCharType="end"/>
      </w:r>
    </w:p>
    <w:p>
      <w:pPr>
        <w:pStyle w:val="TOC2"/>
        <w:tabs>
          <w:tab w:val="right" w:leader="dot" w:pos="7077"/>
        </w:tabs>
        <w:rPr>
          <w:rFonts w:asciiTheme="minorHAnsi" w:eastAsiaTheme="minorEastAsia" w:hAnsiTheme="minorHAnsi" w:cstheme="minorBidi"/>
          <w:b w:val="0"/>
          <w:sz w:val="22"/>
          <w:szCs w:val="22"/>
        </w:rPr>
      </w:pPr>
      <w:r>
        <w:t>Order 42 — Entry of judgment</w:t>
      </w:r>
    </w:p>
    <w:p>
      <w:pPr>
        <w:pStyle w:val="TOC8"/>
        <w:rPr>
          <w:rFonts w:asciiTheme="minorHAnsi" w:eastAsiaTheme="minorEastAsia" w:hAnsiTheme="minorHAnsi" w:cstheme="minorBidi"/>
          <w:szCs w:val="22"/>
        </w:rPr>
      </w:pPr>
      <w:r>
        <w:t>1</w:t>
      </w:r>
      <w:r>
        <w:rPr>
          <w:snapToGrid w:val="0"/>
        </w:rPr>
        <w:t>.</w:t>
      </w:r>
      <w:r>
        <w:rPr>
          <w:snapToGrid w:val="0"/>
        </w:rPr>
        <w:tab/>
        <w:t>Mode and form of entry</w:t>
      </w:r>
      <w:r>
        <w:tab/>
      </w:r>
      <w:r>
        <w:fldChar w:fldCharType="begin"/>
      </w:r>
      <w:r>
        <w:instrText xml:space="preserve"> PAGEREF _Toc163121142 \h </w:instrText>
      </w:r>
      <w:r>
        <w:fldChar w:fldCharType="separate"/>
      </w:r>
      <w:r>
        <w:t>283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Date from which judgment or order takes effect</w:t>
      </w:r>
      <w:r>
        <w:tab/>
      </w:r>
      <w:r>
        <w:fldChar w:fldCharType="begin"/>
      </w:r>
      <w:r>
        <w:instrText xml:space="preserve"> PAGEREF _Toc163121143 \h </w:instrText>
      </w:r>
      <w:r>
        <w:fldChar w:fldCharType="separate"/>
      </w:r>
      <w:r>
        <w:t>283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Orders to do an act, time for obeying to be specified</w:t>
      </w:r>
      <w:r>
        <w:tab/>
      </w:r>
      <w:r>
        <w:fldChar w:fldCharType="begin"/>
      </w:r>
      <w:r>
        <w:instrText xml:space="preserve"> PAGEREF _Toc163121144 \h </w:instrText>
      </w:r>
      <w:r>
        <w:fldChar w:fldCharType="separate"/>
      </w:r>
      <w:r>
        <w:t>283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Entering judgment on filing of affidavit etc.</w:t>
      </w:r>
      <w:r>
        <w:tab/>
      </w:r>
      <w:r>
        <w:fldChar w:fldCharType="begin"/>
      </w:r>
      <w:r>
        <w:instrText xml:space="preserve"> PAGEREF _Toc163121145 \h </w:instrText>
      </w:r>
      <w:r>
        <w:fldChar w:fldCharType="separate"/>
      </w:r>
      <w:r>
        <w:t>284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Entering judgment pursuant to order etc.</w:t>
      </w:r>
      <w:r>
        <w:tab/>
      </w:r>
      <w:r>
        <w:fldChar w:fldCharType="begin"/>
      </w:r>
      <w:r>
        <w:instrText xml:space="preserve"> PAGEREF _Toc163121146 \h </w:instrText>
      </w:r>
      <w:r>
        <w:fldChar w:fldCharType="separate"/>
      </w:r>
      <w:r>
        <w:t>284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Entering judgment on certificate of master or registrar</w:t>
      </w:r>
      <w:r>
        <w:tab/>
      </w:r>
      <w:r>
        <w:fldChar w:fldCharType="begin"/>
      </w:r>
      <w:r>
        <w:instrText xml:space="preserve"> PAGEREF _Toc163121147 \h </w:instrText>
      </w:r>
      <w:r>
        <w:fldChar w:fldCharType="separate"/>
      </w:r>
      <w:r>
        <w:t>284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Entering judgment by consent when party appears by solicitor</w:t>
      </w:r>
      <w:r>
        <w:tab/>
      </w:r>
      <w:r>
        <w:fldChar w:fldCharType="begin"/>
      </w:r>
      <w:r>
        <w:instrText xml:space="preserve"> PAGEREF _Toc163121148 \h </w:instrText>
      </w:r>
      <w:r>
        <w:fldChar w:fldCharType="separate"/>
      </w:r>
      <w:r>
        <w:t>284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Entering judgment by consent where defendant has not appeared or is self</w:t>
      </w:r>
      <w:r>
        <w:rPr>
          <w:snapToGrid w:val="0"/>
        </w:rPr>
        <w:noBreakHyphen/>
        <w:t>represented</w:t>
      </w:r>
      <w:r>
        <w:tab/>
      </w:r>
      <w:r>
        <w:fldChar w:fldCharType="begin"/>
      </w:r>
      <w:r>
        <w:instrText xml:space="preserve"> PAGEREF _Toc163121149 \h </w:instrText>
      </w:r>
      <w:r>
        <w:fldChar w:fldCharType="separate"/>
      </w:r>
      <w:r>
        <w:t>285</w:t>
      </w:r>
      <w:r>
        <w:fldChar w:fldCharType="end"/>
      </w:r>
    </w:p>
    <w:p>
      <w:pPr>
        <w:pStyle w:val="TOC8"/>
        <w:rPr>
          <w:rFonts w:asciiTheme="minorHAnsi" w:eastAsiaTheme="minorEastAsia" w:hAnsiTheme="minorHAnsi" w:cstheme="minorBidi"/>
          <w:szCs w:val="22"/>
        </w:rPr>
      </w:pPr>
      <w:r>
        <w:lastRenderedPageBreak/>
        <w:t>9</w:t>
      </w:r>
      <w:r>
        <w:rPr>
          <w:snapToGrid w:val="0"/>
        </w:rPr>
        <w:t>.</w:t>
      </w:r>
      <w:r>
        <w:rPr>
          <w:snapToGrid w:val="0"/>
        </w:rPr>
        <w:tab/>
        <w:t>Satisfaction of judgments</w:t>
      </w:r>
      <w:r>
        <w:tab/>
      </w:r>
      <w:r>
        <w:fldChar w:fldCharType="begin"/>
      </w:r>
      <w:r>
        <w:instrText xml:space="preserve"> PAGEREF _Toc163121150 \h </w:instrText>
      </w:r>
      <w:r>
        <w:fldChar w:fldCharType="separate"/>
      </w:r>
      <w:r>
        <w:t>285</w:t>
      </w:r>
      <w:r>
        <w:fldChar w:fldCharType="end"/>
      </w:r>
    </w:p>
    <w:p>
      <w:pPr>
        <w:pStyle w:val="TOC2"/>
        <w:tabs>
          <w:tab w:val="right" w:leader="dot" w:pos="7077"/>
        </w:tabs>
        <w:rPr>
          <w:rFonts w:asciiTheme="minorHAnsi" w:eastAsiaTheme="minorEastAsia" w:hAnsiTheme="minorHAnsi" w:cstheme="minorBidi"/>
          <w:b w:val="0"/>
          <w:sz w:val="22"/>
          <w:szCs w:val="22"/>
        </w:rPr>
      </w:pPr>
      <w:r>
        <w:t>Order 43 — Drawing up judgments and orders</w:t>
      </w:r>
    </w:p>
    <w:p>
      <w:pPr>
        <w:pStyle w:val="TOC8"/>
        <w:rPr>
          <w:rFonts w:asciiTheme="minorHAnsi" w:eastAsiaTheme="minorEastAsia" w:hAnsiTheme="minorHAnsi" w:cstheme="minorBidi"/>
          <w:szCs w:val="22"/>
        </w:rPr>
      </w:pPr>
      <w:r>
        <w:t>1</w:t>
      </w:r>
      <w:r>
        <w:rPr>
          <w:snapToGrid w:val="0"/>
        </w:rPr>
        <w:t>.</w:t>
      </w:r>
      <w:r>
        <w:rPr>
          <w:snapToGrid w:val="0"/>
        </w:rPr>
        <w:tab/>
        <w:t>Drawing up etc. judgments etc.</w:t>
      </w:r>
      <w:r>
        <w:tab/>
      </w:r>
      <w:r>
        <w:fldChar w:fldCharType="begin"/>
      </w:r>
      <w:r>
        <w:instrText xml:space="preserve"> PAGEREF _Toc163121152 \h </w:instrText>
      </w:r>
      <w:r>
        <w:fldChar w:fldCharType="separate"/>
      </w:r>
      <w:r>
        <w:t>286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When order need not be drawn up</w:t>
      </w:r>
      <w:r>
        <w:tab/>
      </w:r>
      <w:r>
        <w:fldChar w:fldCharType="begin"/>
      </w:r>
      <w:r>
        <w:instrText xml:space="preserve"> PAGEREF _Toc163121153 \h </w:instrText>
      </w:r>
      <w:r>
        <w:fldChar w:fldCharType="separate"/>
      </w:r>
      <w:r>
        <w:t>286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Authentication of judgments and orders</w:t>
      </w:r>
      <w:r>
        <w:tab/>
      </w:r>
      <w:r>
        <w:fldChar w:fldCharType="begin"/>
      </w:r>
      <w:r>
        <w:instrText xml:space="preserve"> PAGEREF _Toc163121154 \h </w:instrText>
      </w:r>
      <w:r>
        <w:fldChar w:fldCharType="separate"/>
      </w:r>
      <w:r>
        <w:t>287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Judgments and orders to be court record; issue and use of duplicates</w:t>
      </w:r>
      <w:r>
        <w:tab/>
      </w:r>
      <w:r>
        <w:fldChar w:fldCharType="begin"/>
      </w:r>
      <w:r>
        <w:instrText xml:space="preserve"> PAGEREF _Toc163121155 \h </w:instrText>
      </w:r>
      <w:r>
        <w:fldChar w:fldCharType="separate"/>
      </w:r>
      <w:r>
        <w:t>287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Amending orders</w:t>
      </w:r>
      <w:r>
        <w:tab/>
      </w:r>
      <w:r>
        <w:fldChar w:fldCharType="begin"/>
      </w:r>
      <w:r>
        <w:instrText xml:space="preserve"> PAGEREF _Toc163121156 \h </w:instrText>
      </w:r>
      <w:r>
        <w:fldChar w:fldCharType="separate"/>
      </w:r>
      <w:r>
        <w:t>288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Draft judgment or order to be filed</w:t>
      </w:r>
      <w:r>
        <w:tab/>
      </w:r>
      <w:r>
        <w:fldChar w:fldCharType="begin"/>
      </w:r>
      <w:r>
        <w:instrText xml:space="preserve"> PAGEREF _Toc163121157 \h </w:instrText>
      </w:r>
      <w:r>
        <w:fldChar w:fldCharType="separate"/>
      </w:r>
      <w:r>
        <w:t>288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Appointment to settle draft</w:t>
      </w:r>
      <w:r>
        <w:tab/>
      </w:r>
      <w:r>
        <w:fldChar w:fldCharType="begin"/>
      </w:r>
      <w:r>
        <w:instrText xml:space="preserve"> PAGEREF _Toc163121158 \h </w:instrText>
      </w:r>
      <w:r>
        <w:fldChar w:fldCharType="separate"/>
      </w:r>
      <w:r>
        <w:t>289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Attendance on settling draft</w:t>
      </w:r>
      <w:r>
        <w:tab/>
      </w:r>
      <w:r>
        <w:fldChar w:fldCharType="begin"/>
      </w:r>
      <w:r>
        <w:instrText xml:space="preserve"> PAGEREF _Toc163121159 \h </w:instrText>
      </w:r>
      <w:r>
        <w:fldChar w:fldCharType="separate"/>
      </w:r>
      <w:r>
        <w:t>289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Default of attendance on settling draft</w:t>
      </w:r>
      <w:r>
        <w:tab/>
      </w:r>
      <w:r>
        <w:fldChar w:fldCharType="begin"/>
      </w:r>
      <w:r>
        <w:instrText xml:space="preserve"> PAGEREF _Toc163121160 \h </w:instrText>
      </w:r>
      <w:r>
        <w:fldChar w:fldCharType="separate"/>
      </w:r>
      <w:r>
        <w:t>290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Dispensing with appointment</w:t>
      </w:r>
      <w:r>
        <w:tab/>
      </w:r>
      <w:r>
        <w:fldChar w:fldCharType="begin"/>
      </w:r>
      <w:r>
        <w:instrText xml:space="preserve"> PAGEREF _Toc163121161 \h </w:instrText>
      </w:r>
      <w:r>
        <w:fldChar w:fldCharType="separate"/>
      </w:r>
      <w:r>
        <w:t>290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Registrar’s and Court’s powers to settle judgments etc.</w:t>
      </w:r>
      <w:r>
        <w:tab/>
      </w:r>
      <w:r>
        <w:fldChar w:fldCharType="begin"/>
      </w:r>
      <w:r>
        <w:instrText xml:space="preserve"> PAGEREF _Toc163121162 \h </w:instrText>
      </w:r>
      <w:r>
        <w:fldChar w:fldCharType="separate"/>
      </w:r>
      <w:r>
        <w:t>290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Party to engross settled judgment or order</w:t>
      </w:r>
      <w:r>
        <w:tab/>
      </w:r>
      <w:r>
        <w:fldChar w:fldCharType="begin"/>
      </w:r>
      <w:r>
        <w:instrText xml:space="preserve"> PAGEREF _Toc163121163 \h </w:instrText>
      </w:r>
      <w:r>
        <w:fldChar w:fldCharType="separate"/>
      </w:r>
      <w:r>
        <w:t>291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Certificate for special allowance on taxation of costs</w:t>
      </w:r>
      <w:r>
        <w:tab/>
      </w:r>
      <w:r>
        <w:fldChar w:fldCharType="begin"/>
      </w:r>
      <w:r>
        <w:instrText xml:space="preserve"> PAGEREF _Toc163121164 \h </w:instrText>
      </w:r>
      <w:r>
        <w:fldChar w:fldCharType="separate"/>
      </w:r>
      <w:r>
        <w:t>291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Entry of judgments and orders</w:t>
      </w:r>
      <w:r>
        <w:tab/>
      </w:r>
      <w:r>
        <w:fldChar w:fldCharType="begin"/>
      </w:r>
      <w:r>
        <w:instrText xml:space="preserve"> PAGEREF _Toc163121165 \h </w:instrText>
      </w:r>
      <w:r>
        <w:fldChar w:fldCharType="separate"/>
      </w:r>
      <w:r>
        <w:t>292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Application to vary</w:t>
      </w:r>
      <w:r>
        <w:tab/>
      </w:r>
      <w:r>
        <w:fldChar w:fldCharType="begin"/>
      </w:r>
      <w:r>
        <w:instrText xml:space="preserve"> PAGEREF _Toc163121166 \h </w:instrText>
      </w:r>
      <w:r>
        <w:fldChar w:fldCharType="separate"/>
      </w:r>
      <w:r>
        <w:t>292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Consent orders</w:t>
      </w:r>
      <w:r>
        <w:tab/>
      </w:r>
      <w:r>
        <w:fldChar w:fldCharType="begin"/>
      </w:r>
      <w:r>
        <w:instrText xml:space="preserve"> PAGEREF _Toc163121167 \h </w:instrText>
      </w:r>
      <w:r>
        <w:fldChar w:fldCharType="separate"/>
      </w:r>
      <w:r>
        <w:t>292</w:t>
      </w:r>
      <w:r>
        <w:fldChar w:fldCharType="end"/>
      </w:r>
    </w:p>
    <w:p>
      <w:pPr>
        <w:pStyle w:val="TOC2"/>
        <w:tabs>
          <w:tab w:val="right" w:leader="dot" w:pos="7077"/>
        </w:tabs>
        <w:rPr>
          <w:rFonts w:asciiTheme="minorHAnsi" w:eastAsiaTheme="minorEastAsia" w:hAnsiTheme="minorHAnsi" w:cstheme="minorBidi"/>
          <w:b w:val="0"/>
          <w:sz w:val="22"/>
          <w:szCs w:val="22"/>
        </w:rPr>
      </w:pPr>
      <w:r>
        <w:t>Order 44A — </w:t>
      </w:r>
      <w:r>
        <w:rPr>
          <w:i/>
          <w:iCs/>
        </w:rPr>
        <w:t xml:space="preserve">Foreign Judgments Act 1991 </w:t>
      </w:r>
      <w:r>
        <w:t>(Commonwealth) 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_Toc163121169 \h </w:instrText>
      </w:r>
      <w:r>
        <w:fldChar w:fldCharType="separate"/>
      </w:r>
      <w:r>
        <w:t>294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of this Order</w:t>
      </w:r>
      <w:r>
        <w:tab/>
      </w:r>
      <w:r>
        <w:fldChar w:fldCharType="begin"/>
      </w:r>
      <w:r>
        <w:instrText xml:space="preserve"> PAGEREF _Toc163121170 \h </w:instrText>
      </w:r>
      <w:r>
        <w:fldChar w:fldCharType="separate"/>
      </w:r>
      <w:r>
        <w:t>294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for registration (Act s. 6)</w:t>
      </w:r>
      <w:r>
        <w:tab/>
      </w:r>
      <w:r>
        <w:fldChar w:fldCharType="begin"/>
      </w:r>
      <w:r>
        <w:instrText xml:space="preserve"> PAGEREF _Toc163121171 \h </w:instrText>
      </w:r>
      <w:r>
        <w:fldChar w:fldCharType="separate"/>
      </w:r>
      <w:r>
        <w:t>294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Evidence in support of application</w:t>
      </w:r>
      <w:r>
        <w:tab/>
      </w:r>
      <w:r>
        <w:fldChar w:fldCharType="begin"/>
      </w:r>
      <w:r>
        <w:instrText xml:space="preserve"> PAGEREF _Toc163121172 \h </w:instrText>
      </w:r>
      <w:r>
        <w:fldChar w:fldCharType="separate"/>
      </w:r>
      <w:r>
        <w:t>295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Security for costs</w:t>
      </w:r>
      <w:r>
        <w:tab/>
      </w:r>
      <w:r>
        <w:fldChar w:fldCharType="begin"/>
      </w:r>
      <w:r>
        <w:instrText xml:space="preserve"> PAGEREF _Toc163121173 \h </w:instrText>
      </w:r>
      <w:r>
        <w:fldChar w:fldCharType="separate"/>
      </w:r>
      <w:r>
        <w:t>296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 for registration</w:t>
      </w:r>
      <w:r>
        <w:tab/>
      </w:r>
      <w:r>
        <w:fldChar w:fldCharType="begin"/>
      </w:r>
      <w:r>
        <w:instrText xml:space="preserve"> PAGEREF _Toc163121174 \h </w:instrText>
      </w:r>
      <w:r>
        <w:fldChar w:fldCharType="separate"/>
      </w:r>
      <w:r>
        <w:t>296</w:t>
      </w:r>
      <w:r>
        <w:fldChar w:fldCharType="end"/>
      </w:r>
    </w:p>
    <w:p>
      <w:pPr>
        <w:pStyle w:val="TOC8"/>
        <w:rPr>
          <w:rFonts w:asciiTheme="minorHAnsi" w:eastAsiaTheme="minorEastAsia" w:hAnsiTheme="minorHAnsi" w:cstheme="minorBidi"/>
          <w:szCs w:val="22"/>
        </w:rPr>
      </w:pPr>
      <w:r>
        <w:t>7.</w:t>
      </w:r>
      <w:r>
        <w:tab/>
        <w:t>Record to be kept of registered judgments</w:t>
      </w:r>
      <w:r>
        <w:tab/>
      </w:r>
      <w:r>
        <w:fldChar w:fldCharType="begin"/>
      </w:r>
      <w:r>
        <w:instrText xml:space="preserve"> PAGEREF _Toc163121175 \h </w:instrText>
      </w:r>
      <w:r>
        <w:fldChar w:fldCharType="separate"/>
      </w:r>
      <w:r>
        <w:t>297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Notice of registration</w:t>
      </w:r>
      <w:r>
        <w:tab/>
      </w:r>
      <w:r>
        <w:fldChar w:fldCharType="begin"/>
      </w:r>
      <w:r>
        <w:instrText xml:space="preserve"> PAGEREF _Toc163121176 \h </w:instrText>
      </w:r>
      <w:r>
        <w:fldChar w:fldCharType="separate"/>
      </w:r>
      <w:r>
        <w:t>297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Indorsement of service</w:t>
      </w:r>
      <w:r>
        <w:tab/>
      </w:r>
      <w:r>
        <w:fldChar w:fldCharType="begin"/>
      </w:r>
      <w:r>
        <w:instrText xml:space="preserve"> PAGEREF _Toc163121177 \h </w:instrText>
      </w:r>
      <w:r>
        <w:fldChar w:fldCharType="separate"/>
      </w:r>
      <w:r>
        <w:t>298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Application to set aside registration</w:t>
      </w:r>
      <w:r>
        <w:tab/>
      </w:r>
      <w:r>
        <w:fldChar w:fldCharType="begin"/>
      </w:r>
      <w:r>
        <w:instrText xml:space="preserve"> PAGEREF _Toc163121178 \h </w:instrText>
      </w:r>
      <w:r>
        <w:fldChar w:fldCharType="separate"/>
      </w:r>
      <w:r>
        <w:t>298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Enforcing registered judgment</w:t>
      </w:r>
      <w:r>
        <w:tab/>
      </w:r>
      <w:r>
        <w:fldChar w:fldCharType="begin"/>
      </w:r>
      <w:r>
        <w:instrText xml:space="preserve"> PAGEREF _Toc163121179 \h </w:instrText>
      </w:r>
      <w:r>
        <w:fldChar w:fldCharType="separate"/>
      </w:r>
      <w:r>
        <w:t>299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Determination of certain questions</w:t>
      </w:r>
      <w:r>
        <w:tab/>
      </w:r>
      <w:r>
        <w:fldChar w:fldCharType="begin"/>
      </w:r>
      <w:r>
        <w:instrText xml:space="preserve"> PAGEREF _Toc163121180 \h </w:instrText>
      </w:r>
      <w:r>
        <w:fldChar w:fldCharType="separate"/>
      </w:r>
      <w:r>
        <w:t>299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Certified copy of judgment obtained in this State</w:t>
      </w:r>
      <w:r>
        <w:tab/>
      </w:r>
      <w:r>
        <w:fldChar w:fldCharType="begin"/>
      </w:r>
      <w:r>
        <w:instrText xml:space="preserve"> PAGEREF _Toc163121181 \h </w:instrText>
      </w:r>
      <w:r>
        <w:fldChar w:fldCharType="separate"/>
      </w:r>
      <w:r>
        <w:t>299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Order 45 — Accounts and inquiries</w:t>
      </w:r>
    </w:p>
    <w:p>
      <w:pPr>
        <w:pStyle w:val="TOC8"/>
        <w:rPr>
          <w:rFonts w:asciiTheme="minorHAnsi" w:eastAsiaTheme="minorEastAsia" w:hAnsiTheme="minorHAnsi" w:cstheme="minorBidi"/>
          <w:szCs w:val="22"/>
        </w:rPr>
      </w:pPr>
      <w:r>
        <w:t>1</w:t>
      </w:r>
      <w:r>
        <w:rPr>
          <w:snapToGrid w:val="0"/>
        </w:rPr>
        <w:t>.</w:t>
      </w:r>
      <w:r>
        <w:rPr>
          <w:snapToGrid w:val="0"/>
        </w:rPr>
        <w:tab/>
        <w:t>Summary order for account to be taken</w:t>
      </w:r>
      <w:r>
        <w:tab/>
      </w:r>
      <w:r>
        <w:fldChar w:fldCharType="begin"/>
      </w:r>
      <w:r>
        <w:instrText xml:space="preserve"> PAGEREF _Toc163121183 \h </w:instrText>
      </w:r>
      <w:r>
        <w:fldChar w:fldCharType="separate"/>
      </w:r>
      <w:r>
        <w:t>302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Direction for accounts etc. may be made at any stage</w:t>
      </w:r>
      <w:r>
        <w:tab/>
      </w:r>
      <w:r>
        <w:fldChar w:fldCharType="begin"/>
      </w:r>
      <w:r>
        <w:instrText xml:space="preserve"> PAGEREF _Toc163121184 \h </w:instrText>
      </w:r>
      <w:r>
        <w:fldChar w:fldCharType="separate"/>
      </w:r>
      <w:r>
        <w:t>302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Directions to be numbered</w:t>
      </w:r>
      <w:r>
        <w:tab/>
      </w:r>
      <w:r>
        <w:fldChar w:fldCharType="begin"/>
      </w:r>
      <w:r>
        <w:instrText xml:space="preserve"> PAGEREF _Toc163121185 \h </w:instrText>
      </w:r>
      <w:r>
        <w:fldChar w:fldCharType="separate"/>
      </w:r>
      <w:r>
        <w:t>302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Directions as to mode of taking account</w:t>
      </w:r>
      <w:r>
        <w:tab/>
      </w:r>
      <w:r>
        <w:fldChar w:fldCharType="begin"/>
      </w:r>
      <w:r>
        <w:instrText xml:space="preserve"> PAGEREF _Toc163121186 \h </w:instrText>
      </w:r>
      <w:r>
        <w:fldChar w:fldCharType="separate"/>
      </w:r>
      <w:r>
        <w:t>302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Account to be verified</w:t>
      </w:r>
      <w:r>
        <w:tab/>
      </w:r>
      <w:r>
        <w:fldChar w:fldCharType="begin"/>
      </w:r>
      <w:r>
        <w:instrText xml:space="preserve"> PAGEREF _Toc163121187 \h </w:instrText>
      </w:r>
      <w:r>
        <w:fldChar w:fldCharType="separate"/>
      </w:r>
      <w:r>
        <w:t>303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Vouchers and contested etc. items, directions as to</w:t>
      </w:r>
      <w:r>
        <w:tab/>
      </w:r>
      <w:r>
        <w:fldChar w:fldCharType="begin"/>
      </w:r>
      <w:r>
        <w:instrText xml:space="preserve"> PAGEREF _Toc163121188 \h </w:instrText>
      </w:r>
      <w:r>
        <w:fldChar w:fldCharType="separate"/>
      </w:r>
      <w:r>
        <w:t>303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Surcharge or error, notice of</w:t>
      </w:r>
      <w:r>
        <w:tab/>
      </w:r>
      <w:r>
        <w:fldChar w:fldCharType="begin"/>
      </w:r>
      <w:r>
        <w:instrText xml:space="preserve"> PAGEREF _Toc163121189 \h </w:instrText>
      </w:r>
      <w:r>
        <w:fldChar w:fldCharType="separate"/>
      </w:r>
      <w:r>
        <w:t>303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Allowances that can be made without direction</w:t>
      </w:r>
      <w:r>
        <w:tab/>
      </w:r>
      <w:r>
        <w:fldChar w:fldCharType="begin"/>
      </w:r>
      <w:r>
        <w:instrText xml:space="preserve"> PAGEREF _Toc163121190 \h </w:instrText>
      </w:r>
      <w:r>
        <w:fldChar w:fldCharType="separate"/>
      </w:r>
      <w:r>
        <w:t>304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Expediting proceedings</w:t>
      </w:r>
      <w:r>
        <w:tab/>
      </w:r>
      <w:r>
        <w:fldChar w:fldCharType="begin"/>
      </w:r>
      <w:r>
        <w:instrText xml:space="preserve"> PAGEREF _Toc163121191 \h </w:instrText>
      </w:r>
      <w:r>
        <w:fldChar w:fldCharType="separate"/>
      </w:r>
      <w:r>
        <w:t>304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Distributing fund before all persons entitled are ascertained</w:t>
      </w:r>
      <w:r>
        <w:tab/>
      </w:r>
      <w:r>
        <w:fldChar w:fldCharType="begin"/>
      </w:r>
      <w:r>
        <w:instrText xml:space="preserve"> PAGEREF _Toc163121192 \h </w:instrText>
      </w:r>
      <w:r>
        <w:fldChar w:fldCharType="separate"/>
      </w:r>
      <w:r>
        <w:t>304</w:t>
      </w:r>
      <w:r>
        <w:fldChar w:fldCharType="end"/>
      </w:r>
    </w:p>
    <w:p>
      <w:pPr>
        <w:pStyle w:val="TOC8"/>
        <w:rPr>
          <w:rFonts w:asciiTheme="minorHAnsi" w:eastAsiaTheme="minorEastAsia" w:hAnsiTheme="minorHAnsi" w:cstheme="minorBidi"/>
          <w:szCs w:val="22"/>
        </w:rPr>
      </w:pPr>
      <w:r>
        <w:t>11.</w:t>
      </w:r>
      <w:r>
        <w:tab/>
        <w:t>Master etc. may be ordered to take accounts or make inquiries</w:t>
      </w:r>
      <w:r>
        <w:tab/>
      </w:r>
      <w:r>
        <w:fldChar w:fldCharType="begin"/>
      </w:r>
      <w:r>
        <w:instrText xml:space="preserve"> PAGEREF _Toc163121193 \h </w:instrText>
      </w:r>
      <w:r>
        <w:fldChar w:fldCharType="separate"/>
      </w:r>
      <w:r>
        <w:t>305</w:t>
      </w:r>
      <w:r>
        <w:fldChar w:fldCharType="end"/>
      </w:r>
    </w:p>
    <w:p>
      <w:pPr>
        <w:pStyle w:val="TOC8"/>
        <w:rPr>
          <w:rFonts w:asciiTheme="minorHAnsi" w:eastAsiaTheme="minorEastAsia" w:hAnsiTheme="minorHAnsi" w:cstheme="minorBidi"/>
          <w:szCs w:val="22"/>
        </w:rPr>
      </w:pPr>
      <w:r>
        <w:t>12.</w:t>
      </w:r>
      <w:r>
        <w:tab/>
        <w:t>Right to adjournment from registrar etc.</w:t>
      </w:r>
      <w:r>
        <w:tab/>
      </w:r>
      <w:r>
        <w:fldChar w:fldCharType="begin"/>
      </w:r>
      <w:r>
        <w:instrText xml:space="preserve"> PAGEREF _Toc163121194 \h </w:instrText>
      </w:r>
      <w:r>
        <w:fldChar w:fldCharType="separate"/>
      </w:r>
      <w:r>
        <w:t>305</w:t>
      </w:r>
      <w:r>
        <w:fldChar w:fldCharType="end"/>
      </w:r>
    </w:p>
    <w:p>
      <w:pPr>
        <w:pStyle w:val="TOC2"/>
        <w:tabs>
          <w:tab w:val="right" w:leader="dot" w:pos="7077"/>
        </w:tabs>
        <w:rPr>
          <w:rFonts w:asciiTheme="minorHAnsi" w:eastAsiaTheme="minorEastAsia" w:hAnsiTheme="minorHAnsi" w:cstheme="minorBidi"/>
          <w:b w:val="0"/>
          <w:sz w:val="22"/>
          <w:szCs w:val="22"/>
        </w:rPr>
      </w:pPr>
      <w:r>
        <w:t>Order 46</w:t>
      </w:r>
      <w:r>
        <w:rPr>
          <w:b w:val="0"/>
        </w:rPr>
        <w:t> </w:t>
      </w:r>
      <w:r>
        <w:t>—</w:t>
      </w:r>
      <w:r>
        <w:rPr>
          <w:b w:val="0"/>
        </w:rPr>
        <w:t> </w:t>
      </w:r>
      <w:r>
        <w:rPr>
          <w:i/>
          <w:iCs/>
        </w:rPr>
        <w:t>Civil Judgments Enforcement Act 2004</w:t>
      </w:r>
      <w:r>
        <w:t xml:space="preserve">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_Toc163121196 \h </w:instrText>
      </w:r>
      <w:r>
        <w:fldChar w:fldCharType="separate"/>
      </w:r>
      <w:r>
        <w:t>306</w:t>
      </w:r>
      <w:r>
        <w:fldChar w:fldCharType="end"/>
      </w:r>
    </w:p>
    <w:p>
      <w:pPr>
        <w:pStyle w:val="TOC8"/>
        <w:rPr>
          <w:rFonts w:asciiTheme="minorHAnsi" w:eastAsiaTheme="minorEastAsia" w:hAnsiTheme="minorHAnsi" w:cstheme="minorBidi"/>
          <w:szCs w:val="22"/>
        </w:rPr>
      </w:pPr>
      <w:r>
        <w:t>2.</w:t>
      </w:r>
      <w:r>
        <w:tab/>
        <w:t>Applications that may be dealt with by registrar</w:t>
      </w:r>
      <w:r>
        <w:tab/>
      </w:r>
      <w:r>
        <w:fldChar w:fldCharType="begin"/>
      </w:r>
      <w:r>
        <w:instrText xml:space="preserve"> PAGEREF _Toc163121197 \h </w:instrText>
      </w:r>
      <w:r>
        <w:fldChar w:fldCharType="separate"/>
      </w:r>
      <w:r>
        <w:t>306</w:t>
      </w:r>
      <w:r>
        <w:fldChar w:fldCharType="end"/>
      </w:r>
    </w:p>
    <w:p>
      <w:pPr>
        <w:pStyle w:val="TOC8"/>
        <w:rPr>
          <w:rFonts w:asciiTheme="minorHAnsi" w:eastAsiaTheme="minorEastAsia" w:hAnsiTheme="minorHAnsi" w:cstheme="minorBidi"/>
          <w:szCs w:val="22"/>
        </w:rPr>
      </w:pPr>
      <w:r>
        <w:t>3.</w:t>
      </w:r>
      <w:r>
        <w:tab/>
        <w:t>Enforcing judgment in action between partners</w:t>
      </w:r>
      <w:r>
        <w:tab/>
      </w:r>
      <w:r>
        <w:fldChar w:fldCharType="begin"/>
      </w:r>
      <w:r>
        <w:instrText xml:space="preserve"> PAGEREF _Toc163121198 \h </w:instrText>
      </w:r>
      <w:r>
        <w:fldChar w:fldCharType="separate"/>
      </w:r>
      <w:r>
        <w:t>307</w:t>
      </w:r>
      <w:r>
        <w:fldChar w:fldCharType="end"/>
      </w:r>
    </w:p>
    <w:p>
      <w:pPr>
        <w:pStyle w:val="TOC2"/>
        <w:tabs>
          <w:tab w:val="right" w:leader="dot" w:pos="7077"/>
        </w:tabs>
        <w:rPr>
          <w:rFonts w:asciiTheme="minorHAnsi" w:eastAsiaTheme="minorEastAsia" w:hAnsiTheme="minorHAnsi" w:cstheme="minorBidi"/>
          <w:b w:val="0"/>
          <w:sz w:val="22"/>
          <w:szCs w:val="22"/>
        </w:rPr>
      </w:pPr>
      <w:r>
        <w:t>Order 51 — Receivers</w:t>
      </w:r>
    </w:p>
    <w:p>
      <w:pPr>
        <w:pStyle w:val="TOC8"/>
        <w:rPr>
          <w:rFonts w:asciiTheme="minorHAnsi" w:eastAsiaTheme="minorEastAsia" w:hAnsiTheme="minorHAnsi" w:cstheme="minorBidi"/>
          <w:szCs w:val="22"/>
        </w:rPr>
      </w:pPr>
      <w:r>
        <w:t>1</w:t>
      </w:r>
      <w:r>
        <w:rPr>
          <w:snapToGrid w:val="0"/>
        </w:rPr>
        <w:t>.</w:t>
      </w:r>
      <w:r>
        <w:rPr>
          <w:snapToGrid w:val="0"/>
        </w:rPr>
        <w:tab/>
        <w:t>Application for receiver and injunction</w:t>
      </w:r>
      <w:r>
        <w:tab/>
      </w:r>
      <w:r>
        <w:fldChar w:fldCharType="begin"/>
      </w:r>
      <w:r>
        <w:instrText xml:space="preserve"> PAGEREF _Toc163121200 \h </w:instrText>
      </w:r>
      <w:r>
        <w:fldChar w:fldCharType="separate"/>
      </w:r>
      <w:r>
        <w:t>308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Security to be given by receiver</w:t>
      </w:r>
      <w:r>
        <w:tab/>
      </w:r>
      <w:r>
        <w:fldChar w:fldCharType="begin"/>
      </w:r>
      <w:r>
        <w:instrText xml:space="preserve"> PAGEREF _Toc163121201 \h </w:instrText>
      </w:r>
      <w:r>
        <w:fldChar w:fldCharType="separate"/>
      </w:r>
      <w:r>
        <w:t>308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Remuneration of receiver</w:t>
      </w:r>
      <w:r>
        <w:tab/>
      </w:r>
      <w:r>
        <w:fldChar w:fldCharType="begin"/>
      </w:r>
      <w:r>
        <w:instrText xml:space="preserve"> PAGEREF _Toc163121202 \h </w:instrText>
      </w:r>
      <w:r>
        <w:fldChar w:fldCharType="separate"/>
      </w:r>
      <w:r>
        <w:t>309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Accounts by receiver</w:t>
      </w:r>
      <w:r>
        <w:tab/>
      </w:r>
      <w:r>
        <w:fldChar w:fldCharType="begin"/>
      </w:r>
      <w:r>
        <w:instrText xml:space="preserve"> PAGEREF _Toc163121203 \h </w:instrText>
      </w:r>
      <w:r>
        <w:fldChar w:fldCharType="separate"/>
      </w:r>
      <w:r>
        <w:t>309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Payment of balances by receiver</w:t>
      </w:r>
      <w:r>
        <w:tab/>
      </w:r>
      <w:r>
        <w:fldChar w:fldCharType="begin"/>
      </w:r>
      <w:r>
        <w:instrText xml:space="preserve"> PAGEREF _Toc163121204 \h </w:instrText>
      </w:r>
      <w:r>
        <w:fldChar w:fldCharType="separate"/>
      </w:r>
      <w:r>
        <w:t>309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Default by receiver</w:t>
      </w:r>
      <w:r>
        <w:tab/>
      </w:r>
      <w:r>
        <w:fldChar w:fldCharType="begin"/>
      </w:r>
      <w:r>
        <w:instrText xml:space="preserve"> PAGEREF _Toc163121205 \h </w:instrText>
      </w:r>
      <w:r>
        <w:fldChar w:fldCharType="separate"/>
      </w:r>
      <w:r>
        <w:t>310</w:t>
      </w:r>
      <w:r>
        <w:fldChar w:fldCharType="end"/>
      </w:r>
    </w:p>
    <w:p>
      <w:pPr>
        <w:pStyle w:val="TOC8"/>
        <w:rPr>
          <w:rFonts w:asciiTheme="minorHAnsi" w:eastAsiaTheme="minorEastAsia" w:hAnsiTheme="minorHAnsi" w:cstheme="minorBidi"/>
          <w:szCs w:val="22"/>
        </w:rPr>
      </w:pPr>
      <w:r>
        <w:t>8.</w:t>
      </w:r>
      <w:r>
        <w:tab/>
        <w:t>Final accounts to be filed</w:t>
      </w:r>
      <w:r>
        <w:tab/>
      </w:r>
      <w:r>
        <w:fldChar w:fldCharType="begin"/>
      </w:r>
      <w:r>
        <w:instrText xml:space="preserve"> PAGEREF _Toc163121206 \h </w:instrText>
      </w:r>
      <w:r>
        <w:fldChar w:fldCharType="separate"/>
      </w:r>
      <w:r>
        <w:t>310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Compensation to party restrained</w:t>
      </w:r>
      <w:r>
        <w:tab/>
      </w:r>
      <w:r>
        <w:fldChar w:fldCharType="begin"/>
      </w:r>
      <w:r>
        <w:instrText xml:space="preserve"> PAGEREF _Toc163121207 \h </w:instrText>
      </w:r>
      <w:r>
        <w:fldChar w:fldCharType="separate"/>
      </w:r>
      <w:r>
        <w:t>311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Compensation by applicant to party restrained</w:t>
      </w:r>
      <w:r>
        <w:tab/>
      </w:r>
      <w:r>
        <w:fldChar w:fldCharType="begin"/>
      </w:r>
      <w:r>
        <w:instrText xml:space="preserve"> PAGEREF _Toc163121208 \h </w:instrText>
      </w:r>
      <w:r>
        <w:fldChar w:fldCharType="separate"/>
      </w:r>
      <w:r>
        <w:t>311</w:t>
      </w:r>
      <w:r>
        <w:fldChar w:fldCharType="end"/>
      </w:r>
    </w:p>
    <w:p>
      <w:pPr>
        <w:pStyle w:val="TOC8"/>
        <w:rPr>
          <w:rFonts w:asciiTheme="minorHAnsi" w:eastAsiaTheme="minorEastAsia" w:hAnsiTheme="minorHAnsi" w:cstheme="minorBidi"/>
          <w:szCs w:val="22"/>
        </w:rPr>
      </w:pPr>
      <w:r>
        <w:t>11.</w:t>
      </w:r>
      <w:r>
        <w:tab/>
        <w:t xml:space="preserve">Application to </w:t>
      </w:r>
      <w:r>
        <w:rPr>
          <w:i/>
        </w:rPr>
        <w:t>Civil Judgments Enforcement Act 2004</w:t>
      </w:r>
      <w:r>
        <w:tab/>
      </w:r>
      <w:r>
        <w:fldChar w:fldCharType="begin"/>
      </w:r>
      <w:r>
        <w:instrText xml:space="preserve"> PAGEREF _Toc163121209 \h </w:instrText>
      </w:r>
      <w:r>
        <w:fldChar w:fldCharType="separate"/>
      </w:r>
      <w:r>
        <w:t>311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Order 52 — Interlocutory injunctions, interim preservation of property</w:t>
      </w:r>
    </w:p>
    <w:p>
      <w:pPr>
        <w:pStyle w:val="TOC8"/>
        <w:rPr>
          <w:rFonts w:asciiTheme="minorHAnsi" w:eastAsiaTheme="minorEastAsia" w:hAnsiTheme="minorHAnsi" w:cstheme="minorBidi"/>
          <w:szCs w:val="22"/>
        </w:rPr>
      </w:pPr>
      <w:r>
        <w:t>1</w:t>
      </w:r>
      <w:r>
        <w:rPr>
          <w:snapToGrid w:val="0"/>
        </w:rPr>
        <w:t>.</w:t>
      </w:r>
      <w:r>
        <w:rPr>
          <w:snapToGrid w:val="0"/>
        </w:rPr>
        <w:tab/>
        <w:t>Application for injunction</w:t>
      </w:r>
      <w:r>
        <w:tab/>
      </w:r>
      <w:r>
        <w:fldChar w:fldCharType="begin"/>
      </w:r>
      <w:r>
        <w:instrText xml:space="preserve"> PAGEREF _Toc163121211 \h </w:instrText>
      </w:r>
      <w:r>
        <w:fldChar w:fldCharType="separate"/>
      </w:r>
      <w:r>
        <w:t>312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Detention etc. of property; securing funds in dispute</w:t>
      </w:r>
      <w:r>
        <w:tab/>
      </w:r>
      <w:r>
        <w:fldChar w:fldCharType="begin"/>
      </w:r>
      <w:r>
        <w:instrText xml:space="preserve"> PAGEREF _Toc163121212 \h </w:instrText>
      </w:r>
      <w:r>
        <w:fldChar w:fldCharType="separate"/>
      </w:r>
      <w:r>
        <w:t>312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Power to order taking of samples etc.</w:t>
      </w:r>
      <w:r>
        <w:tab/>
      </w:r>
      <w:r>
        <w:fldChar w:fldCharType="begin"/>
      </w:r>
      <w:r>
        <w:instrText xml:space="preserve"> PAGEREF _Toc163121213 \h </w:instrText>
      </w:r>
      <w:r>
        <w:fldChar w:fldCharType="separate"/>
      </w:r>
      <w:r>
        <w:t>313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Disposal of perishable property etc.</w:t>
      </w:r>
      <w:r>
        <w:tab/>
      </w:r>
      <w:r>
        <w:fldChar w:fldCharType="begin"/>
      </w:r>
      <w:r>
        <w:instrText xml:space="preserve"> PAGEREF _Toc163121214 \h </w:instrText>
      </w:r>
      <w:r>
        <w:fldChar w:fldCharType="separate"/>
      </w:r>
      <w:r>
        <w:t>313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 for early trial on application for receiver, injunction etc.</w:t>
      </w:r>
      <w:r>
        <w:tab/>
      </w:r>
      <w:r>
        <w:fldChar w:fldCharType="begin"/>
      </w:r>
      <w:r>
        <w:instrText xml:space="preserve"> PAGEREF _Toc163121215 \h </w:instrText>
      </w:r>
      <w:r>
        <w:fldChar w:fldCharType="separate"/>
      </w:r>
      <w:r>
        <w:t>314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Recovering personal property subject to lien</w:t>
      </w:r>
      <w:r>
        <w:tab/>
      </w:r>
      <w:r>
        <w:fldChar w:fldCharType="begin"/>
      </w:r>
      <w:r>
        <w:instrText xml:space="preserve"> PAGEREF _Toc163121216 \h </w:instrText>
      </w:r>
      <w:r>
        <w:fldChar w:fldCharType="separate"/>
      </w:r>
      <w:r>
        <w:t>314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Directions</w:t>
      </w:r>
      <w:r>
        <w:tab/>
      </w:r>
      <w:r>
        <w:fldChar w:fldCharType="begin"/>
      </w:r>
      <w:r>
        <w:instrText xml:space="preserve"> PAGEREF _Toc163121217 \h </w:instrText>
      </w:r>
      <w:r>
        <w:fldChar w:fldCharType="separate"/>
      </w:r>
      <w:r>
        <w:t>315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Allowance of income or transfer of property during case</w:t>
      </w:r>
      <w:r>
        <w:tab/>
      </w:r>
      <w:r>
        <w:fldChar w:fldCharType="begin"/>
      </w:r>
      <w:r>
        <w:instrText xml:space="preserve"> PAGEREF _Toc163121218 \h </w:instrText>
      </w:r>
      <w:r>
        <w:fldChar w:fldCharType="separate"/>
      </w:r>
      <w:r>
        <w:t>315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Injunction to include undertaking as to compensation to party restrained</w:t>
      </w:r>
      <w:r>
        <w:tab/>
      </w:r>
      <w:r>
        <w:fldChar w:fldCharType="begin"/>
      </w:r>
      <w:r>
        <w:instrText xml:space="preserve"> PAGEREF _Toc163121219 \h </w:instrText>
      </w:r>
      <w:r>
        <w:fldChar w:fldCharType="separate"/>
      </w:r>
      <w:r>
        <w:t>315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Compensation to party restrained by undertaking</w:t>
      </w:r>
      <w:r>
        <w:tab/>
      </w:r>
      <w:r>
        <w:fldChar w:fldCharType="begin"/>
      </w:r>
      <w:r>
        <w:instrText xml:space="preserve"> PAGEREF _Toc163121220 \h </w:instrText>
      </w:r>
      <w:r>
        <w:fldChar w:fldCharType="separate"/>
      </w:r>
      <w:r>
        <w:t>316</w:t>
      </w:r>
      <w:r>
        <w:fldChar w:fldCharType="end"/>
      </w:r>
    </w:p>
    <w:p>
      <w:pPr>
        <w:pStyle w:val="TOC2"/>
        <w:tabs>
          <w:tab w:val="right" w:leader="dot" w:pos="7077"/>
        </w:tabs>
        <w:rPr>
          <w:rFonts w:asciiTheme="minorHAnsi" w:eastAsiaTheme="minorEastAsia" w:hAnsiTheme="minorHAnsi" w:cstheme="minorBidi"/>
          <w:b w:val="0"/>
          <w:sz w:val="22"/>
          <w:szCs w:val="22"/>
        </w:rPr>
      </w:pPr>
      <w:r>
        <w:t>Order 52A</w:t>
      </w:r>
      <w:r>
        <w:rPr>
          <w:b w:val="0"/>
        </w:rPr>
        <w:t> </w:t>
      </w:r>
      <w:r>
        <w:t>—</w:t>
      </w:r>
      <w:r>
        <w:rPr>
          <w:b w:val="0"/>
        </w:rPr>
        <w:t> </w:t>
      </w:r>
      <w:r>
        <w:t>Freezing orders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_Toc163121222 \h </w:instrText>
      </w:r>
      <w:r>
        <w:fldChar w:fldCharType="separate"/>
      </w:r>
      <w:r>
        <w:t>317</w:t>
      </w:r>
      <w:r>
        <w:fldChar w:fldCharType="end"/>
      </w:r>
    </w:p>
    <w:p>
      <w:pPr>
        <w:pStyle w:val="TOC8"/>
        <w:rPr>
          <w:rFonts w:asciiTheme="minorHAnsi" w:eastAsiaTheme="minorEastAsia" w:hAnsiTheme="minorHAnsi" w:cstheme="minorBidi"/>
          <w:szCs w:val="22"/>
        </w:rPr>
      </w:pPr>
      <w:r>
        <w:t>2.</w:t>
      </w:r>
      <w:r>
        <w:tab/>
        <w:t>Freezing order</w:t>
      </w:r>
      <w:r>
        <w:tab/>
      </w:r>
      <w:r>
        <w:fldChar w:fldCharType="begin"/>
      </w:r>
      <w:r>
        <w:instrText xml:space="preserve"> PAGEREF _Toc163121223 \h </w:instrText>
      </w:r>
      <w:r>
        <w:fldChar w:fldCharType="separate"/>
      </w:r>
      <w:r>
        <w:t>317</w:t>
      </w:r>
      <w:r>
        <w:fldChar w:fldCharType="end"/>
      </w:r>
    </w:p>
    <w:p>
      <w:pPr>
        <w:pStyle w:val="TOC8"/>
        <w:rPr>
          <w:rFonts w:asciiTheme="minorHAnsi" w:eastAsiaTheme="minorEastAsia" w:hAnsiTheme="minorHAnsi" w:cstheme="minorBidi"/>
          <w:szCs w:val="22"/>
        </w:rPr>
      </w:pPr>
      <w:r>
        <w:t>3.</w:t>
      </w:r>
      <w:r>
        <w:tab/>
        <w:t>Ancillary order</w:t>
      </w:r>
      <w:r>
        <w:tab/>
      </w:r>
      <w:r>
        <w:fldChar w:fldCharType="begin"/>
      </w:r>
      <w:r>
        <w:instrText xml:space="preserve"> PAGEREF _Toc163121224 \h </w:instrText>
      </w:r>
      <w:r>
        <w:fldChar w:fldCharType="separate"/>
      </w:r>
      <w:r>
        <w:t>317</w:t>
      </w:r>
      <w:r>
        <w:fldChar w:fldCharType="end"/>
      </w:r>
    </w:p>
    <w:p>
      <w:pPr>
        <w:pStyle w:val="TOC8"/>
        <w:rPr>
          <w:rFonts w:asciiTheme="minorHAnsi" w:eastAsiaTheme="minorEastAsia" w:hAnsiTheme="minorHAnsi" w:cstheme="minorBidi"/>
          <w:szCs w:val="22"/>
        </w:rPr>
      </w:pPr>
      <w:r>
        <w:t>4.</w:t>
      </w:r>
      <w:r>
        <w:tab/>
        <w:t>Respondent need not be party to proceeding</w:t>
      </w:r>
      <w:r>
        <w:tab/>
      </w:r>
      <w:r>
        <w:fldChar w:fldCharType="begin"/>
      </w:r>
      <w:r>
        <w:instrText xml:space="preserve"> PAGEREF _Toc163121225 \h </w:instrText>
      </w:r>
      <w:r>
        <w:fldChar w:fldCharType="separate"/>
      </w:r>
      <w:r>
        <w:t>318</w:t>
      </w:r>
      <w:r>
        <w:fldChar w:fldCharType="end"/>
      </w:r>
    </w:p>
    <w:p>
      <w:pPr>
        <w:pStyle w:val="TOC8"/>
        <w:rPr>
          <w:rFonts w:asciiTheme="minorHAnsi" w:eastAsiaTheme="minorEastAsia" w:hAnsiTheme="minorHAnsi" w:cstheme="minorBidi"/>
          <w:szCs w:val="22"/>
        </w:rPr>
      </w:pPr>
      <w:r>
        <w:t>5.</w:t>
      </w:r>
      <w:r>
        <w:tab/>
        <w:t>Order against judgment debtor, prospective judgment debtor or third party</w:t>
      </w:r>
      <w:r>
        <w:tab/>
      </w:r>
      <w:r>
        <w:fldChar w:fldCharType="begin"/>
      </w:r>
      <w:r>
        <w:instrText xml:space="preserve"> PAGEREF _Toc163121226 \h </w:instrText>
      </w:r>
      <w:r>
        <w:fldChar w:fldCharType="separate"/>
      </w:r>
      <w:r>
        <w:t>318</w:t>
      </w:r>
      <w:r>
        <w:fldChar w:fldCharType="end"/>
      </w:r>
    </w:p>
    <w:p>
      <w:pPr>
        <w:pStyle w:val="TOC8"/>
        <w:rPr>
          <w:rFonts w:asciiTheme="minorHAnsi" w:eastAsiaTheme="minorEastAsia" w:hAnsiTheme="minorHAnsi" w:cstheme="minorBidi"/>
          <w:szCs w:val="22"/>
        </w:rPr>
      </w:pPr>
      <w:r>
        <w:t>6.</w:t>
      </w:r>
      <w:r>
        <w:tab/>
        <w:t>Court’s other jurisdiction not affected</w:t>
      </w:r>
      <w:r>
        <w:tab/>
      </w:r>
      <w:r>
        <w:fldChar w:fldCharType="begin"/>
      </w:r>
      <w:r>
        <w:instrText xml:space="preserve"> PAGEREF _Toc163121227 \h </w:instrText>
      </w:r>
      <w:r>
        <w:fldChar w:fldCharType="separate"/>
      </w:r>
      <w:r>
        <w:t>320</w:t>
      </w:r>
      <w:r>
        <w:fldChar w:fldCharType="end"/>
      </w:r>
    </w:p>
    <w:p>
      <w:pPr>
        <w:pStyle w:val="TOC8"/>
        <w:rPr>
          <w:rFonts w:asciiTheme="minorHAnsi" w:eastAsiaTheme="minorEastAsia" w:hAnsiTheme="minorHAnsi" w:cstheme="minorBidi"/>
          <w:szCs w:val="22"/>
        </w:rPr>
      </w:pPr>
      <w:r>
        <w:t>7.</w:t>
      </w:r>
      <w:r>
        <w:tab/>
        <w:t>Service outside Australia of application for order</w:t>
      </w:r>
      <w:r>
        <w:tab/>
      </w:r>
      <w:r>
        <w:fldChar w:fldCharType="begin"/>
      </w:r>
      <w:r>
        <w:instrText xml:space="preserve"> PAGEREF _Toc163121228 \h </w:instrText>
      </w:r>
      <w:r>
        <w:fldChar w:fldCharType="separate"/>
      </w:r>
      <w:r>
        <w:t>320</w:t>
      </w:r>
      <w:r>
        <w:fldChar w:fldCharType="end"/>
      </w:r>
    </w:p>
    <w:p>
      <w:pPr>
        <w:pStyle w:val="TOC8"/>
        <w:rPr>
          <w:rFonts w:asciiTheme="minorHAnsi" w:eastAsiaTheme="minorEastAsia" w:hAnsiTheme="minorHAnsi" w:cstheme="minorBidi"/>
          <w:szCs w:val="22"/>
        </w:rPr>
      </w:pPr>
      <w:r>
        <w:t>8.</w:t>
      </w:r>
      <w:r>
        <w:tab/>
        <w:t>Costs</w:t>
      </w:r>
      <w:r>
        <w:tab/>
      </w:r>
      <w:r>
        <w:fldChar w:fldCharType="begin"/>
      </w:r>
      <w:r>
        <w:instrText xml:space="preserve"> PAGEREF _Toc163121229 \h </w:instrText>
      </w:r>
      <w:r>
        <w:fldChar w:fldCharType="separate"/>
      </w:r>
      <w:r>
        <w:t>320</w:t>
      </w:r>
      <w:r>
        <w:fldChar w:fldCharType="end"/>
      </w:r>
    </w:p>
    <w:p>
      <w:pPr>
        <w:pStyle w:val="TOC2"/>
        <w:tabs>
          <w:tab w:val="right" w:leader="dot" w:pos="7077"/>
        </w:tabs>
        <w:rPr>
          <w:rFonts w:asciiTheme="minorHAnsi" w:eastAsiaTheme="minorEastAsia" w:hAnsiTheme="minorHAnsi" w:cstheme="minorBidi"/>
          <w:b w:val="0"/>
          <w:sz w:val="22"/>
          <w:szCs w:val="22"/>
        </w:rPr>
      </w:pPr>
      <w:r>
        <w:t>Order 52B</w:t>
      </w:r>
      <w:r>
        <w:rPr>
          <w:b w:val="0"/>
        </w:rPr>
        <w:t> </w:t>
      </w:r>
      <w:r>
        <w:t>—</w:t>
      </w:r>
      <w:r>
        <w:rPr>
          <w:b w:val="0"/>
        </w:rPr>
        <w:t> </w:t>
      </w:r>
      <w:r>
        <w:t>Search orders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_Toc163121231 \h </w:instrText>
      </w:r>
      <w:r>
        <w:fldChar w:fldCharType="separate"/>
      </w:r>
      <w:r>
        <w:t>322</w:t>
      </w:r>
      <w:r>
        <w:fldChar w:fldCharType="end"/>
      </w:r>
    </w:p>
    <w:p>
      <w:pPr>
        <w:pStyle w:val="TOC8"/>
        <w:rPr>
          <w:rFonts w:asciiTheme="minorHAnsi" w:eastAsiaTheme="minorEastAsia" w:hAnsiTheme="minorHAnsi" w:cstheme="minorBidi"/>
          <w:szCs w:val="22"/>
        </w:rPr>
      </w:pPr>
      <w:r>
        <w:t>2.</w:t>
      </w:r>
      <w:r>
        <w:tab/>
        <w:t>Search order</w:t>
      </w:r>
      <w:r>
        <w:tab/>
      </w:r>
      <w:r>
        <w:fldChar w:fldCharType="begin"/>
      </w:r>
      <w:r>
        <w:instrText xml:space="preserve"> PAGEREF _Toc163121232 \h </w:instrText>
      </w:r>
      <w:r>
        <w:fldChar w:fldCharType="separate"/>
      </w:r>
      <w:r>
        <w:t>322</w:t>
      </w:r>
      <w:r>
        <w:fldChar w:fldCharType="end"/>
      </w:r>
    </w:p>
    <w:p>
      <w:pPr>
        <w:pStyle w:val="TOC8"/>
        <w:rPr>
          <w:rFonts w:asciiTheme="minorHAnsi" w:eastAsiaTheme="minorEastAsia" w:hAnsiTheme="minorHAnsi" w:cstheme="minorBidi"/>
          <w:szCs w:val="22"/>
        </w:rPr>
      </w:pPr>
      <w:r>
        <w:t>3.</w:t>
      </w:r>
      <w:r>
        <w:tab/>
        <w:t>Requirements for making of search order</w:t>
      </w:r>
      <w:r>
        <w:tab/>
      </w:r>
      <w:r>
        <w:fldChar w:fldCharType="begin"/>
      </w:r>
      <w:r>
        <w:instrText xml:space="preserve"> PAGEREF _Toc163121233 \h </w:instrText>
      </w:r>
      <w:r>
        <w:fldChar w:fldCharType="separate"/>
      </w:r>
      <w:r>
        <w:t>322</w:t>
      </w:r>
      <w:r>
        <w:fldChar w:fldCharType="end"/>
      </w:r>
    </w:p>
    <w:p>
      <w:pPr>
        <w:pStyle w:val="TOC8"/>
        <w:rPr>
          <w:rFonts w:asciiTheme="minorHAnsi" w:eastAsiaTheme="minorEastAsia" w:hAnsiTheme="minorHAnsi" w:cstheme="minorBidi"/>
          <w:szCs w:val="22"/>
        </w:rPr>
      </w:pPr>
      <w:r>
        <w:t>4.</w:t>
      </w:r>
      <w:r>
        <w:tab/>
        <w:t>Court’s other jurisdiction not affected</w:t>
      </w:r>
      <w:r>
        <w:tab/>
      </w:r>
      <w:r>
        <w:fldChar w:fldCharType="begin"/>
      </w:r>
      <w:r>
        <w:instrText xml:space="preserve"> PAGEREF _Toc163121234 \h </w:instrText>
      </w:r>
      <w:r>
        <w:fldChar w:fldCharType="separate"/>
      </w:r>
      <w:r>
        <w:t>323</w:t>
      </w:r>
      <w:r>
        <w:fldChar w:fldCharType="end"/>
      </w:r>
    </w:p>
    <w:p>
      <w:pPr>
        <w:pStyle w:val="TOC8"/>
        <w:rPr>
          <w:rFonts w:asciiTheme="minorHAnsi" w:eastAsiaTheme="minorEastAsia" w:hAnsiTheme="minorHAnsi" w:cstheme="minorBidi"/>
          <w:szCs w:val="22"/>
        </w:rPr>
      </w:pPr>
      <w:r>
        <w:t>5.</w:t>
      </w:r>
      <w:r>
        <w:tab/>
        <w:t>Terms of search order</w:t>
      </w:r>
      <w:r>
        <w:tab/>
      </w:r>
      <w:r>
        <w:fldChar w:fldCharType="begin"/>
      </w:r>
      <w:r>
        <w:instrText xml:space="preserve"> PAGEREF _Toc163121235 \h </w:instrText>
      </w:r>
      <w:r>
        <w:fldChar w:fldCharType="separate"/>
      </w:r>
      <w:r>
        <w:t>323</w:t>
      </w:r>
      <w:r>
        <w:fldChar w:fldCharType="end"/>
      </w:r>
    </w:p>
    <w:p>
      <w:pPr>
        <w:pStyle w:val="TOC8"/>
        <w:rPr>
          <w:rFonts w:asciiTheme="minorHAnsi" w:eastAsiaTheme="minorEastAsia" w:hAnsiTheme="minorHAnsi" w:cstheme="minorBidi"/>
          <w:szCs w:val="22"/>
        </w:rPr>
      </w:pPr>
      <w:r>
        <w:t>6.</w:t>
      </w:r>
      <w:r>
        <w:tab/>
        <w:t>Independent solicitors, appointment of etc.</w:t>
      </w:r>
      <w:r>
        <w:tab/>
      </w:r>
      <w:r>
        <w:fldChar w:fldCharType="begin"/>
      </w:r>
      <w:r>
        <w:instrText xml:space="preserve"> PAGEREF _Toc163121236 \h </w:instrText>
      </w:r>
      <w:r>
        <w:fldChar w:fldCharType="separate"/>
      </w:r>
      <w:r>
        <w:t>324</w:t>
      </w:r>
      <w:r>
        <w:fldChar w:fldCharType="end"/>
      </w:r>
    </w:p>
    <w:p>
      <w:pPr>
        <w:pStyle w:val="TOC8"/>
        <w:rPr>
          <w:rFonts w:asciiTheme="minorHAnsi" w:eastAsiaTheme="minorEastAsia" w:hAnsiTheme="minorHAnsi" w:cstheme="minorBidi"/>
          <w:szCs w:val="22"/>
        </w:rPr>
      </w:pPr>
      <w:r>
        <w:t>7.</w:t>
      </w:r>
      <w:r>
        <w:tab/>
        <w:t>Costs</w:t>
      </w:r>
      <w:r>
        <w:tab/>
      </w:r>
      <w:r>
        <w:fldChar w:fldCharType="begin"/>
      </w:r>
      <w:r>
        <w:instrText xml:space="preserve"> PAGEREF _Toc163121237 \h </w:instrText>
      </w:r>
      <w:r>
        <w:fldChar w:fldCharType="separate"/>
      </w:r>
      <w:r>
        <w:t>325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Order 53 — Sales of land by the Court</w:t>
      </w:r>
    </w:p>
    <w:p>
      <w:pPr>
        <w:pStyle w:val="TOC8"/>
        <w:rPr>
          <w:rFonts w:asciiTheme="minorHAnsi" w:eastAsiaTheme="minorEastAsia" w:hAnsiTheme="minorHAnsi" w:cstheme="minorBidi"/>
          <w:szCs w:val="22"/>
        </w:rPr>
      </w:pPr>
      <w:r>
        <w:t>1</w:t>
      </w:r>
      <w:r>
        <w:rPr>
          <w:snapToGrid w:val="0"/>
        </w:rPr>
        <w:t>.</w:t>
      </w:r>
      <w:r>
        <w:rPr>
          <w:snapToGrid w:val="0"/>
        </w:rPr>
        <w:tab/>
        <w:t>Term used: land</w:t>
      </w:r>
      <w:r>
        <w:tab/>
      </w:r>
      <w:r>
        <w:fldChar w:fldCharType="begin"/>
      </w:r>
      <w:r>
        <w:instrText xml:space="preserve"> PAGEREF _Toc163121239 \h </w:instrText>
      </w:r>
      <w:r>
        <w:fldChar w:fldCharType="separate"/>
      </w:r>
      <w:r>
        <w:t>326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Power to order sale of land</w:t>
      </w:r>
      <w:r>
        <w:tab/>
      </w:r>
      <w:r>
        <w:fldChar w:fldCharType="begin"/>
      </w:r>
      <w:r>
        <w:instrText xml:space="preserve"> PAGEREF _Toc163121240 \h </w:instrText>
      </w:r>
      <w:r>
        <w:fldChar w:fldCharType="separate"/>
      </w:r>
      <w:r>
        <w:t>326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Manner of sale</w:t>
      </w:r>
      <w:r>
        <w:tab/>
      </w:r>
      <w:r>
        <w:fldChar w:fldCharType="begin"/>
      </w:r>
      <w:r>
        <w:instrText xml:space="preserve"> PAGEREF _Toc163121241 \h </w:instrText>
      </w:r>
      <w:r>
        <w:fldChar w:fldCharType="separate"/>
      </w:r>
      <w:r>
        <w:t>326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Directions</w:t>
      </w:r>
      <w:r>
        <w:tab/>
      </w:r>
      <w:r>
        <w:fldChar w:fldCharType="begin"/>
      </w:r>
      <w:r>
        <w:instrText xml:space="preserve"> PAGEREF _Toc163121242 \h </w:instrText>
      </w:r>
      <w:r>
        <w:fldChar w:fldCharType="separate"/>
      </w:r>
      <w:r>
        <w:t>326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Certificate of sale</w:t>
      </w:r>
      <w:r>
        <w:tab/>
      </w:r>
      <w:r>
        <w:fldChar w:fldCharType="begin"/>
      </w:r>
      <w:r>
        <w:instrText xml:space="preserve"> PAGEREF _Toc163121243 \h </w:instrText>
      </w:r>
      <w:r>
        <w:fldChar w:fldCharType="separate"/>
      </w:r>
      <w:r>
        <w:t>327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Mortgage, exchange or partition</w:t>
      </w:r>
      <w:r>
        <w:tab/>
      </w:r>
      <w:r>
        <w:fldChar w:fldCharType="begin"/>
      </w:r>
      <w:r>
        <w:instrText xml:space="preserve"> PAGEREF _Toc163121244 \h </w:instrText>
      </w:r>
      <w:r>
        <w:fldChar w:fldCharType="separate"/>
      </w:r>
      <w:r>
        <w:t>327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Reference of matters to counsel</w:t>
      </w:r>
      <w:r>
        <w:tab/>
      </w:r>
      <w:r>
        <w:fldChar w:fldCharType="begin"/>
      </w:r>
      <w:r>
        <w:instrText xml:space="preserve"> PAGEREF _Toc163121245 \h </w:instrText>
      </w:r>
      <w:r>
        <w:fldChar w:fldCharType="separate"/>
      </w:r>
      <w:r>
        <w:t>328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Objection to counsel’s opinion</w:t>
      </w:r>
      <w:r>
        <w:tab/>
      </w:r>
      <w:r>
        <w:fldChar w:fldCharType="begin"/>
      </w:r>
      <w:r>
        <w:instrText xml:space="preserve"> PAGEREF _Toc163121246 \h </w:instrText>
      </w:r>
      <w:r>
        <w:fldChar w:fldCharType="separate"/>
      </w:r>
      <w:r>
        <w:t>328</w:t>
      </w:r>
      <w:r>
        <w:fldChar w:fldCharType="end"/>
      </w:r>
    </w:p>
    <w:p>
      <w:pPr>
        <w:pStyle w:val="TOC2"/>
        <w:tabs>
          <w:tab w:val="right" w:leader="dot" w:pos="7077"/>
        </w:tabs>
        <w:rPr>
          <w:rFonts w:asciiTheme="minorHAnsi" w:eastAsiaTheme="minorEastAsia" w:hAnsiTheme="minorHAnsi" w:cstheme="minorBidi"/>
          <w:b w:val="0"/>
          <w:sz w:val="22"/>
          <w:szCs w:val="22"/>
        </w:rPr>
      </w:pPr>
      <w:r>
        <w:t>Order 54 — Originating and other motions</w:t>
      </w:r>
    </w:p>
    <w:p>
      <w:pPr>
        <w:pStyle w:val="TOC8"/>
        <w:rPr>
          <w:rFonts w:asciiTheme="minorHAnsi" w:eastAsiaTheme="minorEastAsia" w:hAnsiTheme="minorHAnsi" w:cstheme="minorBidi"/>
          <w:szCs w:val="22"/>
        </w:rPr>
      </w:pPr>
      <w:r>
        <w:t>1</w:t>
      </w:r>
      <w:r>
        <w:rPr>
          <w:snapToGrid w:val="0"/>
        </w:rPr>
        <w:t>.</w:t>
      </w:r>
      <w:r>
        <w:rPr>
          <w:snapToGrid w:val="0"/>
        </w:rPr>
        <w:tab/>
        <w:t>Application of this Order</w:t>
      </w:r>
      <w:r>
        <w:tab/>
      </w:r>
      <w:r>
        <w:fldChar w:fldCharType="begin"/>
      </w:r>
      <w:r>
        <w:instrText xml:space="preserve"> PAGEREF _Toc163121248 \h </w:instrText>
      </w:r>
      <w:r>
        <w:fldChar w:fldCharType="separate"/>
      </w:r>
      <w:r>
        <w:t>329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Which applications to be made by motion</w:t>
      </w:r>
      <w:r>
        <w:tab/>
      </w:r>
      <w:r>
        <w:fldChar w:fldCharType="begin"/>
      </w:r>
      <w:r>
        <w:instrText xml:space="preserve"> PAGEREF _Toc163121249 \h </w:instrText>
      </w:r>
      <w:r>
        <w:fldChar w:fldCharType="separate"/>
      </w:r>
      <w:r>
        <w:t>329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motion</w:t>
      </w:r>
      <w:r>
        <w:tab/>
      </w:r>
      <w:r>
        <w:fldChar w:fldCharType="begin"/>
      </w:r>
      <w:r>
        <w:instrText xml:space="preserve"> PAGEREF _Toc163121250 \h </w:instrText>
      </w:r>
      <w:r>
        <w:fldChar w:fldCharType="separate"/>
      </w:r>
      <w:r>
        <w:t>329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of notice of motion</w:t>
      </w:r>
      <w:r>
        <w:tab/>
      </w:r>
      <w:r>
        <w:fldChar w:fldCharType="begin"/>
      </w:r>
      <w:r>
        <w:instrText xml:space="preserve"> PAGEREF _Toc163121251 \h </w:instrText>
      </w:r>
      <w:r>
        <w:fldChar w:fldCharType="separate"/>
      </w:r>
      <w:r>
        <w:t>329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 of notice of motion</w:t>
      </w:r>
      <w:r>
        <w:tab/>
      </w:r>
      <w:r>
        <w:fldChar w:fldCharType="begin"/>
      </w:r>
      <w:r>
        <w:instrText xml:space="preserve"> PAGEREF _Toc163121252 \h </w:instrText>
      </w:r>
      <w:r>
        <w:fldChar w:fldCharType="separate"/>
      </w:r>
      <w:r>
        <w:t>329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Issue of notice of motion</w:t>
      </w:r>
      <w:r>
        <w:tab/>
      </w:r>
      <w:r>
        <w:fldChar w:fldCharType="begin"/>
      </w:r>
      <w:r>
        <w:instrText xml:space="preserve"> PAGEREF _Toc163121253 \h </w:instrText>
      </w:r>
      <w:r>
        <w:fldChar w:fldCharType="separate"/>
      </w:r>
      <w:r>
        <w:t>330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Service of notice of motion with writ etc.</w:t>
      </w:r>
      <w:r>
        <w:tab/>
      </w:r>
      <w:r>
        <w:fldChar w:fldCharType="begin"/>
      </w:r>
      <w:r>
        <w:instrText xml:space="preserve"> PAGEREF _Toc163121254 \h </w:instrText>
      </w:r>
      <w:r>
        <w:fldChar w:fldCharType="separate"/>
      </w:r>
      <w:r>
        <w:t>330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Adjournment etc.</w:t>
      </w:r>
      <w:r>
        <w:tab/>
      </w:r>
      <w:r>
        <w:fldChar w:fldCharType="begin"/>
      </w:r>
      <w:r>
        <w:instrText xml:space="preserve"> PAGEREF _Toc163121255 \h </w:instrText>
      </w:r>
      <w:r>
        <w:fldChar w:fldCharType="separate"/>
      </w:r>
      <w:r>
        <w:t>330</w:t>
      </w:r>
      <w:r>
        <w:fldChar w:fldCharType="end"/>
      </w:r>
    </w:p>
    <w:p>
      <w:pPr>
        <w:pStyle w:val="TOC2"/>
        <w:tabs>
          <w:tab w:val="right" w:leader="dot" w:pos="7077"/>
        </w:tabs>
        <w:rPr>
          <w:rFonts w:asciiTheme="minorHAnsi" w:eastAsiaTheme="minorEastAsia" w:hAnsiTheme="minorHAnsi" w:cstheme="minorBidi"/>
          <w:b w:val="0"/>
          <w:sz w:val="22"/>
          <w:szCs w:val="22"/>
        </w:rPr>
      </w:pPr>
      <w:r>
        <w:t>Order 55 — Committal and attachment</w:t>
      </w:r>
    </w:p>
    <w:p>
      <w:pPr>
        <w:pStyle w:val="TOC8"/>
        <w:rPr>
          <w:rFonts w:asciiTheme="minorHAnsi" w:eastAsiaTheme="minorEastAsia" w:hAnsiTheme="minorHAnsi" w:cstheme="minorBidi"/>
          <w:szCs w:val="22"/>
        </w:rPr>
      </w:pPr>
      <w:r>
        <w:t>1</w:t>
      </w:r>
      <w:r>
        <w:rPr>
          <w:snapToGrid w:val="0"/>
        </w:rPr>
        <w:t>.</w:t>
      </w:r>
      <w:r>
        <w:rPr>
          <w:snapToGrid w:val="0"/>
        </w:rPr>
        <w:tab/>
        <w:t>Term used: contemnor</w:t>
      </w:r>
      <w:r>
        <w:tab/>
      </w:r>
      <w:r>
        <w:fldChar w:fldCharType="begin"/>
      </w:r>
      <w:r>
        <w:instrText xml:space="preserve"> PAGEREF _Toc163121257 \h </w:instrText>
      </w:r>
      <w:r>
        <w:fldChar w:fldCharType="separate"/>
      </w:r>
      <w:r>
        <w:t>331</w:t>
      </w:r>
      <w:r>
        <w:fldChar w:fldCharType="end"/>
      </w:r>
    </w:p>
    <w:p>
      <w:pPr>
        <w:pStyle w:val="TOC8"/>
        <w:rPr>
          <w:rFonts w:asciiTheme="minorHAnsi" w:eastAsiaTheme="minorEastAsia" w:hAnsiTheme="minorHAnsi" w:cstheme="minorBidi"/>
          <w:szCs w:val="22"/>
        </w:rPr>
      </w:pPr>
      <w:r>
        <w:t>2.</w:t>
      </w:r>
      <w:r>
        <w:tab/>
        <w:t>Committal for contempt of court</w:t>
      </w:r>
      <w:r>
        <w:tab/>
      </w:r>
      <w:r>
        <w:fldChar w:fldCharType="begin"/>
      </w:r>
      <w:r>
        <w:instrText xml:space="preserve"> PAGEREF _Toc163121258 \h </w:instrText>
      </w:r>
      <w:r>
        <w:fldChar w:fldCharType="separate"/>
      </w:r>
      <w:r>
        <w:t>331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Contempt in face of Court</w:t>
      </w:r>
      <w:r>
        <w:tab/>
      </w:r>
      <w:r>
        <w:fldChar w:fldCharType="begin"/>
      </w:r>
      <w:r>
        <w:instrText xml:space="preserve"> PAGEREF _Toc163121259 \h </w:instrText>
      </w:r>
      <w:r>
        <w:fldChar w:fldCharType="separate"/>
      </w:r>
      <w:r>
        <w:t>331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Other cases of contempt</w:t>
      </w:r>
      <w:r>
        <w:tab/>
      </w:r>
      <w:r>
        <w:fldChar w:fldCharType="begin"/>
      </w:r>
      <w:r>
        <w:instrText xml:space="preserve"> PAGEREF _Toc163121260 \h </w:instrText>
      </w:r>
      <w:r>
        <w:fldChar w:fldCharType="separate"/>
      </w:r>
      <w:r>
        <w:t>332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 and service of notice or summons</w:t>
      </w:r>
      <w:r>
        <w:tab/>
      </w:r>
      <w:r>
        <w:fldChar w:fldCharType="begin"/>
      </w:r>
      <w:r>
        <w:instrText xml:space="preserve"> PAGEREF _Toc163121261 \h </w:instrText>
      </w:r>
      <w:r>
        <w:fldChar w:fldCharType="separate"/>
      </w:r>
      <w:r>
        <w:t>332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Arresting contemnors</w:t>
      </w:r>
      <w:r>
        <w:tab/>
      </w:r>
      <w:r>
        <w:fldChar w:fldCharType="begin"/>
      </w:r>
      <w:r>
        <w:instrText xml:space="preserve"> PAGEREF _Toc163121262 \h </w:instrText>
      </w:r>
      <w:r>
        <w:fldChar w:fldCharType="separate"/>
      </w:r>
      <w:r>
        <w:t>333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Punishing contemnors</w:t>
      </w:r>
      <w:r>
        <w:tab/>
      </w:r>
      <w:r>
        <w:fldChar w:fldCharType="begin"/>
      </w:r>
      <w:r>
        <w:instrText xml:space="preserve"> PAGEREF _Toc163121263 \h </w:instrText>
      </w:r>
      <w:r>
        <w:fldChar w:fldCharType="separate"/>
      </w:r>
      <w:r>
        <w:t>333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Execution of committal order may be suspended</w:t>
      </w:r>
      <w:r>
        <w:tab/>
      </w:r>
      <w:r>
        <w:fldChar w:fldCharType="begin"/>
      </w:r>
      <w:r>
        <w:instrText xml:space="preserve"> PAGEREF _Toc163121264 \h </w:instrText>
      </w:r>
      <w:r>
        <w:fldChar w:fldCharType="separate"/>
      </w:r>
      <w:r>
        <w:t>333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Discharge from committal</w:t>
      </w:r>
      <w:r>
        <w:tab/>
      </w:r>
      <w:r>
        <w:fldChar w:fldCharType="begin"/>
      </w:r>
      <w:r>
        <w:instrText xml:space="preserve"> PAGEREF _Toc163121265 \h </w:instrText>
      </w:r>
      <w:r>
        <w:fldChar w:fldCharType="separate"/>
      </w:r>
      <w:r>
        <w:t>334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Saving for other powers</w:t>
      </w:r>
      <w:r>
        <w:tab/>
      </w:r>
      <w:r>
        <w:fldChar w:fldCharType="begin"/>
      </w:r>
      <w:r>
        <w:instrText xml:space="preserve"> PAGEREF _Toc163121266 \h </w:instrText>
      </w:r>
      <w:r>
        <w:fldChar w:fldCharType="separate"/>
      </w:r>
      <w:r>
        <w:t>334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Court may make peremptory order in first instance</w:t>
      </w:r>
      <w:r>
        <w:tab/>
      </w:r>
      <w:r>
        <w:fldChar w:fldCharType="begin"/>
      </w:r>
      <w:r>
        <w:instrText xml:space="preserve"> PAGEREF _Toc163121267 \h </w:instrText>
      </w:r>
      <w:r>
        <w:fldChar w:fldCharType="separate"/>
      </w:r>
      <w:r>
        <w:t>334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 of r. 6 to 9 to attachment etc.</w:t>
      </w:r>
      <w:r>
        <w:tab/>
      </w:r>
      <w:r>
        <w:fldChar w:fldCharType="begin"/>
      </w:r>
      <w:r>
        <w:instrText xml:space="preserve"> PAGEREF _Toc163121268 \h </w:instrText>
      </w:r>
      <w:r>
        <w:fldChar w:fldCharType="separate"/>
      </w:r>
      <w:r>
        <w:t>335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Order 56</w:t>
      </w:r>
      <w:r>
        <w:rPr>
          <w:b w:val="0"/>
        </w:rPr>
        <w:t> </w:t>
      </w:r>
      <w:r>
        <w:t>—</w:t>
      </w:r>
      <w:r>
        <w:rPr>
          <w:b w:val="0"/>
        </w:rPr>
        <w:t> </w:t>
      </w:r>
      <w:r>
        <w:t>Judicial review</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_Toc163121271 \h </w:instrText>
      </w:r>
      <w:r>
        <w:fldChar w:fldCharType="separate"/>
      </w:r>
      <w:r>
        <w:t>336</w:t>
      </w:r>
      <w:r>
        <w:fldChar w:fldCharType="end"/>
      </w:r>
    </w:p>
    <w:p>
      <w:pPr>
        <w:pStyle w:val="TOC8"/>
        <w:rPr>
          <w:rFonts w:asciiTheme="minorHAnsi" w:eastAsiaTheme="minorEastAsia" w:hAnsiTheme="minorHAnsi" w:cstheme="minorBidi"/>
          <w:szCs w:val="22"/>
        </w:rPr>
      </w:pPr>
      <w:r>
        <w:t>2.</w:t>
      </w:r>
      <w:r>
        <w:tab/>
        <w:t>Making an application</w:t>
      </w:r>
      <w:r>
        <w:tab/>
      </w:r>
      <w:r>
        <w:fldChar w:fldCharType="begin"/>
      </w:r>
      <w:r>
        <w:instrText xml:space="preserve"> PAGEREF _Toc163121272 \h </w:instrText>
      </w:r>
      <w:r>
        <w:fldChar w:fldCharType="separate"/>
      </w:r>
      <w:r>
        <w:t>337</w:t>
      </w:r>
      <w:r>
        <w:fldChar w:fldCharType="end"/>
      </w:r>
    </w:p>
    <w:p>
      <w:pPr>
        <w:pStyle w:val="TOC8"/>
        <w:rPr>
          <w:rFonts w:asciiTheme="minorHAnsi" w:eastAsiaTheme="minorEastAsia" w:hAnsiTheme="minorHAnsi" w:cstheme="minorBidi"/>
          <w:szCs w:val="22"/>
        </w:rPr>
      </w:pPr>
      <w:r>
        <w:t>3.</w:t>
      </w:r>
      <w:r>
        <w:tab/>
        <w:t>Serving an application</w:t>
      </w:r>
      <w:r>
        <w:tab/>
      </w:r>
      <w:r>
        <w:fldChar w:fldCharType="begin"/>
      </w:r>
      <w:r>
        <w:instrText xml:space="preserve"> PAGEREF _Toc163121273 \h </w:instrText>
      </w:r>
      <w:r>
        <w:fldChar w:fldCharType="separate"/>
      </w:r>
      <w:r>
        <w:t>338</w:t>
      </w:r>
      <w:r>
        <w:fldChar w:fldCharType="end"/>
      </w:r>
    </w:p>
    <w:p>
      <w:pPr>
        <w:pStyle w:val="TOC8"/>
        <w:rPr>
          <w:rFonts w:asciiTheme="minorHAnsi" w:eastAsiaTheme="minorEastAsia" w:hAnsiTheme="minorHAnsi" w:cstheme="minorBidi"/>
          <w:szCs w:val="22"/>
        </w:rPr>
      </w:pPr>
      <w:r>
        <w:t>4.</w:t>
      </w:r>
      <w:r>
        <w:tab/>
        <w:t>Options of person served with application</w:t>
      </w:r>
      <w:r>
        <w:tab/>
      </w:r>
      <w:r>
        <w:fldChar w:fldCharType="begin"/>
      </w:r>
      <w:r>
        <w:instrText xml:space="preserve"> PAGEREF _Toc163121274 \h </w:instrText>
      </w:r>
      <w:r>
        <w:fldChar w:fldCharType="separate"/>
      </w:r>
      <w:r>
        <w:t>338</w:t>
      </w:r>
      <w:r>
        <w:fldChar w:fldCharType="end"/>
      </w:r>
    </w:p>
    <w:p>
      <w:pPr>
        <w:pStyle w:val="TOC8"/>
        <w:rPr>
          <w:rFonts w:asciiTheme="minorHAnsi" w:eastAsiaTheme="minorEastAsia" w:hAnsiTheme="minorHAnsi" w:cstheme="minorBidi"/>
          <w:szCs w:val="22"/>
        </w:rPr>
      </w:pPr>
      <w:r>
        <w:t>5.</w:t>
      </w:r>
      <w:r>
        <w:tab/>
        <w:t>Procedure on application</w:t>
      </w:r>
      <w:r>
        <w:tab/>
      </w:r>
      <w:r>
        <w:fldChar w:fldCharType="begin"/>
      </w:r>
      <w:r>
        <w:instrText xml:space="preserve"> PAGEREF _Toc163121275 \h </w:instrText>
      </w:r>
      <w:r>
        <w:fldChar w:fldCharType="separate"/>
      </w:r>
      <w:r>
        <w:t>339</w:t>
      </w:r>
      <w:r>
        <w:fldChar w:fldCharType="end"/>
      </w:r>
    </w:p>
    <w:p>
      <w:pPr>
        <w:pStyle w:val="TOC8"/>
        <w:rPr>
          <w:rFonts w:asciiTheme="minorHAnsi" w:eastAsiaTheme="minorEastAsia" w:hAnsiTheme="minorHAnsi" w:cstheme="minorBidi"/>
          <w:szCs w:val="22"/>
        </w:rPr>
      </w:pPr>
      <w:r>
        <w:t>6.</w:t>
      </w:r>
      <w:r>
        <w:tab/>
        <w:t>Discovery and interrogatories</w:t>
      </w:r>
      <w:r>
        <w:tab/>
      </w:r>
      <w:r>
        <w:fldChar w:fldCharType="begin"/>
      </w:r>
      <w:r>
        <w:instrText xml:space="preserve"> PAGEREF _Toc163121276 \h </w:instrText>
      </w:r>
      <w:r>
        <w:fldChar w:fldCharType="separate"/>
      </w:r>
      <w:r>
        <w:t>340</w:t>
      </w:r>
      <w:r>
        <w:fldChar w:fldCharType="end"/>
      </w:r>
    </w:p>
    <w:p>
      <w:pPr>
        <w:pStyle w:val="TOC8"/>
        <w:rPr>
          <w:rFonts w:asciiTheme="minorHAnsi" w:eastAsiaTheme="minorEastAsia" w:hAnsiTheme="minorHAnsi" w:cstheme="minorBidi"/>
          <w:szCs w:val="22"/>
        </w:rPr>
      </w:pPr>
      <w:r>
        <w:t>7.</w:t>
      </w:r>
      <w:r>
        <w:tab/>
        <w:t>Costs</w:t>
      </w:r>
      <w:r>
        <w:tab/>
      </w:r>
      <w:r>
        <w:fldChar w:fldCharType="begin"/>
      </w:r>
      <w:r>
        <w:instrText xml:space="preserve"> PAGEREF _Toc163121277 \h </w:instrText>
      </w:r>
      <w:r>
        <w:fldChar w:fldCharType="separate"/>
      </w:r>
      <w:r>
        <w:t>340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Issue and filing of writs</w:t>
      </w:r>
      <w:r>
        <w:tab/>
      </w:r>
      <w:r>
        <w:fldChar w:fldCharType="begin"/>
      </w:r>
      <w:r>
        <w:instrText xml:space="preserve"> PAGEREF _Toc163121278 \h </w:instrText>
      </w:r>
      <w:r>
        <w:fldChar w:fldCharType="separate"/>
      </w:r>
      <w:r>
        <w:t>340</w:t>
      </w:r>
      <w:r>
        <w:fldChar w:fldCharType="end"/>
      </w:r>
    </w:p>
    <w:p>
      <w:pPr>
        <w:pStyle w:val="TOC4"/>
        <w:tabs>
          <w:tab w:val="right" w:leader="dot" w:pos="7077"/>
        </w:tabs>
        <w:rPr>
          <w:rFonts w:asciiTheme="minorHAnsi" w:eastAsiaTheme="minorEastAsia" w:hAnsiTheme="minorHAnsi" w:cstheme="minorBidi"/>
          <w:b w:val="0"/>
          <w:szCs w:val="22"/>
        </w:rPr>
      </w:pPr>
      <w:r>
        <w:t>Division 2 — Certiorari</w:t>
      </w:r>
    </w:p>
    <w:p>
      <w:pPr>
        <w:pStyle w:val="TOC8"/>
        <w:rPr>
          <w:rFonts w:asciiTheme="minorHAnsi" w:eastAsiaTheme="minorEastAsia" w:hAnsiTheme="minorHAnsi" w:cstheme="minorBidi"/>
          <w:szCs w:val="22"/>
        </w:rPr>
      </w:pPr>
      <w:r>
        <w:t>14</w:t>
      </w:r>
      <w:r>
        <w:rPr>
          <w:snapToGrid w:val="0"/>
        </w:rPr>
        <w:t>.</w:t>
      </w:r>
      <w:r>
        <w:rPr>
          <w:snapToGrid w:val="0"/>
        </w:rPr>
        <w:tab/>
        <w:t>Forms</w:t>
      </w:r>
      <w:r>
        <w:tab/>
      </w:r>
      <w:r>
        <w:fldChar w:fldCharType="begin"/>
      </w:r>
      <w:r>
        <w:instrText xml:space="preserve"> PAGEREF _Toc163121280 \h </w:instrText>
      </w:r>
      <w:r>
        <w:fldChar w:fldCharType="separate"/>
      </w:r>
      <w:r>
        <w:t>341</w:t>
      </w:r>
      <w:r>
        <w:fldChar w:fldCharType="end"/>
      </w:r>
    </w:p>
    <w:p>
      <w:pPr>
        <w:pStyle w:val="TOC4"/>
        <w:tabs>
          <w:tab w:val="right" w:leader="dot" w:pos="7077"/>
        </w:tabs>
        <w:rPr>
          <w:rFonts w:asciiTheme="minorHAnsi" w:eastAsiaTheme="minorEastAsia" w:hAnsiTheme="minorHAnsi" w:cstheme="minorBidi"/>
          <w:b w:val="0"/>
          <w:szCs w:val="22"/>
        </w:rPr>
      </w:pPr>
      <w:r>
        <w:t>Division 3 — Mandamus</w:t>
      </w:r>
    </w:p>
    <w:p>
      <w:pPr>
        <w:pStyle w:val="TOC8"/>
        <w:rPr>
          <w:rFonts w:asciiTheme="minorHAnsi" w:eastAsiaTheme="minorEastAsia" w:hAnsiTheme="minorHAnsi" w:cstheme="minorBidi"/>
          <w:szCs w:val="22"/>
        </w:rPr>
      </w:pPr>
      <w:r>
        <w:t>15</w:t>
      </w:r>
      <w:r>
        <w:rPr>
          <w:snapToGrid w:val="0"/>
        </w:rPr>
        <w:t>.</w:t>
      </w:r>
      <w:r>
        <w:rPr>
          <w:snapToGrid w:val="0"/>
        </w:rPr>
        <w:tab/>
        <w:t>Applicant to show interest etc.</w:t>
      </w:r>
      <w:r>
        <w:tab/>
      </w:r>
      <w:r>
        <w:fldChar w:fldCharType="begin"/>
      </w:r>
      <w:r>
        <w:instrText xml:space="preserve"> PAGEREF _Toc163121282 \h </w:instrText>
      </w:r>
      <w:r>
        <w:fldChar w:fldCharType="separate"/>
      </w:r>
      <w:r>
        <w:t>341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Form of writ</w:t>
      </w:r>
      <w:r>
        <w:tab/>
      </w:r>
      <w:r>
        <w:fldChar w:fldCharType="begin"/>
      </w:r>
      <w:r>
        <w:instrText xml:space="preserve"> PAGEREF _Toc163121283 \h </w:instrText>
      </w:r>
      <w:r>
        <w:fldChar w:fldCharType="separate"/>
      </w:r>
      <w:r>
        <w:t>342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Time for return of writ</w:t>
      </w:r>
      <w:r>
        <w:tab/>
      </w:r>
      <w:r>
        <w:fldChar w:fldCharType="begin"/>
      </w:r>
      <w:r>
        <w:instrText xml:space="preserve"> PAGEREF _Toc163121284 \h </w:instrText>
      </w:r>
      <w:r>
        <w:fldChar w:fldCharType="separate"/>
      </w:r>
      <w:r>
        <w:t>342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Service</w:t>
      </w:r>
      <w:r>
        <w:tab/>
      </w:r>
      <w:r>
        <w:fldChar w:fldCharType="begin"/>
      </w:r>
      <w:r>
        <w:instrText xml:space="preserve"> PAGEREF _Toc163121285 \h </w:instrText>
      </w:r>
      <w:r>
        <w:fldChar w:fldCharType="separate"/>
      </w:r>
      <w:r>
        <w:t>342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Service on corporate body, or justices</w:t>
      </w:r>
      <w:r>
        <w:tab/>
      </w:r>
      <w:r>
        <w:fldChar w:fldCharType="begin"/>
      </w:r>
      <w:r>
        <w:instrText xml:space="preserve"> PAGEREF _Toc163121286 \h </w:instrText>
      </w:r>
      <w:r>
        <w:fldChar w:fldCharType="separate"/>
      </w:r>
      <w:r>
        <w:t>343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Return, content etc. of</w:t>
      </w:r>
      <w:r>
        <w:tab/>
      </w:r>
      <w:r>
        <w:fldChar w:fldCharType="begin"/>
      </w:r>
      <w:r>
        <w:instrText xml:space="preserve"> PAGEREF _Toc163121287 \h </w:instrText>
      </w:r>
      <w:r>
        <w:fldChar w:fldCharType="separate"/>
      </w:r>
      <w:r>
        <w:t>343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Pleading to return</w:t>
      </w:r>
      <w:r>
        <w:tab/>
      </w:r>
      <w:r>
        <w:fldChar w:fldCharType="begin"/>
      </w:r>
      <w:r>
        <w:instrText xml:space="preserve"> PAGEREF _Toc163121288 \h </w:instrText>
      </w:r>
      <w:r>
        <w:fldChar w:fldCharType="separate"/>
      </w:r>
      <w:r>
        <w:t>344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No motion for judgment needed in some cases</w:t>
      </w:r>
      <w:r>
        <w:tab/>
      </w:r>
      <w:r>
        <w:fldChar w:fldCharType="begin"/>
      </w:r>
      <w:r>
        <w:instrText xml:space="preserve"> PAGEREF _Toc163121289 \h </w:instrText>
      </w:r>
      <w:r>
        <w:fldChar w:fldCharType="separate"/>
      </w:r>
      <w:r>
        <w:t>344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Peremptory writ</w:t>
      </w:r>
      <w:r>
        <w:tab/>
      </w:r>
      <w:r>
        <w:fldChar w:fldCharType="begin"/>
      </w:r>
      <w:r>
        <w:instrText xml:space="preserve"> PAGEREF _Toc163121290 \h </w:instrText>
      </w:r>
      <w:r>
        <w:fldChar w:fldCharType="separate"/>
      </w:r>
      <w:r>
        <w:t>344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Costs</w:t>
      </w:r>
      <w:r>
        <w:tab/>
      </w:r>
      <w:r>
        <w:fldChar w:fldCharType="begin"/>
      </w:r>
      <w:r>
        <w:instrText xml:space="preserve"> PAGEREF _Toc163121291 \h </w:instrText>
      </w:r>
      <w:r>
        <w:fldChar w:fldCharType="separate"/>
      </w:r>
      <w:r>
        <w:t>344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Proceedings in nature of interpleader</w:t>
      </w:r>
      <w:r>
        <w:tab/>
      </w:r>
      <w:r>
        <w:fldChar w:fldCharType="begin"/>
      </w:r>
      <w:r>
        <w:instrText xml:space="preserve"> PAGEREF _Toc163121292 \h </w:instrText>
      </w:r>
      <w:r>
        <w:fldChar w:fldCharType="separate"/>
      </w:r>
      <w:r>
        <w:t>345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Proceedings not to abate due to death etc.</w:t>
      </w:r>
      <w:r>
        <w:tab/>
      </w:r>
      <w:r>
        <w:fldChar w:fldCharType="begin"/>
      </w:r>
      <w:r>
        <w:instrText xml:space="preserve"> PAGEREF _Toc163121293 \h </w:instrText>
      </w:r>
      <w:r>
        <w:fldChar w:fldCharType="separate"/>
      </w:r>
      <w:r>
        <w:t>345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Mandamus by order</w:t>
      </w:r>
      <w:r>
        <w:tab/>
      </w:r>
      <w:r>
        <w:fldChar w:fldCharType="begin"/>
      </w:r>
      <w:r>
        <w:instrText xml:space="preserve"> PAGEREF _Toc163121294 \h </w:instrText>
      </w:r>
      <w:r>
        <w:fldChar w:fldCharType="separate"/>
      </w:r>
      <w:r>
        <w:t>346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No action against party obeying writ or order</w:t>
      </w:r>
      <w:r>
        <w:tab/>
      </w:r>
      <w:r>
        <w:fldChar w:fldCharType="begin"/>
      </w:r>
      <w:r>
        <w:instrText xml:space="preserve"> PAGEREF _Toc163121295 \h </w:instrText>
      </w:r>
      <w:r>
        <w:fldChar w:fldCharType="separate"/>
      </w:r>
      <w:r>
        <w:t>346</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Prohibition and </w:t>
      </w:r>
      <w:r>
        <w:rPr>
          <w:i/>
        </w:rPr>
        <w:t>procedendo</w:t>
      </w:r>
    </w:p>
    <w:p>
      <w:pPr>
        <w:pStyle w:val="TOC8"/>
        <w:rPr>
          <w:rFonts w:asciiTheme="minorHAnsi" w:eastAsiaTheme="minorEastAsia" w:hAnsiTheme="minorHAnsi" w:cstheme="minorBidi"/>
          <w:szCs w:val="22"/>
        </w:rPr>
      </w:pPr>
      <w:r>
        <w:t>30</w:t>
      </w:r>
      <w:r>
        <w:rPr>
          <w:snapToGrid w:val="0"/>
        </w:rPr>
        <w:t>.</w:t>
      </w:r>
      <w:r>
        <w:rPr>
          <w:snapToGrid w:val="0"/>
        </w:rPr>
        <w:tab/>
        <w:t>Court may direct service of statement of claim instead of issuing prohibition</w:t>
      </w:r>
      <w:r>
        <w:tab/>
      </w:r>
      <w:r>
        <w:fldChar w:fldCharType="begin"/>
      </w:r>
      <w:r>
        <w:instrText xml:space="preserve"> PAGEREF _Toc163121297 \h </w:instrText>
      </w:r>
      <w:r>
        <w:fldChar w:fldCharType="separate"/>
      </w:r>
      <w:r>
        <w:t>346</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Proceedings on judgment</w:t>
      </w:r>
      <w:r>
        <w:tab/>
      </w:r>
      <w:r>
        <w:fldChar w:fldCharType="begin"/>
      </w:r>
      <w:r>
        <w:instrText xml:space="preserve"> PAGEREF _Toc163121298 \h </w:instrText>
      </w:r>
      <w:r>
        <w:fldChar w:fldCharType="separate"/>
      </w:r>
      <w:r>
        <w:t>346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 xml:space="preserve">Writ of </w:t>
      </w:r>
      <w:r>
        <w:rPr>
          <w:i/>
          <w:snapToGrid w:val="0"/>
        </w:rPr>
        <w:t>procedendo</w:t>
      </w:r>
      <w:r>
        <w:tab/>
      </w:r>
      <w:r>
        <w:fldChar w:fldCharType="begin"/>
      </w:r>
      <w:r>
        <w:instrText xml:space="preserve"> PAGEREF _Toc163121299 \h </w:instrText>
      </w:r>
      <w:r>
        <w:fldChar w:fldCharType="separate"/>
      </w:r>
      <w:r>
        <w:t>347</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Prohibition by order</w:t>
      </w:r>
      <w:r>
        <w:tab/>
      </w:r>
      <w:r>
        <w:fldChar w:fldCharType="begin"/>
      </w:r>
      <w:r>
        <w:instrText xml:space="preserve"> PAGEREF _Toc163121300 \h </w:instrText>
      </w:r>
      <w:r>
        <w:fldChar w:fldCharType="separate"/>
      </w:r>
      <w:r>
        <w:t>347</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iCs/>
        </w:rPr>
        <w:t>Quo warranto</w:t>
      </w:r>
    </w:p>
    <w:p>
      <w:pPr>
        <w:pStyle w:val="TOC8"/>
        <w:rPr>
          <w:rFonts w:asciiTheme="minorHAnsi" w:eastAsiaTheme="minorEastAsia" w:hAnsiTheme="minorHAnsi" w:cstheme="minorBidi"/>
          <w:szCs w:val="22"/>
        </w:rPr>
      </w:pPr>
      <w:r>
        <w:t>34A.</w:t>
      </w:r>
      <w:r>
        <w:tab/>
        <w:t xml:space="preserve">Application for information of </w:t>
      </w:r>
      <w:r>
        <w:rPr>
          <w:i/>
        </w:rPr>
        <w:t>quo warranto</w:t>
      </w:r>
      <w:r>
        <w:tab/>
      </w:r>
      <w:r>
        <w:fldChar w:fldCharType="begin"/>
      </w:r>
      <w:r>
        <w:instrText xml:space="preserve"> PAGEREF _Toc163121302 \h </w:instrText>
      </w:r>
      <w:r>
        <w:fldChar w:fldCharType="separate"/>
      </w:r>
      <w:r>
        <w:t>347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Rules of court applicable</w:t>
      </w:r>
      <w:r>
        <w:tab/>
      </w:r>
      <w:r>
        <w:fldChar w:fldCharType="begin"/>
      </w:r>
      <w:r>
        <w:instrText xml:space="preserve"> PAGEREF _Toc163121303 \h </w:instrText>
      </w:r>
      <w:r>
        <w:fldChar w:fldCharType="separate"/>
      </w:r>
      <w:r>
        <w:t>347</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Signature and service of information</w:t>
      </w:r>
      <w:r>
        <w:tab/>
      </w:r>
      <w:r>
        <w:fldChar w:fldCharType="begin"/>
      </w:r>
      <w:r>
        <w:instrText xml:space="preserve"> PAGEREF _Toc163121304 \h </w:instrText>
      </w:r>
      <w:r>
        <w:fldChar w:fldCharType="separate"/>
      </w:r>
      <w:r>
        <w:t>348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 xml:space="preserve">Order 56A — Review orders under the </w:t>
      </w:r>
      <w:r>
        <w:rPr>
          <w:i/>
        </w:rPr>
        <w:t>Magistrates Court Act 2004</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_Toc163121306 \h </w:instrText>
      </w:r>
      <w:r>
        <w:fldChar w:fldCharType="separate"/>
      </w:r>
      <w:r>
        <w:t>349</w:t>
      </w:r>
      <w:r>
        <w:fldChar w:fldCharType="end"/>
      </w:r>
    </w:p>
    <w:p>
      <w:pPr>
        <w:pStyle w:val="TOC8"/>
        <w:rPr>
          <w:rFonts w:asciiTheme="minorHAnsi" w:eastAsiaTheme="minorEastAsia" w:hAnsiTheme="minorHAnsi" w:cstheme="minorBidi"/>
          <w:szCs w:val="22"/>
        </w:rPr>
      </w:pPr>
      <w:r>
        <w:t>2.</w:t>
      </w:r>
      <w:r>
        <w:tab/>
        <w:t>Application for review order, making</w:t>
      </w:r>
      <w:r>
        <w:tab/>
      </w:r>
      <w:r>
        <w:fldChar w:fldCharType="begin"/>
      </w:r>
      <w:r>
        <w:instrText xml:space="preserve"> PAGEREF _Toc163121307 \h </w:instrText>
      </w:r>
      <w:r>
        <w:fldChar w:fldCharType="separate"/>
      </w:r>
      <w:r>
        <w:t>349</w:t>
      </w:r>
      <w:r>
        <w:fldChar w:fldCharType="end"/>
      </w:r>
    </w:p>
    <w:p>
      <w:pPr>
        <w:pStyle w:val="TOC8"/>
        <w:rPr>
          <w:rFonts w:asciiTheme="minorHAnsi" w:eastAsiaTheme="minorEastAsia" w:hAnsiTheme="minorHAnsi" w:cstheme="minorBidi"/>
          <w:szCs w:val="22"/>
        </w:rPr>
      </w:pPr>
      <w:r>
        <w:t>3.</w:t>
      </w:r>
      <w:r>
        <w:tab/>
        <w:t>Application for review order, procedure on</w:t>
      </w:r>
      <w:r>
        <w:tab/>
      </w:r>
      <w:r>
        <w:fldChar w:fldCharType="begin"/>
      </w:r>
      <w:r>
        <w:instrText xml:space="preserve"> PAGEREF _Toc163121308 \h </w:instrText>
      </w:r>
      <w:r>
        <w:fldChar w:fldCharType="separate"/>
      </w:r>
      <w:r>
        <w:t>350</w:t>
      </w:r>
      <w:r>
        <w:fldChar w:fldCharType="end"/>
      </w:r>
    </w:p>
    <w:p>
      <w:pPr>
        <w:pStyle w:val="TOC8"/>
        <w:rPr>
          <w:rFonts w:asciiTheme="minorHAnsi" w:eastAsiaTheme="minorEastAsia" w:hAnsiTheme="minorHAnsi" w:cstheme="minorBidi"/>
          <w:szCs w:val="22"/>
        </w:rPr>
      </w:pPr>
      <w:r>
        <w:t>4.</w:t>
      </w:r>
      <w:r>
        <w:tab/>
        <w:t>Review order, service of</w:t>
      </w:r>
      <w:r>
        <w:tab/>
      </w:r>
      <w:r>
        <w:fldChar w:fldCharType="begin"/>
      </w:r>
      <w:r>
        <w:instrText xml:space="preserve"> PAGEREF _Toc163121309 \h </w:instrText>
      </w:r>
      <w:r>
        <w:fldChar w:fldCharType="separate"/>
      </w:r>
      <w:r>
        <w:t>351</w:t>
      </w:r>
      <w:r>
        <w:fldChar w:fldCharType="end"/>
      </w:r>
    </w:p>
    <w:p>
      <w:pPr>
        <w:pStyle w:val="TOC8"/>
        <w:rPr>
          <w:rFonts w:asciiTheme="minorHAnsi" w:eastAsiaTheme="minorEastAsia" w:hAnsiTheme="minorHAnsi" w:cstheme="minorBidi"/>
          <w:szCs w:val="22"/>
        </w:rPr>
      </w:pPr>
      <w:r>
        <w:t>5.</w:t>
      </w:r>
      <w:r>
        <w:tab/>
        <w:t>Review order, hearing of</w:t>
      </w:r>
      <w:r>
        <w:tab/>
      </w:r>
      <w:r>
        <w:fldChar w:fldCharType="begin"/>
      </w:r>
      <w:r>
        <w:instrText xml:space="preserve"> PAGEREF _Toc163121310 \h </w:instrText>
      </w:r>
      <w:r>
        <w:fldChar w:fldCharType="separate"/>
      </w:r>
      <w:r>
        <w:t>351</w:t>
      </w:r>
      <w:r>
        <w:fldChar w:fldCharType="end"/>
      </w:r>
    </w:p>
    <w:p>
      <w:pPr>
        <w:pStyle w:val="TOC8"/>
        <w:rPr>
          <w:rFonts w:asciiTheme="minorHAnsi" w:eastAsiaTheme="minorEastAsia" w:hAnsiTheme="minorHAnsi" w:cstheme="minorBidi"/>
          <w:szCs w:val="22"/>
        </w:rPr>
      </w:pPr>
      <w:r>
        <w:t>6.</w:t>
      </w:r>
      <w:r>
        <w:tab/>
        <w:t>Final order, making and service of</w:t>
      </w:r>
      <w:r>
        <w:tab/>
      </w:r>
      <w:r>
        <w:fldChar w:fldCharType="begin"/>
      </w:r>
      <w:r>
        <w:instrText xml:space="preserve"> PAGEREF _Toc163121311 \h </w:instrText>
      </w:r>
      <w:r>
        <w:fldChar w:fldCharType="separate"/>
      </w:r>
      <w:r>
        <w:t>352</w:t>
      </w:r>
      <w:r>
        <w:fldChar w:fldCharType="end"/>
      </w:r>
    </w:p>
    <w:p>
      <w:pPr>
        <w:pStyle w:val="TOC2"/>
        <w:tabs>
          <w:tab w:val="right" w:leader="dot" w:pos="7077"/>
        </w:tabs>
        <w:rPr>
          <w:rFonts w:asciiTheme="minorHAnsi" w:eastAsiaTheme="minorEastAsia" w:hAnsiTheme="minorHAnsi" w:cstheme="minorBidi"/>
          <w:b w:val="0"/>
          <w:sz w:val="22"/>
          <w:szCs w:val="22"/>
        </w:rPr>
      </w:pPr>
      <w:r>
        <w:t>Order 57 — Habeas corpus</w:t>
      </w:r>
    </w:p>
    <w:p>
      <w:pPr>
        <w:pStyle w:val="TOC8"/>
        <w:rPr>
          <w:rFonts w:asciiTheme="minorHAnsi" w:eastAsiaTheme="minorEastAsia" w:hAnsiTheme="minorHAnsi" w:cstheme="minorBidi"/>
          <w:szCs w:val="22"/>
        </w:rPr>
      </w:pPr>
      <w:r>
        <w:t>1</w:t>
      </w:r>
      <w:r>
        <w:rPr>
          <w:snapToGrid w:val="0"/>
        </w:rPr>
        <w:t>.</w:t>
      </w:r>
      <w:r>
        <w:rPr>
          <w:snapToGrid w:val="0"/>
        </w:rPr>
        <w:tab/>
        <w:t>Application for writ</w:t>
      </w:r>
      <w:r>
        <w:tab/>
      </w:r>
      <w:r>
        <w:fldChar w:fldCharType="begin"/>
      </w:r>
      <w:r>
        <w:instrText xml:space="preserve"> PAGEREF _Toc163121313 \h </w:instrText>
      </w:r>
      <w:r>
        <w:fldChar w:fldCharType="separate"/>
      </w:r>
      <w:r>
        <w:t>353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 xml:space="preserve">Power of Court when </w:t>
      </w:r>
      <w:r>
        <w:rPr>
          <w:i/>
          <w:snapToGrid w:val="0"/>
        </w:rPr>
        <w:t>ex parte</w:t>
      </w:r>
      <w:r>
        <w:rPr>
          <w:snapToGrid w:val="0"/>
        </w:rPr>
        <w:t xml:space="preserve"> application made</w:t>
      </w:r>
      <w:r>
        <w:tab/>
      </w:r>
      <w:r>
        <w:fldChar w:fldCharType="begin"/>
      </w:r>
      <w:r>
        <w:instrText xml:space="preserve"> PAGEREF _Toc163121314 \h </w:instrText>
      </w:r>
      <w:r>
        <w:fldChar w:fldCharType="separate"/>
      </w:r>
      <w:r>
        <w:t>353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Copies of affidavits to be supplied</w:t>
      </w:r>
      <w:r>
        <w:tab/>
      </w:r>
      <w:r>
        <w:fldChar w:fldCharType="begin"/>
      </w:r>
      <w:r>
        <w:instrText xml:space="preserve"> PAGEREF _Toc163121315 \h </w:instrText>
      </w:r>
      <w:r>
        <w:fldChar w:fldCharType="separate"/>
      </w:r>
      <w:r>
        <w:t>354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Court may order release of person restrained</w:t>
      </w:r>
      <w:r>
        <w:tab/>
      </w:r>
      <w:r>
        <w:fldChar w:fldCharType="begin"/>
      </w:r>
      <w:r>
        <w:instrText xml:space="preserve"> PAGEREF _Toc163121316 \h </w:instrText>
      </w:r>
      <w:r>
        <w:fldChar w:fldCharType="separate"/>
      </w:r>
      <w:r>
        <w:t>354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Signed copy of writ to be filed</w:t>
      </w:r>
      <w:r>
        <w:tab/>
      </w:r>
      <w:r>
        <w:fldChar w:fldCharType="begin"/>
      </w:r>
      <w:r>
        <w:instrText xml:space="preserve"> PAGEREF _Toc163121317 \h </w:instrText>
      </w:r>
      <w:r>
        <w:fldChar w:fldCharType="separate"/>
      </w:r>
      <w:r>
        <w:t>354</w:t>
      </w:r>
      <w:r>
        <w:fldChar w:fldCharType="end"/>
      </w:r>
    </w:p>
    <w:p>
      <w:pPr>
        <w:pStyle w:val="TOC8"/>
        <w:rPr>
          <w:rFonts w:asciiTheme="minorHAnsi" w:eastAsiaTheme="minorEastAsia" w:hAnsiTheme="minorHAnsi" w:cstheme="minorBidi"/>
          <w:szCs w:val="22"/>
        </w:rPr>
      </w:pPr>
      <w:r>
        <w:t>6.</w:t>
      </w:r>
      <w:r>
        <w:tab/>
        <w:t>Order for issue of writ, contents of</w:t>
      </w:r>
      <w:r>
        <w:tab/>
      </w:r>
      <w:r>
        <w:fldChar w:fldCharType="begin"/>
      </w:r>
      <w:r>
        <w:instrText xml:space="preserve"> PAGEREF _Toc163121318 \h </w:instrText>
      </w:r>
      <w:r>
        <w:fldChar w:fldCharType="separate"/>
      </w:r>
      <w:r>
        <w:t>355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Service of writ and notice</w:t>
      </w:r>
      <w:r>
        <w:tab/>
      </w:r>
      <w:r>
        <w:fldChar w:fldCharType="begin"/>
      </w:r>
      <w:r>
        <w:instrText xml:space="preserve"> PAGEREF _Toc163121319 \h </w:instrText>
      </w:r>
      <w:r>
        <w:fldChar w:fldCharType="separate"/>
      </w:r>
      <w:r>
        <w:t>355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Return to writ of habeas corpus</w:t>
      </w:r>
      <w:r>
        <w:tab/>
      </w:r>
      <w:r>
        <w:fldChar w:fldCharType="begin"/>
      </w:r>
      <w:r>
        <w:instrText xml:space="preserve"> PAGEREF _Toc163121320 \h </w:instrText>
      </w:r>
      <w:r>
        <w:fldChar w:fldCharType="separate"/>
      </w:r>
      <w:r>
        <w:t>356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Procedure on hearing</w:t>
      </w:r>
      <w:r>
        <w:tab/>
      </w:r>
      <w:r>
        <w:fldChar w:fldCharType="begin"/>
      </w:r>
      <w:r>
        <w:instrText xml:space="preserve"> PAGEREF _Toc163121321 \h </w:instrText>
      </w:r>
      <w:r>
        <w:fldChar w:fldCharType="separate"/>
      </w:r>
      <w:r>
        <w:t>356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Form of writ</w:t>
      </w:r>
      <w:r>
        <w:tab/>
      </w:r>
      <w:r>
        <w:fldChar w:fldCharType="begin"/>
      </w:r>
      <w:r>
        <w:instrText xml:space="preserve"> PAGEREF _Toc163121322 \h </w:instrText>
      </w:r>
      <w:r>
        <w:fldChar w:fldCharType="separate"/>
      </w:r>
      <w:r>
        <w:t>356</w:t>
      </w:r>
      <w:r>
        <w:fldChar w:fldCharType="end"/>
      </w:r>
    </w:p>
    <w:p>
      <w:pPr>
        <w:pStyle w:val="TOC2"/>
        <w:tabs>
          <w:tab w:val="right" w:leader="dot" w:pos="7077"/>
        </w:tabs>
        <w:rPr>
          <w:rFonts w:asciiTheme="minorHAnsi" w:eastAsiaTheme="minorEastAsia" w:hAnsiTheme="minorHAnsi" w:cstheme="minorBidi"/>
          <w:b w:val="0"/>
          <w:sz w:val="22"/>
          <w:szCs w:val="22"/>
        </w:rPr>
      </w:pPr>
      <w:r>
        <w:t>Order 58 — Proceedings by originating summons</w:t>
      </w:r>
    </w:p>
    <w:p>
      <w:pPr>
        <w:pStyle w:val="TOC4"/>
        <w:tabs>
          <w:tab w:val="right" w:leader="dot" w:pos="7077"/>
        </w:tabs>
        <w:rPr>
          <w:rFonts w:asciiTheme="minorHAnsi" w:eastAsiaTheme="minorEastAsia" w:hAnsiTheme="minorHAnsi" w:cstheme="minorBidi"/>
          <w:b w:val="0"/>
          <w:szCs w:val="22"/>
        </w:rPr>
      </w:pPr>
      <w:r>
        <w:t>Division 1 — Introductory</w:t>
      </w:r>
    </w:p>
    <w:p>
      <w:pPr>
        <w:pStyle w:val="TOC8"/>
        <w:rPr>
          <w:rFonts w:asciiTheme="minorHAnsi" w:eastAsiaTheme="minorEastAsia" w:hAnsiTheme="minorHAnsi" w:cstheme="minorBidi"/>
          <w:szCs w:val="22"/>
        </w:rPr>
      </w:pPr>
      <w:r>
        <w:t>1</w:t>
      </w:r>
      <w:r>
        <w:rPr>
          <w:snapToGrid w:val="0"/>
        </w:rPr>
        <w:t>.</w:t>
      </w:r>
      <w:r>
        <w:rPr>
          <w:snapToGrid w:val="0"/>
        </w:rPr>
        <w:tab/>
        <w:t>Which proceedings to be commenced by originating summons</w:t>
      </w:r>
      <w:r>
        <w:tab/>
      </w:r>
      <w:r>
        <w:fldChar w:fldCharType="begin"/>
      </w:r>
      <w:r>
        <w:instrText xml:space="preserve"> PAGEREF _Toc163121325 \h </w:instrText>
      </w:r>
      <w:r>
        <w:fldChar w:fldCharType="separate"/>
      </w:r>
      <w:r>
        <w:t>357</w:t>
      </w:r>
      <w:r>
        <w:fldChar w:fldCharType="end"/>
      </w:r>
    </w:p>
    <w:p>
      <w:pPr>
        <w:pStyle w:val="TOC4"/>
        <w:tabs>
          <w:tab w:val="right" w:leader="dot" w:pos="7077"/>
        </w:tabs>
        <w:rPr>
          <w:rFonts w:asciiTheme="minorHAnsi" w:eastAsiaTheme="minorEastAsia" w:hAnsiTheme="minorHAnsi" w:cstheme="minorBidi"/>
          <w:b w:val="0"/>
          <w:szCs w:val="22"/>
        </w:rPr>
      </w:pPr>
      <w:r>
        <w:t>Division 2 — Administration and trusts</w:t>
      </w:r>
    </w:p>
    <w:p>
      <w:pPr>
        <w:pStyle w:val="TOC8"/>
        <w:rPr>
          <w:rFonts w:asciiTheme="minorHAnsi" w:eastAsiaTheme="minorEastAsia" w:hAnsiTheme="minorHAnsi" w:cstheme="minorBidi"/>
          <w:szCs w:val="22"/>
        </w:rPr>
      </w:pPr>
      <w:r>
        <w:t>2</w:t>
      </w:r>
      <w:r>
        <w:rPr>
          <w:snapToGrid w:val="0"/>
        </w:rPr>
        <w:t>.</w:t>
      </w:r>
      <w:r>
        <w:rPr>
          <w:snapToGrid w:val="0"/>
        </w:rPr>
        <w:tab/>
        <w:t>Executors etc. seeking certain relief without administration</w:t>
      </w:r>
      <w:r>
        <w:tab/>
      </w:r>
      <w:r>
        <w:fldChar w:fldCharType="begin"/>
      </w:r>
      <w:r>
        <w:instrText xml:space="preserve"> PAGEREF _Toc163121327 \h </w:instrText>
      </w:r>
      <w:r>
        <w:fldChar w:fldCharType="separate"/>
      </w:r>
      <w:r>
        <w:t>357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Executors etc. applying for administration</w:t>
      </w:r>
      <w:r>
        <w:tab/>
      </w:r>
      <w:r>
        <w:fldChar w:fldCharType="begin"/>
      </w:r>
      <w:r>
        <w:instrText xml:space="preserve"> PAGEREF _Toc163121328 \h </w:instrText>
      </w:r>
      <w:r>
        <w:fldChar w:fldCharType="separate"/>
      </w:r>
      <w:r>
        <w:t>358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Service of summons issued under r. 2 or 3</w:t>
      </w:r>
      <w:r>
        <w:tab/>
      </w:r>
      <w:r>
        <w:fldChar w:fldCharType="begin"/>
      </w:r>
      <w:r>
        <w:instrText xml:space="preserve"> PAGEREF _Toc163121329 \h </w:instrText>
      </w:r>
      <w:r>
        <w:fldChar w:fldCharType="separate"/>
      </w:r>
      <w:r>
        <w:t>358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Decision without judgment for administration</w:t>
      </w:r>
      <w:r>
        <w:tab/>
      </w:r>
      <w:r>
        <w:fldChar w:fldCharType="begin"/>
      </w:r>
      <w:r>
        <w:instrText xml:space="preserve"> PAGEREF _Toc163121330 \h </w:instrText>
      </w:r>
      <w:r>
        <w:fldChar w:fldCharType="separate"/>
      </w:r>
      <w:r>
        <w:t>359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Orders which may be made on application for administration etc. of trusts</w:t>
      </w:r>
      <w:r>
        <w:tab/>
      </w:r>
      <w:r>
        <w:fldChar w:fldCharType="begin"/>
      </w:r>
      <w:r>
        <w:instrText xml:space="preserve"> PAGEREF _Toc163121331 \h </w:instrText>
      </w:r>
      <w:r>
        <w:fldChar w:fldCharType="separate"/>
      </w:r>
      <w:r>
        <w:t>359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Interference with discretion of trustee etc.</w:t>
      </w:r>
      <w:r>
        <w:tab/>
      </w:r>
      <w:r>
        <w:fldChar w:fldCharType="begin"/>
      </w:r>
      <w:r>
        <w:instrText xml:space="preserve"> PAGEREF _Toc163121332 \h </w:instrText>
      </w:r>
      <w:r>
        <w:fldChar w:fldCharType="separate"/>
      </w:r>
      <w:r>
        <w:t>360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Conduct of sale of trust property</w:t>
      </w:r>
      <w:r>
        <w:tab/>
      </w:r>
      <w:r>
        <w:fldChar w:fldCharType="begin"/>
      </w:r>
      <w:r>
        <w:instrText xml:space="preserve"> PAGEREF _Toc163121333 \h </w:instrText>
      </w:r>
      <w:r>
        <w:fldChar w:fldCharType="separate"/>
      </w:r>
      <w:r>
        <w:t>360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Declaration on originating summons</w:t>
      </w:r>
    </w:p>
    <w:p>
      <w:pPr>
        <w:pStyle w:val="TOC8"/>
        <w:rPr>
          <w:rFonts w:asciiTheme="minorHAnsi" w:eastAsiaTheme="minorEastAsia" w:hAnsiTheme="minorHAnsi" w:cstheme="minorBidi"/>
          <w:szCs w:val="22"/>
        </w:rPr>
      </w:pPr>
      <w:r>
        <w:t>10</w:t>
      </w:r>
      <w:r>
        <w:rPr>
          <w:snapToGrid w:val="0"/>
        </w:rPr>
        <w:t>.</w:t>
      </w:r>
      <w:r>
        <w:rPr>
          <w:snapToGrid w:val="0"/>
        </w:rPr>
        <w:tab/>
        <w:t>Construction of written instruments</w:t>
      </w:r>
      <w:r>
        <w:tab/>
      </w:r>
      <w:r>
        <w:fldChar w:fldCharType="begin"/>
      </w:r>
      <w:r>
        <w:instrText xml:space="preserve"> PAGEREF _Toc163121335 \h </w:instrText>
      </w:r>
      <w:r>
        <w:fldChar w:fldCharType="separate"/>
      </w:r>
      <w:r>
        <w:t>360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Construction or validity of legislation</w:t>
      </w:r>
      <w:r>
        <w:tab/>
      </w:r>
      <w:r>
        <w:fldChar w:fldCharType="begin"/>
      </w:r>
      <w:r>
        <w:instrText xml:space="preserve"> PAGEREF _Toc163121336 \h </w:instrText>
      </w:r>
      <w:r>
        <w:fldChar w:fldCharType="separate"/>
      </w:r>
      <w:r>
        <w:t>361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Court may refuse to determine summons in some cases</w:t>
      </w:r>
      <w:r>
        <w:tab/>
      </w:r>
      <w:r>
        <w:fldChar w:fldCharType="begin"/>
      </w:r>
      <w:r>
        <w:instrText xml:space="preserve"> PAGEREF _Toc163121337 \h </w:instrText>
      </w:r>
      <w:r>
        <w:fldChar w:fldCharType="separate"/>
      </w:r>
      <w:r>
        <w:t>361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Effect of contracts for sale etc. of land</w:t>
      </w:r>
      <w:r>
        <w:tab/>
      </w:r>
      <w:r>
        <w:fldChar w:fldCharType="begin"/>
      </w:r>
      <w:r>
        <w:instrText xml:space="preserve"> PAGEREF _Toc163121338 \h </w:instrText>
      </w:r>
      <w:r>
        <w:fldChar w:fldCharType="separate"/>
      </w:r>
      <w:r>
        <w:t>361</w:t>
      </w:r>
      <w:r>
        <w:fldChar w:fldCharType="end"/>
      </w:r>
    </w:p>
    <w:p>
      <w:pPr>
        <w:pStyle w:val="TOC4"/>
        <w:tabs>
          <w:tab w:val="right" w:leader="dot" w:pos="7077"/>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14</w:t>
      </w:r>
      <w:r>
        <w:rPr>
          <w:snapToGrid w:val="0"/>
        </w:rPr>
        <w:t>.</w:t>
      </w:r>
      <w:r>
        <w:rPr>
          <w:snapToGrid w:val="0"/>
        </w:rPr>
        <w:tab/>
        <w:t>Form and issue of originating summons</w:t>
      </w:r>
      <w:r>
        <w:tab/>
      </w:r>
      <w:r>
        <w:fldChar w:fldCharType="begin"/>
      </w:r>
      <w:r>
        <w:instrText xml:space="preserve"> PAGEREF _Toc163121340 \h </w:instrText>
      </w:r>
      <w:r>
        <w:fldChar w:fldCharType="separate"/>
      </w:r>
      <w:r>
        <w:t>362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Order 7 applies to originating summons</w:t>
      </w:r>
      <w:r>
        <w:tab/>
      </w:r>
      <w:r>
        <w:fldChar w:fldCharType="begin"/>
      </w:r>
      <w:r>
        <w:instrText xml:space="preserve"> PAGEREF _Toc163121341 \h </w:instrText>
      </w:r>
      <w:r>
        <w:fldChar w:fldCharType="separate"/>
      </w:r>
      <w:r>
        <w:t>362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Time for appearance</w:t>
      </w:r>
      <w:r>
        <w:tab/>
      </w:r>
      <w:r>
        <w:fldChar w:fldCharType="begin"/>
      </w:r>
      <w:r>
        <w:instrText xml:space="preserve"> PAGEREF _Toc163121342 \h </w:instrText>
      </w:r>
      <w:r>
        <w:fldChar w:fldCharType="separate"/>
      </w:r>
      <w:r>
        <w:t>362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Entry of appearance</w:t>
      </w:r>
      <w:r>
        <w:tab/>
      </w:r>
      <w:r>
        <w:fldChar w:fldCharType="begin"/>
      </w:r>
      <w:r>
        <w:instrText xml:space="preserve"> PAGEREF _Toc163121343 \h </w:instrText>
      </w:r>
      <w:r>
        <w:fldChar w:fldCharType="separate"/>
      </w:r>
      <w:r>
        <w:t>363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When appearance not required</w:t>
      </w:r>
      <w:r>
        <w:tab/>
      </w:r>
      <w:r>
        <w:fldChar w:fldCharType="begin"/>
      </w:r>
      <w:r>
        <w:instrText xml:space="preserve"> PAGEREF _Toc163121344 \h </w:instrText>
      </w:r>
      <w:r>
        <w:fldChar w:fldCharType="separate"/>
      </w:r>
      <w:r>
        <w:t>363</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Time for service where appearance not required</w:t>
      </w:r>
      <w:r>
        <w:tab/>
      </w:r>
      <w:r>
        <w:fldChar w:fldCharType="begin"/>
      </w:r>
      <w:r>
        <w:instrText xml:space="preserve"> PAGEREF _Toc163121345 \h </w:instrText>
      </w:r>
      <w:r>
        <w:fldChar w:fldCharType="separate"/>
      </w:r>
      <w:r>
        <w:t>364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Fixing time for hearing summons</w:t>
      </w:r>
      <w:r>
        <w:tab/>
      </w:r>
      <w:r>
        <w:fldChar w:fldCharType="begin"/>
      </w:r>
      <w:r>
        <w:instrText xml:space="preserve"> PAGEREF _Toc163121346 \h </w:instrText>
      </w:r>
      <w:r>
        <w:fldChar w:fldCharType="separate"/>
      </w:r>
      <w:r>
        <w:t>364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Evidence at hearing to be by affidavit</w:t>
      </w:r>
      <w:r>
        <w:tab/>
      </w:r>
      <w:r>
        <w:fldChar w:fldCharType="begin"/>
      </w:r>
      <w:r>
        <w:instrText xml:space="preserve"> PAGEREF _Toc163121347 \h </w:instrText>
      </w:r>
      <w:r>
        <w:fldChar w:fldCharType="separate"/>
      </w:r>
      <w:r>
        <w:t>365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Hearings in absence of party</w:t>
      </w:r>
      <w:r>
        <w:tab/>
      </w:r>
      <w:r>
        <w:fldChar w:fldCharType="begin"/>
      </w:r>
      <w:r>
        <w:instrText xml:space="preserve"> PAGEREF _Toc163121348 \h </w:instrText>
      </w:r>
      <w:r>
        <w:fldChar w:fldCharType="separate"/>
      </w:r>
      <w:r>
        <w:t>365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Order made </w:t>
      </w:r>
      <w:r>
        <w:rPr>
          <w:i/>
          <w:snapToGrid w:val="0"/>
        </w:rPr>
        <w:t>ex parte</w:t>
      </w:r>
      <w:r>
        <w:rPr>
          <w:snapToGrid w:val="0"/>
        </w:rPr>
        <w:t xml:space="preserve"> may be set aside</w:t>
      </w:r>
      <w:r>
        <w:tab/>
      </w:r>
      <w:r>
        <w:fldChar w:fldCharType="begin"/>
      </w:r>
      <w:r>
        <w:instrText xml:space="preserve"> PAGEREF _Toc163121349 \h </w:instrText>
      </w:r>
      <w:r>
        <w:fldChar w:fldCharType="separate"/>
      </w:r>
      <w:r>
        <w:t>366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Costs thrown away by non</w:t>
      </w:r>
      <w:r>
        <w:rPr>
          <w:snapToGrid w:val="0"/>
        </w:rPr>
        <w:noBreakHyphen/>
        <w:t>attendance of party</w:t>
      </w:r>
      <w:r>
        <w:tab/>
      </w:r>
      <w:r>
        <w:fldChar w:fldCharType="begin"/>
      </w:r>
      <w:r>
        <w:instrText xml:space="preserve"> PAGEREF _Toc163121350 \h </w:instrText>
      </w:r>
      <w:r>
        <w:fldChar w:fldCharType="separate"/>
      </w:r>
      <w:r>
        <w:t>366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Hearings not completed on hearing date</w:t>
      </w:r>
      <w:r>
        <w:tab/>
      </w:r>
      <w:r>
        <w:fldChar w:fldCharType="begin"/>
      </w:r>
      <w:r>
        <w:instrText xml:space="preserve"> PAGEREF _Toc163121351 \h </w:instrText>
      </w:r>
      <w:r>
        <w:fldChar w:fldCharType="separate"/>
      </w:r>
      <w:r>
        <w:t>366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Other matters that may be included in one summons</w:t>
      </w:r>
      <w:r>
        <w:tab/>
      </w:r>
      <w:r>
        <w:fldChar w:fldCharType="begin"/>
      </w:r>
      <w:r>
        <w:instrText xml:space="preserve"> PAGEREF _Toc163121352 \h </w:instrText>
      </w:r>
      <w:r>
        <w:fldChar w:fldCharType="separate"/>
      </w:r>
      <w:r>
        <w:t>367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Directions as to hearings, evidence etc.</w:t>
      </w:r>
      <w:r>
        <w:tab/>
      </w:r>
      <w:r>
        <w:fldChar w:fldCharType="begin"/>
      </w:r>
      <w:r>
        <w:instrText xml:space="preserve"> PAGEREF _Toc163121353 \h </w:instrText>
      </w:r>
      <w:r>
        <w:fldChar w:fldCharType="separate"/>
      </w:r>
      <w:r>
        <w:t>367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Adjourning hearings</w:t>
      </w:r>
      <w:r>
        <w:tab/>
      </w:r>
      <w:r>
        <w:fldChar w:fldCharType="begin"/>
      </w:r>
      <w:r>
        <w:instrText xml:space="preserve"> PAGEREF _Toc163121354 \h </w:instrText>
      </w:r>
      <w:r>
        <w:fldChar w:fldCharType="separate"/>
      </w:r>
      <w:r>
        <w:t>367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Court’s powers and procedure at hearings</w:t>
      </w:r>
      <w:r>
        <w:tab/>
      </w:r>
      <w:r>
        <w:fldChar w:fldCharType="begin"/>
      </w:r>
      <w:r>
        <w:instrText xml:space="preserve"> PAGEREF _Toc163121355 \h </w:instrText>
      </w:r>
      <w:r>
        <w:fldChar w:fldCharType="separate"/>
      </w:r>
      <w:r>
        <w:t>368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r>
      <w:r>
        <w:rPr>
          <w:i/>
          <w:snapToGrid w:val="0"/>
        </w:rPr>
        <w:t xml:space="preserve">Transfer of Land Act 1893 </w:t>
      </w:r>
      <w:r>
        <w:rPr>
          <w:snapToGrid w:val="0"/>
        </w:rPr>
        <w:t>s. 129C applications, directions as to</w:t>
      </w:r>
      <w:r>
        <w:tab/>
      </w:r>
      <w:r>
        <w:fldChar w:fldCharType="begin"/>
      </w:r>
      <w:r>
        <w:instrText xml:space="preserve"> PAGEREF _Toc163121356 \h </w:instrText>
      </w:r>
      <w:r>
        <w:fldChar w:fldCharType="separate"/>
      </w:r>
      <w:r>
        <w:t>369</w:t>
      </w:r>
      <w:r>
        <w:fldChar w:fldCharType="end"/>
      </w:r>
    </w:p>
    <w:p>
      <w:pPr>
        <w:pStyle w:val="TOC2"/>
        <w:tabs>
          <w:tab w:val="right" w:leader="dot" w:pos="7077"/>
        </w:tabs>
        <w:rPr>
          <w:rFonts w:asciiTheme="minorHAnsi" w:eastAsiaTheme="minorEastAsia" w:hAnsiTheme="minorHAnsi" w:cstheme="minorBidi"/>
          <w:b w:val="0"/>
          <w:sz w:val="22"/>
          <w:szCs w:val="22"/>
        </w:rPr>
      </w:pPr>
      <w:r>
        <w:t>Order 59 — Applications and proceedings in chambers</w:t>
      </w:r>
    </w:p>
    <w:p>
      <w:pPr>
        <w:pStyle w:val="TOC8"/>
        <w:rPr>
          <w:rFonts w:asciiTheme="minorHAnsi" w:eastAsiaTheme="minorEastAsia" w:hAnsiTheme="minorHAnsi" w:cstheme="minorBidi"/>
          <w:szCs w:val="22"/>
        </w:rPr>
      </w:pPr>
      <w:r>
        <w:t>1</w:t>
      </w:r>
      <w:r>
        <w:rPr>
          <w:snapToGrid w:val="0"/>
        </w:rPr>
        <w:t>.</w:t>
      </w:r>
      <w:r>
        <w:rPr>
          <w:snapToGrid w:val="0"/>
        </w:rPr>
        <w:tab/>
        <w:t>Business to be dealt with in chambers</w:t>
      </w:r>
      <w:r>
        <w:tab/>
      </w:r>
      <w:r>
        <w:fldChar w:fldCharType="begin"/>
      </w:r>
      <w:r>
        <w:instrText xml:space="preserve"> PAGEREF _Toc163121358 \h </w:instrText>
      </w:r>
      <w:r>
        <w:fldChar w:fldCharType="separate"/>
      </w:r>
      <w:r>
        <w:t>370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Hearings may be in open court or chambers</w:t>
      </w:r>
      <w:r>
        <w:tab/>
      </w:r>
      <w:r>
        <w:fldChar w:fldCharType="begin"/>
      </w:r>
      <w:r>
        <w:instrText xml:space="preserve"> PAGEREF _Toc163121359 \h </w:instrText>
      </w:r>
      <w:r>
        <w:fldChar w:fldCharType="separate"/>
      </w:r>
      <w:r>
        <w:t>371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Applications in chambers</w:t>
      </w:r>
      <w:r>
        <w:tab/>
      </w:r>
      <w:r>
        <w:fldChar w:fldCharType="begin"/>
      </w:r>
      <w:r>
        <w:instrText xml:space="preserve"> PAGEREF _Toc163121360 \h </w:instrText>
      </w:r>
      <w:r>
        <w:fldChar w:fldCharType="separate"/>
      </w:r>
      <w:r>
        <w:t>372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 and issue of summons</w:t>
      </w:r>
      <w:r>
        <w:tab/>
      </w:r>
      <w:r>
        <w:fldChar w:fldCharType="begin"/>
      </w:r>
      <w:r>
        <w:instrText xml:space="preserve"> PAGEREF _Toc163121361 \h </w:instrText>
      </w:r>
      <w:r>
        <w:fldChar w:fldCharType="separate"/>
      </w:r>
      <w:r>
        <w:t>372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Summons, service of</w:t>
      </w:r>
      <w:r>
        <w:tab/>
      </w:r>
      <w:r>
        <w:fldChar w:fldCharType="begin"/>
      </w:r>
      <w:r>
        <w:instrText xml:space="preserve"> PAGEREF _Toc163121362 \h </w:instrText>
      </w:r>
      <w:r>
        <w:fldChar w:fldCharType="separate"/>
      </w:r>
      <w:r>
        <w:t>373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Experts, assistance of</w:t>
      </w:r>
      <w:r>
        <w:tab/>
      </w:r>
      <w:r>
        <w:fldChar w:fldCharType="begin"/>
      </w:r>
      <w:r>
        <w:instrText xml:space="preserve"> PAGEREF _Toc163121363 \h </w:instrText>
      </w:r>
      <w:r>
        <w:fldChar w:fldCharType="separate"/>
      </w:r>
      <w:r>
        <w:t>373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 of O. 58 r. 22 to 28</w:t>
      </w:r>
      <w:r>
        <w:tab/>
      </w:r>
      <w:r>
        <w:fldChar w:fldCharType="begin"/>
      </w:r>
      <w:r>
        <w:instrText xml:space="preserve"> PAGEREF _Toc163121364 \h </w:instrText>
      </w:r>
      <w:r>
        <w:fldChar w:fldCharType="separate"/>
      </w:r>
      <w:r>
        <w:t>373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Stay of proceedings, ordering</w:t>
      </w:r>
      <w:r>
        <w:tab/>
      </w:r>
      <w:r>
        <w:fldChar w:fldCharType="begin"/>
      </w:r>
      <w:r>
        <w:instrText xml:space="preserve"> PAGEREF _Toc163121365 \h </w:instrText>
      </w:r>
      <w:r>
        <w:fldChar w:fldCharType="separate"/>
      </w:r>
      <w:r>
        <w:t>374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Parties to confer before making application</w:t>
      </w:r>
      <w:r>
        <w:tab/>
      </w:r>
      <w:r>
        <w:fldChar w:fldCharType="begin"/>
      </w:r>
      <w:r>
        <w:instrText xml:space="preserve"> PAGEREF _Toc163121366 \h </w:instrText>
      </w:r>
      <w:r>
        <w:fldChar w:fldCharType="separate"/>
      </w:r>
      <w:r>
        <w:t>374</w:t>
      </w:r>
      <w:r>
        <w:fldChar w:fldCharType="end"/>
      </w:r>
    </w:p>
    <w:p>
      <w:pPr>
        <w:pStyle w:val="TOC8"/>
        <w:rPr>
          <w:rFonts w:asciiTheme="minorHAnsi" w:eastAsiaTheme="minorEastAsia" w:hAnsiTheme="minorHAnsi" w:cstheme="minorBidi"/>
          <w:szCs w:val="22"/>
        </w:rPr>
      </w:pPr>
      <w:r>
        <w:lastRenderedPageBreak/>
        <w:t>10</w:t>
      </w:r>
      <w:r>
        <w:rPr>
          <w:snapToGrid w:val="0"/>
        </w:rPr>
        <w:t>.</w:t>
      </w:r>
      <w:r>
        <w:rPr>
          <w:snapToGrid w:val="0"/>
        </w:rPr>
        <w:tab/>
        <w:t>Orders, form of</w:t>
      </w:r>
      <w:r>
        <w:tab/>
      </w:r>
      <w:r>
        <w:fldChar w:fldCharType="begin"/>
      </w:r>
      <w:r>
        <w:instrText xml:space="preserve"> PAGEREF _Toc163121367 \h </w:instrText>
      </w:r>
      <w:r>
        <w:fldChar w:fldCharType="separate"/>
      </w:r>
      <w:r>
        <w:t>374</w:t>
      </w:r>
      <w:r>
        <w:fldChar w:fldCharType="end"/>
      </w:r>
    </w:p>
    <w:p>
      <w:pPr>
        <w:pStyle w:val="TOC2"/>
        <w:tabs>
          <w:tab w:val="right" w:leader="dot" w:pos="7077"/>
        </w:tabs>
        <w:rPr>
          <w:rFonts w:asciiTheme="minorHAnsi" w:eastAsiaTheme="minorEastAsia" w:hAnsiTheme="minorHAnsi" w:cstheme="minorBidi"/>
          <w:b w:val="0"/>
          <w:sz w:val="22"/>
          <w:szCs w:val="22"/>
        </w:rPr>
      </w:pPr>
      <w:r>
        <w:t>Order 60</w:t>
      </w:r>
      <w:r>
        <w:rPr>
          <w:b w:val="0"/>
        </w:rPr>
        <w:t> </w:t>
      </w:r>
      <w:r>
        <w:t>—</w:t>
      </w:r>
      <w:r>
        <w:rPr>
          <w:b w:val="0"/>
        </w:rPr>
        <w:t> </w:t>
      </w:r>
      <w:r>
        <w:t>Masters’ jurisdiction</w:t>
      </w:r>
    </w:p>
    <w:p>
      <w:pPr>
        <w:pStyle w:val="TOC8"/>
        <w:rPr>
          <w:rFonts w:asciiTheme="minorHAnsi" w:eastAsiaTheme="minorEastAsia" w:hAnsiTheme="minorHAnsi" w:cstheme="minorBidi"/>
          <w:szCs w:val="22"/>
        </w:rPr>
      </w:pPr>
      <w:r>
        <w:t>1.</w:t>
      </w:r>
      <w:r>
        <w:tab/>
        <w:t>Masters’ general jurisdiction</w:t>
      </w:r>
      <w:r>
        <w:tab/>
      </w:r>
      <w:r>
        <w:fldChar w:fldCharType="begin"/>
      </w:r>
      <w:r>
        <w:instrText xml:space="preserve"> PAGEREF _Toc163121369 \h </w:instrText>
      </w:r>
      <w:r>
        <w:fldChar w:fldCharType="separate"/>
      </w:r>
      <w:r>
        <w:t>375</w:t>
      </w:r>
      <w:r>
        <w:fldChar w:fldCharType="end"/>
      </w:r>
    </w:p>
    <w:p>
      <w:pPr>
        <w:pStyle w:val="TOC8"/>
        <w:rPr>
          <w:rFonts w:asciiTheme="minorHAnsi" w:eastAsiaTheme="minorEastAsia" w:hAnsiTheme="minorHAnsi" w:cstheme="minorBidi"/>
          <w:szCs w:val="22"/>
        </w:rPr>
      </w:pPr>
      <w:r>
        <w:t>2.</w:t>
      </w:r>
      <w:r>
        <w:tab/>
        <w:t>Master may refer matter to judge or Court of Appeal</w:t>
      </w:r>
      <w:r>
        <w:tab/>
      </w:r>
      <w:r>
        <w:fldChar w:fldCharType="begin"/>
      </w:r>
      <w:r>
        <w:instrText xml:space="preserve"> PAGEREF _Toc163121370 \h </w:instrText>
      </w:r>
      <w:r>
        <w:fldChar w:fldCharType="separate"/>
      </w:r>
      <w:r>
        <w:t>376</w:t>
      </w:r>
      <w:r>
        <w:fldChar w:fldCharType="end"/>
      </w:r>
    </w:p>
    <w:p>
      <w:pPr>
        <w:pStyle w:val="TOC2"/>
        <w:tabs>
          <w:tab w:val="right" w:leader="dot" w:pos="7077"/>
        </w:tabs>
        <w:rPr>
          <w:rFonts w:asciiTheme="minorHAnsi" w:eastAsiaTheme="minorEastAsia" w:hAnsiTheme="minorHAnsi" w:cstheme="minorBidi"/>
          <w:b w:val="0"/>
          <w:sz w:val="22"/>
          <w:szCs w:val="22"/>
        </w:rPr>
      </w:pPr>
      <w:r>
        <w:t>Order 60A — Jurisdiction of registrars and appeals from registrars’ decisions</w:t>
      </w:r>
    </w:p>
    <w:p>
      <w:pPr>
        <w:pStyle w:val="TOC8"/>
        <w:rPr>
          <w:rFonts w:asciiTheme="minorHAnsi" w:eastAsiaTheme="minorEastAsia" w:hAnsiTheme="minorHAnsi" w:cstheme="minorBidi"/>
          <w:szCs w:val="22"/>
        </w:rPr>
      </w:pPr>
      <w:r>
        <w:t>1</w:t>
      </w:r>
      <w:r>
        <w:rPr>
          <w:snapToGrid w:val="0"/>
        </w:rPr>
        <w:t>.</w:t>
      </w:r>
      <w:r>
        <w:rPr>
          <w:snapToGrid w:val="0"/>
        </w:rPr>
        <w:tab/>
      </w:r>
      <w:r>
        <w:t>Registrars’ general jurisdiction</w:t>
      </w:r>
      <w:r>
        <w:tab/>
      </w:r>
      <w:r>
        <w:fldChar w:fldCharType="begin"/>
      </w:r>
      <w:r>
        <w:instrText xml:space="preserve"> PAGEREF _Toc163121372 \h </w:instrText>
      </w:r>
      <w:r>
        <w:fldChar w:fldCharType="separate"/>
      </w:r>
      <w:r>
        <w:t>377</w:t>
      </w:r>
      <w:r>
        <w:fldChar w:fldCharType="end"/>
      </w:r>
    </w:p>
    <w:p>
      <w:pPr>
        <w:pStyle w:val="TOC8"/>
        <w:rPr>
          <w:rFonts w:asciiTheme="minorHAnsi" w:eastAsiaTheme="minorEastAsia" w:hAnsiTheme="minorHAnsi" w:cstheme="minorBidi"/>
          <w:szCs w:val="22"/>
        </w:rPr>
      </w:pPr>
      <w:r>
        <w:t>2.</w:t>
      </w:r>
      <w:r>
        <w:tab/>
        <w:t>Registrars’ jurisdiction with respect to case management</w:t>
      </w:r>
      <w:r>
        <w:tab/>
      </w:r>
      <w:r>
        <w:fldChar w:fldCharType="begin"/>
      </w:r>
      <w:r>
        <w:instrText xml:space="preserve"> PAGEREF _Toc163121373 \h </w:instrText>
      </w:r>
      <w:r>
        <w:fldChar w:fldCharType="separate"/>
      </w:r>
      <w:r>
        <w:t>377</w:t>
      </w:r>
      <w:r>
        <w:fldChar w:fldCharType="end"/>
      </w:r>
    </w:p>
    <w:p>
      <w:pPr>
        <w:pStyle w:val="TOC8"/>
        <w:rPr>
          <w:rFonts w:asciiTheme="minorHAnsi" w:eastAsiaTheme="minorEastAsia" w:hAnsiTheme="minorHAnsi" w:cstheme="minorBidi"/>
          <w:szCs w:val="22"/>
        </w:rPr>
      </w:pPr>
      <w:r>
        <w:t>2A.</w:t>
      </w:r>
      <w:r>
        <w:tab/>
        <w:t>Registrars to deal with applications within their jurisdiction</w:t>
      </w:r>
      <w:r>
        <w:tab/>
      </w:r>
      <w:r>
        <w:fldChar w:fldCharType="begin"/>
      </w:r>
      <w:r>
        <w:instrText xml:space="preserve"> PAGEREF _Toc163121374 \h </w:instrText>
      </w:r>
      <w:r>
        <w:fldChar w:fldCharType="separate"/>
      </w:r>
      <w:r>
        <w:t>379</w:t>
      </w:r>
      <w:r>
        <w:fldChar w:fldCharType="end"/>
      </w:r>
    </w:p>
    <w:p>
      <w:pPr>
        <w:pStyle w:val="TOC8"/>
        <w:rPr>
          <w:rFonts w:asciiTheme="minorHAnsi" w:eastAsiaTheme="minorEastAsia" w:hAnsiTheme="minorHAnsi" w:cstheme="minorBidi"/>
          <w:szCs w:val="22"/>
        </w:rPr>
      </w:pPr>
      <w:r>
        <w:t>3.</w:t>
      </w:r>
      <w:r>
        <w:tab/>
        <w:t>Registrar may refer proceedings to judge or master</w:t>
      </w:r>
      <w:r>
        <w:tab/>
      </w:r>
      <w:r>
        <w:fldChar w:fldCharType="begin"/>
      </w:r>
      <w:r>
        <w:instrText xml:space="preserve"> PAGEREF _Toc163121375 \h </w:instrText>
      </w:r>
      <w:r>
        <w:fldChar w:fldCharType="separate"/>
      </w:r>
      <w:r>
        <w:t>379</w:t>
      </w:r>
      <w:r>
        <w:fldChar w:fldCharType="end"/>
      </w:r>
    </w:p>
    <w:p>
      <w:pPr>
        <w:pStyle w:val="TOC8"/>
        <w:rPr>
          <w:rFonts w:asciiTheme="minorHAnsi" w:eastAsiaTheme="minorEastAsia" w:hAnsiTheme="minorHAnsi" w:cstheme="minorBidi"/>
          <w:szCs w:val="22"/>
        </w:rPr>
      </w:pPr>
      <w:r>
        <w:t>4.</w:t>
      </w:r>
      <w:r>
        <w:tab/>
        <w:t>Appeals from decisions of registrars</w:t>
      </w:r>
      <w:r>
        <w:tab/>
      </w:r>
      <w:r>
        <w:fldChar w:fldCharType="begin"/>
      </w:r>
      <w:r>
        <w:instrText xml:space="preserve"> PAGEREF _Toc163121376 \h </w:instrText>
      </w:r>
      <w:r>
        <w:fldChar w:fldCharType="separate"/>
      </w:r>
      <w:r>
        <w:t>380</w:t>
      </w:r>
      <w:r>
        <w:fldChar w:fldCharType="end"/>
      </w:r>
    </w:p>
    <w:p>
      <w:pPr>
        <w:pStyle w:val="TOC8"/>
        <w:rPr>
          <w:rFonts w:asciiTheme="minorHAnsi" w:eastAsiaTheme="minorEastAsia" w:hAnsiTheme="minorHAnsi" w:cstheme="minorBidi"/>
          <w:szCs w:val="22"/>
        </w:rPr>
      </w:pPr>
      <w:r>
        <w:t>5.</w:t>
      </w:r>
      <w:r>
        <w:tab/>
        <w:t>Appeal procedure</w:t>
      </w:r>
      <w:r>
        <w:tab/>
      </w:r>
      <w:r>
        <w:fldChar w:fldCharType="begin"/>
      </w:r>
      <w:r>
        <w:instrText xml:space="preserve"> PAGEREF _Toc163121377 \h </w:instrText>
      </w:r>
      <w:r>
        <w:fldChar w:fldCharType="separate"/>
      </w:r>
      <w:r>
        <w:t>380</w:t>
      </w:r>
      <w:r>
        <w:fldChar w:fldCharType="end"/>
      </w:r>
    </w:p>
    <w:p>
      <w:pPr>
        <w:pStyle w:val="TOC8"/>
        <w:rPr>
          <w:rFonts w:asciiTheme="minorHAnsi" w:eastAsiaTheme="minorEastAsia" w:hAnsiTheme="minorHAnsi" w:cstheme="minorBidi"/>
          <w:szCs w:val="22"/>
        </w:rPr>
      </w:pPr>
      <w:r>
        <w:t>6A.</w:t>
      </w:r>
      <w:r>
        <w:tab/>
        <w:t>Other parties to appeal to advise certain matters</w:t>
      </w:r>
      <w:r>
        <w:tab/>
      </w:r>
      <w:r>
        <w:fldChar w:fldCharType="begin"/>
      </w:r>
      <w:r>
        <w:instrText xml:space="preserve"> PAGEREF _Toc163121378 \h </w:instrText>
      </w:r>
      <w:r>
        <w:fldChar w:fldCharType="separate"/>
      </w:r>
      <w:r>
        <w:t>381</w:t>
      </w:r>
      <w:r>
        <w:fldChar w:fldCharType="end"/>
      </w:r>
    </w:p>
    <w:p>
      <w:pPr>
        <w:pStyle w:val="TOC8"/>
        <w:rPr>
          <w:rFonts w:asciiTheme="minorHAnsi" w:eastAsiaTheme="minorEastAsia" w:hAnsiTheme="minorHAnsi" w:cstheme="minorBidi"/>
          <w:szCs w:val="22"/>
        </w:rPr>
      </w:pPr>
      <w:r>
        <w:t>6.</w:t>
      </w:r>
      <w:r>
        <w:tab/>
        <w:t>Appeal is by way of new hearing</w:t>
      </w:r>
      <w:r>
        <w:tab/>
      </w:r>
      <w:r>
        <w:fldChar w:fldCharType="begin"/>
      </w:r>
      <w:r>
        <w:instrText xml:space="preserve"> PAGEREF _Toc163121379 \h </w:instrText>
      </w:r>
      <w:r>
        <w:fldChar w:fldCharType="separate"/>
      </w:r>
      <w:r>
        <w:t>381</w:t>
      </w:r>
      <w:r>
        <w:fldChar w:fldCharType="end"/>
      </w:r>
    </w:p>
    <w:p>
      <w:pPr>
        <w:pStyle w:val="TOC8"/>
        <w:rPr>
          <w:rFonts w:asciiTheme="minorHAnsi" w:eastAsiaTheme="minorEastAsia" w:hAnsiTheme="minorHAnsi" w:cstheme="minorBidi"/>
          <w:szCs w:val="22"/>
        </w:rPr>
      </w:pPr>
      <w:r>
        <w:t>7.</w:t>
      </w:r>
      <w:r>
        <w:tab/>
        <w:t>This Order not to apply to Court of Appeal Registrar</w:t>
      </w:r>
      <w:r>
        <w:tab/>
      </w:r>
      <w:r>
        <w:fldChar w:fldCharType="begin"/>
      </w:r>
      <w:r>
        <w:instrText xml:space="preserve"> PAGEREF _Toc163121380 \h </w:instrText>
      </w:r>
      <w:r>
        <w:fldChar w:fldCharType="separate"/>
      </w:r>
      <w:r>
        <w:t>381</w:t>
      </w:r>
      <w:r>
        <w:fldChar w:fldCharType="end"/>
      </w:r>
    </w:p>
    <w:p>
      <w:pPr>
        <w:pStyle w:val="TOC2"/>
        <w:tabs>
          <w:tab w:val="right" w:leader="dot" w:pos="7077"/>
        </w:tabs>
        <w:rPr>
          <w:rFonts w:asciiTheme="minorHAnsi" w:eastAsiaTheme="minorEastAsia" w:hAnsiTheme="minorHAnsi" w:cstheme="minorBidi"/>
          <w:b w:val="0"/>
          <w:sz w:val="22"/>
          <w:szCs w:val="22"/>
        </w:rPr>
      </w:pPr>
      <w:r>
        <w:t>Order 61 — Proceedings under judgments and orders</w:t>
      </w:r>
    </w:p>
    <w:p>
      <w:pPr>
        <w:pStyle w:val="TOC4"/>
        <w:tabs>
          <w:tab w:val="right" w:leader="dot" w:pos="7077"/>
        </w:tabs>
        <w:rPr>
          <w:rFonts w:asciiTheme="minorHAnsi" w:eastAsiaTheme="minorEastAsia" w:hAnsiTheme="minorHAnsi" w:cstheme="minorBidi"/>
          <w:b w:val="0"/>
          <w:szCs w:val="22"/>
        </w:rPr>
      </w:pPr>
      <w:r>
        <w:t>Division 1 — Application of order</w:t>
      </w:r>
    </w:p>
    <w:p>
      <w:pPr>
        <w:pStyle w:val="TOC8"/>
        <w:rPr>
          <w:rFonts w:asciiTheme="minorHAnsi" w:eastAsiaTheme="minorEastAsia" w:hAnsiTheme="minorHAnsi" w:cstheme="minorBidi"/>
          <w:szCs w:val="22"/>
        </w:rPr>
      </w:pPr>
      <w:r>
        <w:t>1</w:t>
      </w:r>
      <w:r>
        <w:rPr>
          <w:snapToGrid w:val="0"/>
        </w:rPr>
        <w:t>.</w:t>
      </w:r>
      <w:r>
        <w:rPr>
          <w:snapToGrid w:val="0"/>
        </w:rPr>
        <w:tab/>
        <w:t>Application to proceedings under orders</w:t>
      </w:r>
      <w:r>
        <w:tab/>
      </w:r>
      <w:r>
        <w:fldChar w:fldCharType="begin"/>
      </w:r>
      <w:r>
        <w:instrText xml:space="preserve"> PAGEREF _Toc163121383 \h </w:instrText>
      </w:r>
      <w:r>
        <w:fldChar w:fldCharType="separate"/>
      </w:r>
      <w:r>
        <w:t>382</w:t>
      </w:r>
      <w:r>
        <w:fldChar w:fldCharType="end"/>
      </w:r>
    </w:p>
    <w:p>
      <w:pPr>
        <w:pStyle w:val="TOC4"/>
        <w:tabs>
          <w:tab w:val="right" w:leader="dot" w:pos="7077"/>
        </w:tabs>
        <w:rPr>
          <w:rFonts w:asciiTheme="minorHAnsi" w:eastAsiaTheme="minorEastAsia" w:hAnsiTheme="minorHAnsi" w:cstheme="minorBidi"/>
          <w:b w:val="0"/>
          <w:szCs w:val="22"/>
        </w:rPr>
      </w:pPr>
      <w:r>
        <w:t>Division 2 — Summons to proceed</w:t>
      </w:r>
    </w:p>
    <w:p>
      <w:pPr>
        <w:pStyle w:val="TOC8"/>
        <w:rPr>
          <w:rFonts w:asciiTheme="minorHAnsi" w:eastAsiaTheme="minorEastAsia" w:hAnsiTheme="minorHAnsi" w:cstheme="minorBidi"/>
          <w:szCs w:val="22"/>
        </w:rPr>
      </w:pPr>
      <w:r>
        <w:t>2</w:t>
      </w:r>
      <w:r>
        <w:rPr>
          <w:snapToGrid w:val="0"/>
        </w:rPr>
        <w:t>.</w:t>
      </w:r>
      <w:r>
        <w:rPr>
          <w:snapToGrid w:val="0"/>
        </w:rPr>
        <w:tab/>
        <w:t>Summons to proceed, requirement for and proceedings on</w:t>
      </w:r>
      <w:r>
        <w:tab/>
      </w:r>
      <w:r>
        <w:fldChar w:fldCharType="begin"/>
      </w:r>
      <w:r>
        <w:instrText xml:space="preserve"> PAGEREF _Toc163121385 \h </w:instrText>
      </w:r>
      <w:r>
        <w:fldChar w:fldCharType="separate"/>
      </w:r>
      <w:r>
        <w:t>382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judgment, Court may order service of in some cases</w:t>
      </w:r>
      <w:r>
        <w:tab/>
      </w:r>
      <w:r>
        <w:fldChar w:fldCharType="begin"/>
      </w:r>
      <w:r>
        <w:instrText xml:space="preserve"> PAGEREF _Toc163121386 \h </w:instrText>
      </w:r>
      <w:r>
        <w:fldChar w:fldCharType="separate"/>
      </w:r>
      <w:r>
        <w:t>383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Settling deed if parties differ, procedure for</w:t>
      </w:r>
      <w:r>
        <w:tab/>
      </w:r>
      <w:r>
        <w:fldChar w:fldCharType="begin"/>
      </w:r>
      <w:r>
        <w:instrText xml:space="preserve"> PAGEREF _Toc163121387 \h </w:instrText>
      </w:r>
      <w:r>
        <w:fldChar w:fldCharType="separate"/>
      </w:r>
      <w:r>
        <w:t>384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When service of notice of judgment may be dispensed with</w:t>
      </w:r>
      <w:r>
        <w:tab/>
      </w:r>
      <w:r>
        <w:fldChar w:fldCharType="begin"/>
      </w:r>
      <w:r>
        <w:instrText xml:space="preserve"> PAGEREF _Toc163121388 \h </w:instrText>
      </w:r>
      <w:r>
        <w:fldChar w:fldCharType="separate"/>
      </w:r>
      <w:r>
        <w:t>385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Judgment for accounts etc., power to bind persons in some cases</w:t>
      </w:r>
      <w:r>
        <w:tab/>
      </w:r>
      <w:r>
        <w:fldChar w:fldCharType="begin"/>
      </w:r>
      <w:r>
        <w:instrText xml:space="preserve"> PAGEREF _Toc163121389 \h </w:instrText>
      </w:r>
      <w:r>
        <w:fldChar w:fldCharType="separate"/>
      </w:r>
      <w:r>
        <w:t>385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Procedure where some parties not served etc.</w:t>
      </w:r>
      <w:r>
        <w:tab/>
      </w:r>
      <w:r>
        <w:fldChar w:fldCharType="begin"/>
      </w:r>
      <w:r>
        <w:instrText xml:space="preserve"> PAGEREF _Toc163121390 \h </w:instrText>
      </w:r>
      <w:r>
        <w:fldChar w:fldCharType="separate"/>
      </w:r>
      <w:r>
        <w:t>385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Course of proceedings in chambers</w:t>
      </w:r>
      <w:r>
        <w:tab/>
      </w:r>
      <w:r>
        <w:fldChar w:fldCharType="begin"/>
      </w:r>
      <w:r>
        <w:instrText xml:space="preserve"> PAGEREF _Toc163121391 \h </w:instrText>
      </w:r>
      <w:r>
        <w:fldChar w:fldCharType="separate"/>
      </w:r>
      <w:r>
        <w:t>386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Attendances</w:t>
      </w:r>
    </w:p>
    <w:p>
      <w:pPr>
        <w:pStyle w:val="TOC8"/>
        <w:rPr>
          <w:rFonts w:asciiTheme="minorHAnsi" w:eastAsiaTheme="minorEastAsia" w:hAnsiTheme="minorHAnsi" w:cstheme="minorBidi"/>
          <w:szCs w:val="22"/>
        </w:rPr>
      </w:pPr>
      <w:r>
        <w:t>9</w:t>
      </w:r>
      <w:r>
        <w:rPr>
          <w:snapToGrid w:val="0"/>
        </w:rPr>
        <w:t>.</w:t>
      </w:r>
      <w:r>
        <w:rPr>
          <w:snapToGrid w:val="0"/>
        </w:rPr>
        <w:tab/>
        <w:t>Classifying interests of parties</w:t>
      </w:r>
      <w:r>
        <w:tab/>
      </w:r>
      <w:r>
        <w:fldChar w:fldCharType="begin"/>
      </w:r>
      <w:r>
        <w:instrText xml:space="preserve"> PAGEREF _Toc163121393 \h </w:instrText>
      </w:r>
      <w:r>
        <w:fldChar w:fldCharType="separate"/>
      </w:r>
      <w:r>
        <w:t>386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Judge may require distinct solicitor to represent parties</w:t>
      </w:r>
      <w:r>
        <w:tab/>
      </w:r>
      <w:r>
        <w:fldChar w:fldCharType="begin"/>
      </w:r>
      <w:r>
        <w:instrText xml:space="preserve"> PAGEREF _Toc163121394 \h </w:instrText>
      </w:r>
      <w:r>
        <w:fldChar w:fldCharType="separate"/>
      </w:r>
      <w:r>
        <w:t>387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Attendance of parties not directed to attend</w:t>
      </w:r>
      <w:r>
        <w:tab/>
      </w:r>
      <w:r>
        <w:fldChar w:fldCharType="begin"/>
      </w:r>
      <w:r>
        <w:instrText xml:space="preserve"> PAGEREF _Toc163121395 \h </w:instrText>
      </w:r>
      <w:r>
        <w:fldChar w:fldCharType="separate"/>
      </w:r>
      <w:r>
        <w:t>387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Order stating parties directed to attend</w:t>
      </w:r>
      <w:r>
        <w:tab/>
      </w:r>
      <w:r>
        <w:fldChar w:fldCharType="begin"/>
      </w:r>
      <w:r>
        <w:instrText xml:space="preserve"> PAGEREF _Toc163121396 \h </w:instrText>
      </w:r>
      <w:r>
        <w:fldChar w:fldCharType="separate"/>
      </w:r>
      <w:r>
        <w:t>387</w:t>
      </w:r>
      <w:r>
        <w:fldChar w:fldCharType="end"/>
      </w:r>
    </w:p>
    <w:p>
      <w:pPr>
        <w:pStyle w:val="TOC4"/>
        <w:tabs>
          <w:tab w:val="right" w:leader="dot" w:pos="7077"/>
        </w:tabs>
        <w:rPr>
          <w:rFonts w:asciiTheme="minorHAnsi" w:eastAsiaTheme="minorEastAsia" w:hAnsiTheme="minorHAnsi" w:cstheme="minorBidi"/>
          <w:b w:val="0"/>
          <w:szCs w:val="22"/>
        </w:rPr>
      </w:pPr>
      <w:r>
        <w:t>Division 4 — Claims of creditors and other claimants</w:t>
      </w:r>
    </w:p>
    <w:p>
      <w:pPr>
        <w:pStyle w:val="TOC8"/>
        <w:rPr>
          <w:rFonts w:asciiTheme="minorHAnsi" w:eastAsiaTheme="minorEastAsia" w:hAnsiTheme="minorHAnsi" w:cstheme="minorBidi"/>
          <w:szCs w:val="22"/>
        </w:rPr>
      </w:pPr>
      <w:r>
        <w:t>13</w:t>
      </w:r>
      <w:r>
        <w:rPr>
          <w:snapToGrid w:val="0"/>
        </w:rPr>
        <w:t>.</w:t>
      </w:r>
      <w:r>
        <w:rPr>
          <w:snapToGrid w:val="0"/>
        </w:rPr>
        <w:tab/>
        <w:t>Advertisements for creditors etc., power to direct</w:t>
      </w:r>
      <w:r>
        <w:tab/>
      </w:r>
      <w:r>
        <w:fldChar w:fldCharType="begin"/>
      </w:r>
      <w:r>
        <w:instrText xml:space="preserve"> PAGEREF _Toc163121398 \h </w:instrText>
      </w:r>
      <w:r>
        <w:fldChar w:fldCharType="separate"/>
      </w:r>
      <w:r>
        <w:t>387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Advertisements, preparation etc. of</w:t>
      </w:r>
      <w:r>
        <w:tab/>
      </w:r>
      <w:r>
        <w:fldChar w:fldCharType="begin"/>
      </w:r>
      <w:r>
        <w:instrText xml:space="preserve"> PAGEREF _Toc163121399 \h </w:instrText>
      </w:r>
      <w:r>
        <w:fldChar w:fldCharType="separate"/>
      </w:r>
      <w:r>
        <w:t>388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Advertisements, contents of</w:t>
      </w:r>
      <w:r>
        <w:tab/>
      </w:r>
      <w:r>
        <w:fldChar w:fldCharType="begin"/>
      </w:r>
      <w:r>
        <w:instrText xml:space="preserve"> PAGEREF _Toc163121400 \h </w:instrText>
      </w:r>
      <w:r>
        <w:fldChar w:fldCharType="separate"/>
      </w:r>
      <w:r>
        <w:t>388</w:t>
      </w:r>
      <w:r>
        <w:fldChar w:fldCharType="end"/>
      </w:r>
    </w:p>
    <w:p>
      <w:pPr>
        <w:pStyle w:val="TOC8"/>
        <w:rPr>
          <w:rFonts w:asciiTheme="minorHAnsi" w:eastAsiaTheme="minorEastAsia" w:hAnsiTheme="minorHAnsi" w:cstheme="minorBidi"/>
          <w:szCs w:val="22"/>
        </w:rPr>
      </w:pPr>
      <w:r>
        <w:t>15A.</w:t>
      </w:r>
      <w:r>
        <w:tab/>
        <w:t>Claims to state claimant’s contact details</w:t>
      </w:r>
      <w:r>
        <w:tab/>
      </w:r>
      <w:r>
        <w:fldChar w:fldCharType="begin"/>
      </w:r>
      <w:r>
        <w:instrText xml:space="preserve"> PAGEREF _Toc163121401 \h </w:instrText>
      </w:r>
      <w:r>
        <w:fldChar w:fldCharType="separate"/>
      </w:r>
      <w:r>
        <w:t>388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Failure to claim within specified time</w:t>
      </w:r>
      <w:r>
        <w:tab/>
      </w:r>
      <w:r>
        <w:fldChar w:fldCharType="begin"/>
      </w:r>
      <w:r>
        <w:instrText xml:space="preserve"> PAGEREF _Toc163121402 \h </w:instrText>
      </w:r>
      <w:r>
        <w:fldChar w:fldCharType="separate"/>
      </w:r>
      <w:r>
        <w:t>388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Examination and verification of claims</w:t>
      </w:r>
      <w:r>
        <w:tab/>
      </w:r>
      <w:r>
        <w:fldChar w:fldCharType="begin"/>
      </w:r>
      <w:r>
        <w:instrText xml:space="preserve"> PAGEREF _Toc163121403 \h </w:instrText>
      </w:r>
      <w:r>
        <w:fldChar w:fldCharType="separate"/>
      </w:r>
      <w:r>
        <w:t>389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Adjudicating on claims</w:t>
      </w:r>
      <w:r>
        <w:tab/>
      </w:r>
      <w:r>
        <w:fldChar w:fldCharType="begin"/>
      </w:r>
      <w:r>
        <w:instrText xml:space="preserve"> PAGEREF _Toc163121404 \h </w:instrText>
      </w:r>
      <w:r>
        <w:fldChar w:fldCharType="separate"/>
      </w:r>
      <w:r>
        <w:t>390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Adjourning adjudications; fixing time for filing evidence etc.</w:t>
      </w:r>
      <w:r>
        <w:tab/>
      </w:r>
      <w:r>
        <w:fldChar w:fldCharType="begin"/>
      </w:r>
      <w:r>
        <w:instrText xml:space="preserve"> PAGEREF _Toc163121405 \h </w:instrText>
      </w:r>
      <w:r>
        <w:fldChar w:fldCharType="separate"/>
      </w:r>
      <w:r>
        <w:t>391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Service of notice of judgment on certain claimants</w:t>
      </w:r>
      <w:r>
        <w:tab/>
      </w:r>
      <w:r>
        <w:fldChar w:fldCharType="begin"/>
      </w:r>
      <w:r>
        <w:instrText xml:space="preserve"> PAGEREF _Toc163121406 \h </w:instrText>
      </w:r>
      <w:r>
        <w:fldChar w:fldCharType="separate"/>
      </w:r>
      <w:r>
        <w:t>391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Notice of claims allowed or disallowed</w:t>
      </w:r>
      <w:r>
        <w:tab/>
      </w:r>
      <w:r>
        <w:fldChar w:fldCharType="begin"/>
      </w:r>
      <w:r>
        <w:instrText xml:space="preserve"> PAGEREF _Toc163121407 \h </w:instrText>
      </w:r>
      <w:r>
        <w:fldChar w:fldCharType="separate"/>
      </w:r>
      <w:r>
        <w:t>392</w:t>
      </w:r>
      <w:r>
        <w:fldChar w:fldCharType="end"/>
      </w:r>
    </w:p>
    <w:p>
      <w:pPr>
        <w:pStyle w:val="TOC4"/>
        <w:tabs>
          <w:tab w:val="right" w:leader="dot" w:pos="7077"/>
        </w:tabs>
        <w:rPr>
          <w:rFonts w:asciiTheme="minorHAnsi" w:eastAsiaTheme="minorEastAsia" w:hAnsiTheme="minorHAnsi" w:cstheme="minorBidi"/>
          <w:b w:val="0"/>
          <w:szCs w:val="22"/>
        </w:rPr>
      </w:pPr>
      <w:r>
        <w:t>Division 5 — Interest</w:t>
      </w:r>
    </w:p>
    <w:p>
      <w:pPr>
        <w:pStyle w:val="TOC8"/>
        <w:rPr>
          <w:rFonts w:asciiTheme="minorHAnsi" w:eastAsiaTheme="minorEastAsia" w:hAnsiTheme="minorHAnsi" w:cstheme="minorBidi"/>
          <w:szCs w:val="22"/>
        </w:rPr>
      </w:pPr>
      <w:r>
        <w:t>23</w:t>
      </w:r>
      <w:r>
        <w:rPr>
          <w:snapToGrid w:val="0"/>
        </w:rPr>
        <w:t>.</w:t>
      </w:r>
      <w:r>
        <w:rPr>
          <w:snapToGrid w:val="0"/>
        </w:rPr>
        <w:tab/>
        <w:t>Interest on debts</w:t>
      </w:r>
      <w:r>
        <w:tab/>
      </w:r>
      <w:r>
        <w:fldChar w:fldCharType="begin"/>
      </w:r>
      <w:r>
        <w:instrText xml:space="preserve"> PAGEREF _Toc163121409 \h </w:instrText>
      </w:r>
      <w:r>
        <w:fldChar w:fldCharType="separate"/>
      </w:r>
      <w:r>
        <w:t>393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Interest on legacies</w:t>
      </w:r>
      <w:r>
        <w:tab/>
      </w:r>
      <w:r>
        <w:fldChar w:fldCharType="begin"/>
      </w:r>
      <w:r>
        <w:instrText xml:space="preserve"> PAGEREF _Toc163121410 \h </w:instrText>
      </w:r>
      <w:r>
        <w:fldChar w:fldCharType="separate"/>
      </w:r>
      <w:r>
        <w:t>393</w:t>
      </w:r>
      <w:r>
        <w:fldChar w:fldCharType="end"/>
      </w:r>
    </w:p>
    <w:p>
      <w:pPr>
        <w:pStyle w:val="TOC4"/>
        <w:tabs>
          <w:tab w:val="right" w:leader="dot" w:pos="7077"/>
        </w:tabs>
        <w:rPr>
          <w:rFonts w:asciiTheme="minorHAnsi" w:eastAsiaTheme="minorEastAsia" w:hAnsiTheme="minorHAnsi" w:cstheme="minorBidi"/>
          <w:b w:val="0"/>
          <w:szCs w:val="22"/>
        </w:rPr>
      </w:pPr>
      <w:r>
        <w:t>Division 6 — Masters’ and registrars’ certificates</w:t>
      </w:r>
    </w:p>
    <w:p>
      <w:pPr>
        <w:pStyle w:val="TOC8"/>
        <w:rPr>
          <w:rFonts w:asciiTheme="minorHAnsi" w:eastAsiaTheme="minorEastAsia" w:hAnsiTheme="minorHAnsi" w:cstheme="minorBidi"/>
          <w:szCs w:val="22"/>
        </w:rPr>
      </w:pPr>
      <w:r>
        <w:t>25</w:t>
      </w:r>
      <w:r>
        <w:rPr>
          <w:snapToGrid w:val="0"/>
        </w:rPr>
        <w:t>.</w:t>
      </w:r>
      <w:r>
        <w:rPr>
          <w:snapToGrid w:val="0"/>
        </w:rPr>
        <w:tab/>
        <w:t>Master’s certificate</w:t>
      </w:r>
      <w:r>
        <w:tab/>
      </w:r>
      <w:r>
        <w:fldChar w:fldCharType="begin"/>
      </w:r>
      <w:r>
        <w:instrText xml:space="preserve"> PAGEREF _Toc163121412 \h </w:instrText>
      </w:r>
      <w:r>
        <w:fldChar w:fldCharType="separate"/>
      </w:r>
      <w:r>
        <w:t>393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Settling and filing master’s certificate</w:t>
      </w:r>
      <w:r>
        <w:tab/>
      </w:r>
      <w:r>
        <w:fldChar w:fldCharType="begin"/>
      </w:r>
      <w:r>
        <w:instrText xml:space="preserve"> PAGEREF _Toc163121413 \h </w:instrText>
      </w:r>
      <w:r>
        <w:fldChar w:fldCharType="separate"/>
      </w:r>
      <w:r>
        <w:t>394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Judge may determine questions in proceedings before master</w:t>
      </w:r>
      <w:r>
        <w:tab/>
      </w:r>
      <w:r>
        <w:fldChar w:fldCharType="begin"/>
      </w:r>
      <w:r>
        <w:instrText xml:space="preserve"> PAGEREF _Toc163121414 \h </w:instrText>
      </w:r>
      <w:r>
        <w:fldChar w:fldCharType="separate"/>
      </w:r>
      <w:r>
        <w:t>394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Appeal against master’s certificate</w:t>
      </w:r>
      <w:r>
        <w:tab/>
      </w:r>
      <w:r>
        <w:fldChar w:fldCharType="begin"/>
      </w:r>
      <w:r>
        <w:instrText xml:space="preserve"> PAGEREF _Toc163121415 \h </w:instrText>
      </w:r>
      <w:r>
        <w:fldChar w:fldCharType="separate"/>
      </w:r>
      <w:r>
        <w:t>395</w:t>
      </w:r>
      <w:r>
        <w:fldChar w:fldCharType="end"/>
      </w:r>
    </w:p>
    <w:p>
      <w:pPr>
        <w:pStyle w:val="TOC8"/>
        <w:rPr>
          <w:rFonts w:asciiTheme="minorHAnsi" w:eastAsiaTheme="minorEastAsia" w:hAnsiTheme="minorHAnsi" w:cstheme="minorBidi"/>
          <w:szCs w:val="22"/>
        </w:rPr>
      </w:pPr>
      <w:r>
        <w:t>28A</w:t>
      </w:r>
      <w:r>
        <w:rPr>
          <w:snapToGrid w:val="0"/>
        </w:rPr>
        <w:t>.</w:t>
      </w:r>
      <w:r>
        <w:rPr>
          <w:snapToGrid w:val="0"/>
        </w:rPr>
        <w:tab/>
        <w:t>Judge may discharge or vary registrar’s certificate</w:t>
      </w:r>
      <w:r>
        <w:tab/>
      </w:r>
      <w:r>
        <w:fldChar w:fldCharType="begin"/>
      </w:r>
      <w:r>
        <w:instrText xml:space="preserve"> PAGEREF _Toc163121416 \h </w:instrText>
      </w:r>
      <w:r>
        <w:fldChar w:fldCharType="separate"/>
      </w:r>
      <w:r>
        <w:t>396</w:t>
      </w:r>
      <w:r>
        <w:fldChar w:fldCharType="end"/>
      </w:r>
    </w:p>
    <w:p>
      <w:pPr>
        <w:pStyle w:val="TOC4"/>
        <w:tabs>
          <w:tab w:val="right" w:leader="dot" w:pos="7077"/>
        </w:tabs>
        <w:rPr>
          <w:rFonts w:asciiTheme="minorHAnsi" w:eastAsiaTheme="minorEastAsia" w:hAnsiTheme="minorHAnsi" w:cstheme="minorBidi"/>
          <w:b w:val="0"/>
          <w:szCs w:val="22"/>
        </w:rPr>
      </w:pPr>
      <w:r>
        <w:t>Division 7 — Further consideration</w:t>
      </w:r>
    </w:p>
    <w:p>
      <w:pPr>
        <w:pStyle w:val="TOC8"/>
        <w:rPr>
          <w:rFonts w:asciiTheme="minorHAnsi" w:eastAsiaTheme="minorEastAsia" w:hAnsiTheme="minorHAnsi" w:cstheme="minorBidi"/>
          <w:szCs w:val="22"/>
        </w:rPr>
      </w:pPr>
      <w:r>
        <w:t>29</w:t>
      </w:r>
      <w:r>
        <w:rPr>
          <w:snapToGrid w:val="0"/>
        </w:rPr>
        <w:t>.</w:t>
      </w:r>
      <w:r>
        <w:rPr>
          <w:snapToGrid w:val="0"/>
        </w:rPr>
        <w:tab/>
        <w:t>Summons to have matter in chambers further considered</w:t>
      </w:r>
      <w:r>
        <w:tab/>
      </w:r>
      <w:r>
        <w:fldChar w:fldCharType="begin"/>
      </w:r>
      <w:r>
        <w:instrText xml:space="preserve"> PAGEREF _Toc163121418 \h </w:instrText>
      </w:r>
      <w:r>
        <w:fldChar w:fldCharType="separate"/>
      </w:r>
      <w:r>
        <w:t>396</w:t>
      </w:r>
      <w:r>
        <w:fldChar w:fldCharType="end"/>
      </w:r>
    </w:p>
    <w:p>
      <w:pPr>
        <w:pStyle w:val="TOC2"/>
        <w:tabs>
          <w:tab w:val="right" w:leader="dot" w:pos="7077"/>
        </w:tabs>
        <w:rPr>
          <w:rFonts w:asciiTheme="minorHAnsi" w:eastAsiaTheme="minorEastAsia" w:hAnsiTheme="minorHAnsi" w:cstheme="minorBidi"/>
          <w:b w:val="0"/>
          <w:sz w:val="22"/>
          <w:szCs w:val="22"/>
        </w:rPr>
      </w:pPr>
      <w:r>
        <w:t>Order 62 — </w:t>
      </w:r>
      <w:r>
        <w:rPr>
          <w:i/>
          <w:iCs/>
        </w:rPr>
        <w:t>Trustees Act 1962</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Making applications under Act</w:t>
      </w:r>
      <w:r>
        <w:tab/>
      </w:r>
      <w:r>
        <w:fldChar w:fldCharType="begin"/>
      </w:r>
      <w:r>
        <w:instrText xml:space="preserve"> PAGEREF _Toc163121420 \h </w:instrText>
      </w:r>
      <w:r>
        <w:fldChar w:fldCharType="separate"/>
      </w:r>
      <w:r>
        <w:t>398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Title of proceedings</w:t>
      </w:r>
      <w:r>
        <w:tab/>
      </w:r>
      <w:r>
        <w:fldChar w:fldCharType="begin"/>
      </w:r>
      <w:r>
        <w:instrText xml:space="preserve"> PAGEREF _Toc163121421 \h </w:instrText>
      </w:r>
      <w:r>
        <w:fldChar w:fldCharType="separate"/>
      </w:r>
      <w:r>
        <w:t>398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Payment into court under Act s. 99</w:t>
      </w:r>
      <w:r>
        <w:tab/>
      </w:r>
      <w:r>
        <w:fldChar w:fldCharType="begin"/>
      </w:r>
      <w:r>
        <w:instrText xml:space="preserve"> PAGEREF _Toc163121422 \h </w:instrText>
      </w:r>
      <w:r>
        <w:fldChar w:fldCharType="separate"/>
      </w:r>
      <w:r>
        <w:t>398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Notice of payment in etc.</w:t>
      </w:r>
      <w:r>
        <w:tab/>
      </w:r>
      <w:r>
        <w:fldChar w:fldCharType="begin"/>
      </w:r>
      <w:r>
        <w:instrText xml:space="preserve"> PAGEREF _Toc163121423 \h </w:instrText>
      </w:r>
      <w:r>
        <w:fldChar w:fldCharType="separate"/>
      </w:r>
      <w:r>
        <w:t>399</w:t>
      </w:r>
      <w:r>
        <w:fldChar w:fldCharType="end"/>
      </w:r>
    </w:p>
    <w:p>
      <w:pPr>
        <w:pStyle w:val="TOC8"/>
        <w:rPr>
          <w:rFonts w:asciiTheme="minorHAnsi" w:eastAsiaTheme="minorEastAsia" w:hAnsiTheme="minorHAnsi" w:cstheme="minorBidi"/>
          <w:szCs w:val="22"/>
        </w:rPr>
      </w:pPr>
      <w:r>
        <w:lastRenderedPageBreak/>
        <w:t>5</w:t>
      </w:r>
      <w:r>
        <w:rPr>
          <w:snapToGrid w:val="0"/>
        </w:rPr>
        <w:t>.</w:t>
      </w:r>
      <w:r>
        <w:rPr>
          <w:snapToGrid w:val="0"/>
        </w:rPr>
        <w:tab/>
        <w:t>Applications in respect of money etc. paid into court</w:t>
      </w:r>
      <w:r>
        <w:tab/>
      </w:r>
      <w:r>
        <w:fldChar w:fldCharType="begin"/>
      </w:r>
      <w:r>
        <w:instrText xml:space="preserve"> PAGEREF _Toc163121424 \h </w:instrText>
      </w:r>
      <w:r>
        <w:fldChar w:fldCharType="separate"/>
      </w:r>
      <w:r>
        <w:t>399</w:t>
      </w:r>
      <w:r>
        <w:fldChar w:fldCharType="end"/>
      </w:r>
    </w:p>
    <w:p>
      <w:pPr>
        <w:pStyle w:val="TOC2"/>
        <w:tabs>
          <w:tab w:val="right" w:leader="dot" w:pos="7077"/>
        </w:tabs>
        <w:rPr>
          <w:rFonts w:asciiTheme="minorHAnsi" w:eastAsiaTheme="minorEastAsia" w:hAnsiTheme="minorHAnsi" w:cstheme="minorBidi"/>
          <w:b w:val="0"/>
          <w:sz w:val="22"/>
          <w:szCs w:val="22"/>
        </w:rPr>
      </w:pPr>
      <w:r>
        <w:t>Order 65</w:t>
      </w:r>
      <w:r>
        <w:rPr>
          <w:b w:val="0"/>
        </w:rPr>
        <w:t> </w:t>
      </w:r>
      <w:r>
        <w:t>—</w:t>
      </w:r>
      <w:r>
        <w:rPr>
          <w:b w:val="0"/>
        </w:rPr>
        <w:t> </w:t>
      </w:r>
      <w:r>
        <w:t>Appeals to the General Division</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_Toc163121427 \h </w:instrText>
      </w:r>
      <w:r>
        <w:fldChar w:fldCharType="separate"/>
      </w:r>
      <w:r>
        <w:t>400</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_Toc163121428 \h </w:instrText>
      </w:r>
      <w:r>
        <w:fldChar w:fldCharType="separate"/>
      </w:r>
      <w:r>
        <w:t>401</w:t>
      </w:r>
      <w:r>
        <w:fldChar w:fldCharType="end"/>
      </w:r>
    </w:p>
    <w:p>
      <w:pPr>
        <w:pStyle w:val="TOC4"/>
        <w:tabs>
          <w:tab w:val="right" w:leader="dot" w:pos="7077"/>
        </w:tabs>
        <w:rPr>
          <w:rFonts w:asciiTheme="minorHAnsi" w:eastAsiaTheme="minorEastAsia" w:hAnsiTheme="minorHAnsi" w:cstheme="minorBidi"/>
          <w:b w:val="0"/>
          <w:szCs w:val="22"/>
        </w:rPr>
      </w:pPr>
      <w:r>
        <w:t>Division 2 — General matters</w:t>
      </w:r>
    </w:p>
    <w:p>
      <w:pPr>
        <w:pStyle w:val="TOC8"/>
        <w:rPr>
          <w:rFonts w:asciiTheme="minorHAnsi" w:eastAsiaTheme="minorEastAsia" w:hAnsiTheme="minorHAnsi" w:cstheme="minorBidi"/>
          <w:szCs w:val="22"/>
        </w:rPr>
      </w:pPr>
      <w:r>
        <w:t>3.</w:t>
      </w:r>
      <w:r>
        <w:tab/>
        <w:t>Hearings by telephone</w:t>
      </w:r>
      <w:r>
        <w:tab/>
      </w:r>
      <w:r>
        <w:fldChar w:fldCharType="begin"/>
      </w:r>
      <w:r>
        <w:instrText xml:space="preserve"> PAGEREF _Toc163121430 \h </w:instrText>
      </w:r>
      <w:r>
        <w:fldChar w:fldCharType="separate"/>
      </w:r>
      <w:r>
        <w:t>401</w:t>
      </w:r>
      <w:r>
        <w:fldChar w:fldCharType="end"/>
      </w:r>
    </w:p>
    <w:p>
      <w:pPr>
        <w:pStyle w:val="TOC8"/>
        <w:rPr>
          <w:rFonts w:asciiTheme="minorHAnsi" w:eastAsiaTheme="minorEastAsia" w:hAnsiTheme="minorHAnsi" w:cstheme="minorBidi"/>
          <w:szCs w:val="22"/>
        </w:rPr>
      </w:pPr>
      <w:r>
        <w:t>4.</w:t>
      </w:r>
      <w:r>
        <w:tab/>
        <w:t>Judge’s general jurisdiction</w:t>
      </w:r>
      <w:r>
        <w:tab/>
      </w:r>
      <w:r>
        <w:fldChar w:fldCharType="begin"/>
      </w:r>
      <w:r>
        <w:instrText xml:space="preserve"> PAGEREF _Toc163121431 \h </w:instrText>
      </w:r>
      <w:r>
        <w:fldChar w:fldCharType="separate"/>
      </w:r>
      <w:r>
        <w:t>402</w:t>
      </w:r>
      <w:r>
        <w:fldChar w:fldCharType="end"/>
      </w:r>
    </w:p>
    <w:p>
      <w:pPr>
        <w:pStyle w:val="TOC8"/>
        <w:rPr>
          <w:rFonts w:asciiTheme="minorHAnsi" w:eastAsiaTheme="minorEastAsia" w:hAnsiTheme="minorHAnsi" w:cstheme="minorBidi"/>
          <w:szCs w:val="22"/>
        </w:rPr>
      </w:pPr>
      <w:r>
        <w:t>5.</w:t>
      </w:r>
      <w:r>
        <w:tab/>
        <w:t>Non</w:t>
      </w:r>
      <w:r>
        <w:noBreakHyphen/>
        <w:t>attendance by party, consequences of</w:t>
      </w:r>
      <w:r>
        <w:tab/>
      </w:r>
      <w:r>
        <w:fldChar w:fldCharType="begin"/>
      </w:r>
      <w:r>
        <w:instrText xml:space="preserve"> PAGEREF _Toc163121432 \h </w:instrText>
      </w:r>
      <w:r>
        <w:fldChar w:fldCharType="separate"/>
      </w:r>
      <w:r>
        <w:t>403</w:t>
      </w:r>
      <w:r>
        <w:fldChar w:fldCharType="end"/>
      </w:r>
    </w:p>
    <w:p>
      <w:pPr>
        <w:pStyle w:val="TOC8"/>
        <w:rPr>
          <w:rFonts w:asciiTheme="minorHAnsi" w:eastAsiaTheme="minorEastAsia" w:hAnsiTheme="minorHAnsi" w:cstheme="minorBidi"/>
          <w:szCs w:val="22"/>
        </w:rPr>
      </w:pPr>
      <w:r>
        <w:t>6.</w:t>
      </w:r>
      <w:r>
        <w:tab/>
        <w:t>Decisions made in absence of party</w:t>
      </w:r>
      <w:r>
        <w:tab/>
      </w:r>
      <w:r>
        <w:fldChar w:fldCharType="begin"/>
      </w:r>
      <w:r>
        <w:instrText xml:space="preserve"> PAGEREF _Toc163121433 \h </w:instrText>
      </w:r>
      <w:r>
        <w:fldChar w:fldCharType="separate"/>
      </w:r>
      <w:r>
        <w:t>403</w:t>
      </w:r>
      <w:r>
        <w:fldChar w:fldCharType="end"/>
      </w:r>
    </w:p>
    <w:p>
      <w:pPr>
        <w:pStyle w:val="TOC8"/>
        <w:rPr>
          <w:rFonts w:asciiTheme="minorHAnsi" w:eastAsiaTheme="minorEastAsia" w:hAnsiTheme="minorHAnsi" w:cstheme="minorBidi"/>
          <w:szCs w:val="22"/>
        </w:rPr>
      </w:pPr>
      <w:r>
        <w:t>7.</w:t>
      </w:r>
      <w:r>
        <w:tab/>
        <w:t>Decisions made on the papers</w:t>
      </w:r>
      <w:r>
        <w:tab/>
      </w:r>
      <w:r>
        <w:fldChar w:fldCharType="begin"/>
      </w:r>
      <w:r>
        <w:instrText xml:space="preserve"> PAGEREF _Toc163121434 \h </w:instrText>
      </w:r>
      <w:r>
        <w:fldChar w:fldCharType="separate"/>
      </w:r>
      <w:r>
        <w:t>403</w:t>
      </w:r>
      <w:r>
        <w:fldChar w:fldCharType="end"/>
      </w:r>
    </w:p>
    <w:p>
      <w:pPr>
        <w:pStyle w:val="TOC4"/>
        <w:tabs>
          <w:tab w:val="right" w:leader="dot" w:pos="7077"/>
        </w:tabs>
        <w:rPr>
          <w:rFonts w:asciiTheme="minorHAnsi" w:eastAsiaTheme="minorEastAsia" w:hAnsiTheme="minorHAnsi" w:cstheme="minorBidi"/>
          <w:b w:val="0"/>
          <w:szCs w:val="22"/>
        </w:rPr>
      </w:pPr>
      <w:r>
        <w:t>Division 3 — Procedure on appeals</w:t>
      </w:r>
    </w:p>
    <w:p>
      <w:pPr>
        <w:pStyle w:val="TOC8"/>
        <w:rPr>
          <w:rFonts w:asciiTheme="minorHAnsi" w:eastAsiaTheme="minorEastAsia" w:hAnsiTheme="minorHAnsi" w:cstheme="minorBidi"/>
          <w:szCs w:val="22"/>
        </w:rPr>
      </w:pPr>
      <w:r>
        <w:t>8.</w:t>
      </w:r>
      <w:r>
        <w:tab/>
        <w:t>Nature of appeals</w:t>
      </w:r>
      <w:r>
        <w:tab/>
      </w:r>
      <w:r>
        <w:fldChar w:fldCharType="begin"/>
      </w:r>
      <w:r>
        <w:instrText xml:space="preserve"> PAGEREF _Toc163121436 \h </w:instrText>
      </w:r>
      <w:r>
        <w:fldChar w:fldCharType="separate"/>
      </w:r>
      <w:r>
        <w:t>404</w:t>
      </w:r>
      <w:r>
        <w:fldChar w:fldCharType="end"/>
      </w:r>
    </w:p>
    <w:p>
      <w:pPr>
        <w:pStyle w:val="TOC8"/>
        <w:rPr>
          <w:rFonts w:asciiTheme="minorHAnsi" w:eastAsiaTheme="minorEastAsia" w:hAnsiTheme="minorHAnsi" w:cstheme="minorBidi"/>
          <w:szCs w:val="22"/>
        </w:rPr>
      </w:pPr>
      <w:r>
        <w:t>9.</w:t>
      </w:r>
      <w:r>
        <w:tab/>
        <w:t>Time for appealing</w:t>
      </w:r>
      <w:r>
        <w:tab/>
      </w:r>
      <w:r>
        <w:fldChar w:fldCharType="begin"/>
      </w:r>
      <w:r>
        <w:instrText xml:space="preserve"> PAGEREF _Toc163121437 \h </w:instrText>
      </w:r>
      <w:r>
        <w:fldChar w:fldCharType="separate"/>
      </w:r>
      <w:r>
        <w:t>404</w:t>
      </w:r>
      <w:r>
        <w:fldChar w:fldCharType="end"/>
      </w:r>
    </w:p>
    <w:p>
      <w:pPr>
        <w:pStyle w:val="TOC8"/>
        <w:rPr>
          <w:rFonts w:asciiTheme="minorHAnsi" w:eastAsiaTheme="minorEastAsia" w:hAnsiTheme="minorHAnsi" w:cstheme="minorBidi"/>
          <w:szCs w:val="22"/>
        </w:rPr>
      </w:pPr>
      <w:r>
        <w:t>10.</w:t>
      </w:r>
      <w:r>
        <w:tab/>
        <w:t>Appeal, how to commence</w:t>
      </w:r>
      <w:r>
        <w:tab/>
      </w:r>
      <w:r>
        <w:fldChar w:fldCharType="begin"/>
      </w:r>
      <w:r>
        <w:instrText xml:space="preserve"> PAGEREF _Toc163121438 \h </w:instrText>
      </w:r>
      <w:r>
        <w:fldChar w:fldCharType="separate"/>
      </w:r>
      <w:r>
        <w:t>405</w:t>
      </w:r>
      <w:r>
        <w:fldChar w:fldCharType="end"/>
      </w:r>
    </w:p>
    <w:p>
      <w:pPr>
        <w:pStyle w:val="TOC8"/>
        <w:rPr>
          <w:rFonts w:asciiTheme="minorHAnsi" w:eastAsiaTheme="minorEastAsia" w:hAnsiTheme="minorHAnsi" w:cstheme="minorBidi"/>
          <w:szCs w:val="22"/>
        </w:rPr>
      </w:pPr>
      <w:r>
        <w:t>11.</w:t>
      </w:r>
      <w:r>
        <w:tab/>
        <w:t>Primary court to be notified and to supply records</w:t>
      </w:r>
      <w:r>
        <w:tab/>
      </w:r>
      <w:r>
        <w:fldChar w:fldCharType="begin"/>
      </w:r>
      <w:r>
        <w:instrText xml:space="preserve"> PAGEREF _Toc163121439 \h </w:instrText>
      </w:r>
      <w:r>
        <w:fldChar w:fldCharType="separate"/>
      </w:r>
      <w:r>
        <w:t>406</w:t>
      </w:r>
      <w:r>
        <w:fldChar w:fldCharType="end"/>
      </w:r>
    </w:p>
    <w:p>
      <w:pPr>
        <w:pStyle w:val="TOC8"/>
        <w:rPr>
          <w:rFonts w:asciiTheme="minorHAnsi" w:eastAsiaTheme="minorEastAsia" w:hAnsiTheme="minorHAnsi" w:cstheme="minorBidi"/>
          <w:szCs w:val="22"/>
        </w:rPr>
      </w:pPr>
      <w:r>
        <w:t>12.</w:t>
      </w:r>
      <w:r>
        <w:tab/>
        <w:t>Respondent’s options</w:t>
      </w:r>
      <w:r>
        <w:tab/>
      </w:r>
      <w:r>
        <w:fldChar w:fldCharType="begin"/>
      </w:r>
      <w:r>
        <w:instrText xml:space="preserve"> PAGEREF _Toc163121440 \h </w:instrText>
      </w:r>
      <w:r>
        <w:fldChar w:fldCharType="separate"/>
      </w:r>
      <w:r>
        <w:t>407</w:t>
      </w:r>
      <w:r>
        <w:fldChar w:fldCharType="end"/>
      </w:r>
    </w:p>
    <w:p>
      <w:pPr>
        <w:pStyle w:val="TOC8"/>
        <w:rPr>
          <w:rFonts w:asciiTheme="minorHAnsi" w:eastAsiaTheme="minorEastAsia" w:hAnsiTheme="minorHAnsi" w:cstheme="minorBidi"/>
          <w:szCs w:val="22"/>
        </w:rPr>
      </w:pPr>
      <w:r>
        <w:t>13.</w:t>
      </w:r>
      <w:r>
        <w:tab/>
        <w:t>Interim order, applying for</w:t>
      </w:r>
      <w:r>
        <w:tab/>
      </w:r>
      <w:r>
        <w:fldChar w:fldCharType="begin"/>
      </w:r>
      <w:r>
        <w:instrText xml:space="preserve"> PAGEREF _Toc163121441 \h </w:instrText>
      </w:r>
      <w:r>
        <w:fldChar w:fldCharType="separate"/>
      </w:r>
      <w:r>
        <w:t>407</w:t>
      </w:r>
      <w:r>
        <w:fldChar w:fldCharType="end"/>
      </w:r>
    </w:p>
    <w:p>
      <w:pPr>
        <w:pStyle w:val="TOC8"/>
        <w:rPr>
          <w:rFonts w:asciiTheme="minorHAnsi" w:eastAsiaTheme="minorEastAsia" w:hAnsiTheme="minorHAnsi" w:cstheme="minorBidi"/>
          <w:szCs w:val="22"/>
        </w:rPr>
      </w:pPr>
      <w:r>
        <w:t>14.</w:t>
      </w:r>
      <w:r>
        <w:tab/>
        <w:t>Urgent appeal order, nature of</w:t>
      </w:r>
      <w:r>
        <w:tab/>
      </w:r>
      <w:r>
        <w:fldChar w:fldCharType="begin"/>
      </w:r>
      <w:r>
        <w:instrText xml:space="preserve"> PAGEREF _Toc163121442 \h </w:instrText>
      </w:r>
      <w:r>
        <w:fldChar w:fldCharType="separate"/>
      </w:r>
      <w:r>
        <w:t>407</w:t>
      </w:r>
      <w:r>
        <w:fldChar w:fldCharType="end"/>
      </w:r>
    </w:p>
    <w:p>
      <w:pPr>
        <w:pStyle w:val="TOC8"/>
        <w:rPr>
          <w:rFonts w:asciiTheme="minorHAnsi" w:eastAsiaTheme="minorEastAsia" w:hAnsiTheme="minorHAnsi" w:cstheme="minorBidi"/>
          <w:szCs w:val="22"/>
        </w:rPr>
      </w:pPr>
      <w:r>
        <w:t>15.</w:t>
      </w:r>
      <w:r>
        <w:tab/>
        <w:t>Consenting to orders</w:t>
      </w:r>
      <w:r>
        <w:tab/>
      </w:r>
      <w:r>
        <w:fldChar w:fldCharType="begin"/>
      </w:r>
      <w:r>
        <w:instrText xml:space="preserve"> PAGEREF _Toc163121443 \h </w:instrText>
      </w:r>
      <w:r>
        <w:fldChar w:fldCharType="separate"/>
      </w:r>
      <w:r>
        <w:t>408</w:t>
      </w:r>
      <w:r>
        <w:fldChar w:fldCharType="end"/>
      </w:r>
    </w:p>
    <w:p>
      <w:pPr>
        <w:pStyle w:val="TOC8"/>
        <w:rPr>
          <w:rFonts w:asciiTheme="minorHAnsi" w:eastAsiaTheme="minorEastAsia" w:hAnsiTheme="minorHAnsi" w:cstheme="minorBidi"/>
          <w:szCs w:val="22"/>
        </w:rPr>
      </w:pPr>
      <w:r>
        <w:t>16.</w:t>
      </w:r>
      <w:r>
        <w:tab/>
        <w:t>Appeal books not needed unless ordered</w:t>
      </w:r>
      <w:r>
        <w:tab/>
      </w:r>
      <w:r>
        <w:fldChar w:fldCharType="begin"/>
      </w:r>
      <w:r>
        <w:instrText xml:space="preserve"> PAGEREF _Toc163121444 \h </w:instrText>
      </w:r>
      <w:r>
        <w:fldChar w:fldCharType="separate"/>
      </w:r>
      <w:r>
        <w:t>408</w:t>
      </w:r>
      <w:r>
        <w:fldChar w:fldCharType="end"/>
      </w:r>
    </w:p>
    <w:p>
      <w:pPr>
        <w:pStyle w:val="TOC4"/>
        <w:tabs>
          <w:tab w:val="right" w:leader="dot" w:pos="7077"/>
        </w:tabs>
        <w:rPr>
          <w:rFonts w:asciiTheme="minorHAnsi" w:eastAsiaTheme="minorEastAsia" w:hAnsiTheme="minorHAnsi" w:cstheme="minorBidi"/>
          <w:b w:val="0"/>
          <w:szCs w:val="22"/>
        </w:rPr>
      </w:pPr>
      <w:r>
        <w:t>Division 4 — Concluding an appeal</w:t>
      </w:r>
    </w:p>
    <w:p>
      <w:pPr>
        <w:pStyle w:val="TOC8"/>
        <w:rPr>
          <w:rFonts w:asciiTheme="minorHAnsi" w:eastAsiaTheme="minorEastAsia" w:hAnsiTheme="minorHAnsi" w:cstheme="minorBidi"/>
          <w:szCs w:val="22"/>
        </w:rPr>
      </w:pPr>
      <w:r>
        <w:t>17.</w:t>
      </w:r>
      <w:r>
        <w:tab/>
        <w:t>Discontinuing an appeal</w:t>
      </w:r>
      <w:r>
        <w:tab/>
      </w:r>
      <w:r>
        <w:fldChar w:fldCharType="begin"/>
      </w:r>
      <w:r>
        <w:instrText xml:space="preserve"> PAGEREF _Toc163121446 \h </w:instrText>
      </w:r>
      <w:r>
        <w:fldChar w:fldCharType="separate"/>
      </w:r>
      <w:r>
        <w:t>408</w:t>
      </w:r>
      <w:r>
        <w:fldChar w:fldCharType="end"/>
      </w:r>
    </w:p>
    <w:p>
      <w:pPr>
        <w:pStyle w:val="TOC8"/>
        <w:rPr>
          <w:rFonts w:asciiTheme="minorHAnsi" w:eastAsiaTheme="minorEastAsia" w:hAnsiTheme="minorHAnsi" w:cstheme="minorBidi"/>
          <w:szCs w:val="22"/>
        </w:rPr>
      </w:pPr>
      <w:r>
        <w:t>18.</w:t>
      </w:r>
      <w:r>
        <w:tab/>
        <w:t>Settling an appeal</w:t>
      </w:r>
      <w:r>
        <w:tab/>
      </w:r>
      <w:r>
        <w:fldChar w:fldCharType="begin"/>
      </w:r>
      <w:r>
        <w:instrText xml:space="preserve"> PAGEREF _Toc163121447 \h </w:instrText>
      </w:r>
      <w:r>
        <w:fldChar w:fldCharType="separate"/>
      </w:r>
      <w:r>
        <w:t>409</w:t>
      </w:r>
      <w:r>
        <w:fldChar w:fldCharType="end"/>
      </w:r>
    </w:p>
    <w:p>
      <w:pPr>
        <w:pStyle w:val="TOC8"/>
        <w:rPr>
          <w:rFonts w:asciiTheme="minorHAnsi" w:eastAsiaTheme="minorEastAsia" w:hAnsiTheme="minorHAnsi" w:cstheme="minorBidi"/>
          <w:szCs w:val="22"/>
        </w:rPr>
      </w:pPr>
      <w:r>
        <w:t>19.</w:t>
      </w:r>
      <w:r>
        <w:tab/>
        <w:t>Return of exhibits</w:t>
      </w:r>
      <w:r>
        <w:tab/>
      </w:r>
      <w:r>
        <w:fldChar w:fldCharType="begin"/>
      </w:r>
      <w:r>
        <w:instrText xml:space="preserve"> PAGEREF _Toc163121448 \h </w:instrText>
      </w:r>
      <w:r>
        <w:fldChar w:fldCharType="separate"/>
      </w:r>
      <w:r>
        <w:t>410</w:t>
      </w:r>
      <w:r>
        <w:fldChar w:fldCharType="end"/>
      </w:r>
    </w:p>
    <w:p>
      <w:pPr>
        <w:pStyle w:val="TOC2"/>
        <w:tabs>
          <w:tab w:val="right" w:leader="dot" w:pos="7077"/>
        </w:tabs>
        <w:rPr>
          <w:rFonts w:asciiTheme="minorHAnsi" w:eastAsiaTheme="minorEastAsia" w:hAnsiTheme="minorHAnsi" w:cstheme="minorBidi"/>
          <w:b w:val="0"/>
          <w:sz w:val="22"/>
          <w:szCs w:val="22"/>
        </w:rPr>
      </w:pPr>
      <w:r>
        <w:t>Order 65C — </w:t>
      </w:r>
      <w:r>
        <w:rPr>
          <w:i/>
          <w:iCs/>
        </w:rPr>
        <w:t>Electoral Act 1907</w:t>
      </w:r>
      <w:r>
        <w:t xml:space="preserve"> section 62N rules</w:t>
      </w:r>
    </w:p>
    <w:p>
      <w:pPr>
        <w:pStyle w:val="TOC8"/>
        <w:rPr>
          <w:rFonts w:asciiTheme="minorHAnsi" w:eastAsiaTheme="minorEastAsia" w:hAnsiTheme="minorHAnsi" w:cstheme="minorBidi"/>
          <w:szCs w:val="22"/>
        </w:rPr>
      </w:pPr>
      <w:r>
        <w:t>1.</w:t>
      </w:r>
      <w:r>
        <w:tab/>
        <w:t>Term used: Electoral Commissioner</w:t>
      </w:r>
      <w:r>
        <w:tab/>
      </w:r>
      <w:r>
        <w:fldChar w:fldCharType="begin"/>
      </w:r>
      <w:r>
        <w:instrText xml:space="preserve"> PAGEREF _Toc163121450 \h </w:instrText>
      </w:r>
      <w:r>
        <w:fldChar w:fldCharType="separate"/>
      </w:r>
      <w:r>
        <w:t>412</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_Toc163121451 \h </w:instrText>
      </w:r>
      <w:r>
        <w:fldChar w:fldCharType="separate"/>
      </w:r>
      <w:r>
        <w:t>412</w:t>
      </w:r>
      <w:r>
        <w:fldChar w:fldCharType="end"/>
      </w:r>
    </w:p>
    <w:p>
      <w:pPr>
        <w:pStyle w:val="TOC8"/>
        <w:rPr>
          <w:rFonts w:asciiTheme="minorHAnsi" w:eastAsiaTheme="minorEastAsia" w:hAnsiTheme="minorHAnsi" w:cstheme="minorBidi"/>
          <w:szCs w:val="22"/>
        </w:rPr>
      </w:pPr>
      <w:r>
        <w:t>3.</w:t>
      </w:r>
      <w:r>
        <w:tab/>
        <w:t>Application for review</w:t>
      </w:r>
      <w:r>
        <w:tab/>
      </w:r>
      <w:r>
        <w:fldChar w:fldCharType="begin"/>
      </w:r>
      <w:r>
        <w:instrText xml:space="preserve"> PAGEREF _Toc163121452 \h </w:instrText>
      </w:r>
      <w:r>
        <w:fldChar w:fldCharType="separate"/>
      </w:r>
      <w:r>
        <w:t>412</w:t>
      </w:r>
      <w:r>
        <w:fldChar w:fldCharType="end"/>
      </w:r>
    </w:p>
    <w:p>
      <w:pPr>
        <w:pStyle w:val="TOC8"/>
        <w:rPr>
          <w:rFonts w:asciiTheme="minorHAnsi" w:eastAsiaTheme="minorEastAsia" w:hAnsiTheme="minorHAnsi" w:cstheme="minorBidi"/>
          <w:szCs w:val="22"/>
        </w:rPr>
      </w:pPr>
      <w:r>
        <w:t>4.</w:t>
      </w:r>
      <w:r>
        <w:tab/>
        <w:t>Title of proceedings</w:t>
      </w:r>
      <w:r>
        <w:tab/>
      </w:r>
      <w:r>
        <w:fldChar w:fldCharType="begin"/>
      </w:r>
      <w:r>
        <w:instrText xml:space="preserve"> PAGEREF _Toc163121453 \h </w:instrText>
      </w:r>
      <w:r>
        <w:fldChar w:fldCharType="separate"/>
      </w:r>
      <w:r>
        <w:t>412</w:t>
      </w:r>
      <w:r>
        <w:fldChar w:fldCharType="end"/>
      </w:r>
    </w:p>
    <w:p>
      <w:pPr>
        <w:pStyle w:val="TOC8"/>
        <w:rPr>
          <w:rFonts w:asciiTheme="minorHAnsi" w:eastAsiaTheme="minorEastAsia" w:hAnsiTheme="minorHAnsi" w:cstheme="minorBidi"/>
          <w:szCs w:val="22"/>
        </w:rPr>
      </w:pPr>
      <w:r>
        <w:t>5.</w:t>
      </w:r>
      <w:r>
        <w:tab/>
        <w:t>Hearing the review</w:t>
      </w:r>
      <w:r>
        <w:tab/>
      </w:r>
      <w:r>
        <w:fldChar w:fldCharType="begin"/>
      </w:r>
      <w:r>
        <w:instrText xml:space="preserve"> PAGEREF _Toc163121454 \h </w:instrText>
      </w:r>
      <w:r>
        <w:fldChar w:fldCharType="separate"/>
      </w:r>
      <w:r>
        <w:t>413</w:t>
      </w:r>
      <w:r>
        <w:fldChar w:fldCharType="end"/>
      </w:r>
    </w:p>
    <w:p>
      <w:pPr>
        <w:pStyle w:val="TOC8"/>
        <w:rPr>
          <w:rFonts w:asciiTheme="minorHAnsi" w:eastAsiaTheme="minorEastAsia" w:hAnsiTheme="minorHAnsi" w:cstheme="minorBidi"/>
          <w:szCs w:val="22"/>
        </w:rPr>
      </w:pPr>
      <w:r>
        <w:t>6.</w:t>
      </w:r>
      <w:r>
        <w:tab/>
        <w:t>Date of hearing</w:t>
      </w:r>
      <w:r>
        <w:tab/>
      </w:r>
      <w:r>
        <w:fldChar w:fldCharType="begin"/>
      </w:r>
      <w:r>
        <w:instrText xml:space="preserve"> PAGEREF _Toc163121455 \h </w:instrText>
      </w:r>
      <w:r>
        <w:fldChar w:fldCharType="separate"/>
      </w:r>
      <w:r>
        <w:t>413</w:t>
      </w:r>
      <w:r>
        <w:fldChar w:fldCharType="end"/>
      </w:r>
    </w:p>
    <w:p>
      <w:pPr>
        <w:pStyle w:val="TOC8"/>
        <w:rPr>
          <w:rFonts w:asciiTheme="minorHAnsi" w:eastAsiaTheme="minorEastAsia" w:hAnsiTheme="minorHAnsi" w:cstheme="minorBidi"/>
          <w:szCs w:val="22"/>
        </w:rPr>
      </w:pPr>
      <w:r>
        <w:t>7.</w:t>
      </w:r>
      <w:r>
        <w:tab/>
        <w:t>Review book</w:t>
      </w:r>
      <w:r>
        <w:tab/>
      </w:r>
      <w:r>
        <w:fldChar w:fldCharType="begin"/>
      </w:r>
      <w:r>
        <w:instrText xml:space="preserve"> PAGEREF _Toc163121456 \h </w:instrText>
      </w:r>
      <w:r>
        <w:fldChar w:fldCharType="separate"/>
      </w:r>
      <w:r>
        <w:t>414</w:t>
      </w:r>
      <w:r>
        <w:fldChar w:fldCharType="end"/>
      </w:r>
    </w:p>
    <w:p>
      <w:pPr>
        <w:pStyle w:val="TOC8"/>
        <w:rPr>
          <w:rFonts w:asciiTheme="minorHAnsi" w:eastAsiaTheme="minorEastAsia" w:hAnsiTheme="minorHAnsi" w:cstheme="minorBidi"/>
          <w:szCs w:val="22"/>
        </w:rPr>
      </w:pPr>
      <w:r>
        <w:lastRenderedPageBreak/>
        <w:t>8.</w:t>
      </w:r>
      <w:r>
        <w:tab/>
        <w:t>Applicant limited to grounds in originating motion</w:t>
      </w:r>
      <w:r>
        <w:tab/>
      </w:r>
      <w:r>
        <w:fldChar w:fldCharType="begin"/>
      </w:r>
      <w:r>
        <w:instrText xml:space="preserve"> PAGEREF _Toc163121457 \h </w:instrText>
      </w:r>
      <w:r>
        <w:fldChar w:fldCharType="separate"/>
      </w:r>
      <w:r>
        <w:t>414</w:t>
      </w:r>
      <w:r>
        <w:fldChar w:fldCharType="end"/>
      </w:r>
    </w:p>
    <w:p>
      <w:pPr>
        <w:pStyle w:val="TOC8"/>
        <w:rPr>
          <w:rFonts w:asciiTheme="minorHAnsi" w:eastAsiaTheme="minorEastAsia" w:hAnsiTheme="minorHAnsi" w:cstheme="minorBidi"/>
          <w:szCs w:val="22"/>
        </w:rPr>
      </w:pPr>
      <w:r>
        <w:t>9.</w:t>
      </w:r>
      <w:r>
        <w:tab/>
        <w:t>Right to be heard in opposition</w:t>
      </w:r>
      <w:r>
        <w:tab/>
      </w:r>
      <w:r>
        <w:fldChar w:fldCharType="begin"/>
      </w:r>
      <w:r>
        <w:instrText xml:space="preserve"> PAGEREF _Toc163121458 \h </w:instrText>
      </w:r>
      <w:r>
        <w:fldChar w:fldCharType="separate"/>
      </w:r>
      <w:r>
        <w:t>414</w:t>
      </w:r>
      <w:r>
        <w:fldChar w:fldCharType="end"/>
      </w:r>
    </w:p>
    <w:p>
      <w:pPr>
        <w:pStyle w:val="TOC8"/>
        <w:rPr>
          <w:rFonts w:asciiTheme="minorHAnsi" w:eastAsiaTheme="minorEastAsia" w:hAnsiTheme="minorHAnsi" w:cstheme="minorBidi"/>
          <w:szCs w:val="22"/>
        </w:rPr>
      </w:pPr>
      <w:r>
        <w:t>10.</w:t>
      </w:r>
      <w:r>
        <w:tab/>
        <w:t>Additional affidavits, determination of issue etc.</w:t>
      </w:r>
      <w:r>
        <w:tab/>
      </w:r>
      <w:r>
        <w:fldChar w:fldCharType="begin"/>
      </w:r>
      <w:r>
        <w:instrText xml:space="preserve"> PAGEREF _Toc163121459 \h </w:instrText>
      </w:r>
      <w:r>
        <w:fldChar w:fldCharType="separate"/>
      </w:r>
      <w:r>
        <w:t>415</w:t>
      </w:r>
      <w:r>
        <w:fldChar w:fldCharType="end"/>
      </w:r>
    </w:p>
    <w:p>
      <w:pPr>
        <w:pStyle w:val="TOC8"/>
        <w:rPr>
          <w:rFonts w:asciiTheme="minorHAnsi" w:eastAsiaTheme="minorEastAsia" w:hAnsiTheme="minorHAnsi" w:cstheme="minorBidi"/>
          <w:szCs w:val="22"/>
        </w:rPr>
      </w:pPr>
      <w:r>
        <w:t>11.</w:t>
      </w:r>
      <w:r>
        <w:tab/>
        <w:t>Order as to result of review</w:t>
      </w:r>
      <w:r>
        <w:tab/>
      </w:r>
      <w:r>
        <w:fldChar w:fldCharType="begin"/>
      </w:r>
      <w:r>
        <w:instrText xml:space="preserve"> PAGEREF _Toc163121460 \h </w:instrText>
      </w:r>
      <w:r>
        <w:fldChar w:fldCharType="separate"/>
      </w:r>
      <w:r>
        <w:t>415</w:t>
      </w:r>
      <w:r>
        <w:fldChar w:fldCharType="end"/>
      </w:r>
    </w:p>
    <w:p>
      <w:pPr>
        <w:pStyle w:val="TOC8"/>
        <w:rPr>
          <w:rFonts w:asciiTheme="minorHAnsi" w:eastAsiaTheme="minorEastAsia" w:hAnsiTheme="minorHAnsi" w:cstheme="minorBidi"/>
          <w:szCs w:val="22"/>
        </w:rPr>
      </w:pPr>
      <w:r>
        <w:t>12.</w:t>
      </w:r>
      <w:r>
        <w:tab/>
        <w:t>Application of rules of court</w:t>
      </w:r>
      <w:r>
        <w:tab/>
      </w:r>
      <w:r>
        <w:fldChar w:fldCharType="begin"/>
      </w:r>
      <w:r>
        <w:instrText xml:space="preserve"> PAGEREF _Toc163121461 \h </w:instrText>
      </w:r>
      <w:r>
        <w:fldChar w:fldCharType="separate"/>
      </w:r>
      <w:r>
        <w:t>415</w:t>
      </w:r>
      <w:r>
        <w:fldChar w:fldCharType="end"/>
      </w:r>
    </w:p>
    <w:p>
      <w:pPr>
        <w:pStyle w:val="TOC2"/>
        <w:tabs>
          <w:tab w:val="right" w:leader="dot" w:pos="7077"/>
        </w:tabs>
        <w:rPr>
          <w:rFonts w:asciiTheme="minorHAnsi" w:eastAsiaTheme="minorEastAsia" w:hAnsiTheme="minorHAnsi" w:cstheme="minorBidi"/>
          <w:b w:val="0"/>
          <w:sz w:val="22"/>
          <w:szCs w:val="22"/>
        </w:rPr>
      </w:pPr>
      <w:r>
        <w:t>Order 66 — Costs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rPr>
          <w:snapToGrid w:val="0"/>
        </w:rPr>
        <w:t>.</w:t>
      </w:r>
      <w:r>
        <w:rPr>
          <w:snapToGrid w:val="0"/>
        </w:rPr>
        <w:tab/>
        <w:t>General rules as to costs</w:t>
      </w:r>
      <w:r>
        <w:tab/>
      </w:r>
      <w:r>
        <w:fldChar w:fldCharType="begin"/>
      </w:r>
      <w:r>
        <w:instrText xml:space="preserve"> PAGEREF _Toc163121464 \h </w:instrText>
      </w:r>
      <w:r>
        <w:fldChar w:fldCharType="separate"/>
      </w:r>
      <w:r>
        <w:t>416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Costs where several causes of action, defendants etc.</w:t>
      </w:r>
      <w:r>
        <w:tab/>
      </w:r>
      <w:r>
        <w:fldChar w:fldCharType="begin"/>
      </w:r>
      <w:r>
        <w:instrText xml:space="preserve"> PAGEREF _Toc163121465 \h </w:instrText>
      </w:r>
      <w:r>
        <w:fldChar w:fldCharType="separate"/>
      </w:r>
      <w:r>
        <w:t>417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Costs of amendment without leave or where facts or documents not admitted</w:t>
      </w:r>
      <w:r>
        <w:tab/>
      </w:r>
      <w:r>
        <w:fldChar w:fldCharType="begin"/>
      </w:r>
      <w:r>
        <w:instrText xml:space="preserve"> PAGEREF _Toc163121466 \h </w:instrText>
      </w:r>
      <w:r>
        <w:fldChar w:fldCharType="separate"/>
      </w:r>
      <w:r>
        <w:t>418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Action as to property, ordering costs out of property</w:t>
      </w:r>
      <w:r>
        <w:tab/>
      </w:r>
      <w:r>
        <w:fldChar w:fldCharType="begin"/>
      </w:r>
      <w:r>
        <w:instrText xml:space="preserve"> PAGEREF _Toc163121467 \h </w:instrText>
      </w:r>
      <w:r>
        <w:fldChar w:fldCharType="separate"/>
      </w:r>
      <w:r>
        <w:t>419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Lawyer may be ordered to pay costs etc.</w:t>
      </w:r>
      <w:r>
        <w:tab/>
      </w:r>
      <w:r>
        <w:fldChar w:fldCharType="begin"/>
      </w:r>
      <w:r>
        <w:instrText xml:space="preserve"> PAGEREF _Toc163121468 \h </w:instrText>
      </w:r>
      <w:r>
        <w:fldChar w:fldCharType="separate"/>
      </w:r>
      <w:r>
        <w:t>419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Solicitor guardian </w:t>
      </w:r>
      <w:r>
        <w:rPr>
          <w:i/>
          <w:snapToGrid w:val="0"/>
        </w:rPr>
        <w:t>ad litem</w:t>
      </w:r>
      <w:r>
        <w:rPr>
          <w:snapToGrid w:val="0"/>
        </w:rPr>
        <w:t>, costs of</w:t>
      </w:r>
      <w:r>
        <w:tab/>
      </w:r>
      <w:r>
        <w:fldChar w:fldCharType="begin"/>
      </w:r>
      <w:r>
        <w:instrText xml:space="preserve"> PAGEREF _Toc163121469 \h </w:instrText>
      </w:r>
      <w:r>
        <w:fldChar w:fldCharType="separate"/>
      </w:r>
      <w:r>
        <w:t>420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Set</w:t>
      </w:r>
      <w:r>
        <w:rPr>
          <w:snapToGrid w:val="0"/>
        </w:rPr>
        <w:noBreakHyphen/>
        <w:t>off may be allowed despite solicitor’s lien</w:t>
      </w:r>
      <w:r>
        <w:tab/>
      </w:r>
      <w:r>
        <w:fldChar w:fldCharType="begin"/>
      </w:r>
      <w:r>
        <w:instrText xml:space="preserve"> PAGEREF _Toc163121470 \h </w:instrText>
      </w:r>
      <w:r>
        <w:fldChar w:fldCharType="separate"/>
      </w:r>
      <w:r>
        <w:t>421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State solicitors, costs of</w:t>
      </w:r>
      <w:r>
        <w:tab/>
      </w:r>
      <w:r>
        <w:fldChar w:fldCharType="begin"/>
      </w:r>
      <w:r>
        <w:instrText xml:space="preserve"> PAGEREF _Toc163121471 \h </w:instrText>
      </w:r>
      <w:r>
        <w:fldChar w:fldCharType="separate"/>
      </w:r>
      <w:r>
        <w:t>421</w:t>
      </w:r>
      <w:r>
        <w:fldChar w:fldCharType="end"/>
      </w:r>
    </w:p>
    <w:p>
      <w:pPr>
        <w:pStyle w:val="TOC8"/>
        <w:rPr>
          <w:rFonts w:asciiTheme="minorHAnsi" w:eastAsiaTheme="minorEastAsia" w:hAnsiTheme="minorHAnsi" w:cstheme="minorBidi"/>
          <w:szCs w:val="22"/>
        </w:rPr>
      </w:pPr>
      <w:r>
        <w:t>8A.</w:t>
      </w:r>
      <w:r>
        <w:tab/>
        <w:t>Costs in case of legal practitioner acting pro bono</w:t>
      </w:r>
      <w:r>
        <w:tab/>
      </w:r>
      <w:r>
        <w:fldChar w:fldCharType="begin"/>
      </w:r>
      <w:r>
        <w:instrText xml:space="preserve"> PAGEREF _Toc163121472 \h </w:instrText>
      </w:r>
      <w:r>
        <w:fldChar w:fldCharType="separate"/>
      </w:r>
      <w:r>
        <w:t>421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Restriction of discretion to order costs in some cases</w:t>
      </w:r>
      <w:r>
        <w:tab/>
      </w:r>
      <w:r>
        <w:fldChar w:fldCharType="begin"/>
      </w:r>
      <w:r>
        <w:instrText xml:space="preserve"> PAGEREF _Toc163121473 \h </w:instrText>
      </w:r>
      <w:r>
        <w:fldChar w:fldCharType="separate"/>
      </w:r>
      <w:r>
        <w:t>421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Stage at which costs may be dealt with</w:t>
      </w:r>
      <w:r>
        <w:tab/>
      </w:r>
      <w:r>
        <w:fldChar w:fldCharType="begin"/>
      </w:r>
      <w:r>
        <w:instrText xml:space="preserve"> PAGEREF _Toc163121474 \h </w:instrText>
      </w:r>
      <w:r>
        <w:fldChar w:fldCharType="separate"/>
      </w:r>
      <w:r>
        <w:t>422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Scale of costs</w:t>
      </w:r>
      <w:r>
        <w:tab/>
      </w:r>
      <w:r>
        <w:fldChar w:fldCharType="begin"/>
      </w:r>
      <w:r>
        <w:instrText xml:space="preserve"> PAGEREF _Toc163121475 \h </w:instrText>
      </w:r>
      <w:r>
        <w:fldChar w:fldCharType="separate"/>
      </w:r>
      <w:r>
        <w:t>423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Costs where scale does not apply</w:t>
      </w:r>
      <w:r>
        <w:tab/>
      </w:r>
      <w:r>
        <w:fldChar w:fldCharType="begin"/>
      </w:r>
      <w:r>
        <w:instrText xml:space="preserve"> PAGEREF _Toc163121476 \h </w:instrText>
      </w:r>
      <w:r>
        <w:fldChar w:fldCharType="separate"/>
      </w:r>
      <w:r>
        <w:t>424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Lump sum award for costs, interim award as to</w:t>
      </w:r>
      <w:r>
        <w:tab/>
      </w:r>
      <w:r>
        <w:fldChar w:fldCharType="begin"/>
      </w:r>
      <w:r>
        <w:instrText xml:space="preserve"> PAGEREF _Toc163121477 \h </w:instrText>
      </w:r>
      <w:r>
        <w:fldChar w:fldCharType="separate"/>
      </w:r>
      <w:r>
        <w:t>424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Cases that Magistrates Court could have decided, costs in</w:t>
      </w:r>
      <w:r>
        <w:tab/>
      </w:r>
      <w:r>
        <w:fldChar w:fldCharType="begin"/>
      </w:r>
      <w:r>
        <w:instrText xml:space="preserve"> PAGEREF _Toc163121478 \h </w:instrText>
      </w:r>
      <w:r>
        <w:fldChar w:fldCharType="separate"/>
      </w:r>
      <w:r>
        <w:t>425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Matters not provided for in scale</w:t>
      </w:r>
      <w:r>
        <w:tab/>
      </w:r>
      <w:r>
        <w:fldChar w:fldCharType="begin"/>
      </w:r>
      <w:r>
        <w:instrText xml:space="preserve"> PAGEREF _Toc163121479 \h </w:instrText>
      </w:r>
      <w:r>
        <w:fldChar w:fldCharType="separate"/>
      </w:r>
      <w:r>
        <w:t>425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Disbursements etc. allowable on taxation</w:t>
      </w:r>
      <w:r>
        <w:tab/>
      </w:r>
      <w:r>
        <w:fldChar w:fldCharType="begin"/>
      </w:r>
      <w:r>
        <w:instrText xml:space="preserve"> PAGEREF _Toc163121480 \h </w:instrText>
      </w:r>
      <w:r>
        <w:fldChar w:fldCharType="separate"/>
      </w:r>
      <w:r>
        <w:t>426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Basis for calculating costs</w:t>
      </w:r>
      <w:r>
        <w:tab/>
      </w:r>
      <w:r>
        <w:fldChar w:fldCharType="begin"/>
      </w:r>
      <w:r>
        <w:instrText xml:space="preserve"> PAGEREF _Toc163121481 \h </w:instrText>
      </w:r>
      <w:r>
        <w:fldChar w:fldCharType="separate"/>
      </w:r>
      <w:r>
        <w:t>426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No substantial trial, costs in case of</w:t>
      </w:r>
      <w:r>
        <w:tab/>
      </w:r>
      <w:r>
        <w:fldChar w:fldCharType="begin"/>
      </w:r>
      <w:r>
        <w:instrText xml:space="preserve"> PAGEREF _Toc163121482 \h </w:instrText>
      </w:r>
      <w:r>
        <w:fldChar w:fldCharType="separate"/>
      </w:r>
      <w:r>
        <w:t>427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Certain fees in scales may be increased if inadequate</w:t>
      </w:r>
      <w:r>
        <w:tab/>
      </w:r>
      <w:r>
        <w:fldChar w:fldCharType="begin"/>
      </w:r>
      <w:r>
        <w:instrText xml:space="preserve"> PAGEREF _Toc163121483 \h </w:instrText>
      </w:r>
      <w:r>
        <w:fldChar w:fldCharType="separate"/>
      </w:r>
      <w:r>
        <w:t>427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Judgment for person under disability, solicitor’s costs in case of</w:t>
      </w:r>
      <w:r>
        <w:tab/>
      </w:r>
      <w:r>
        <w:fldChar w:fldCharType="begin"/>
      </w:r>
      <w:r>
        <w:instrText xml:space="preserve"> PAGEREF _Toc163121484 \h </w:instrText>
      </w:r>
      <w:r>
        <w:fldChar w:fldCharType="separate"/>
      </w:r>
      <w:r>
        <w:t>428</w:t>
      </w:r>
      <w:r>
        <w:fldChar w:fldCharType="end"/>
      </w:r>
    </w:p>
    <w:p>
      <w:pPr>
        <w:pStyle w:val="TOC8"/>
        <w:rPr>
          <w:rFonts w:asciiTheme="minorHAnsi" w:eastAsiaTheme="minorEastAsia" w:hAnsiTheme="minorHAnsi" w:cstheme="minorBidi"/>
          <w:szCs w:val="22"/>
        </w:rPr>
      </w:pPr>
      <w:r>
        <w:t>25.</w:t>
      </w:r>
      <w:r>
        <w:tab/>
        <w:t>Own costs orders</w:t>
      </w:r>
      <w:r>
        <w:tab/>
      </w:r>
      <w:r>
        <w:fldChar w:fldCharType="begin"/>
      </w:r>
      <w:r>
        <w:instrText xml:space="preserve"> PAGEREF _Toc163121485 \h </w:instrText>
      </w:r>
      <w:r>
        <w:fldChar w:fldCharType="separate"/>
      </w:r>
      <w:r>
        <w:t>429</w:t>
      </w:r>
      <w:r>
        <w:fldChar w:fldCharType="end"/>
      </w:r>
    </w:p>
    <w:p>
      <w:pPr>
        <w:pStyle w:val="TOC4"/>
        <w:tabs>
          <w:tab w:val="right" w:leader="dot" w:pos="7077"/>
        </w:tabs>
        <w:rPr>
          <w:rFonts w:asciiTheme="minorHAnsi" w:eastAsiaTheme="minorEastAsia" w:hAnsiTheme="minorHAnsi" w:cstheme="minorBidi"/>
          <w:b w:val="0"/>
          <w:szCs w:val="22"/>
        </w:rPr>
      </w:pPr>
      <w:r>
        <w:t>Division 2 — Taxation of costs</w:t>
      </w:r>
    </w:p>
    <w:p>
      <w:pPr>
        <w:pStyle w:val="TOC8"/>
        <w:rPr>
          <w:rFonts w:asciiTheme="minorHAnsi" w:eastAsiaTheme="minorEastAsia" w:hAnsiTheme="minorHAnsi" w:cstheme="minorBidi"/>
          <w:szCs w:val="22"/>
        </w:rPr>
      </w:pPr>
      <w:r>
        <w:t>32</w:t>
      </w:r>
      <w:r>
        <w:rPr>
          <w:snapToGrid w:val="0"/>
        </w:rPr>
        <w:t>.</w:t>
      </w:r>
      <w:r>
        <w:rPr>
          <w:snapToGrid w:val="0"/>
        </w:rPr>
        <w:tab/>
        <w:t>Bills of costs to be taxed</w:t>
      </w:r>
      <w:r>
        <w:tab/>
      </w:r>
      <w:r>
        <w:fldChar w:fldCharType="begin"/>
      </w:r>
      <w:r>
        <w:instrText xml:space="preserve"> PAGEREF _Toc163121487 \h </w:instrText>
      </w:r>
      <w:r>
        <w:fldChar w:fldCharType="separate"/>
      </w:r>
      <w:r>
        <w:t>431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Indorsements on bill of costs</w:t>
      </w:r>
      <w:r>
        <w:tab/>
      </w:r>
      <w:r>
        <w:fldChar w:fldCharType="begin"/>
      </w:r>
      <w:r>
        <w:instrText xml:space="preserve"> PAGEREF _Toc163121488 \h </w:instrText>
      </w:r>
      <w:r>
        <w:fldChar w:fldCharType="separate"/>
      </w:r>
      <w:r>
        <w:t>432</w:t>
      </w:r>
      <w:r>
        <w:fldChar w:fldCharType="end"/>
      </w:r>
    </w:p>
    <w:p>
      <w:pPr>
        <w:pStyle w:val="TOC8"/>
        <w:rPr>
          <w:rFonts w:asciiTheme="minorHAnsi" w:eastAsiaTheme="minorEastAsia" w:hAnsiTheme="minorHAnsi" w:cstheme="minorBidi"/>
          <w:szCs w:val="22"/>
        </w:rPr>
      </w:pPr>
      <w:r>
        <w:lastRenderedPageBreak/>
        <w:t>34</w:t>
      </w:r>
      <w:r>
        <w:rPr>
          <w:snapToGrid w:val="0"/>
        </w:rPr>
        <w:t>.</w:t>
      </w:r>
      <w:r>
        <w:rPr>
          <w:snapToGrid w:val="0"/>
        </w:rPr>
        <w:tab/>
        <w:t>When notice of taxation need not be given</w:t>
      </w:r>
      <w:r>
        <w:tab/>
      </w:r>
      <w:r>
        <w:fldChar w:fldCharType="begin"/>
      </w:r>
      <w:r>
        <w:instrText xml:space="preserve"> PAGEREF _Toc163121489 \h </w:instrText>
      </w:r>
      <w:r>
        <w:fldChar w:fldCharType="separate"/>
      </w:r>
      <w:r>
        <w:t>432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Notice of taxation</w:t>
      </w:r>
      <w:r>
        <w:tab/>
      </w:r>
      <w:r>
        <w:fldChar w:fldCharType="begin"/>
      </w:r>
      <w:r>
        <w:instrText xml:space="preserve"> PAGEREF _Toc163121490 \h </w:instrText>
      </w:r>
      <w:r>
        <w:fldChar w:fldCharType="separate"/>
      </w:r>
      <w:r>
        <w:t>432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Vouchers as to disbursements to be filed</w:t>
      </w:r>
      <w:r>
        <w:tab/>
      </w:r>
      <w:r>
        <w:fldChar w:fldCharType="begin"/>
      </w:r>
      <w:r>
        <w:instrText xml:space="preserve"> PAGEREF _Toc163121491 \h </w:instrText>
      </w:r>
      <w:r>
        <w:fldChar w:fldCharType="separate"/>
      </w:r>
      <w:r>
        <w:t>432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Solicitor delaying taxation</w:t>
      </w:r>
      <w:r>
        <w:tab/>
      </w:r>
      <w:r>
        <w:fldChar w:fldCharType="begin"/>
      </w:r>
      <w:r>
        <w:instrText xml:space="preserve"> PAGEREF _Toc163121492 \h </w:instrText>
      </w:r>
      <w:r>
        <w:fldChar w:fldCharType="separate"/>
      </w:r>
      <w:r>
        <w:t>432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Appointment to tax costs to be peremptory</w:t>
      </w:r>
      <w:r>
        <w:tab/>
      </w:r>
      <w:r>
        <w:fldChar w:fldCharType="begin"/>
      </w:r>
      <w:r>
        <w:instrText xml:space="preserve"> PAGEREF _Toc163121493 \h </w:instrText>
      </w:r>
      <w:r>
        <w:fldChar w:fldCharType="separate"/>
      </w:r>
      <w:r>
        <w:t>433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Taxing officer may direct bills of costs to be brought in</w:t>
      </w:r>
      <w:r>
        <w:tab/>
      </w:r>
      <w:r>
        <w:fldChar w:fldCharType="begin"/>
      </w:r>
      <w:r>
        <w:instrText xml:space="preserve"> PAGEREF _Toc163121494 \h </w:instrText>
      </w:r>
      <w:r>
        <w:fldChar w:fldCharType="separate"/>
      </w:r>
      <w:r>
        <w:t>433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Default by party in taxing costs</w:t>
      </w:r>
      <w:r>
        <w:tab/>
      </w:r>
      <w:r>
        <w:fldChar w:fldCharType="begin"/>
      </w:r>
      <w:r>
        <w:instrText xml:space="preserve"> PAGEREF _Toc163121495 \h </w:instrText>
      </w:r>
      <w:r>
        <w:fldChar w:fldCharType="separate"/>
      </w:r>
      <w:r>
        <w:t>433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If costs payable out of property, notice to clients may be directed</w:t>
      </w:r>
      <w:r>
        <w:tab/>
      </w:r>
      <w:r>
        <w:fldChar w:fldCharType="begin"/>
      </w:r>
      <w:r>
        <w:instrText xml:space="preserve"> PAGEREF _Toc163121496 \h </w:instrText>
      </w:r>
      <w:r>
        <w:fldChar w:fldCharType="separate"/>
      </w:r>
      <w:r>
        <w:t>433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Bills of costs, content of</w:t>
      </w:r>
      <w:r>
        <w:tab/>
      </w:r>
      <w:r>
        <w:fldChar w:fldCharType="begin"/>
      </w:r>
      <w:r>
        <w:instrText xml:space="preserve"> PAGEREF _Toc163121497 \h </w:instrText>
      </w:r>
      <w:r>
        <w:fldChar w:fldCharType="separate"/>
      </w:r>
      <w:r>
        <w:t>434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Taxing officer’s decisions on fact are final</w:t>
      </w:r>
      <w:r>
        <w:tab/>
      </w:r>
      <w:r>
        <w:fldChar w:fldCharType="begin"/>
      </w:r>
      <w:r>
        <w:instrText xml:space="preserve"> PAGEREF _Toc163121498 \h </w:instrText>
      </w:r>
      <w:r>
        <w:fldChar w:fldCharType="separate"/>
      </w:r>
      <w:r>
        <w:t>434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Taxing officer’s powers</w:t>
      </w:r>
      <w:r>
        <w:tab/>
      </w:r>
      <w:r>
        <w:fldChar w:fldCharType="begin"/>
      </w:r>
      <w:r>
        <w:instrText xml:space="preserve"> PAGEREF _Toc163121499 \h </w:instrText>
      </w:r>
      <w:r>
        <w:fldChar w:fldCharType="separate"/>
      </w:r>
      <w:r>
        <w:t>434</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Taxing officer may refer taxation question to Court</w:t>
      </w:r>
      <w:r>
        <w:tab/>
      </w:r>
      <w:r>
        <w:fldChar w:fldCharType="begin"/>
      </w:r>
      <w:r>
        <w:instrText xml:space="preserve"> PAGEREF _Toc163121500 \h </w:instrText>
      </w:r>
      <w:r>
        <w:fldChar w:fldCharType="separate"/>
      </w:r>
      <w:r>
        <w:t>435</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Where proceedings adjourned into court</w:t>
      </w:r>
      <w:r>
        <w:tab/>
      </w:r>
      <w:r>
        <w:fldChar w:fldCharType="begin"/>
      </w:r>
      <w:r>
        <w:instrText xml:space="preserve"> PAGEREF _Toc163121501 \h </w:instrText>
      </w:r>
      <w:r>
        <w:fldChar w:fldCharType="separate"/>
      </w:r>
      <w:r>
        <w:t>435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Interrogatories and discovery, costs of</w:t>
      </w:r>
      <w:r>
        <w:tab/>
      </w:r>
      <w:r>
        <w:fldChar w:fldCharType="begin"/>
      </w:r>
      <w:r>
        <w:instrText xml:space="preserve"> PAGEREF _Toc163121502 \h </w:instrText>
      </w:r>
      <w:r>
        <w:fldChar w:fldCharType="separate"/>
      </w:r>
      <w:r>
        <w:t>435</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Costs of motion etc. follow event</w:t>
      </w:r>
      <w:r>
        <w:tab/>
      </w:r>
      <w:r>
        <w:fldChar w:fldCharType="begin"/>
      </w:r>
      <w:r>
        <w:instrText xml:space="preserve"> PAGEREF _Toc163121503 \h </w:instrText>
      </w:r>
      <w:r>
        <w:fldChar w:fldCharType="separate"/>
      </w:r>
      <w:r>
        <w:t>436</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Motion etc. stood over to trial and no order made as to costs, costs in case of</w:t>
      </w:r>
      <w:r>
        <w:tab/>
      </w:r>
      <w:r>
        <w:fldChar w:fldCharType="begin"/>
      </w:r>
      <w:r>
        <w:instrText xml:space="preserve"> PAGEREF _Toc163121504 \h </w:instrText>
      </w:r>
      <w:r>
        <w:fldChar w:fldCharType="separate"/>
      </w:r>
      <w:r>
        <w:t>436</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Costs reserved</w:t>
      </w:r>
      <w:r>
        <w:tab/>
      </w:r>
      <w:r>
        <w:fldChar w:fldCharType="begin"/>
      </w:r>
      <w:r>
        <w:instrText xml:space="preserve"> PAGEREF _Toc163121505 \h </w:instrText>
      </w:r>
      <w:r>
        <w:fldChar w:fldCharType="separate"/>
      </w:r>
      <w:r>
        <w:t>437</w:t>
      </w:r>
      <w:r>
        <w:fldChar w:fldCharType="end"/>
      </w:r>
    </w:p>
    <w:p>
      <w:pPr>
        <w:pStyle w:val="TOC8"/>
        <w:rPr>
          <w:rFonts w:asciiTheme="minorHAnsi" w:eastAsiaTheme="minorEastAsia" w:hAnsiTheme="minorHAnsi" w:cstheme="minorBidi"/>
          <w:szCs w:val="22"/>
        </w:rPr>
      </w:pPr>
      <w:r>
        <w:t>51.</w:t>
      </w:r>
      <w:r>
        <w:tab/>
        <w:t>When Court may fix costs</w:t>
      </w:r>
      <w:r>
        <w:tab/>
      </w:r>
      <w:r>
        <w:fldChar w:fldCharType="begin"/>
      </w:r>
      <w:r>
        <w:instrText xml:space="preserve"> PAGEREF _Toc163121506 \h </w:instrText>
      </w:r>
      <w:r>
        <w:fldChar w:fldCharType="separate"/>
      </w:r>
      <w:r>
        <w:t>437</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Taxing officer may refer question to judge if costs to be apportioned etc.</w:t>
      </w:r>
      <w:r>
        <w:tab/>
      </w:r>
      <w:r>
        <w:fldChar w:fldCharType="begin"/>
      </w:r>
      <w:r>
        <w:instrText xml:space="preserve"> PAGEREF _Toc163121507 \h </w:instrText>
      </w:r>
      <w:r>
        <w:fldChar w:fldCharType="separate"/>
      </w:r>
      <w:r>
        <w:t>437</w:t>
      </w:r>
      <w:r>
        <w:fldChar w:fldCharType="end"/>
      </w:r>
    </w:p>
    <w:p>
      <w:pPr>
        <w:pStyle w:val="TOC4"/>
        <w:tabs>
          <w:tab w:val="right" w:leader="dot" w:pos="7077"/>
        </w:tabs>
        <w:rPr>
          <w:rFonts w:asciiTheme="minorHAnsi" w:eastAsiaTheme="minorEastAsia" w:hAnsiTheme="minorHAnsi" w:cstheme="minorBidi"/>
          <w:b w:val="0"/>
          <w:szCs w:val="22"/>
        </w:rPr>
      </w:pPr>
      <w:r>
        <w:t>Division 3 — Review of taxation</w:t>
      </w:r>
    </w:p>
    <w:p>
      <w:pPr>
        <w:pStyle w:val="TOC8"/>
        <w:rPr>
          <w:rFonts w:asciiTheme="minorHAnsi" w:eastAsiaTheme="minorEastAsia" w:hAnsiTheme="minorHAnsi" w:cstheme="minorBidi"/>
          <w:szCs w:val="22"/>
        </w:rPr>
      </w:pPr>
      <w:r>
        <w:t>53</w:t>
      </w:r>
      <w:r>
        <w:rPr>
          <w:snapToGrid w:val="0"/>
        </w:rPr>
        <w:t>.</w:t>
      </w:r>
      <w:r>
        <w:rPr>
          <w:snapToGrid w:val="0"/>
        </w:rPr>
        <w:tab/>
        <w:t>Party dissatisfied with taxation may object and apply for review</w:t>
      </w:r>
      <w:r>
        <w:tab/>
      </w:r>
      <w:r>
        <w:fldChar w:fldCharType="begin"/>
      </w:r>
      <w:r>
        <w:instrText xml:space="preserve"> PAGEREF _Toc163121509 \h </w:instrText>
      </w:r>
      <w:r>
        <w:fldChar w:fldCharType="separate"/>
      </w:r>
      <w:r>
        <w:t>438</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Review of taxation by taxing officer</w:t>
      </w:r>
      <w:r>
        <w:tab/>
      </w:r>
      <w:r>
        <w:fldChar w:fldCharType="begin"/>
      </w:r>
      <w:r>
        <w:instrText xml:space="preserve"> PAGEREF _Toc163121510 \h </w:instrText>
      </w:r>
      <w:r>
        <w:fldChar w:fldCharType="separate"/>
      </w:r>
      <w:r>
        <w:t>438</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Review of taxation by judge</w:t>
      </w:r>
      <w:r>
        <w:tab/>
      </w:r>
      <w:r>
        <w:fldChar w:fldCharType="begin"/>
      </w:r>
      <w:r>
        <w:instrText xml:space="preserve"> PAGEREF _Toc163121511 \h </w:instrText>
      </w:r>
      <w:r>
        <w:fldChar w:fldCharType="separate"/>
      </w:r>
      <w:r>
        <w:t>439</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No further evidence on review except with leave</w:t>
      </w:r>
      <w:r>
        <w:tab/>
      </w:r>
      <w:r>
        <w:fldChar w:fldCharType="begin"/>
      </w:r>
      <w:r>
        <w:instrText xml:space="preserve"> PAGEREF _Toc163121512 \h </w:instrText>
      </w:r>
      <w:r>
        <w:fldChar w:fldCharType="separate"/>
      </w:r>
      <w:r>
        <w:t>439</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57</w:t>
      </w:r>
      <w:r>
        <w:rPr>
          <w:snapToGrid w:val="0"/>
        </w:rPr>
        <w:t>.</w:t>
      </w:r>
      <w:r>
        <w:rPr>
          <w:snapToGrid w:val="0"/>
        </w:rPr>
        <w:tab/>
        <w:t>Taxing officer’s certificate enforceable as judgment</w:t>
      </w:r>
      <w:r>
        <w:tab/>
      </w:r>
      <w:r>
        <w:fldChar w:fldCharType="begin"/>
      </w:r>
      <w:r>
        <w:instrText xml:space="preserve"> PAGEREF _Toc163121514 \h </w:instrText>
      </w:r>
      <w:r>
        <w:fldChar w:fldCharType="separate"/>
      </w:r>
      <w:r>
        <w:t>440</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Stay on review</w:t>
      </w:r>
      <w:r>
        <w:tab/>
      </w:r>
      <w:r>
        <w:fldChar w:fldCharType="begin"/>
      </w:r>
      <w:r>
        <w:instrText xml:space="preserve"> PAGEREF _Toc163121515 \h </w:instrText>
      </w:r>
      <w:r>
        <w:fldChar w:fldCharType="separate"/>
      </w:r>
      <w:r>
        <w:t>440</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Party liable to be paid and to pay costs, taxing officer’s powers in case of</w:t>
      </w:r>
      <w:r>
        <w:tab/>
      </w:r>
      <w:r>
        <w:fldChar w:fldCharType="begin"/>
      </w:r>
      <w:r>
        <w:instrText xml:space="preserve"> PAGEREF _Toc163121516 \h </w:instrText>
      </w:r>
      <w:r>
        <w:fldChar w:fldCharType="separate"/>
      </w:r>
      <w:r>
        <w:t>440</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Taking of accounts, taxing officer’s duties and powers on</w:t>
      </w:r>
      <w:r>
        <w:tab/>
      </w:r>
      <w:r>
        <w:fldChar w:fldCharType="begin"/>
      </w:r>
      <w:r>
        <w:instrText xml:space="preserve"> PAGEREF _Toc163121517 \h </w:instrText>
      </w:r>
      <w:r>
        <w:fldChar w:fldCharType="separate"/>
      </w:r>
      <w:r>
        <w:t>441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Interim certificate in matters of account</w:t>
      </w:r>
      <w:r>
        <w:tab/>
      </w:r>
      <w:r>
        <w:fldChar w:fldCharType="begin"/>
      </w:r>
      <w:r>
        <w:instrText xml:space="preserve"> PAGEREF _Toc163121518 \h </w:instrText>
      </w:r>
      <w:r>
        <w:fldChar w:fldCharType="separate"/>
      </w:r>
      <w:r>
        <w:t>441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Order 67 — Central Office, officers</w:t>
      </w:r>
    </w:p>
    <w:p>
      <w:pPr>
        <w:pStyle w:val="TOC8"/>
        <w:rPr>
          <w:rFonts w:asciiTheme="minorHAnsi" w:eastAsiaTheme="minorEastAsia" w:hAnsiTheme="minorHAnsi" w:cstheme="minorBidi"/>
          <w:szCs w:val="22"/>
        </w:rPr>
      </w:pPr>
      <w:r>
        <w:t>1</w:t>
      </w:r>
      <w:r>
        <w:rPr>
          <w:snapToGrid w:val="0"/>
        </w:rPr>
        <w:t>.</w:t>
      </w:r>
      <w:r>
        <w:rPr>
          <w:snapToGrid w:val="0"/>
        </w:rPr>
        <w:tab/>
        <w:t>Superintendence of Central Office</w:t>
      </w:r>
      <w:r>
        <w:tab/>
      </w:r>
      <w:r>
        <w:fldChar w:fldCharType="begin"/>
      </w:r>
      <w:r>
        <w:instrText xml:space="preserve"> PAGEREF _Toc163121520 \h </w:instrText>
      </w:r>
      <w:r>
        <w:fldChar w:fldCharType="separate"/>
      </w:r>
      <w:r>
        <w:t>442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Ministerial acts of registrar</w:t>
      </w:r>
      <w:r>
        <w:tab/>
      </w:r>
      <w:r>
        <w:fldChar w:fldCharType="begin"/>
      </w:r>
      <w:r>
        <w:instrText xml:space="preserve"> PAGEREF _Toc163121521 \h </w:instrText>
      </w:r>
      <w:r>
        <w:fldChar w:fldCharType="separate"/>
      </w:r>
      <w:r>
        <w:t>442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Taking of oaths and affidavits</w:t>
      </w:r>
      <w:r>
        <w:tab/>
      </w:r>
      <w:r>
        <w:fldChar w:fldCharType="begin"/>
      </w:r>
      <w:r>
        <w:instrText xml:space="preserve"> PAGEREF _Toc163121522 \h </w:instrText>
      </w:r>
      <w:r>
        <w:fldChar w:fldCharType="separate"/>
      </w:r>
      <w:r>
        <w:t>442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Seals</w:t>
      </w:r>
      <w:r>
        <w:tab/>
      </w:r>
      <w:r>
        <w:fldChar w:fldCharType="begin"/>
      </w:r>
      <w:r>
        <w:instrText xml:space="preserve"> PAGEREF _Toc163121523 \h </w:instrText>
      </w:r>
      <w:r>
        <w:fldChar w:fldCharType="separate"/>
      </w:r>
      <w:r>
        <w:t>442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Abuse of process etc., procedure in case of</w:t>
      </w:r>
      <w:r>
        <w:tab/>
      </w:r>
      <w:r>
        <w:fldChar w:fldCharType="begin"/>
      </w:r>
      <w:r>
        <w:instrText xml:space="preserve"> PAGEREF _Toc163121524 \h </w:instrText>
      </w:r>
      <w:r>
        <w:fldChar w:fldCharType="separate"/>
      </w:r>
      <w:r>
        <w:t>442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Sealed documents, evidentiary status of</w:t>
      </w:r>
      <w:r>
        <w:tab/>
      </w:r>
      <w:r>
        <w:fldChar w:fldCharType="begin"/>
      </w:r>
      <w:r>
        <w:instrText xml:space="preserve"> PAGEREF _Toc163121525 \h </w:instrText>
      </w:r>
      <w:r>
        <w:fldChar w:fldCharType="separate"/>
      </w:r>
      <w:r>
        <w:t>443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Petition, award etc. to be filed before judgment etc. passed</w:t>
      </w:r>
      <w:r>
        <w:tab/>
      </w:r>
      <w:r>
        <w:fldChar w:fldCharType="begin"/>
      </w:r>
      <w:r>
        <w:instrText xml:space="preserve"> PAGEREF _Toc163121526 \h </w:instrText>
      </w:r>
      <w:r>
        <w:fldChar w:fldCharType="separate"/>
      </w:r>
      <w:r>
        <w:t>443</w:t>
      </w:r>
      <w:r>
        <w:fldChar w:fldCharType="end"/>
      </w:r>
    </w:p>
    <w:p>
      <w:pPr>
        <w:pStyle w:val="TOC8"/>
        <w:rPr>
          <w:rFonts w:asciiTheme="minorHAnsi" w:eastAsiaTheme="minorEastAsia" w:hAnsiTheme="minorHAnsi" w:cstheme="minorBidi"/>
          <w:szCs w:val="22"/>
        </w:rPr>
      </w:pPr>
      <w:r>
        <w:t>8.</w:t>
      </w:r>
      <w:r>
        <w:tab/>
        <w:t>Indexes to filed documents</w:t>
      </w:r>
      <w:r>
        <w:tab/>
      </w:r>
      <w:r>
        <w:fldChar w:fldCharType="begin"/>
      </w:r>
      <w:r>
        <w:instrText xml:space="preserve"> PAGEREF _Toc163121527 \h </w:instrText>
      </w:r>
      <w:r>
        <w:fldChar w:fldCharType="separate"/>
      </w:r>
      <w:r>
        <w:t>444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Date of filing to be marked etc.</w:t>
      </w:r>
      <w:r>
        <w:tab/>
      </w:r>
      <w:r>
        <w:fldChar w:fldCharType="begin"/>
      </w:r>
      <w:r>
        <w:instrText xml:space="preserve"> PAGEREF _Toc163121528 \h </w:instrText>
      </w:r>
      <w:r>
        <w:fldChar w:fldCharType="separate"/>
      </w:r>
      <w:r>
        <w:t>444</w:t>
      </w:r>
      <w:r>
        <w:fldChar w:fldCharType="end"/>
      </w:r>
    </w:p>
    <w:p>
      <w:pPr>
        <w:pStyle w:val="TOC8"/>
        <w:rPr>
          <w:rFonts w:asciiTheme="minorHAnsi" w:eastAsiaTheme="minorEastAsia" w:hAnsiTheme="minorHAnsi" w:cstheme="minorBidi"/>
          <w:szCs w:val="22"/>
        </w:rPr>
      </w:pPr>
      <w:r>
        <w:t>10.</w:t>
      </w:r>
      <w:r>
        <w:tab/>
        <w:t>Custody of documents and things</w:t>
      </w:r>
      <w:r>
        <w:tab/>
      </w:r>
      <w:r>
        <w:fldChar w:fldCharType="begin"/>
      </w:r>
      <w:r>
        <w:instrText xml:space="preserve"> PAGEREF _Toc163121529 \h </w:instrText>
      </w:r>
      <w:r>
        <w:fldChar w:fldCharType="separate"/>
      </w:r>
      <w:r>
        <w:t>444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Deposit of documents</w:t>
      </w:r>
      <w:r>
        <w:tab/>
      </w:r>
      <w:r>
        <w:fldChar w:fldCharType="begin"/>
      </w:r>
      <w:r>
        <w:instrText xml:space="preserve"> PAGEREF _Toc163121530 \h </w:instrText>
      </w:r>
      <w:r>
        <w:fldChar w:fldCharType="separate"/>
      </w:r>
      <w:r>
        <w:t>445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Restriction on removal of documents</w:t>
      </w:r>
      <w:r>
        <w:tab/>
      </w:r>
      <w:r>
        <w:fldChar w:fldCharType="begin"/>
      </w:r>
      <w:r>
        <w:instrText xml:space="preserve"> PAGEREF _Toc163121531 \h </w:instrText>
      </w:r>
      <w:r>
        <w:fldChar w:fldCharType="separate"/>
      </w:r>
      <w:r>
        <w:t>445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Deposit for officer’s expenses</w:t>
      </w:r>
      <w:r>
        <w:tab/>
      </w:r>
      <w:r>
        <w:fldChar w:fldCharType="begin"/>
      </w:r>
      <w:r>
        <w:instrText xml:space="preserve"> PAGEREF _Toc163121532 \h </w:instrText>
      </w:r>
      <w:r>
        <w:fldChar w:fldCharType="separate"/>
      </w:r>
      <w:r>
        <w:t>445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Admissions, awards etc. to be filed</w:t>
      </w:r>
      <w:r>
        <w:tab/>
      </w:r>
      <w:r>
        <w:fldChar w:fldCharType="begin"/>
      </w:r>
      <w:r>
        <w:instrText xml:space="preserve"> PAGEREF _Toc163121533 \h </w:instrText>
      </w:r>
      <w:r>
        <w:fldChar w:fldCharType="separate"/>
      </w:r>
      <w:r>
        <w:t>445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New forms</w:t>
      </w:r>
      <w:r>
        <w:tab/>
      </w:r>
      <w:r>
        <w:fldChar w:fldCharType="begin"/>
      </w:r>
      <w:r>
        <w:instrText xml:space="preserve"> PAGEREF _Toc163121534 \h </w:instrText>
      </w:r>
      <w:r>
        <w:fldChar w:fldCharType="separate"/>
      </w:r>
      <w:r>
        <w:t>446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Accounts etc. to be taken by registrar, rules applying to</w:t>
      </w:r>
      <w:r>
        <w:tab/>
      </w:r>
      <w:r>
        <w:fldChar w:fldCharType="begin"/>
      </w:r>
      <w:r>
        <w:instrText xml:space="preserve"> PAGEREF _Toc163121535 \h </w:instrText>
      </w:r>
      <w:r>
        <w:fldChar w:fldCharType="separate"/>
      </w:r>
      <w:r>
        <w:t>446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Reference in judgment etc. to registrar, effect of</w:t>
      </w:r>
      <w:r>
        <w:tab/>
      </w:r>
      <w:r>
        <w:fldChar w:fldCharType="begin"/>
      </w:r>
      <w:r>
        <w:instrText xml:space="preserve"> PAGEREF _Toc163121536 \h </w:instrText>
      </w:r>
      <w:r>
        <w:fldChar w:fldCharType="separate"/>
      </w:r>
      <w:r>
        <w:t>446</w:t>
      </w:r>
      <w:r>
        <w:fldChar w:fldCharType="end"/>
      </w:r>
    </w:p>
    <w:p>
      <w:pPr>
        <w:pStyle w:val="TOC8"/>
        <w:rPr>
          <w:rFonts w:asciiTheme="minorHAnsi" w:eastAsiaTheme="minorEastAsia" w:hAnsiTheme="minorHAnsi" w:cstheme="minorBidi"/>
          <w:szCs w:val="22"/>
        </w:rPr>
      </w:pPr>
      <w:r>
        <w:t>19.</w:t>
      </w:r>
      <w:r>
        <w:tab/>
        <w:t>Principal Registrar may declare ECMS unavailable</w:t>
      </w:r>
      <w:r>
        <w:tab/>
      </w:r>
      <w:r>
        <w:fldChar w:fldCharType="begin"/>
      </w:r>
      <w:r>
        <w:instrText xml:space="preserve"> PAGEREF _Toc163121537 \h </w:instrText>
      </w:r>
      <w:r>
        <w:fldChar w:fldCharType="separate"/>
      </w:r>
      <w:r>
        <w:t>446</w:t>
      </w:r>
      <w:r>
        <w:fldChar w:fldCharType="end"/>
      </w:r>
    </w:p>
    <w:p>
      <w:pPr>
        <w:pStyle w:val="TOC2"/>
        <w:tabs>
          <w:tab w:val="right" w:leader="dot" w:pos="7077"/>
        </w:tabs>
        <w:rPr>
          <w:rFonts w:asciiTheme="minorHAnsi" w:eastAsiaTheme="minorEastAsia" w:hAnsiTheme="minorHAnsi" w:cstheme="minorBidi"/>
          <w:b w:val="0"/>
          <w:sz w:val="22"/>
          <w:szCs w:val="22"/>
        </w:rPr>
      </w:pPr>
      <w:r>
        <w:t>Order 67A</w:t>
      </w:r>
      <w:r>
        <w:rPr>
          <w:b w:val="0"/>
        </w:rPr>
        <w:t> </w:t>
      </w:r>
      <w:r>
        <w:t>—</w:t>
      </w:r>
      <w:r>
        <w:rPr>
          <w:b w:val="0"/>
        </w:rPr>
        <w:t> </w:t>
      </w:r>
      <w:r>
        <w:t>Filing documents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_Toc163121540 \h </w:instrText>
      </w:r>
      <w:r>
        <w:fldChar w:fldCharType="separate"/>
      </w:r>
      <w:r>
        <w:t>448</w:t>
      </w:r>
      <w:r>
        <w:fldChar w:fldCharType="end"/>
      </w:r>
    </w:p>
    <w:p>
      <w:pPr>
        <w:pStyle w:val="TOC4"/>
        <w:tabs>
          <w:tab w:val="right" w:leader="dot" w:pos="7077"/>
        </w:tabs>
        <w:rPr>
          <w:rFonts w:asciiTheme="minorHAnsi" w:eastAsiaTheme="minorEastAsia" w:hAnsiTheme="minorHAnsi" w:cstheme="minorBidi"/>
          <w:b w:val="0"/>
          <w:szCs w:val="22"/>
        </w:rPr>
      </w:pPr>
      <w:r>
        <w:t>Division 2 — Filing documents</w:t>
      </w:r>
    </w:p>
    <w:p>
      <w:pPr>
        <w:pStyle w:val="TOC8"/>
        <w:rPr>
          <w:rFonts w:asciiTheme="minorHAnsi" w:eastAsiaTheme="minorEastAsia" w:hAnsiTheme="minorHAnsi" w:cstheme="minorBidi"/>
          <w:szCs w:val="22"/>
        </w:rPr>
      </w:pPr>
      <w:r>
        <w:t>2.</w:t>
      </w:r>
      <w:r>
        <w:tab/>
        <w:t>General rules about filing documents</w:t>
      </w:r>
      <w:r>
        <w:tab/>
      </w:r>
      <w:r>
        <w:fldChar w:fldCharType="begin"/>
      </w:r>
      <w:r>
        <w:instrText xml:space="preserve"> PAGEREF _Toc163121542 \h </w:instrText>
      </w:r>
      <w:r>
        <w:fldChar w:fldCharType="separate"/>
      </w:r>
      <w:r>
        <w:t>448</w:t>
      </w:r>
      <w:r>
        <w:fldChar w:fldCharType="end"/>
      </w:r>
    </w:p>
    <w:p>
      <w:pPr>
        <w:pStyle w:val="TOC8"/>
        <w:rPr>
          <w:rFonts w:asciiTheme="minorHAnsi" w:eastAsiaTheme="minorEastAsia" w:hAnsiTheme="minorHAnsi" w:cstheme="minorBidi"/>
          <w:szCs w:val="22"/>
        </w:rPr>
      </w:pPr>
      <w:r>
        <w:t>3.</w:t>
      </w:r>
      <w:r>
        <w:tab/>
        <w:t>Documents must be filed using ECMS</w:t>
      </w:r>
      <w:r>
        <w:tab/>
      </w:r>
      <w:r>
        <w:fldChar w:fldCharType="begin"/>
      </w:r>
      <w:r>
        <w:instrText xml:space="preserve"> PAGEREF _Toc163121543 \h </w:instrText>
      </w:r>
      <w:r>
        <w:fldChar w:fldCharType="separate"/>
      </w:r>
      <w:r>
        <w:t>449</w:t>
      </w:r>
      <w:r>
        <w:fldChar w:fldCharType="end"/>
      </w:r>
    </w:p>
    <w:p>
      <w:pPr>
        <w:pStyle w:val="TOC8"/>
        <w:rPr>
          <w:rFonts w:asciiTheme="minorHAnsi" w:eastAsiaTheme="minorEastAsia" w:hAnsiTheme="minorHAnsi" w:cstheme="minorBidi"/>
          <w:szCs w:val="22"/>
        </w:rPr>
      </w:pPr>
      <w:r>
        <w:t>4.</w:t>
      </w:r>
      <w:r>
        <w:tab/>
        <w:t>Documents presented for filing using ECMS or email</w:t>
      </w:r>
      <w:r>
        <w:tab/>
      </w:r>
      <w:r>
        <w:fldChar w:fldCharType="begin"/>
      </w:r>
      <w:r>
        <w:instrText xml:space="preserve"> PAGEREF _Toc163121544 \h </w:instrText>
      </w:r>
      <w:r>
        <w:fldChar w:fldCharType="separate"/>
      </w:r>
      <w:r>
        <w:t>451</w:t>
      </w:r>
      <w:r>
        <w:fldChar w:fldCharType="end"/>
      </w:r>
    </w:p>
    <w:p>
      <w:pPr>
        <w:pStyle w:val="TOC8"/>
        <w:rPr>
          <w:rFonts w:asciiTheme="minorHAnsi" w:eastAsiaTheme="minorEastAsia" w:hAnsiTheme="minorHAnsi" w:cstheme="minorBidi"/>
          <w:szCs w:val="22"/>
        </w:rPr>
      </w:pPr>
      <w:r>
        <w:t>5.</w:t>
      </w:r>
      <w:r>
        <w:tab/>
        <w:t>Delivering documents for filing</w:t>
      </w:r>
      <w:r>
        <w:tab/>
      </w:r>
      <w:r>
        <w:fldChar w:fldCharType="begin"/>
      </w:r>
      <w:r>
        <w:instrText xml:space="preserve"> PAGEREF _Toc163121545 \h </w:instrText>
      </w:r>
      <w:r>
        <w:fldChar w:fldCharType="separate"/>
      </w:r>
      <w:r>
        <w:t>453</w:t>
      </w:r>
      <w:r>
        <w:fldChar w:fldCharType="end"/>
      </w:r>
    </w:p>
    <w:p>
      <w:pPr>
        <w:pStyle w:val="TOC8"/>
        <w:rPr>
          <w:rFonts w:asciiTheme="minorHAnsi" w:eastAsiaTheme="minorEastAsia" w:hAnsiTheme="minorHAnsi" w:cstheme="minorBidi"/>
          <w:szCs w:val="22"/>
        </w:rPr>
      </w:pPr>
      <w:r>
        <w:t>6.</w:t>
      </w:r>
      <w:r>
        <w:tab/>
        <w:t>Posting documents for filing</w:t>
      </w:r>
      <w:r>
        <w:tab/>
      </w:r>
      <w:r>
        <w:fldChar w:fldCharType="begin"/>
      </w:r>
      <w:r>
        <w:instrText xml:space="preserve"> PAGEREF _Toc163121546 \h </w:instrText>
      </w:r>
      <w:r>
        <w:fldChar w:fldCharType="separate"/>
      </w:r>
      <w:r>
        <w:t>453</w:t>
      </w:r>
      <w:r>
        <w:fldChar w:fldCharType="end"/>
      </w:r>
    </w:p>
    <w:p>
      <w:pPr>
        <w:pStyle w:val="TOC8"/>
        <w:rPr>
          <w:rFonts w:asciiTheme="minorHAnsi" w:eastAsiaTheme="minorEastAsia" w:hAnsiTheme="minorHAnsi" w:cstheme="minorBidi"/>
          <w:szCs w:val="22"/>
        </w:rPr>
      </w:pPr>
      <w:r>
        <w:t>7.</w:t>
      </w:r>
      <w:r>
        <w:tab/>
        <w:t>Faxing documents for filing</w:t>
      </w:r>
      <w:r>
        <w:tab/>
      </w:r>
      <w:r>
        <w:fldChar w:fldCharType="begin"/>
      </w:r>
      <w:r>
        <w:instrText xml:space="preserve"> PAGEREF _Toc163121547 \h </w:instrText>
      </w:r>
      <w:r>
        <w:fldChar w:fldCharType="separate"/>
      </w:r>
      <w:r>
        <w:t>454</w:t>
      </w:r>
      <w:r>
        <w:fldChar w:fldCharType="end"/>
      </w:r>
    </w:p>
    <w:p>
      <w:pPr>
        <w:pStyle w:val="TOC8"/>
        <w:rPr>
          <w:rFonts w:asciiTheme="minorHAnsi" w:eastAsiaTheme="minorEastAsia" w:hAnsiTheme="minorHAnsi" w:cstheme="minorBidi"/>
          <w:szCs w:val="22"/>
        </w:rPr>
      </w:pPr>
      <w:r>
        <w:t>8.</w:t>
      </w:r>
      <w:r>
        <w:tab/>
        <w:t>How filed paper documents are to be dealt with</w:t>
      </w:r>
      <w:r>
        <w:tab/>
      </w:r>
      <w:r>
        <w:fldChar w:fldCharType="begin"/>
      </w:r>
      <w:r>
        <w:instrText xml:space="preserve"> PAGEREF _Toc163121548 \h </w:instrText>
      </w:r>
      <w:r>
        <w:fldChar w:fldCharType="separate"/>
      </w:r>
      <w:r>
        <w:t>456</w:t>
      </w:r>
      <w:r>
        <w:fldChar w:fldCharType="end"/>
      </w:r>
    </w:p>
    <w:p>
      <w:pPr>
        <w:pStyle w:val="TOC4"/>
        <w:tabs>
          <w:tab w:val="right" w:leader="dot" w:pos="7077"/>
        </w:tabs>
        <w:rPr>
          <w:rFonts w:asciiTheme="minorHAnsi" w:eastAsiaTheme="minorEastAsia" w:hAnsiTheme="minorHAnsi" w:cstheme="minorBidi"/>
          <w:b w:val="0"/>
          <w:szCs w:val="22"/>
        </w:rPr>
      </w:pPr>
      <w:r>
        <w:t>Division 3 — Documents containing sensitive information</w:t>
      </w:r>
    </w:p>
    <w:p>
      <w:pPr>
        <w:pStyle w:val="TOC8"/>
        <w:rPr>
          <w:rFonts w:asciiTheme="minorHAnsi" w:eastAsiaTheme="minorEastAsia" w:hAnsiTheme="minorHAnsi" w:cstheme="minorBidi"/>
          <w:szCs w:val="22"/>
        </w:rPr>
      </w:pPr>
      <w:r>
        <w:t>9.</w:t>
      </w:r>
      <w:r>
        <w:tab/>
        <w:t>Terms used</w:t>
      </w:r>
      <w:r>
        <w:tab/>
      </w:r>
      <w:r>
        <w:fldChar w:fldCharType="begin"/>
      </w:r>
      <w:r>
        <w:instrText xml:space="preserve"> PAGEREF _Toc163121550 \h </w:instrText>
      </w:r>
      <w:r>
        <w:fldChar w:fldCharType="separate"/>
      </w:r>
      <w:r>
        <w:t>457</w:t>
      </w:r>
      <w:r>
        <w:fldChar w:fldCharType="end"/>
      </w:r>
    </w:p>
    <w:p>
      <w:pPr>
        <w:pStyle w:val="TOC8"/>
        <w:rPr>
          <w:rFonts w:asciiTheme="minorHAnsi" w:eastAsiaTheme="minorEastAsia" w:hAnsiTheme="minorHAnsi" w:cstheme="minorBidi"/>
          <w:szCs w:val="22"/>
        </w:rPr>
      </w:pPr>
      <w:r>
        <w:t>10.</w:t>
      </w:r>
      <w:r>
        <w:tab/>
        <w:t>Person to advise Court if filing sensitive document</w:t>
      </w:r>
      <w:r>
        <w:tab/>
      </w:r>
      <w:r>
        <w:fldChar w:fldCharType="begin"/>
      </w:r>
      <w:r>
        <w:instrText xml:space="preserve"> PAGEREF _Toc163121551 \h </w:instrText>
      </w:r>
      <w:r>
        <w:fldChar w:fldCharType="separate"/>
      </w:r>
      <w:r>
        <w:t>457</w:t>
      </w:r>
      <w:r>
        <w:fldChar w:fldCharType="end"/>
      </w:r>
    </w:p>
    <w:p>
      <w:pPr>
        <w:pStyle w:val="TOC8"/>
        <w:rPr>
          <w:rFonts w:asciiTheme="minorHAnsi" w:eastAsiaTheme="minorEastAsia" w:hAnsiTheme="minorHAnsi" w:cstheme="minorBidi"/>
          <w:szCs w:val="22"/>
        </w:rPr>
      </w:pPr>
      <w:r>
        <w:t>11.</w:t>
      </w:r>
      <w:r>
        <w:tab/>
        <w:t>Documents containing restricted information</w:t>
      </w:r>
      <w:r>
        <w:tab/>
      </w:r>
      <w:r>
        <w:fldChar w:fldCharType="begin"/>
      </w:r>
      <w:r>
        <w:instrText xml:space="preserve"> PAGEREF _Toc163121552 \h </w:instrText>
      </w:r>
      <w:r>
        <w:fldChar w:fldCharType="separate"/>
      </w:r>
      <w:r>
        <w:t>460</w:t>
      </w:r>
      <w:r>
        <w:fldChar w:fldCharType="end"/>
      </w:r>
    </w:p>
    <w:p>
      <w:pPr>
        <w:pStyle w:val="TOC8"/>
        <w:rPr>
          <w:rFonts w:asciiTheme="minorHAnsi" w:eastAsiaTheme="minorEastAsia" w:hAnsiTheme="minorHAnsi" w:cstheme="minorBidi"/>
          <w:szCs w:val="22"/>
        </w:rPr>
      </w:pPr>
      <w:r>
        <w:lastRenderedPageBreak/>
        <w:t>12.</w:t>
      </w:r>
      <w:r>
        <w:tab/>
        <w:t>Documents containing information to which access should be restricted</w:t>
      </w:r>
      <w:r>
        <w:tab/>
      </w:r>
      <w:r>
        <w:fldChar w:fldCharType="begin"/>
      </w:r>
      <w:r>
        <w:instrText xml:space="preserve"> PAGEREF _Toc163121553 \h </w:instrText>
      </w:r>
      <w:r>
        <w:fldChar w:fldCharType="separate"/>
      </w:r>
      <w:r>
        <w:t>462</w:t>
      </w:r>
      <w:r>
        <w:fldChar w:fldCharType="end"/>
      </w:r>
    </w:p>
    <w:p>
      <w:pPr>
        <w:pStyle w:val="TOC8"/>
        <w:rPr>
          <w:rFonts w:asciiTheme="minorHAnsi" w:eastAsiaTheme="minorEastAsia" w:hAnsiTheme="minorHAnsi" w:cstheme="minorBidi"/>
          <w:szCs w:val="22"/>
        </w:rPr>
      </w:pPr>
      <w:r>
        <w:t>13.</w:t>
      </w:r>
      <w:r>
        <w:tab/>
        <w:t>Restricted documents</w:t>
      </w:r>
      <w:r>
        <w:tab/>
      </w:r>
      <w:r>
        <w:fldChar w:fldCharType="begin"/>
      </w:r>
      <w:r>
        <w:instrText xml:space="preserve"> PAGEREF _Toc163121554 \h </w:instrText>
      </w:r>
      <w:r>
        <w:fldChar w:fldCharType="separate"/>
      </w:r>
      <w:r>
        <w:t>462</w:t>
      </w:r>
      <w:r>
        <w:fldChar w:fldCharType="end"/>
      </w:r>
    </w:p>
    <w:p>
      <w:pPr>
        <w:pStyle w:val="TOC8"/>
        <w:rPr>
          <w:rFonts w:asciiTheme="minorHAnsi" w:eastAsiaTheme="minorEastAsia" w:hAnsiTheme="minorHAnsi" w:cstheme="minorBidi"/>
          <w:szCs w:val="22"/>
        </w:rPr>
      </w:pPr>
      <w:r>
        <w:t>14.</w:t>
      </w:r>
      <w:r>
        <w:tab/>
        <w:t>Documents that are not to be accessible to judiciary</w:t>
      </w:r>
      <w:r>
        <w:tab/>
      </w:r>
      <w:r>
        <w:fldChar w:fldCharType="begin"/>
      </w:r>
      <w:r>
        <w:instrText xml:space="preserve"> PAGEREF _Toc163121555 \h </w:instrText>
      </w:r>
      <w:r>
        <w:fldChar w:fldCharType="separate"/>
      </w:r>
      <w:r>
        <w:t>464</w:t>
      </w:r>
      <w:r>
        <w:fldChar w:fldCharType="end"/>
      </w:r>
    </w:p>
    <w:p>
      <w:pPr>
        <w:pStyle w:val="TOC4"/>
        <w:tabs>
          <w:tab w:val="right" w:leader="dot" w:pos="7077"/>
        </w:tabs>
        <w:rPr>
          <w:rFonts w:asciiTheme="minorHAnsi" w:eastAsiaTheme="minorEastAsia" w:hAnsiTheme="minorHAnsi" w:cstheme="minorBidi"/>
          <w:b w:val="0"/>
          <w:szCs w:val="22"/>
        </w:rPr>
      </w:pPr>
      <w:r>
        <w:t>Division 4 — Miscellaneous matters</w:t>
      </w:r>
    </w:p>
    <w:p>
      <w:pPr>
        <w:pStyle w:val="TOC8"/>
        <w:rPr>
          <w:rFonts w:asciiTheme="minorHAnsi" w:eastAsiaTheme="minorEastAsia" w:hAnsiTheme="minorHAnsi" w:cstheme="minorBidi"/>
          <w:szCs w:val="22"/>
        </w:rPr>
      </w:pPr>
      <w:r>
        <w:t>15.</w:t>
      </w:r>
      <w:r>
        <w:tab/>
        <w:t>Principal Registrar may delegate</w:t>
      </w:r>
      <w:r>
        <w:tab/>
      </w:r>
      <w:r>
        <w:fldChar w:fldCharType="begin"/>
      </w:r>
      <w:r>
        <w:instrText xml:space="preserve"> PAGEREF _Toc163121557 \h </w:instrText>
      </w:r>
      <w:r>
        <w:fldChar w:fldCharType="separate"/>
      </w:r>
      <w:r>
        <w:t>465</w:t>
      </w:r>
      <w:r>
        <w:fldChar w:fldCharType="end"/>
      </w:r>
    </w:p>
    <w:p>
      <w:pPr>
        <w:pStyle w:val="TOC8"/>
        <w:rPr>
          <w:rFonts w:asciiTheme="minorHAnsi" w:eastAsiaTheme="minorEastAsia" w:hAnsiTheme="minorHAnsi" w:cstheme="minorBidi"/>
          <w:szCs w:val="22"/>
        </w:rPr>
      </w:pPr>
      <w:r>
        <w:t>16.</w:t>
      </w:r>
      <w:r>
        <w:tab/>
        <w:t>Principal Registrar may refer matters to judge or master</w:t>
      </w:r>
      <w:r>
        <w:tab/>
      </w:r>
      <w:r>
        <w:fldChar w:fldCharType="begin"/>
      </w:r>
      <w:r>
        <w:instrText xml:space="preserve"> PAGEREF _Toc163121558 \h </w:instrText>
      </w:r>
      <w:r>
        <w:fldChar w:fldCharType="separate"/>
      </w:r>
      <w:r>
        <w:t>466</w:t>
      </w:r>
      <w:r>
        <w:fldChar w:fldCharType="end"/>
      </w:r>
    </w:p>
    <w:p>
      <w:pPr>
        <w:pStyle w:val="TOC8"/>
        <w:rPr>
          <w:rFonts w:asciiTheme="minorHAnsi" w:eastAsiaTheme="minorEastAsia" w:hAnsiTheme="minorHAnsi" w:cstheme="minorBidi"/>
          <w:szCs w:val="22"/>
        </w:rPr>
      </w:pPr>
      <w:r>
        <w:t>17.</w:t>
      </w:r>
      <w:r>
        <w:tab/>
        <w:t>Appeals from decisions made under this Order</w:t>
      </w:r>
      <w:r>
        <w:tab/>
      </w:r>
      <w:r>
        <w:fldChar w:fldCharType="begin"/>
      </w:r>
      <w:r>
        <w:instrText xml:space="preserve"> PAGEREF _Toc163121559 \h </w:instrText>
      </w:r>
      <w:r>
        <w:fldChar w:fldCharType="separate"/>
      </w:r>
      <w:r>
        <w:t>466</w:t>
      </w:r>
      <w:r>
        <w:fldChar w:fldCharType="end"/>
      </w:r>
    </w:p>
    <w:p>
      <w:pPr>
        <w:pStyle w:val="TOC2"/>
        <w:tabs>
          <w:tab w:val="right" w:leader="dot" w:pos="7077"/>
        </w:tabs>
        <w:rPr>
          <w:rFonts w:asciiTheme="minorHAnsi" w:eastAsiaTheme="minorEastAsia" w:hAnsiTheme="minorHAnsi" w:cstheme="minorBidi"/>
          <w:b w:val="0"/>
          <w:sz w:val="22"/>
          <w:szCs w:val="22"/>
        </w:rPr>
      </w:pPr>
      <w:r>
        <w:t>Order 67B</w:t>
      </w:r>
      <w:r>
        <w:rPr>
          <w:b w:val="0"/>
        </w:rPr>
        <w:t> </w:t>
      </w:r>
      <w:r>
        <w:t>—</w:t>
      </w:r>
      <w:r>
        <w:rPr>
          <w:b w:val="0"/>
        </w:rPr>
        <w:t> </w:t>
      </w:r>
      <w:r>
        <w:t>Access to information and things held by the Court</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_Toc163121562 \h </w:instrText>
      </w:r>
      <w:r>
        <w:fldChar w:fldCharType="separate"/>
      </w:r>
      <w:r>
        <w:t>467</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_Toc163121563 \h </w:instrText>
      </w:r>
      <w:r>
        <w:fldChar w:fldCharType="separate"/>
      </w:r>
      <w:r>
        <w:t>468</w:t>
      </w:r>
      <w:r>
        <w:fldChar w:fldCharType="end"/>
      </w:r>
    </w:p>
    <w:p>
      <w:pPr>
        <w:pStyle w:val="TOC8"/>
        <w:rPr>
          <w:rFonts w:asciiTheme="minorHAnsi" w:eastAsiaTheme="minorEastAsia" w:hAnsiTheme="minorHAnsi" w:cstheme="minorBidi"/>
          <w:szCs w:val="22"/>
        </w:rPr>
      </w:pPr>
      <w:r>
        <w:t>3.</w:t>
      </w:r>
      <w:r>
        <w:tab/>
        <w:t>Access to information and things under other legislation</w:t>
      </w:r>
      <w:r>
        <w:tab/>
      </w:r>
      <w:r>
        <w:fldChar w:fldCharType="begin"/>
      </w:r>
      <w:r>
        <w:instrText xml:space="preserve"> PAGEREF _Toc163121564 \h </w:instrText>
      </w:r>
      <w:r>
        <w:fldChar w:fldCharType="separate"/>
      </w:r>
      <w:r>
        <w:t>469</w:t>
      </w:r>
      <w:r>
        <w:fldChar w:fldCharType="end"/>
      </w:r>
    </w:p>
    <w:p>
      <w:pPr>
        <w:pStyle w:val="TOC8"/>
        <w:rPr>
          <w:rFonts w:asciiTheme="minorHAnsi" w:eastAsiaTheme="minorEastAsia" w:hAnsiTheme="minorHAnsi" w:cstheme="minorBidi"/>
          <w:szCs w:val="22"/>
        </w:rPr>
      </w:pPr>
      <w:r>
        <w:t>4.</w:t>
      </w:r>
      <w:r>
        <w:tab/>
        <w:t>Order does not limit Court’s general power to release information</w:t>
      </w:r>
      <w:r>
        <w:tab/>
      </w:r>
      <w:r>
        <w:fldChar w:fldCharType="begin"/>
      </w:r>
      <w:r>
        <w:instrText xml:space="preserve"> PAGEREF _Toc163121565 \h </w:instrText>
      </w:r>
      <w:r>
        <w:fldChar w:fldCharType="separate"/>
      </w:r>
      <w:r>
        <w:t>469</w:t>
      </w:r>
      <w:r>
        <w:fldChar w:fldCharType="end"/>
      </w:r>
    </w:p>
    <w:p>
      <w:pPr>
        <w:pStyle w:val="TOC4"/>
        <w:tabs>
          <w:tab w:val="right" w:leader="dot" w:pos="7077"/>
        </w:tabs>
        <w:rPr>
          <w:rFonts w:asciiTheme="minorHAnsi" w:eastAsiaTheme="minorEastAsia" w:hAnsiTheme="minorHAnsi" w:cstheme="minorBidi"/>
          <w:b w:val="0"/>
          <w:szCs w:val="22"/>
        </w:rPr>
      </w:pPr>
      <w:r>
        <w:t>Division 2 — Orders restricting access</w:t>
      </w:r>
    </w:p>
    <w:p>
      <w:pPr>
        <w:pStyle w:val="TOC8"/>
        <w:rPr>
          <w:rFonts w:asciiTheme="minorHAnsi" w:eastAsiaTheme="minorEastAsia" w:hAnsiTheme="minorHAnsi" w:cstheme="minorBidi"/>
          <w:szCs w:val="22"/>
        </w:rPr>
      </w:pPr>
      <w:r>
        <w:t>5.</w:t>
      </w:r>
      <w:r>
        <w:tab/>
        <w:t>Court’s powers to restrict access</w:t>
      </w:r>
      <w:r>
        <w:tab/>
      </w:r>
      <w:r>
        <w:fldChar w:fldCharType="begin"/>
      </w:r>
      <w:r>
        <w:instrText xml:space="preserve"> PAGEREF _Toc163121567 \h </w:instrText>
      </w:r>
      <w:r>
        <w:fldChar w:fldCharType="separate"/>
      </w:r>
      <w:r>
        <w:t>469</w:t>
      </w:r>
      <w:r>
        <w:fldChar w:fldCharType="end"/>
      </w:r>
    </w:p>
    <w:p>
      <w:pPr>
        <w:pStyle w:val="TOC4"/>
        <w:tabs>
          <w:tab w:val="right" w:leader="dot" w:pos="7077"/>
        </w:tabs>
        <w:rPr>
          <w:rFonts w:asciiTheme="minorHAnsi" w:eastAsiaTheme="minorEastAsia" w:hAnsiTheme="minorHAnsi" w:cstheme="minorBidi"/>
          <w:b w:val="0"/>
          <w:szCs w:val="22"/>
        </w:rPr>
      </w:pPr>
      <w:r>
        <w:t>Division 3 — Entitlements to access</w:t>
      </w:r>
    </w:p>
    <w:p>
      <w:pPr>
        <w:pStyle w:val="TOC8"/>
        <w:rPr>
          <w:rFonts w:asciiTheme="minorHAnsi" w:eastAsiaTheme="minorEastAsia" w:hAnsiTheme="minorHAnsi" w:cstheme="minorBidi"/>
          <w:szCs w:val="22"/>
        </w:rPr>
      </w:pPr>
      <w:r>
        <w:t>6.</w:t>
      </w:r>
      <w:r>
        <w:tab/>
        <w:t>Entitlements of every person</w:t>
      </w:r>
      <w:r>
        <w:tab/>
      </w:r>
      <w:r>
        <w:fldChar w:fldCharType="begin"/>
      </w:r>
      <w:r>
        <w:instrText xml:space="preserve"> PAGEREF _Toc163121569 \h </w:instrText>
      </w:r>
      <w:r>
        <w:fldChar w:fldCharType="separate"/>
      </w:r>
      <w:r>
        <w:t>471</w:t>
      </w:r>
      <w:r>
        <w:fldChar w:fldCharType="end"/>
      </w:r>
    </w:p>
    <w:p>
      <w:pPr>
        <w:pStyle w:val="TOC8"/>
        <w:rPr>
          <w:rFonts w:asciiTheme="minorHAnsi" w:eastAsiaTheme="minorEastAsia" w:hAnsiTheme="minorHAnsi" w:cstheme="minorBidi"/>
          <w:szCs w:val="22"/>
        </w:rPr>
      </w:pPr>
      <w:r>
        <w:t>7.</w:t>
      </w:r>
      <w:r>
        <w:tab/>
        <w:t>Entitlements of parties</w:t>
      </w:r>
      <w:r>
        <w:tab/>
      </w:r>
      <w:r>
        <w:fldChar w:fldCharType="begin"/>
      </w:r>
      <w:r>
        <w:instrText xml:space="preserve"> PAGEREF _Toc163121570 \h </w:instrText>
      </w:r>
      <w:r>
        <w:fldChar w:fldCharType="separate"/>
      </w:r>
      <w:r>
        <w:t>475</w:t>
      </w:r>
      <w:r>
        <w:fldChar w:fldCharType="end"/>
      </w:r>
    </w:p>
    <w:p>
      <w:pPr>
        <w:pStyle w:val="TOC4"/>
        <w:tabs>
          <w:tab w:val="right" w:leader="dot" w:pos="7077"/>
        </w:tabs>
        <w:rPr>
          <w:rFonts w:asciiTheme="minorHAnsi" w:eastAsiaTheme="minorEastAsia" w:hAnsiTheme="minorHAnsi" w:cstheme="minorBidi"/>
          <w:b w:val="0"/>
          <w:szCs w:val="22"/>
        </w:rPr>
      </w:pPr>
      <w:r>
        <w:t>Division 4 — Access with the Court’s permission</w:t>
      </w:r>
    </w:p>
    <w:p>
      <w:pPr>
        <w:pStyle w:val="TOC8"/>
        <w:rPr>
          <w:rFonts w:asciiTheme="minorHAnsi" w:eastAsiaTheme="minorEastAsia" w:hAnsiTheme="minorHAnsi" w:cstheme="minorBidi"/>
          <w:szCs w:val="22"/>
        </w:rPr>
      </w:pPr>
      <w:r>
        <w:t>8.</w:t>
      </w:r>
      <w:r>
        <w:tab/>
        <w:t>Access with the Court’s permission</w:t>
      </w:r>
      <w:r>
        <w:tab/>
      </w:r>
      <w:r>
        <w:fldChar w:fldCharType="begin"/>
      </w:r>
      <w:r>
        <w:instrText xml:space="preserve"> PAGEREF _Toc163121572 \h </w:instrText>
      </w:r>
      <w:r>
        <w:fldChar w:fldCharType="separate"/>
      </w:r>
      <w:r>
        <w:t>476</w:t>
      </w:r>
      <w:r>
        <w:fldChar w:fldCharType="end"/>
      </w:r>
    </w:p>
    <w:p>
      <w:pPr>
        <w:pStyle w:val="TOC8"/>
        <w:rPr>
          <w:rFonts w:asciiTheme="minorHAnsi" w:eastAsiaTheme="minorEastAsia" w:hAnsiTheme="minorHAnsi" w:cstheme="minorBidi"/>
          <w:szCs w:val="22"/>
        </w:rPr>
      </w:pPr>
      <w:r>
        <w:t>9.</w:t>
      </w:r>
      <w:r>
        <w:tab/>
        <w:t>When Court can give permission</w:t>
      </w:r>
      <w:r>
        <w:tab/>
      </w:r>
      <w:r>
        <w:fldChar w:fldCharType="begin"/>
      </w:r>
      <w:r>
        <w:instrText xml:space="preserve"> PAGEREF _Toc163121573 \h </w:instrText>
      </w:r>
      <w:r>
        <w:fldChar w:fldCharType="separate"/>
      </w:r>
      <w:r>
        <w:t>476</w:t>
      </w:r>
      <w:r>
        <w:fldChar w:fldCharType="end"/>
      </w:r>
    </w:p>
    <w:p>
      <w:pPr>
        <w:pStyle w:val="TOC8"/>
        <w:rPr>
          <w:rFonts w:asciiTheme="minorHAnsi" w:eastAsiaTheme="minorEastAsia" w:hAnsiTheme="minorHAnsi" w:cstheme="minorBidi"/>
          <w:szCs w:val="22"/>
        </w:rPr>
      </w:pPr>
      <w:r>
        <w:t>10.</w:t>
      </w:r>
      <w:r>
        <w:tab/>
        <w:t>When media manager can give permission</w:t>
      </w:r>
      <w:r>
        <w:tab/>
      </w:r>
      <w:r>
        <w:fldChar w:fldCharType="begin"/>
      </w:r>
      <w:r>
        <w:instrText xml:space="preserve"> PAGEREF _Toc163121574 \h </w:instrText>
      </w:r>
      <w:r>
        <w:fldChar w:fldCharType="separate"/>
      </w:r>
      <w:r>
        <w:t>478</w:t>
      </w:r>
      <w:r>
        <w:fldChar w:fldCharType="end"/>
      </w:r>
    </w:p>
    <w:p>
      <w:pPr>
        <w:pStyle w:val="TOC4"/>
        <w:tabs>
          <w:tab w:val="right" w:leader="dot" w:pos="7077"/>
        </w:tabs>
        <w:rPr>
          <w:rFonts w:asciiTheme="minorHAnsi" w:eastAsiaTheme="minorEastAsia" w:hAnsiTheme="minorHAnsi" w:cstheme="minorBidi"/>
          <w:b w:val="0"/>
          <w:szCs w:val="22"/>
        </w:rPr>
      </w:pPr>
      <w:r>
        <w:t>Division 5 — Applications for access</w:t>
      </w:r>
    </w:p>
    <w:p>
      <w:pPr>
        <w:pStyle w:val="TOC8"/>
        <w:rPr>
          <w:rFonts w:asciiTheme="minorHAnsi" w:eastAsiaTheme="minorEastAsia" w:hAnsiTheme="minorHAnsi" w:cstheme="minorBidi"/>
          <w:szCs w:val="22"/>
        </w:rPr>
      </w:pPr>
      <w:r>
        <w:t>11.</w:t>
      </w:r>
      <w:r>
        <w:tab/>
        <w:t>Applying for access</w:t>
      </w:r>
      <w:r>
        <w:tab/>
      </w:r>
      <w:r>
        <w:fldChar w:fldCharType="begin"/>
      </w:r>
      <w:r>
        <w:instrText xml:space="preserve"> PAGEREF _Toc163121576 \h </w:instrText>
      </w:r>
      <w:r>
        <w:fldChar w:fldCharType="separate"/>
      </w:r>
      <w:r>
        <w:t>479</w:t>
      </w:r>
      <w:r>
        <w:fldChar w:fldCharType="end"/>
      </w:r>
    </w:p>
    <w:p>
      <w:pPr>
        <w:pStyle w:val="TOC8"/>
        <w:rPr>
          <w:rFonts w:asciiTheme="minorHAnsi" w:eastAsiaTheme="minorEastAsia" w:hAnsiTheme="minorHAnsi" w:cstheme="minorBidi"/>
          <w:szCs w:val="22"/>
        </w:rPr>
      </w:pPr>
      <w:r>
        <w:t>12.</w:t>
      </w:r>
      <w:r>
        <w:tab/>
        <w:t>Court’s powers as to applications for permission</w:t>
      </w:r>
      <w:r>
        <w:tab/>
      </w:r>
      <w:r>
        <w:fldChar w:fldCharType="begin"/>
      </w:r>
      <w:r>
        <w:instrText xml:space="preserve"> PAGEREF _Toc163121577 \h </w:instrText>
      </w:r>
      <w:r>
        <w:fldChar w:fldCharType="separate"/>
      </w:r>
      <w:r>
        <w:t>481</w:t>
      </w:r>
      <w:r>
        <w:fldChar w:fldCharType="end"/>
      </w:r>
    </w:p>
    <w:p>
      <w:pPr>
        <w:pStyle w:val="TOC8"/>
        <w:rPr>
          <w:rFonts w:asciiTheme="minorHAnsi" w:eastAsiaTheme="minorEastAsia" w:hAnsiTheme="minorHAnsi" w:cstheme="minorBidi"/>
          <w:szCs w:val="22"/>
        </w:rPr>
      </w:pPr>
      <w:r>
        <w:t>13.</w:t>
      </w:r>
      <w:r>
        <w:tab/>
        <w:t>How applications are determined</w:t>
      </w:r>
      <w:r>
        <w:tab/>
      </w:r>
      <w:r>
        <w:fldChar w:fldCharType="begin"/>
      </w:r>
      <w:r>
        <w:instrText xml:space="preserve"> PAGEREF _Toc163121578 \h </w:instrText>
      </w:r>
      <w:r>
        <w:fldChar w:fldCharType="separate"/>
      </w:r>
      <w:r>
        <w:t>482</w:t>
      </w:r>
      <w:r>
        <w:fldChar w:fldCharType="end"/>
      </w:r>
    </w:p>
    <w:p>
      <w:pPr>
        <w:pStyle w:val="TOC4"/>
        <w:tabs>
          <w:tab w:val="right" w:leader="dot" w:pos="7077"/>
        </w:tabs>
        <w:rPr>
          <w:rFonts w:asciiTheme="minorHAnsi" w:eastAsiaTheme="minorEastAsia" w:hAnsiTheme="minorHAnsi" w:cstheme="minorBidi"/>
          <w:b w:val="0"/>
          <w:szCs w:val="22"/>
        </w:rPr>
      </w:pPr>
      <w:r>
        <w:t>Division 6 — How access is given</w:t>
      </w:r>
    </w:p>
    <w:p>
      <w:pPr>
        <w:pStyle w:val="TOC8"/>
        <w:rPr>
          <w:rFonts w:asciiTheme="minorHAnsi" w:eastAsiaTheme="minorEastAsia" w:hAnsiTheme="minorHAnsi" w:cstheme="minorBidi"/>
          <w:szCs w:val="22"/>
        </w:rPr>
      </w:pPr>
      <w:r>
        <w:t>14.</w:t>
      </w:r>
      <w:r>
        <w:tab/>
        <w:t>How and when the Court gives access</w:t>
      </w:r>
      <w:r>
        <w:tab/>
      </w:r>
      <w:r>
        <w:fldChar w:fldCharType="begin"/>
      </w:r>
      <w:r>
        <w:instrText xml:space="preserve"> PAGEREF _Toc163121580 \h </w:instrText>
      </w:r>
      <w:r>
        <w:fldChar w:fldCharType="separate"/>
      </w:r>
      <w:r>
        <w:t>483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7 — Access by non</w:t>
      </w:r>
      <w:r>
        <w:noBreakHyphen/>
        <w:t>parties to documents in cases commenced before 1 March 2018</w:t>
      </w:r>
    </w:p>
    <w:p>
      <w:pPr>
        <w:pStyle w:val="TOC8"/>
        <w:rPr>
          <w:rFonts w:asciiTheme="minorHAnsi" w:eastAsiaTheme="minorEastAsia" w:hAnsiTheme="minorHAnsi" w:cstheme="minorBidi"/>
          <w:szCs w:val="22"/>
        </w:rPr>
      </w:pPr>
      <w:r>
        <w:t>15.</w:t>
      </w:r>
      <w:r>
        <w:tab/>
        <w:t>Application of this Division</w:t>
      </w:r>
      <w:r>
        <w:tab/>
      </w:r>
      <w:r>
        <w:fldChar w:fldCharType="begin"/>
      </w:r>
      <w:r>
        <w:instrText xml:space="preserve"> PAGEREF _Toc163121582 \h </w:instrText>
      </w:r>
      <w:r>
        <w:fldChar w:fldCharType="separate"/>
      </w:r>
      <w:r>
        <w:t>484</w:t>
      </w:r>
      <w:r>
        <w:fldChar w:fldCharType="end"/>
      </w:r>
    </w:p>
    <w:p>
      <w:pPr>
        <w:pStyle w:val="TOC8"/>
        <w:rPr>
          <w:rFonts w:asciiTheme="minorHAnsi" w:eastAsiaTheme="minorEastAsia" w:hAnsiTheme="minorHAnsi" w:cstheme="minorBidi"/>
          <w:szCs w:val="22"/>
        </w:rPr>
      </w:pPr>
      <w:r>
        <w:t>16.</w:t>
      </w:r>
      <w:r>
        <w:tab/>
        <w:t>Documents that can be inspected or copied</w:t>
      </w:r>
      <w:r>
        <w:tab/>
      </w:r>
      <w:r>
        <w:fldChar w:fldCharType="begin"/>
      </w:r>
      <w:r>
        <w:instrText xml:space="preserve"> PAGEREF _Toc163121583 \h </w:instrText>
      </w:r>
      <w:r>
        <w:fldChar w:fldCharType="separate"/>
      </w:r>
      <w:r>
        <w:t>484</w:t>
      </w:r>
      <w:r>
        <w:fldChar w:fldCharType="end"/>
      </w:r>
    </w:p>
    <w:p>
      <w:pPr>
        <w:pStyle w:val="TOC4"/>
        <w:tabs>
          <w:tab w:val="right" w:leader="dot" w:pos="7077"/>
        </w:tabs>
        <w:rPr>
          <w:rFonts w:asciiTheme="minorHAnsi" w:eastAsiaTheme="minorEastAsia" w:hAnsiTheme="minorHAnsi" w:cstheme="minorBidi"/>
          <w:b w:val="0"/>
          <w:szCs w:val="22"/>
        </w:rPr>
      </w:pPr>
      <w:r>
        <w:t>Division 8 — Miscellaneous matters</w:t>
      </w:r>
    </w:p>
    <w:p>
      <w:pPr>
        <w:pStyle w:val="TOC8"/>
        <w:rPr>
          <w:rFonts w:asciiTheme="minorHAnsi" w:eastAsiaTheme="minorEastAsia" w:hAnsiTheme="minorHAnsi" w:cstheme="minorBidi"/>
          <w:szCs w:val="22"/>
        </w:rPr>
      </w:pPr>
      <w:r>
        <w:t>17.</w:t>
      </w:r>
      <w:r>
        <w:tab/>
        <w:t>Registrars’ decisions may be dealt with by judge or master</w:t>
      </w:r>
      <w:r>
        <w:tab/>
      </w:r>
      <w:r>
        <w:fldChar w:fldCharType="begin"/>
      </w:r>
      <w:r>
        <w:instrText xml:space="preserve"> PAGEREF _Toc163121585 \h </w:instrText>
      </w:r>
      <w:r>
        <w:fldChar w:fldCharType="separate"/>
      </w:r>
      <w:r>
        <w:t>485</w:t>
      </w:r>
      <w:r>
        <w:fldChar w:fldCharType="end"/>
      </w:r>
    </w:p>
    <w:p>
      <w:pPr>
        <w:pStyle w:val="TOC2"/>
        <w:tabs>
          <w:tab w:val="right" w:leader="dot" w:pos="7077"/>
        </w:tabs>
        <w:rPr>
          <w:rFonts w:asciiTheme="minorHAnsi" w:eastAsiaTheme="minorEastAsia" w:hAnsiTheme="minorHAnsi" w:cstheme="minorBidi"/>
          <w:b w:val="0"/>
          <w:sz w:val="22"/>
          <w:szCs w:val="22"/>
        </w:rPr>
      </w:pPr>
      <w:r>
        <w:t>Order 68 — Sittings, vacations and office hours</w:t>
      </w:r>
    </w:p>
    <w:p>
      <w:pPr>
        <w:pStyle w:val="TOC8"/>
        <w:rPr>
          <w:rFonts w:asciiTheme="minorHAnsi" w:eastAsiaTheme="minorEastAsia" w:hAnsiTheme="minorHAnsi" w:cstheme="minorBidi"/>
          <w:szCs w:val="22"/>
        </w:rPr>
      </w:pPr>
      <w:r>
        <w:t>1</w:t>
      </w:r>
      <w:r>
        <w:rPr>
          <w:snapToGrid w:val="0"/>
        </w:rPr>
        <w:t>.</w:t>
      </w:r>
      <w:r>
        <w:rPr>
          <w:snapToGrid w:val="0"/>
        </w:rPr>
        <w:tab/>
        <w:t>Civil sittings</w:t>
      </w:r>
      <w:r>
        <w:tab/>
      </w:r>
      <w:r>
        <w:fldChar w:fldCharType="begin"/>
      </w:r>
      <w:r>
        <w:instrText xml:space="preserve"> PAGEREF _Toc163121587 \h </w:instrText>
      </w:r>
      <w:r>
        <w:fldChar w:fldCharType="separate"/>
      </w:r>
      <w:r>
        <w:t>486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Criminal sittings</w:t>
      </w:r>
      <w:r>
        <w:tab/>
      </w:r>
      <w:r>
        <w:fldChar w:fldCharType="begin"/>
      </w:r>
      <w:r>
        <w:instrText xml:space="preserve"> PAGEREF _Toc163121588 \h </w:instrText>
      </w:r>
      <w:r>
        <w:fldChar w:fldCharType="separate"/>
      </w:r>
      <w:r>
        <w:t>486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Court vacations</w:t>
      </w:r>
      <w:r>
        <w:tab/>
      </w:r>
      <w:r>
        <w:fldChar w:fldCharType="begin"/>
      </w:r>
      <w:r>
        <w:instrText xml:space="preserve"> PAGEREF _Toc163121589 \h </w:instrText>
      </w:r>
      <w:r>
        <w:fldChar w:fldCharType="separate"/>
      </w:r>
      <w:r>
        <w:t>486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Days included in sitting and vacation</w:t>
      </w:r>
      <w:r>
        <w:tab/>
      </w:r>
      <w:r>
        <w:fldChar w:fldCharType="begin"/>
      </w:r>
      <w:r>
        <w:instrText xml:space="preserve"> PAGEREF _Toc163121590 \h </w:instrText>
      </w:r>
      <w:r>
        <w:fldChar w:fldCharType="separate"/>
      </w:r>
      <w:r>
        <w:t>487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When Court’s offices are open</w:t>
      </w:r>
      <w:r>
        <w:tab/>
      </w:r>
      <w:r>
        <w:fldChar w:fldCharType="begin"/>
      </w:r>
      <w:r>
        <w:instrText xml:space="preserve"> PAGEREF _Toc163121591 \h </w:instrText>
      </w:r>
      <w:r>
        <w:fldChar w:fldCharType="separate"/>
      </w:r>
      <w:r>
        <w:t>487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Office hours</w:t>
      </w:r>
      <w:r>
        <w:tab/>
      </w:r>
      <w:r>
        <w:fldChar w:fldCharType="begin"/>
      </w:r>
      <w:r>
        <w:instrText xml:space="preserve"> PAGEREF _Toc163121592 \h </w:instrText>
      </w:r>
      <w:r>
        <w:fldChar w:fldCharType="separate"/>
      </w:r>
      <w:r>
        <w:t>487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Vacation Judge</w:t>
      </w:r>
      <w:r>
        <w:tab/>
      </w:r>
      <w:r>
        <w:fldChar w:fldCharType="begin"/>
      </w:r>
      <w:r>
        <w:instrText xml:space="preserve"> PAGEREF _Toc163121593 \h </w:instrText>
      </w:r>
      <w:r>
        <w:fldChar w:fldCharType="separate"/>
      </w:r>
      <w:r>
        <w:t>487</w:t>
      </w:r>
      <w:r>
        <w:fldChar w:fldCharType="end"/>
      </w:r>
    </w:p>
    <w:p>
      <w:pPr>
        <w:pStyle w:val="TOC2"/>
        <w:tabs>
          <w:tab w:val="right" w:leader="dot" w:pos="7077"/>
        </w:tabs>
        <w:rPr>
          <w:rFonts w:asciiTheme="minorHAnsi" w:eastAsiaTheme="minorEastAsia" w:hAnsiTheme="minorHAnsi" w:cstheme="minorBidi"/>
          <w:b w:val="0"/>
          <w:sz w:val="22"/>
          <w:szCs w:val="22"/>
        </w:rPr>
      </w:pPr>
      <w:r>
        <w:t>Order 69 — Paper, printing, notice, and copies</w:t>
      </w:r>
    </w:p>
    <w:p>
      <w:pPr>
        <w:pStyle w:val="TOC8"/>
        <w:rPr>
          <w:rFonts w:asciiTheme="minorHAnsi" w:eastAsiaTheme="minorEastAsia" w:hAnsiTheme="minorHAnsi" w:cstheme="minorBidi"/>
          <w:szCs w:val="22"/>
        </w:rPr>
      </w:pPr>
      <w:r>
        <w:t>1</w:t>
      </w:r>
      <w:r>
        <w:rPr>
          <w:snapToGrid w:val="0"/>
        </w:rPr>
        <w:t>.</w:t>
      </w:r>
      <w:r>
        <w:rPr>
          <w:snapToGrid w:val="0"/>
        </w:rPr>
        <w:tab/>
        <w:t>Printing of documents, rules as to</w:t>
      </w:r>
      <w:r>
        <w:tab/>
      </w:r>
      <w:r>
        <w:fldChar w:fldCharType="begin"/>
      </w:r>
      <w:r>
        <w:instrText xml:space="preserve"> PAGEREF _Toc163121595 \h </w:instrText>
      </w:r>
      <w:r>
        <w:fldChar w:fldCharType="separate"/>
      </w:r>
      <w:r>
        <w:t>488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Requirements as to documents prepared by parties</w:t>
      </w:r>
      <w:r>
        <w:tab/>
      </w:r>
      <w:r>
        <w:fldChar w:fldCharType="begin"/>
      </w:r>
      <w:r>
        <w:instrText xml:space="preserve"> PAGEREF _Toc163121596 \h </w:instrText>
      </w:r>
      <w:r>
        <w:fldChar w:fldCharType="separate"/>
      </w:r>
      <w:r>
        <w:t>488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Copies of documents for other parties</w:t>
      </w:r>
      <w:r>
        <w:tab/>
      </w:r>
      <w:r>
        <w:fldChar w:fldCharType="begin"/>
      </w:r>
      <w:r>
        <w:instrText xml:space="preserve"> PAGEREF _Toc163121597 \h </w:instrText>
      </w:r>
      <w:r>
        <w:fldChar w:fldCharType="separate"/>
      </w:r>
      <w:r>
        <w:t>491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Requirements as to copies</w:t>
      </w:r>
      <w:r>
        <w:tab/>
      </w:r>
      <w:r>
        <w:fldChar w:fldCharType="begin"/>
      </w:r>
      <w:r>
        <w:instrText xml:space="preserve"> PAGEREF _Toc163121598 \h </w:instrText>
      </w:r>
      <w:r>
        <w:fldChar w:fldCharType="separate"/>
      </w:r>
      <w:r>
        <w:t>491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Copies of affidavits on certain </w:t>
      </w:r>
      <w:r>
        <w:rPr>
          <w:i/>
          <w:snapToGrid w:val="0"/>
        </w:rPr>
        <w:t>ex parte</w:t>
      </w:r>
      <w:r>
        <w:rPr>
          <w:snapToGrid w:val="0"/>
        </w:rPr>
        <w:t xml:space="preserve"> applications</w:t>
      </w:r>
      <w:r>
        <w:tab/>
      </w:r>
      <w:r>
        <w:fldChar w:fldCharType="begin"/>
      </w:r>
      <w:r>
        <w:instrText xml:space="preserve"> PAGEREF _Toc163121599 \h </w:instrText>
      </w:r>
      <w:r>
        <w:fldChar w:fldCharType="separate"/>
      </w:r>
      <w:r>
        <w:t>492</w:t>
      </w:r>
      <w:r>
        <w:fldChar w:fldCharType="end"/>
      </w:r>
    </w:p>
    <w:p>
      <w:pPr>
        <w:pStyle w:val="TOC2"/>
        <w:tabs>
          <w:tab w:val="right" w:leader="dot" w:pos="7077"/>
        </w:tabs>
        <w:rPr>
          <w:rFonts w:asciiTheme="minorHAnsi" w:eastAsiaTheme="minorEastAsia" w:hAnsiTheme="minorHAnsi" w:cstheme="minorBidi"/>
          <w:b w:val="0"/>
          <w:sz w:val="22"/>
          <w:szCs w:val="22"/>
        </w:rPr>
      </w:pPr>
      <w:r>
        <w:t>Order 70 — Disability</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_Toc163121601 \h </w:instrText>
      </w:r>
      <w:r>
        <w:fldChar w:fldCharType="separate"/>
      </w:r>
      <w:r>
        <w:t>493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Persons under disability suing or defending</w:t>
      </w:r>
      <w:r>
        <w:tab/>
      </w:r>
      <w:r>
        <w:fldChar w:fldCharType="begin"/>
      </w:r>
      <w:r>
        <w:instrText xml:space="preserve"> PAGEREF _Toc163121602 \h </w:instrText>
      </w:r>
      <w:r>
        <w:fldChar w:fldCharType="separate"/>
      </w:r>
      <w:r>
        <w:t>493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Appointment of next friend or guardian </w:t>
      </w:r>
      <w:r>
        <w:rPr>
          <w:i/>
          <w:snapToGrid w:val="0"/>
        </w:rPr>
        <w:t>ad litem</w:t>
      </w:r>
      <w:r>
        <w:tab/>
      </w:r>
      <w:r>
        <w:fldChar w:fldCharType="begin"/>
      </w:r>
      <w:r>
        <w:instrText xml:space="preserve"> PAGEREF _Toc163121603 \h </w:instrText>
      </w:r>
      <w:r>
        <w:fldChar w:fldCharType="separate"/>
      </w:r>
      <w:r>
        <w:t>495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Special provisions for probate actions</w:t>
      </w:r>
      <w:r>
        <w:tab/>
      </w:r>
      <w:r>
        <w:fldChar w:fldCharType="begin"/>
      </w:r>
      <w:r>
        <w:instrText xml:space="preserve"> PAGEREF _Toc163121604 \h </w:instrText>
      </w:r>
      <w:r>
        <w:fldChar w:fldCharType="separate"/>
      </w:r>
      <w:r>
        <w:t>497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Procedure on no appearance by person under disability</w:t>
      </w:r>
      <w:r>
        <w:tab/>
      </w:r>
      <w:r>
        <w:fldChar w:fldCharType="begin"/>
      </w:r>
      <w:r>
        <w:instrText xml:space="preserve"> PAGEREF _Toc163121605 \h </w:instrText>
      </w:r>
      <w:r>
        <w:fldChar w:fldCharType="separate"/>
      </w:r>
      <w:r>
        <w:t>499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Time for application by person under disability to discharge or vary order under O. 18 r. 7</w:t>
      </w:r>
      <w:r>
        <w:tab/>
      </w:r>
      <w:r>
        <w:fldChar w:fldCharType="begin"/>
      </w:r>
      <w:r>
        <w:instrText xml:space="preserve"> PAGEREF _Toc163121606 \h </w:instrText>
      </w:r>
      <w:r>
        <w:fldChar w:fldCharType="separate"/>
      </w:r>
      <w:r>
        <w:t>501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Removal of next friend or guardian</w:t>
      </w:r>
      <w:r>
        <w:tab/>
      </w:r>
      <w:r>
        <w:fldChar w:fldCharType="begin"/>
      </w:r>
      <w:r>
        <w:instrText xml:space="preserve"> PAGEREF _Toc163121607 \h </w:instrText>
      </w:r>
      <w:r>
        <w:fldChar w:fldCharType="separate"/>
      </w:r>
      <w:r>
        <w:t>501</w:t>
      </w:r>
      <w:r>
        <w:fldChar w:fldCharType="end"/>
      </w:r>
    </w:p>
    <w:p>
      <w:pPr>
        <w:pStyle w:val="TOC8"/>
        <w:rPr>
          <w:rFonts w:asciiTheme="minorHAnsi" w:eastAsiaTheme="minorEastAsia" w:hAnsiTheme="minorHAnsi" w:cstheme="minorBidi"/>
          <w:szCs w:val="22"/>
        </w:rPr>
      </w:pPr>
      <w:r>
        <w:t>8.</w:t>
      </w:r>
      <w:r>
        <w:tab/>
        <w:t>No implied admission from pleading</w:t>
      </w:r>
      <w:r>
        <w:tab/>
      </w:r>
      <w:r>
        <w:fldChar w:fldCharType="begin"/>
      </w:r>
      <w:r>
        <w:instrText xml:space="preserve"> PAGEREF _Toc163121608 \h </w:instrText>
      </w:r>
      <w:r>
        <w:fldChar w:fldCharType="separate"/>
      </w:r>
      <w:r>
        <w:t>501</w:t>
      </w:r>
      <w:r>
        <w:fldChar w:fldCharType="end"/>
      </w:r>
    </w:p>
    <w:p>
      <w:pPr>
        <w:pStyle w:val="TOC8"/>
        <w:rPr>
          <w:rFonts w:asciiTheme="minorHAnsi" w:eastAsiaTheme="minorEastAsia" w:hAnsiTheme="minorHAnsi" w:cstheme="minorBidi"/>
          <w:szCs w:val="22"/>
        </w:rPr>
      </w:pPr>
      <w:r>
        <w:lastRenderedPageBreak/>
        <w:t>9</w:t>
      </w:r>
      <w:r>
        <w:rPr>
          <w:snapToGrid w:val="0"/>
        </w:rPr>
        <w:t>.</w:t>
      </w:r>
      <w:r>
        <w:rPr>
          <w:snapToGrid w:val="0"/>
        </w:rPr>
        <w:tab/>
        <w:t>Discovery and interrogatories</w:t>
      </w:r>
      <w:r>
        <w:tab/>
      </w:r>
      <w:r>
        <w:fldChar w:fldCharType="begin"/>
      </w:r>
      <w:r>
        <w:instrText xml:space="preserve"> PAGEREF _Toc163121609 \h </w:instrText>
      </w:r>
      <w:r>
        <w:fldChar w:fldCharType="separate"/>
      </w:r>
      <w:r>
        <w:t>502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Settlement etc. of action by person under disability</w:t>
      </w:r>
      <w:r>
        <w:tab/>
      </w:r>
      <w:r>
        <w:fldChar w:fldCharType="begin"/>
      </w:r>
      <w:r>
        <w:instrText xml:space="preserve"> PAGEREF _Toc163121610 \h </w:instrText>
      </w:r>
      <w:r>
        <w:fldChar w:fldCharType="separate"/>
      </w:r>
      <w:r>
        <w:t>502</w:t>
      </w:r>
      <w:r>
        <w:fldChar w:fldCharType="end"/>
      </w:r>
    </w:p>
    <w:p>
      <w:pPr>
        <w:pStyle w:val="TOC8"/>
        <w:rPr>
          <w:rFonts w:asciiTheme="minorHAnsi" w:eastAsiaTheme="minorEastAsia" w:hAnsiTheme="minorHAnsi" w:cstheme="minorBidi"/>
          <w:szCs w:val="22"/>
        </w:rPr>
      </w:pPr>
      <w:r>
        <w:t>10A.</w:t>
      </w:r>
      <w:r>
        <w:tab/>
        <w:t>Settlement etc. of appeal by person under disability</w:t>
      </w:r>
      <w:r>
        <w:tab/>
      </w:r>
      <w:r>
        <w:fldChar w:fldCharType="begin"/>
      </w:r>
      <w:r>
        <w:instrText xml:space="preserve"> PAGEREF _Toc163121611 \h </w:instrText>
      </w:r>
      <w:r>
        <w:fldChar w:fldCharType="separate"/>
      </w:r>
      <w:r>
        <w:t>503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Settlement etc. before action commenced</w:t>
      </w:r>
      <w:r>
        <w:tab/>
      </w:r>
      <w:r>
        <w:fldChar w:fldCharType="begin"/>
      </w:r>
      <w:r>
        <w:instrText xml:space="preserve"> PAGEREF _Toc163121612 \h </w:instrText>
      </w:r>
      <w:r>
        <w:fldChar w:fldCharType="separate"/>
      </w:r>
      <w:r>
        <w:t>503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Control of money recovered for person under disability</w:t>
      </w:r>
      <w:r>
        <w:tab/>
      </w:r>
      <w:r>
        <w:fldChar w:fldCharType="begin"/>
      </w:r>
      <w:r>
        <w:instrText xml:space="preserve"> PAGEREF _Toc163121613 \h </w:instrText>
      </w:r>
      <w:r>
        <w:fldChar w:fldCharType="separate"/>
      </w:r>
      <w:r>
        <w:t>503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Personal service on person under disability</w:t>
      </w:r>
      <w:r>
        <w:tab/>
      </w:r>
      <w:r>
        <w:fldChar w:fldCharType="begin"/>
      </w:r>
      <w:r>
        <w:instrText xml:space="preserve"> PAGEREF _Toc163121614 \h </w:instrText>
      </w:r>
      <w:r>
        <w:fldChar w:fldCharType="separate"/>
      </w:r>
      <w:r>
        <w:t>504</w:t>
      </w:r>
      <w:r>
        <w:fldChar w:fldCharType="end"/>
      </w:r>
    </w:p>
    <w:p>
      <w:pPr>
        <w:pStyle w:val="TOC2"/>
        <w:tabs>
          <w:tab w:val="right" w:leader="dot" w:pos="7077"/>
        </w:tabs>
        <w:rPr>
          <w:rFonts w:asciiTheme="minorHAnsi" w:eastAsiaTheme="minorEastAsia" w:hAnsiTheme="minorHAnsi" w:cstheme="minorBidi"/>
          <w:b w:val="0"/>
          <w:sz w:val="22"/>
          <w:szCs w:val="22"/>
        </w:rPr>
      </w:pPr>
      <w:r>
        <w:t>Order 71 — Partners, business names</w:t>
      </w:r>
    </w:p>
    <w:p>
      <w:pPr>
        <w:pStyle w:val="TOC8"/>
        <w:rPr>
          <w:rFonts w:asciiTheme="minorHAnsi" w:eastAsiaTheme="minorEastAsia" w:hAnsiTheme="minorHAnsi" w:cstheme="minorBidi"/>
          <w:szCs w:val="22"/>
        </w:rPr>
      </w:pPr>
      <w:r>
        <w:t>1</w:t>
      </w:r>
      <w:r>
        <w:rPr>
          <w:snapToGrid w:val="0"/>
        </w:rPr>
        <w:t>.</w:t>
      </w:r>
      <w:r>
        <w:rPr>
          <w:snapToGrid w:val="0"/>
        </w:rPr>
        <w:tab/>
        <w:t>Partners may sue or be sued in name of firm</w:t>
      </w:r>
      <w:r>
        <w:tab/>
      </w:r>
      <w:r>
        <w:fldChar w:fldCharType="begin"/>
      </w:r>
      <w:r>
        <w:instrText xml:space="preserve"> PAGEREF _Toc163121616 \h </w:instrText>
      </w:r>
      <w:r>
        <w:fldChar w:fldCharType="separate"/>
      </w:r>
      <w:r>
        <w:t>506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Disclosure of partners’ names</w:t>
      </w:r>
      <w:r>
        <w:tab/>
      </w:r>
      <w:r>
        <w:fldChar w:fldCharType="begin"/>
      </w:r>
      <w:r>
        <w:instrText xml:space="preserve"> PAGEREF _Toc163121617 \h </w:instrText>
      </w:r>
      <w:r>
        <w:fldChar w:fldCharType="separate"/>
      </w:r>
      <w:r>
        <w:t>506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Service on firm</w:t>
      </w:r>
      <w:r>
        <w:tab/>
      </w:r>
      <w:r>
        <w:fldChar w:fldCharType="begin"/>
      </w:r>
      <w:r>
        <w:instrText xml:space="preserve"> PAGEREF _Toc163121618 \h </w:instrText>
      </w:r>
      <w:r>
        <w:fldChar w:fldCharType="separate"/>
      </w:r>
      <w:r>
        <w:t>507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Person served under r. 3 to be notified of character in which he is served</w:t>
      </w:r>
      <w:r>
        <w:tab/>
      </w:r>
      <w:r>
        <w:fldChar w:fldCharType="begin"/>
      </w:r>
      <w:r>
        <w:instrText xml:space="preserve"> PAGEREF _Toc163121619 \h </w:instrText>
      </w:r>
      <w:r>
        <w:fldChar w:fldCharType="separate"/>
      </w:r>
      <w:r>
        <w:t>507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Appearance of partners</w:t>
      </w:r>
      <w:r>
        <w:tab/>
      </w:r>
      <w:r>
        <w:fldChar w:fldCharType="begin"/>
      </w:r>
      <w:r>
        <w:instrText xml:space="preserve"> PAGEREF _Toc163121620 \h </w:instrText>
      </w:r>
      <w:r>
        <w:fldChar w:fldCharType="separate"/>
      </w:r>
      <w:r>
        <w:t>508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No appearance except by partners</w:t>
      </w:r>
      <w:r>
        <w:tab/>
      </w:r>
      <w:r>
        <w:fldChar w:fldCharType="begin"/>
      </w:r>
      <w:r>
        <w:instrText xml:space="preserve"> PAGEREF _Toc163121621 \h </w:instrText>
      </w:r>
      <w:r>
        <w:fldChar w:fldCharType="separate"/>
      </w:r>
      <w:r>
        <w:t>508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Appearance under protest of person served as partner</w:t>
      </w:r>
      <w:r>
        <w:tab/>
      </w:r>
      <w:r>
        <w:fldChar w:fldCharType="begin"/>
      </w:r>
      <w:r>
        <w:instrText xml:space="preserve"> PAGEREF _Toc163121622 \h </w:instrText>
      </w:r>
      <w:r>
        <w:fldChar w:fldCharType="separate"/>
      </w:r>
      <w:r>
        <w:t>508</w:t>
      </w:r>
      <w:r>
        <w:fldChar w:fldCharType="end"/>
      </w:r>
    </w:p>
    <w:p>
      <w:pPr>
        <w:pStyle w:val="TOC8"/>
        <w:rPr>
          <w:rFonts w:asciiTheme="minorHAnsi" w:eastAsiaTheme="minorEastAsia" w:hAnsiTheme="minorHAnsi" w:cstheme="minorBidi"/>
          <w:szCs w:val="22"/>
        </w:rPr>
      </w:pPr>
      <w:r>
        <w:t>9.</w:t>
      </w:r>
      <w:r>
        <w:tab/>
        <w:t>Rules 1 to 7 apply also to some actions between firm and its members etc.</w:t>
      </w:r>
      <w:r>
        <w:tab/>
      </w:r>
      <w:r>
        <w:fldChar w:fldCharType="begin"/>
      </w:r>
      <w:r>
        <w:instrText xml:space="preserve"> PAGEREF _Toc163121623 \h </w:instrText>
      </w:r>
      <w:r>
        <w:fldChar w:fldCharType="separate"/>
      </w:r>
      <w:r>
        <w:t>509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Rules 2 to 9 apply to proceedings begun by originating summons</w:t>
      </w:r>
      <w:r>
        <w:tab/>
      </w:r>
      <w:r>
        <w:fldChar w:fldCharType="begin"/>
      </w:r>
      <w:r>
        <w:instrText xml:space="preserve"> PAGEREF _Toc163121624 \h </w:instrText>
      </w:r>
      <w:r>
        <w:fldChar w:fldCharType="separate"/>
      </w:r>
      <w:r>
        <w:t>509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 to person using business name</w:t>
      </w:r>
      <w:r>
        <w:tab/>
      </w:r>
      <w:r>
        <w:fldChar w:fldCharType="begin"/>
      </w:r>
      <w:r>
        <w:instrText xml:space="preserve"> PAGEREF _Toc163121625 \h </w:instrText>
      </w:r>
      <w:r>
        <w:fldChar w:fldCharType="separate"/>
      </w:r>
      <w:r>
        <w:t>509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Application to charge partner’s interest in partnership etc.</w:t>
      </w:r>
      <w:r>
        <w:tab/>
      </w:r>
      <w:r>
        <w:fldChar w:fldCharType="begin"/>
      </w:r>
      <w:r>
        <w:instrText xml:space="preserve"> PAGEREF _Toc163121626 \h </w:instrText>
      </w:r>
      <w:r>
        <w:fldChar w:fldCharType="separate"/>
      </w:r>
      <w:r>
        <w:t>510</w:t>
      </w:r>
      <w:r>
        <w:fldChar w:fldCharType="end"/>
      </w:r>
    </w:p>
    <w:p>
      <w:pPr>
        <w:pStyle w:val="TOC2"/>
        <w:tabs>
          <w:tab w:val="right" w:leader="dot" w:pos="7077"/>
        </w:tabs>
        <w:rPr>
          <w:rFonts w:asciiTheme="minorHAnsi" w:eastAsiaTheme="minorEastAsia" w:hAnsiTheme="minorHAnsi" w:cstheme="minorBidi"/>
          <w:b w:val="0"/>
          <w:sz w:val="22"/>
          <w:szCs w:val="22"/>
        </w:rPr>
      </w:pPr>
      <w:r>
        <w:t>Order 71A</w:t>
      </w:r>
      <w:r>
        <w:rPr>
          <w:b w:val="0"/>
        </w:rPr>
        <w:t> </w:t>
      </w:r>
      <w:r>
        <w:t>—</w:t>
      </w:r>
      <w:r>
        <w:rPr>
          <w:b w:val="0"/>
        </w:rPr>
        <w:t> </w:t>
      </w:r>
      <w:r>
        <w:t>Contact details of parties and others</w:t>
      </w:r>
    </w:p>
    <w:p>
      <w:pPr>
        <w:pStyle w:val="TOC8"/>
        <w:rPr>
          <w:rFonts w:asciiTheme="minorHAnsi" w:eastAsiaTheme="minorEastAsia" w:hAnsiTheme="minorHAnsi" w:cstheme="minorBidi"/>
          <w:szCs w:val="22"/>
        </w:rPr>
      </w:pPr>
      <w:r>
        <w:t>1.</w:t>
      </w:r>
      <w:r>
        <w:tab/>
        <w:t>Addresses of places, requirements for</w:t>
      </w:r>
      <w:r>
        <w:tab/>
      </w:r>
      <w:r>
        <w:fldChar w:fldCharType="begin"/>
      </w:r>
      <w:r>
        <w:instrText xml:space="preserve"> PAGEREF _Toc163121628 \h </w:instrText>
      </w:r>
      <w:r>
        <w:fldChar w:fldCharType="separate"/>
      </w:r>
      <w:r>
        <w:t>511</w:t>
      </w:r>
      <w:r>
        <w:fldChar w:fldCharType="end"/>
      </w:r>
    </w:p>
    <w:p>
      <w:pPr>
        <w:pStyle w:val="TOC8"/>
        <w:rPr>
          <w:rFonts w:asciiTheme="minorHAnsi" w:eastAsiaTheme="minorEastAsia" w:hAnsiTheme="minorHAnsi" w:cstheme="minorBidi"/>
          <w:szCs w:val="22"/>
        </w:rPr>
      </w:pPr>
      <w:r>
        <w:t>2.</w:t>
      </w:r>
      <w:r>
        <w:tab/>
        <w:t>Geographical addresses</w:t>
      </w:r>
      <w:r>
        <w:tab/>
      </w:r>
      <w:r>
        <w:fldChar w:fldCharType="begin"/>
      </w:r>
      <w:r>
        <w:instrText xml:space="preserve"> PAGEREF _Toc163121629 \h </w:instrText>
      </w:r>
      <w:r>
        <w:fldChar w:fldCharType="separate"/>
      </w:r>
      <w:r>
        <w:t>511</w:t>
      </w:r>
      <w:r>
        <w:fldChar w:fldCharType="end"/>
      </w:r>
    </w:p>
    <w:p>
      <w:pPr>
        <w:pStyle w:val="TOC8"/>
        <w:rPr>
          <w:rFonts w:asciiTheme="minorHAnsi" w:eastAsiaTheme="minorEastAsia" w:hAnsiTheme="minorHAnsi" w:cstheme="minorBidi"/>
          <w:szCs w:val="22"/>
        </w:rPr>
      </w:pPr>
      <w:r>
        <w:t>3A.</w:t>
      </w:r>
      <w:r>
        <w:tab/>
        <w:t>Court may dispense with requirement to state geographical address</w:t>
      </w:r>
      <w:r>
        <w:tab/>
      </w:r>
      <w:r>
        <w:fldChar w:fldCharType="begin"/>
      </w:r>
      <w:r>
        <w:instrText xml:space="preserve"> PAGEREF _Toc163121630 \h </w:instrText>
      </w:r>
      <w:r>
        <w:fldChar w:fldCharType="separate"/>
      </w:r>
      <w:r>
        <w:t>512</w:t>
      </w:r>
      <w:r>
        <w:fldChar w:fldCharType="end"/>
      </w:r>
    </w:p>
    <w:p>
      <w:pPr>
        <w:pStyle w:val="TOC8"/>
        <w:rPr>
          <w:rFonts w:asciiTheme="minorHAnsi" w:eastAsiaTheme="minorEastAsia" w:hAnsiTheme="minorHAnsi" w:cstheme="minorBidi"/>
          <w:szCs w:val="22"/>
        </w:rPr>
      </w:pPr>
      <w:r>
        <w:t>3.</w:t>
      </w:r>
      <w:r>
        <w:tab/>
        <w:t>Service details, meaning of</w:t>
      </w:r>
      <w:r>
        <w:tab/>
      </w:r>
      <w:r>
        <w:fldChar w:fldCharType="begin"/>
      </w:r>
      <w:r>
        <w:instrText xml:space="preserve"> PAGEREF _Toc163121631 \h </w:instrText>
      </w:r>
      <w:r>
        <w:fldChar w:fldCharType="separate"/>
      </w:r>
      <w:r>
        <w:t>513</w:t>
      </w:r>
      <w:r>
        <w:fldChar w:fldCharType="end"/>
      </w:r>
    </w:p>
    <w:p>
      <w:pPr>
        <w:pStyle w:val="TOC8"/>
        <w:rPr>
          <w:rFonts w:asciiTheme="minorHAnsi" w:eastAsiaTheme="minorEastAsia" w:hAnsiTheme="minorHAnsi" w:cstheme="minorBidi"/>
          <w:szCs w:val="22"/>
        </w:rPr>
      </w:pPr>
      <w:r>
        <w:t>4.</w:t>
      </w:r>
      <w:r>
        <w:tab/>
        <w:t>Documents without contact details to be rejected</w:t>
      </w:r>
      <w:r>
        <w:tab/>
      </w:r>
      <w:r>
        <w:fldChar w:fldCharType="begin"/>
      </w:r>
      <w:r>
        <w:instrText xml:space="preserve"> PAGEREF _Toc163121632 \h </w:instrText>
      </w:r>
      <w:r>
        <w:fldChar w:fldCharType="separate"/>
      </w:r>
      <w:r>
        <w:t>514</w:t>
      </w:r>
      <w:r>
        <w:fldChar w:fldCharType="end"/>
      </w:r>
    </w:p>
    <w:p>
      <w:pPr>
        <w:pStyle w:val="TOC8"/>
        <w:rPr>
          <w:rFonts w:asciiTheme="minorHAnsi" w:eastAsiaTheme="minorEastAsia" w:hAnsiTheme="minorHAnsi" w:cstheme="minorBidi"/>
          <w:szCs w:val="22"/>
        </w:rPr>
      </w:pPr>
      <w:r>
        <w:t>5.</w:t>
      </w:r>
      <w:r>
        <w:tab/>
        <w:t>Changes of information to be notified</w:t>
      </w:r>
      <w:r>
        <w:tab/>
      </w:r>
      <w:r>
        <w:fldChar w:fldCharType="begin"/>
      </w:r>
      <w:r>
        <w:instrText xml:space="preserve"> PAGEREF _Toc163121633 \h </w:instrText>
      </w:r>
      <w:r>
        <w:fldChar w:fldCharType="separate"/>
      </w:r>
      <w:r>
        <w:t>515</w:t>
      </w:r>
      <w:r>
        <w:fldChar w:fldCharType="end"/>
      </w:r>
    </w:p>
    <w:p>
      <w:pPr>
        <w:pStyle w:val="TOC8"/>
        <w:rPr>
          <w:rFonts w:asciiTheme="minorHAnsi" w:eastAsiaTheme="minorEastAsia" w:hAnsiTheme="minorHAnsi" w:cstheme="minorBidi"/>
          <w:szCs w:val="22"/>
        </w:rPr>
      </w:pPr>
      <w:r>
        <w:t>6.</w:t>
      </w:r>
      <w:r>
        <w:tab/>
        <w:t>Fictitious details in documents, court powers as to</w:t>
      </w:r>
      <w:r>
        <w:tab/>
      </w:r>
      <w:r>
        <w:fldChar w:fldCharType="begin"/>
      </w:r>
      <w:r>
        <w:instrText xml:space="preserve"> PAGEREF _Toc163121634 \h </w:instrText>
      </w:r>
      <w:r>
        <w:fldChar w:fldCharType="separate"/>
      </w:r>
      <w:r>
        <w:t>515</w:t>
      </w:r>
      <w:r>
        <w:fldChar w:fldCharType="end"/>
      </w:r>
    </w:p>
    <w:p>
      <w:pPr>
        <w:pStyle w:val="TOC2"/>
        <w:tabs>
          <w:tab w:val="right" w:leader="dot" w:pos="7077"/>
        </w:tabs>
        <w:rPr>
          <w:rFonts w:asciiTheme="minorHAnsi" w:eastAsiaTheme="minorEastAsia" w:hAnsiTheme="minorHAnsi" w:cstheme="minorBidi"/>
          <w:b w:val="0"/>
          <w:sz w:val="22"/>
          <w:szCs w:val="22"/>
        </w:rPr>
      </w:pPr>
      <w:r>
        <w:t>Order 72 — Service of documents</w:t>
      </w:r>
    </w:p>
    <w:p>
      <w:pPr>
        <w:pStyle w:val="TOC8"/>
        <w:rPr>
          <w:rFonts w:asciiTheme="minorHAnsi" w:eastAsiaTheme="minorEastAsia" w:hAnsiTheme="minorHAnsi" w:cstheme="minorBidi"/>
          <w:szCs w:val="22"/>
        </w:rPr>
      </w:pPr>
      <w:r>
        <w:t>1</w:t>
      </w:r>
      <w:r>
        <w:rPr>
          <w:snapToGrid w:val="0"/>
        </w:rPr>
        <w:t>.</w:t>
      </w:r>
      <w:r>
        <w:rPr>
          <w:snapToGrid w:val="0"/>
        </w:rPr>
        <w:tab/>
        <w:t>When personal service required</w:t>
      </w:r>
      <w:r>
        <w:tab/>
      </w:r>
      <w:r>
        <w:fldChar w:fldCharType="begin"/>
      </w:r>
      <w:r>
        <w:instrText xml:space="preserve"> PAGEREF _Toc163121636 \h </w:instrText>
      </w:r>
      <w:r>
        <w:fldChar w:fldCharType="separate"/>
      </w:r>
      <w:r>
        <w:t>516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Personal service on individual</w:t>
      </w:r>
      <w:r>
        <w:tab/>
      </w:r>
      <w:r>
        <w:fldChar w:fldCharType="begin"/>
      </w:r>
      <w:r>
        <w:instrText xml:space="preserve"> PAGEREF _Toc163121637 \h </w:instrText>
      </w:r>
      <w:r>
        <w:fldChar w:fldCharType="separate"/>
      </w:r>
      <w:r>
        <w:t>516</w:t>
      </w:r>
      <w:r>
        <w:fldChar w:fldCharType="end"/>
      </w:r>
    </w:p>
    <w:p>
      <w:pPr>
        <w:pStyle w:val="TOC8"/>
        <w:rPr>
          <w:rFonts w:asciiTheme="minorHAnsi" w:eastAsiaTheme="minorEastAsia" w:hAnsiTheme="minorHAnsi" w:cstheme="minorBidi"/>
          <w:szCs w:val="22"/>
        </w:rPr>
      </w:pPr>
      <w:r>
        <w:lastRenderedPageBreak/>
        <w:t>3</w:t>
      </w:r>
      <w:r>
        <w:rPr>
          <w:snapToGrid w:val="0"/>
        </w:rPr>
        <w:t>.</w:t>
      </w:r>
      <w:r>
        <w:rPr>
          <w:snapToGrid w:val="0"/>
        </w:rPr>
        <w:tab/>
        <w:t>Personal service on body corporate</w:t>
      </w:r>
      <w:r>
        <w:tab/>
      </w:r>
      <w:r>
        <w:fldChar w:fldCharType="begin"/>
      </w:r>
      <w:r>
        <w:instrText xml:space="preserve"> PAGEREF _Toc163121638 \h </w:instrText>
      </w:r>
      <w:r>
        <w:fldChar w:fldCharType="separate"/>
      </w:r>
      <w:r>
        <w:t>516</w:t>
      </w:r>
      <w:r>
        <w:fldChar w:fldCharType="end"/>
      </w:r>
    </w:p>
    <w:p>
      <w:pPr>
        <w:pStyle w:val="TOC8"/>
        <w:rPr>
          <w:rFonts w:asciiTheme="minorHAnsi" w:eastAsiaTheme="minorEastAsia" w:hAnsiTheme="minorHAnsi" w:cstheme="minorBidi"/>
          <w:szCs w:val="22"/>
        </w:rPr>
      </w:pPr>
      <w:r>
        <w:t>3A.</w:t>
      </w:r>
      <w:r>
        <w:tab/>
        <w:t>Personal service on State</w:t>
      </w:r>
      <w:r>
        <w:tab/>
      </w:r>
      <w:r>
        <w:fldChar w:fldCharType="begin"/>
      </w:r>
      <w:r>
        <w:instrText xml:space="preserve"> PAGEREF _Toc163121639 \h </w:instrText>
      </w:r>
      <w:r>
        <w:fldChar w:fldCharType="separate"/>
      </w:r>
      <w:r>
        <w:t>517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Substituted service</w:t>
      </w:r>
      <w:r>
        <w:tab/>
      </w:r>
      <w:r>
        <w:fldChar w:fldCharType="begin"/>
      </w:r>
      <w:r>
        <w:instrText xml:space="preserve"> PAGEREF _Toc163121640 \h </w:instrText>
      </w:r>
      <w:r>
        <w:fldChar w:fldCharType="separate"/>
      </w:r>
      <w:r>
        <w:t>517</w:t>
      </w:r>
      <w:r>
        <w:fldChar w:fldCharType="end"/>
      </w:r>
    </w:p>
    <w:p>
      <w:pPr>
        <w:pStyle w:val="TOC8"/>
        <w:rPr>
          <w:rFonts w:asciiTheme="minorHAnsi" w:eastAsiaTheme="minorEastAsia" w:hAnsiTheme="minorHAnsi" w:cstheme="minorBidi"/>
          <w:szCs w:val="22"/>
        </w:rPr>
      </w:pPr>
      <w:r>
        <w:t>5.</w:t>
      </w:r>
      <w:r>
        <w:tab/>
        <w:t>Ordinary service, how effected</w:t>
      </w:r>
      <w:r>
        <w:tab/>
      </w:r>
      <w:r>
        <w:fldChar w:fldCharType="begin"/>
      </w:r>
      <w:r>
        <w:instrText xml:space="preserve"> PAGEREF _Toc163121641 \h </w:instrText>
      </w:r>
      <w:r>
        <w:fldChar w:fldCharType="separate"/>
      </w:r>
      <w:r>
        <w:t>517</w:t>
      </w:r>
      <w:r>
        <w:fldChar w:fldCharType="end"/>
      </w:r>
    </w:p>
    <w:p>
      <w:pPr>
        <w:pStyle w:val="TOC8"/>
        <w:rPr>
          <w:rFonts w:asciiTheme="minorHAnsi" w:eastAsiaTheme="minorEastAsia" w:hAnsiTheme="minorHAnsi" w:cstheme="minorBidi"/>
          <w:szCs w:val="22"/>
        </w:rPr>
      </w:pPr>
      <w:r>
        <w:t>5A.</w:t>
      </w:r>
      <w:r>
        <w:tab/>
        <w:t>Ordinary service, when effected</w:t>
      </w:r>
      <w:r>
        <w:tab/>
      </w:r>
      <w:r>
        <w:fldChar w:fldCharType="begin"/>
      </w:r>
      <w:r>
        <w:instrText xml:space="preserve"> PAGEREF _Toc163121642 \h </w:instrText>
      </w:r>
      <w:r>
        <w:fldChar w:fldCharType="separate"/>
      </w:r>
      <w:r>
        <w:t>519</w:t>
      </w:r>
      <w:r>
        <w:fldChar w:fldCharType="end"/>
      </w:r>
    </w:p>
    <w:p>
      <w:pPr>
        <w:pStyle w:val="TOC8"/>
        <w:rPr>
          <w:rFonts w:asciiTheme="minorHAnsi" w:eastAsiaTheme="minorEastAsia" w:hAnsiTheme="minorHAnsi" w:cstheme="minorBidi"/>
          <w:szCs w:val="22"/>
        </w:rPr>
      </w:pPr>
      <w:r>
        <w:t>6.</w:t>
      </w:r>
      <w:r>
        <w:tab/>
        <w:t>Service of documents by Court</w:t>
      </w:r>
      <w:r>
        <w:tab/>
      </w:r>
      <w:r>
        <w:fldChar w:fldCharType="begin"/>
      </w:r>
      <w:r>
        <w:instrText xml:space="preserve"> PAGEREF _Toc163121643 \h </w:instrText>
      </w:r>
      <w:r>
        <w:fldChar w:fldCharType="separate"/>
      </w:r>
      <w:r>
        <w:t>520</w:t>
      </w:r>
      <w:r>
        <w:fldChar w:fldCharType="end"/>
      </w:r>
    </w:p>
    <w:p>
      <w:pPr>
        <w:pStyle w:val="TOC8"/>
        <w:rPr>
          <w:rFonts w:asciiTheme="minorHAnsi" w:eastAsiaTheme="minorEastAsia" w:hAnsiTheme="minorHAnsi" w:cstheme="minorBidi"/>
          <w:szCs w:val="22"/>
        </w:rPr>
      </w:pPr>
      <w:r>
        <w:t>6A.</w:t>
      </w:r>
      <w:r>
        <w:tab/>
        <w:t>Serving documents by email</w:t>
      </w:r>
      <w:r>
        <w:tab/>
      </w:r>
      <w:r>
        <w:fldChar w:fldCharType="begin"/>
      </w:r>
      <w:r>
        <w:instrText xml:space="preserve"> PAGEREF _Toc163121644 \h </w:instrText>
      </w:r>
      <w:r>
        <w:fldChar w:fldCharType="separate"/>
      </w:r>
      <w:r>
        <w:t>521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Affidavits of service, content of</w:t>
      </w:r>
      <w:r>
        <w:tab/>
      </w:r>
      <w:r>
        <w:fldChar w:fldCharType="begin"/>
      </w:r>
      <w:r>
        <w:instrText xml:space="preserve"> PAGEREF _Toc163121645 \h </w:instrText>
      </w:r>
      <w:r>
        <w:fldChar w:fldCharType="separate"/>
      </w:r>
      <w:r>
        <w:t>521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 service required in certain cases</w:t>
      </w:r>
      <w:r>
        <w:tab/>
      </w:r>
      <w:r>
        <w:fldChar w:fldCharType="begin"/>
      </w:r>
      <w:r>
        <w:instrText xml:space="preserve"> PAGEREF _Toc163121646 \h </w:instrText>
      </w:r>
      <w:r>
        <w:fldChar w:fldCharType="separate"/>
      </w:r>
      <w:r>
        <w:t>521</w:t>
      </w:r>
      <w:r>
        <w:fldChar w:fldCharType="end"/>
      </w:r>
    </w:p>
    <w:p>
      <w:pPr>
        <w:pStyle w:val="TOC2"/>
        <w:tabs>
          <w:tab w:val="right" w:leader="dot" w:pos="7077"/>
        </w:tabs>
        <w:rPr>
          <w:rFonts w:asciiTheme="minorHAnsi" w:eastAsiaTheme="minorEastAsia" w:hAnsiTheme="minorHAnsi" w:cstheme="minorBidi"/>
          <w:b w:val="0"/>
          <w:sz w:val="22"/>
          <w:szCs w:val="22"/>
        </w:rPr>
      </w:pPr>
      <w:r>
        <w:t>Order 73 — Probate proceedings</w:t>
      </w:r>
    </w:p>
    <w:p>
      <w:pPr>
        <w:pStyle w:val="TOC8"/>
        <w:rPr>
          <w:rFonts w:asciiTheme="minorHAnsi" w:eastAsiaTheme="minorEastAsia" w:hAnsiTheme="minorHAnsi" w:cstheme="minorBidi"/>
          <w:szCs w:val="22"/>
        </w:rPr>
      </w:pPr>
      <w:r>
        <w:t>1</w:t>
      </w:r>
      <w:r>
        <w:rPr>
          <w:snapToGrid w:val="0"/>
        </w:rPr>
        <w:t>.</w:t>
      </w:r>
      <w:r>
        <w:rPr>
          <w:snapToGrid w:val="0"/>
        </w:rPr>
        <w:tab/>
        <w:t>Application of this Order and terms used</w:t>
      </w:r>
      <w:r>
        <w:tab/>
      </w:r>
      <w:r>
        <w:fldChar w:fldCharType="begin"/>
      </w:r>
      <w:r>
        <w:instrText xml:space="preserve"> PAGEREF _Toc163121648 \h </w:instrText>
      </w:r>
      <w:r>
        <w:fldChar w:fldCharType="separate"/>
      </w:r>
      <w:r>
        <w:t>522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Commencing probate action</w:t>
      </w:r>
      <w:r>
        <w:tab/>
      </w:r>
      <w:r>
        <w:fldChar w:fldCharType="begin"/>
      </w:r>
      <w:r>
        <w:instrText xml:space="preserve"> PAGEREF _Toc163121649 \h </w:instrText>
      </w:r>
      <w:r>
        <w:fldChar w:fldCharType="separate"/>
      </w:r>
      <w:r>
        <w:t>522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Intervention by person who is not defendant</w:t>
      </w:r>
      <w:r>
        <w:tab/>
      </w:r>
      <w:r>
        <w:fldChar w:fldCharType="begin"/>
      </w:r>
      <w:r>
        <w:instrText xml:space="preserve"> PAGEREF _Toc163121650 \h </w:instrText>
      </w:r>
      <w:r>
        <w:fldChar w:fldCharType="separate"/>
      </w:r>
      <w:r>
        <w:t>523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Citation against non-party with adverse interest</w:t>
      </w:r>
      <w:r>
        <w:tab/>
      </w:r>
      <w:r>
        <w:fldChar w:fldCharType="begin"/>
      </w:r>
      <w:r>
        <w:instrText xml:space="preserve"> PAGEREF _Toc163121651 \h </w:instrText>
      </w:r>
      <w:r>
        <w:fldChar w:fldCharType="separate"/>
      </w:r>
      <w:r>
        <w:t>523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Person cited failing to appear</w:t>
      </w:r>
      <w:r>
        <w:tab/>
      </w:r>
      <w:r>
        <w:fldChar w:fldCharType="begin"/>
      </w:r>
      <w:r>
        <w:instrText xml:space="preserve"> PAGEREF _Toc163121652 \h </w:instrText>
      </w:r>
      <w:r>
        <w:fldChar w:fldCharType="separate"/>
      </w:r>
      <w:r>
        <w:t>523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Entry of appearance</w:t>
      </w:r>
      <w:r>
        <w:tab/>
      </w:r>
      <w:r>
        <w:fldChar w:fldCharType="begin"/>
      </w:r>
      <w:r>
        <w:instrText xml:space="preserve"> PAGEREF _Toc163121653 \h </w:instrText>
      </w:r>
      <w:r>
        <w:fldChar w:fldCharType="separate"/>
      </w:r>
      <w:r>
        <w:t>524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Citation to executor etc. to bring in probate etc.</w:t>
      </w:r>
      <w:r>
        <w:tab/>
      </w:r>
      <w:r>
        <w:fldChar w:fldCharType="begin"/>
      </w:r>
      <w:r>
        <w:instrText xml:space="preserve"> PAGEREF _Toc163121654 \h </w:instrText>
      </w:r>
      <w:r>
        <w:fldChar w:fldCharType="separate"/>
      </w:r>
      <w:r>
        <w:t>524</w:t>
      </w:r>
      <w:r>
        <w:fldChar w:fldCharType="end"/>
      </w:r>
    </w:p>
    <w:p>
      <w:pPr>
        <w:pStyle w:val="TOC8"/>
        <w:rPr>
          <w:rFonts w:asciiTheme="minorHAnsi" w:eastAsiaTheme="minorEastAsia" w:hAnsiTheme="minorHAnsi" w:cstheme="minorBidi"/>
          <w:szCs w:val="22"/>
        </w:rPr>
      </w:pPr>
      <w:r>
        <w:t>8A.</w:t>
      </w:r>
      <w:r>
        <w:tab/>
        <w:t>Applications to include draft citation</w:t>
      </w:r>
      <w:r>
        <w:tab/>
      </w:r>
      <w:r>
        <w:fldChar w:fldCharType="begin"/>
      </w:r>
      <w:r>
        <w:instrText xml:space="preserve"> PAGEREF _Toc163121655 \h </w:instrText>
      </w:r>
      <w:r>
        <w:fldChar w:fldCharType="separate"/>
      </w:r>
      <w:r>
        <w:t>524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Citations, issue of</w:t>
      </w:r>
      <w:r>
        <w:tab/>
      </w:r>
      <w:r>
        <w:fldChar w:fldCharType="begin"/>
      </w:r>
      <w:r>
        <w:instrText xml:space="preserve"> PAGEREF _Toc163121656 \h </w:instrText>
      </w:r>
      <w:r>
        <w:fldChar w:fldCharType="separate"/>
      </w:r>
      <w:r>
        <w:t>524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r>
      <w:r>
        <w:t>Service of citations</w:t>
      </w:r>
      <w:r>
        <w:tab/>
      </w:r>
      <w:r>
        <w:fldChar w:fldCharType="begin"/>
      </w:r>
      <w:r>
        <w:instrText xml:space="preserve"> PAGEREF _Toc163121657 \h </w:instrText>
      </w:r>
      <w:r>
        <w:fldChar w:fldCharType="separate"/>
      </w:r>
      <w:r>
        <w:t>525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Affidavit of scripts</w:t>
      </w:r>
      <w:r>
        <w:tab/>
      </w:r>
      <w:r>
        <w:fldChar w:fldCharType="begin"/>
      </w:r>
      <w:r>
        <w:instrText xml:space="preserve"> PAGEREF _Toc163121658 \h </w:instrText>
      </w:r>
      <w:r>
        <w:fldChar w:fldCharType="separate"/>
      </w:r>
      <w:r>
        <w:t>525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Scripts in pencil, affidavits as to; inspecting affidavits of scripts</w:t>
      </w:r>
      <w:r>
        <w:tab/>
      </w:r>
      <w:r>
        <w:fldChar w:fldCharType="begin"/>
      </w:r>
      <w:r>
        <w:instrText xml:space="preserve"> PAGEREF _Toc163121659 \h </w:instrText>
      </w:r>
      <w:r>
        <w:fldChar w:fldCharType="separate"/>
      </w:r>
      <w:r>
        <w:t>526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Default of appearance</w:t>
      </w:r>
      <w:r>
        <w:tab/>
      </w:r>
      <w:r>
        <w:fldChar w:fldCharType="begin"/>
      </w:r>
      <w:r>
        <w:instrText xml:space="preserve"> PAGEREF _Toc163121660 \h </w:instrText>
      </w:r>
      <w:r>
        <w:fldChar w:fldCharType="separate"/>
      </w:r>
      <w:r>
        <w:t>526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Counterclaim</w:t>
      </w:r>
      <w:r>
        <w:tab/>
      </w:r>
      <w:r>
        <w:fldChar w:fldCharType="begin"/>
      </w:r>
      <w:r>
        <w:instrText xml:space="preserve"> PAGEREF _Toc163121661 \h </w:instrText>
      </w:r>
      <w:r>
        <w:fldChar w:fldCharType="separate"/>
      </w:r>
      <w:r>
        <w:t>527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Defendant may require only proof in solemn form</w:t>
      </w:r>
      <w:r>
        <w:tab/>
      </w:r>
      <w:r>
        <w:fldChar w:fldCharType="begin"/>
      </w:r>
      <w:r>
        <w:instrText xml:space="preserve"> PAGEREF _Toc163121662 \h </w:instrText>
      </w:r>
      <w:r>
        <w:fldChar w:fldCharType="separate"/>
      </w:r>
      <w:r>
        <w:t>527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Pleadings</w:t>
      </w:r>
      <w:r>
        <w:tab/>
      </w:r>
      <w:r>
        <w:fldChar w:fldCharType="begin"/>
      </w:r>
      <w:r>
        <w:instrText xml:space="preserve"> PAGEREF _Toc163121663 \h </w:instrText>
      </w:r>
      <w:r>
        <w:fldChar w:fldCharType="separate"/>
      </w:r>
      <w:r>
        <w:t>528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Default of pleadings</w:t>
      </w:r>
      <w:r>
        <w:tab/>
      </w:r>
      <w:r>
        <w:fldChar w:fldCharType="begin"/>
      </w:r>
      <w:r>
        <w:instrText xml:space="preserve"> PAGEREF _Toc163121664 \h </w:instrText>
      </w:r>
      <w:r>
        <w:fldChar w:fldCharType="separate"/>
      </w:r>
      <w:r>
        <w:t>528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Discontinuance</w:t>
      </w:r>
      <w:r>
        <w:tab/>
      </w:r>
      <w:r>
        <w:fldChar w:fldCharType="begin"/>
      </w:r>
      <w:r>
        <w:instrText xml:space="preserve"> PAGEREF _Toc163121665 \h </w:instrText>
      </w:r>
      <w:r>
        <w:fldChar w:fldCharType="separate"/>
      </w:r>
      <w:r>
        <w:t>529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Compromise</w:t>
      </w:r>
      <w:r>
        <w:tab/>
      </w:r>
      <w:r>
        <w:fldChar w:fldCharType="begin"/>
      </w:r>
      <w:r>
        <w:instrText xml:space="preserve"> PAGEREF _Toc163121666 \h </w:instrText>
      </w:r>
      <w:r>
        <w:fldChar w:fldCharType="separate"/>
      </w:r>
      <w:r>
        <w:t>529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Orders etc. to bring in will etc.</w:t>
      </w:r>
      <w:r>
        <w:tab/>
      </w:r>
      <w:r>
        <w:fldChar w:fldCharType="begin"/>
      </w:r>
      <w:r>
        <w:instrText xml:space="preserve"> PAGEREF _Toc163121667 \h </w:instrText>
      </w:r>
      <w:r>
        <w:fldChar w:fldCharType="separate"/>
      </w:r>
      <w:r>
        <w:t>529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Applications, making</w:t>
      </w:r>
      <w:r>
        <w:tab/>
      </w:r>
      <w:r>
        <w:fldChar w:fldCharType="begin"/>
      </w:r>
      <w:r>
        <w:instrText xml:space="preserve"> PAGEREF _Toc163121668 \h </w:instrText>
      </w:r>
      <w:r>
        <w:fldChar w:fldCharType="separate"/>
      </w:r>
      <w:r>
        <w:t>530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Administrator or receiver appointed pending litigation</w:t>
      </w:r>
      <w:r>
        <w:tab/>
      </w:r>
      <w:r>
        <w:fldChar w:fldCharType="begin"/>
      </w:r>
      <w:r>
        <w:instrText xml:space="preserve"> PAGEREF _Toc163121669 \h </w:instrText>
      </w:r>
      <w:r>
        <w:fldChar w:fldCharType="separate"/>
      </w:r>
      <w:r>
        <w:t>530</w:t>
      </w:r>
      <w:r>
        <w:fldChar w:fldCharType="end"/>
      </w:r>
    </w:p>
    <w:p>
      <w:pPr>
        <w:pStyle w:val="TOC2"/>
        <w:tabs>
          <w:tab w:val="right" w:leader="dot" w:pos="7077"/>
        </w:tabs>
        <w:rPr>
          <w:rFonts w:asciiTheme="minorHAnsi" w:eastAsiaTheme="minorEastAsia" w:hAnsiTheme="minorHAnsi" w:cstheme="minorBidi"/>
          <w:b w:val="0"/>
          <w:sz w:val="22"/>
          <w:szCs w:val="22"/>
        </w:rPr>
      </w:pPr>
      <w:r>
        <w:t>Order 75 — </w:t>
      </w:r>
      <w:r>
        <w:rPr>
          <w:i/>
          <w:iCs/>
        </w:rPr>
        <w:t xml:space="preserve">Family Provision Act 1972 </w:t>
      </w:r>
      <w:r>
        <w:t>rules </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_Toc163121671 \h </w:instrText>
      </w:r>
      <w:r>
        <w:fldChar w:fldCharType="separate"/>
      </w:r>
      <w:r>
        <w:t>532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under Act, making of</w:t>
      </w:r>
      <w:r>
        <w:tab/>
      </w:r>
      <w:r>
        <w:fldChar w:fldCharType="begin"/>
      </w:r>
      <w:r>
        <w:instrText xml:space="preserve"> PAGEREF _Toc163121672 \h </w:instrText>
      </w:r>
      <w:r>
        <w:fldChar w:fldCharType="separate"/>
      </w:r>
      <w:r>
        <w:t>532</w:t>
      </w:r>
      <w:r>
        <w:fldChar w:fldCharType="end"/>
      </w:r>
    </w:p>
    <w:p>
      <w:pPr>
        <w:pStyle w:val="TOC8"/>
        <w:rPr>
          <w:rFonts w:asciiTheme="minorHAnsi" w:eastAsiaTheme="minorEastAsia" w:hAnsiTheme="minorHAnsi" w:cstheme="minorBidi"/>
          <w:szCs w:val="22"/>
        </w:rPr>
      </w:pPr>
      <w:r>
        <w:lastRenderedPageBreak/>
        <w:t>3.</w:t>
      </w:r>
      <w:r>
        <w:tab/>
        <w:t>Copy of summons to be placed on probate file or linked to electronic file</w:t>
      </w:r>
      <w:r>
        <w:tab/>
      </w:r>
      <w:r>
        <w:fldChar w:fldCharType="begin"/>
      </w:r>
      <w:r>
        <w:instrText xml:space="preserve"> PAGEREF _Toc163121673 \h </w:instrText>
      </w:r>
      <w:r>
        <w:fldChar w:fldCharType="separate"/>
      </w:r>
      <w:r>
        <w:t>532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make inquiries etc.</w:t>
      </w:r>
      <w:r>
        <w:tab/>
      </w:r>
      <w:r>
        <w:fldChar w:fldCharType="begin"/>
      </w:r>
      <w:r>
        <w:instrText xml:space="preserve"> PAGEREF _Toc163121674 \h </w:instrText>
      </w:r>
      <w:r>
        <w:fldChar w:fldCharType="separate"/>
      </w:r>
      <w:r>
        <w:t>533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Parties may be added</w:t>
      </w:r>
      <w:r>
        <w:tab/>
      </w:r>
      <w:r>
        <w:fldChar w:fldCharType="begin"/>
      </w:r>
      <w:r>
        <w:instrText xml:space="preserve"> PAGEREF _Toc163121675 \h </w:instrText>
      </w:r>
      <w:r>
        <w:fldChar w:fldCharType="separate"/>
      </w:r>
      <w:r>
        <w:t>534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Representative defendant</w:t>
      </w:r>
      <w:r>
        <w:tab/>
      </w:r>
      <w:r>
        <w:fldChar w:fldCharType="begin"/>
      </w:r>
      <w:r>
        <w:instrText xml:space="preserve"> PAGEREF _Toc163121676 \h </w:instrText>
      </w:r>
      <w:r>
        <w:fldChar w:fldCharType="separate"/>
      </w:r>
      <w:r>
        <w:t>534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Probate etc. to be lodged at Registry if judgment for plaintiff</w:t>
      </w:r>
      <w:r>
        <w:tab/>
      </w:r>
      <w:r>
        <w:fldChar w:fldCharType="begin"/>
      </w:r>
      <w:r>
        <w:instrText xml:space="preserve"> PAGEREF _Toc163121677 \h </w:instrText>
      </w:r>
      <w:r>
        <w:fldChar w:fldCharType="separate"/>
      </w:r>
      <w:r>
        <w:t>534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Appearance to originating summons for extension of time not required</w:t>
      </w:r>
      <w:r>
        <w:tab/>
      </w:r>
      <w:r>
        <w:fldChar w:fldCharType="begin"/>
      </w:r>
      <w:r>
        <w:instrText xml:space="preserve"> PAGEREF _Toc163121678 \h </w:instrText>
      </w:r>
      <w:r>
        <w:fldChar w:fldCharType="separate"/>
      </w:r>
      <w:r>
        <w:t>535</w:t>
      </w:r>
      <w:r>
        <w:fldChar w:fldCharType="end"/>
      </w:r>
    </w:p>
    <w:p>
      <w:pPr>
        <w:pStyle w:val="TOC2"/>
        <w:tabs>
          <w:tab w:val="right" w:leader="dot" w:pos="7077"/>
        </w:tabs>
        <w:rPr>
          <w:rFonts w:asciiTheme="minorHAnsi" w:eastAsiaTheme="minorEastAsia" w:hAnsiTheme="minorHAnsi" w:cstheme="minorBidi"/>
          <w:b w:val="0"/>
          <w:sz w:val="22"/>
          <w:szCs w:val="22"/>
        </w:rPr>
      </w:pPr>
      <w:r>
        <w:t>Order 75A — Admission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_Toc163121680 \h </w:instrText>
      </w:r>
      <w:r>
        <w:fldChar w:fldCharType="separate"/>
      </w:r>
      <w:r>
        <w:t>536</w:t>
      </w:r>
      <w:r>
        <w:fldChar w:fldCharType="end"/>
      </w:r>
    </w:p>
    <w:p>
      <w:pPr>
        <w:pStyle w:val="TOC8"/>
        <w:rPr>
          <w:rFonts w:asciiTheme="minorHAnsi" w:eastAsiaTheme="minorEastAsia" w:hAnsiTheme="minorHAnsi" w:cstheme="minorBidi"/>
          <w:szCs w:val="22"/>
        </w:rPr>
      </w:pPr>
      <w:r>
        <w:t>2.</w:t>
      </w:r>
      <w:r>
        <w:tab/>
        <w:t>Application for admission</w:t>
      </w:r>
      <w:r>
        <w:tab/>
      </w:r>
      <w:r>
        <w:fldChar w:fldCharType="begin"/>
      </w:r>
      <w:r>
        <w:instrText xml:space="preserve"> PAGEREF _Toc163121681 \h </w:instrText>
      </w:r>
      <w:r>
        <w:fldChar w:fldCharType="separate"/>
      </w:r>
      <w:r>
        <w:t>536</w:t>
      </w:r>
      <w:r>
        <w:fldChar w:fldCharType="end"/>
      </w:r>
    </w:p>
    <w:p>
      <w:pPr>
        <w:pStyle w:val="TOC8"/>
        <w:rPr>
          <w:rFonts w:asciiTheme="minorHAnsi" w:eastAsiaTheme="minorEastAsia" w:hAnsiTheme="minorHAnsi" w:cstheme="minorBidi"/>
          <w:szCs w:val="22"/>
        </w:rPr>
      </w:pPr>
      <w:r>
        <w:t>2A.</w:t>
      </w:r>
      <w:r>
        <w:tab/>
        <w:t>Compliance certificates</w:t>
      </w:r>
      <w:r>
        <w:tab/>
      </w:r>
      <w:r>
        <w:fldChar w:fldCharType="begin"/>
      </w:r>
      <w:r>
        <w:instrText xml:space="preserve"> PAGEREF _Toc163121682 \h </w:instrText>
      </w:r>
      <w:r>
        <w:fldChar w:fldCharType="separate"/>
      </w:r>
      <w:r>
        <w:t>536</w:t>
      </w:r>
      <w:r>
        <w:fldChar w:fldCharType="end"/>
      </w:r>
    </w:p>
    <w:p>
      <w:pPr>
        <w:pStyle w:val="TOC8"/>
        <w:rPr>
          <w:rFonts w:asciiTheme="minorHAnsi" w:eastAsiaTheme="minorEastAsia" w:hAnsiTheme="minorHAnsi" w:cstheme="minorBidi"/>
          <w:szCs w:val="22"/>
        </w:rPr>
      </w:pPr>
      <w:r>
        <w:t>2B.</w:t>
      </w:r>
      <w:r>
        <w:tab/>
        <w:t xml:space="preserve">Appeals under </w:t>
      </w:r>
      <w:r>
        <w:rPr>
          <w:i/>
        </w:rPr>
        <w:t>Legal Profession Uniform Law (WA)</w:t>
      </w:r>
      <w:r>
        <w:t xml:space="preserve"> section 26 or 27</w:t>
      </w:r>
      <w:r>
        <w:tab/>
      </w:r>
      <w:r>
        <w:fldChar w:fldCharType="begin"/>
      </w:r>
      <w:r>
        <w:instrText xml:space="preserve"> PAGEREF _Toc163121683 \h </w:instrText>
      </w:r>
      <w:r>
        <w:fldChar w:fldCharType="separate"/>
      </w:r>
      <w:r>
        <w:t>537</w:t>
      </w:r>
      <w:r>
        <w:fldChar w:fldCharType="end"/>
      </w:r>
    </w:p>
    <w:p>
      <w:pPr>
        <w:pStyle w:val="TOC8"/>
        <w:rPr>
          <w:rFonts w:asciiTheme="minorHAnsi" w:eastAsiaTheme="minorEastAsia" w:hAnsiTheme="minorHAnsi" w:cstheme="minorBidi"/>
          <w:szCs w:val="22"/>
        </w:rPr>
      </w:pPr>
      <w:r>
        <w:t>2C.</w:t>
      </w:r>
      <w:r>
        <w:tab/>
        <w:t>Objection to admission</w:t>
      </w:r>
      <w:r>
        <w:tab/>
      </w:r>
      <w:r>
        <w:fldChar w:fldCharType="begin"/>
      </w:r>
      <w:r>
        <w:instrText xml:space="preserve"> PAGEREF _Toc163121684 \h </w:instrText>
      </w:r>
      <w:r>
        <w:fldChar w:fldCharType="separate"/>
      </w:r>
      <w:r>
        <w:t>537</w:t>
      </w:r>
      <w:r>
        <w:fldChar w:fldCharType="end"/>
      </w:r>
    </w:p>
    <w:p>
      <w:pPr>
        <w:pStyle w:val="TOC8"/>
        <w:rPr>
          <w:rFonts w:asciiTheme="minorHAnsi" w:eastAsiaTheme="minorEastAsia" w:hAnsiTheme="minorHAnsi" w:cstheme="minorBidi"/>
          <w:szCs w:val="22"/>
        </w:rPr>
      </w:pPr>
      <w:r>
        <w:t>3.</w:t>
      </w:r>
      <w:r>
        <w:tab/>
        <w:t>Attendance at hearing of application for admission</w:t>
      </w:r>
      <w:r>
        <w:tab/>
      </w:r>
      <w:r>
        <w:fldChar w:fldCharType="begin"/>
      </w:r>
      <w:r>
        <w:instrText xml:space="preserve"> PAGEREF _Toc163121685 \h </w:instrText>
      </w:r>
      <w:r>
        <w:fldChar w:fldCharType="separate"/>
      </w:r>
      <w:r>
        <w:t>538</w:t>
      </w:r>
      <w:r>
        <w:fldChar w:fldCharType="end"/>
      </w:r>
    </w:p>
    <w:p>
      <w:pPr>
        <w:pStyle w:val="TOC8"/>
        <w:rPr>
          <w:rFonts w:asciiTheme="minorHAnsi" w:eastAsiaTheme="minorEastAsia" w:hAnsiTheme="minorHAnsi" w:cstheme="minorBidi"/>
          <w:szCs w:val="22"/>
        </w:rPr>
      </w:pPr>
      <w:r>
        <w:t>4.</w:t>
      </w:r>
      <w:r>
        <w:tab/>
        <w:t>Oath or affirmation</w:t>
      </w:r>
      <w:r>
        <w:tab/>
      </w:r>
      <w:r>
        <w:fldChar w:fldCharType="begin"/>
      </w:r>
      <w:r>
        <w:instrText xml:space="preserve"> PAGEREF _Toc163121686 \h </w:instrText>
      </w:r>
      <w:r>
        <w:fldChar w:fldCharType="separate"/>
      </w:r>
      <w:r>
        <w:t>539</w:t>
      </w:r>
      <w:r>
        <w:fldChar w:fldCharType="end"/>
      </w:r>
    </w:p>
    <w:p>
      <w:pPr>
        <w:pStyle w:val="TOC2"/>
        <w:tabs>
          <w:tab w:val="right" w:leader="dot" w:pos="7077"/>
        </w:tabs>
        <w:rPr>
          <w:rFonts w:asciiTheme="minorHAnsi" w:eastAsiaTheme="minorEastAsia" w:hAnsiTheme="minorHAnsi" w:cstheme="minorBidi"/>
          <w:b w:val="0"/>
          <w:sz w:val="22"/>
          <w:szCs w:val="22"/>
        </w:rPr>
      </w:pPr>
      <w:r>
        <w:t>Order 76</w:t>
      </w:r>
      <w:r>
        <w:rPr>
          <w:b w:val="0"/>
        </w:rPr>
        <w:t> </w:t>
      </w:r>
      <w:r>
        <w:t>—</w:t>
      </w:r>
      <w:r>
        <w:rPr>
          <w:b w:val="0"/>
        </w:rPr>
        <w:t> </w:t>
      </w:r>
      <w:r>
        <w:rPr>
          <w:i/>
        </w:rPr>
        <w:t>Public Notaries Act 1979</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_Toc163121688 \h </w:instrText>
      </w:r>
      <w:r>
        <w:fldChar w:fldCharType="separate"/>
      </w:r>
      <w:r>
        <w:t>540</w:t>
      </w:r>
      <w:r>
        <w:fldChar w:fldCharType="end"/>
      </w:r>
    </w:p>
    <w:p>
      <w:pPr>
        <w:pStyle w:val="TOC8"/>
        <w:rPr>
          <w:rFonts w:asciiTheme="minorHAnsi" w:eastAsiaTheme="minorEastAsia" w:hAnsiTheme="minorHAnsi" w:cstheme="minorBidi"/>
          <w:szCs w:val="22"/>
        </w:rPr>
      </w:pPr>
      <w:r>
        <w:t>1A.</w:t>
      </w:r>
      <w:r>
        <w:tab/>
        <w:t>Districts prescribed for Act</w:t>
      </w:r>
      <w:r>
        <w:tab/>
      </w:r>
      <w:r>
        <w:fldChar w:fldCharType="begin"/>
      </w:r>
      <w:r>
        <w:instrText xml:space="preserve"> PAGEREF _Toc163121689 \h </w:instrText>
      </w:r>
      <w:r>
        <w:fldChar w:fldCharType="separate"/>
      </w:r>
      <w:r>
        <w:t>540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for certificate of fitness (Act s. 8)</w:t>
      </w:r>
      <w:r>
        <w:tab/>
      </w:r>
      <w:r>
        <w:fldChar w:fldCharType="begin"/>
      </w:r>
      <w:r>
        <w:instrText xml:space="preserve"> PAGEREF _Toc163121690 \h </w:instrText>
      </w:r>
      <w:r>
        <w:fldChar w:fldCharType="separate"/>
      </w:r>
      <w:r>
        <w:t>542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intention to apply to be appointed Public Notary (Act s. 9)</w:t>
      </w:r>
      <w:r>
        <w:tab/>
      </w:r>
      <w:r>
        <w:fldChar w:fldCharType="begin"/>
      </w:r>
      <w:r>
        <w:instrText xml:space="preserve"> PAGEREF _Toc163121691 \h </w:instrText>
      </w:r>
      <w:r>
        <w:fldChar w:fldCharType="separate"/>
      </w:r>
      <w:r>
        <w:t>543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to be appointed Public Notary</w:t>
      </w:r>
      <w:r>
        <w:tab/>
      </w:r>
      <w:r>
        <w:fldChar w:fldCharType="begin"/>
      </w:r>
      <w:r>
        <w:instrText xml:space="preserve"> PAGEREF _Toc163121692 \h </w:instrText>
      </w:r>
      <w:r>
        <w:fldChar w:fldCharType="separate"/>
      </w:r>
      <w:r>
        <w:t>544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Certificates of appointment, form of</w:t>
      </w:r>
      <w:r>
        <w:tab/>
      </w:r>
      <w:r>
        <w:fldChar w:fldCharType="begin"/>
      </w:r>
      <w:r>
        <w:instrText xml:space="preserve"> PAGEREF _Toc163121693 \h </w:instrText>
      </w:r>
      <w:r>
        <w:fldChar w:fldCharType="separate"/>
      </w:r>
      <w:r>
        <w:t>544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Applications to suspend or strike off Public Notaries</w:t>
      </w:r>
      <w:r>
        <w:tab/>
      </w:r>
      <w:r>
        <w:fldChar w:fldCharType="begin"/>
      </w:r>
      <w:r>
        <w:instrText xml:space="preserve"> PAGEREF _Toc163121694 \h </w:instrText>
      </w:r>
      <w:r>
        <w:fldChar w:fldCharType="separate"/>
      </w:r>
      <w:r>
        <w:t>545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Fees payable on application for appointment</w:t>
      </w:r>
      <w:r>
        <w:tab/>
      </w:r>
      <w:r>
        <w:fldChar w:fldCharType="begin"/>
      </w:r>
      <w:r>
        <w:instrText xml:space="preserve"> PAGEREF _Toc163121695 \h </w:instrText>
      </w:r>
      <w:r>
        <w:fldChar w:fldCharType="separate"/>
      </w:r>
      <w:r>
        <w:t>545</w:t>
      </w:r>
      <w:r>
        <w:fldChar w:fldCharType="end"/>
      </w:r>
    </w:p>
    <w:p>
      <w:pPr>
        <w:pStyle w:val="TOC2"/>
        <w:tabs>
          <w:tab w:val="right" w:leader="dot" w:pos="7077"/>
        </w:tabs>
        <w:rPr>
          <w:rFonts w:asciiTheme="minorHAnsi" w:eastAsiaTheme="minorEastAsia" w:hAnsiTheme="minorHAnsi" w:cstheme="minorBidi"/>
          <w:b w:val="0"/>
          <w:sz w:val="22"/>
          <w:szCs w:val="22"/>
        </w:rPr>
      </w:pPr>
      <w:r>
        <w:t>Order 80</w:t>
      </w:r>
      <w:r>
        <w:rPr>
          <w:b w:val="0"/>
        </w:rPr>
        <w:t> </w:t>
      </w:r>
      <w:r>
        <w:t>—</w:t>
      </w:r>
      <w:r>
        <w:rPr>
          <w:b w:val="0"/>
        </w:rPr>
        <w:t> </w:t>
      </w:r>
      <w:r>
        <w:rPr>
          <w:i/>
          <w:iCs/>
        </w:rPr>
        <w:t>Escheat (Procedure) Act 1940</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Term used: said Act</w:t>
      </w:r>
      <w:r>
        <w:tab/>
      </w:r>
      <w:r>
        <w:fldChar w:fldCharType="begin"/>
      </w:r>
      <w:r>
        <w:instrText xml:space="preserve"> PAGEREF _Toc163121697 \h </w:instrText>
      </w:r>
      <w:r>
        <w:fldChar w:fldCharType="separate"/>
      </w:r>
      <w:r>
        <w:t>546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for Order of Escheat, making</w:t>
      </w:r>
      <w:r>
        <w:tab/>
      </w:r>
      <w:r>
        <w:fldChar w:fldCharType="begin"/>
      </w:r>
      <w:r>
        <w:instrText xml:space="preserve"> PAGEREF _Toc163121698 \h </w:instrText>
      </w:r>
      <w:r>
        <w:fldChar w:fldCharType="separate"/>
      </w:r>
      <w:r>
        <w:t>546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applications, form of</w:t>
      </w:r>
      <w:r>
        <w:tab/>
      </w:r>
      <w:r>
        <w:fldChar w:fldCharType="begin"/>
      </w:r>
      <w:r>
        <w:instrText xml:space="preserve"> PAGEREF _Toc163121699 \h </w:instrText>
      </w:r>
      <w:r>
        <w:fldChar w:fldCharType="separate"/>
      </w:r>
      <w:r>
        <w:t>546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Evidence; judge may direct inquiry</w:t>
      </w:r>
      <w:r>
        <w:tab/>
      </w:r>
      <w:r>
        <w:fldChar w:fldCharType="begin"/>
      </w:r>
      <w:r>
        <w:instrText xml:space="preserve"> PAGEREF _Toc163121700 \h </w:instrText>
      </w:r>
      <w:r>
        <w:fldChar w:fldCharType="separate"/>
      </w:r>
      <w:r>
        <w:t>546</w:t>
      </w:r>
      <w:r>
        <w:fldChar w:fldCharType="end"/>
      </w:r>
    </w:p>
    <w:p>
      <w:pPr>
        <w:pStyle w:val="TOC8"/>
        <w:rPr>
          <w:rFonts w:asciiTheme="minorHAnsi" w:eastAsiaTheme="minorEastAsia" w:hAnsiTheme="minorHAnsi" w:cstheme="minorBidi"/>
          <w:szCs w:val="22"/>
        </w:rPr>
      </w:pPr>
      <w:r>
        <w:lastRenderedPageBreak/>
        <w:t>5</w:t>
      </w:r>
      <w:r>
        <w:rPr>
          <w:snapToGrid w:val="0"/>
        </w:rPr>
        <w:t>.</w:t>
      </w:r>
      <w:r>
        <w:rPr>
          <w:snapToGrid w:val="0"/>
        </w:rPr>
        <w:tab/>
        <w:t>Claimants to file affidavit verifying claim and may be heard</w:t>
      </w:r>
      <w:r>
        <w:tab/>
      </w:r>
      <w:r>
        <w:fldChar w:fldCharType="begin"/>
      </w:r>
      <w:r>
        <w:instrText xml:space="preserve"> PAGEREF _Toc163121701 \h </w:instrText>
      </w:r>
      <w:r>
        <w:fldChar w:fldCharType="separate"/>
      </w:r>
      <w:r>
        <w:t>547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Judge may order issue to be tried</w:t>
      </w:r>
      <w:r>
        <w:tab/>
      </w:r>
      <w:r>
        <w:fldChar w:fldCharType="begin"/>
      </w:r>
      <w:r>
        <w:instrText xml:space="preserve"> PAGEREF _Toc163121702 \h </w:instrText>
      </w:r>
      <w:r>
        <w:fldChar w:fldCharType="separate"/>
      </w:r>
      <w:r>
        <w:t>547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Order of Escheat, form of</w:t>
      </w:r>
      <w:r>
        <w:tab/>
      </w:r>
      <w:r>
        <w:fldChar w:fldCharType="begin"/>
      </w:r>
      <w:r>
        <w:instrText xml:space="preserve"> PAGEREF _Toc163121703 \h </w:instrText>
      </w:r>
      <w:r>
        <w:fldChar w:fldCharType="separate"/>
      </w:r>
      <w:r>
        <w:t>547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Costs</w:t>
      </w:r>
      <w:r>
        <w:tab/>
      </w:r>
      <w:r>
        <w:fldChar w:fldCharType="begin"/>
      </w:r>
      <w:r>
        <w:instrText xml:space="preserve"> PAGEREF _Toc163121704 \h </w:instrText>
      </w:r>
      <w:r>
        <w:fldChar w:fldCharType="separate"/>
      </w:r>
      <w:r>
        <w:t>547</w:t>
      </w:r>
      <w:r>
        <w:fldChar w:fldCharType="end"/>
      </w:r>
    </w:p>
    <w:p>
      <w:pPr>
        <w:pStyle w:val="TOC2"/>
        <w:tabs>
          <w:tab w:val="right" w:leader="dot" w:pos="7077"/>
        </w:tabs>
        <w:rPr>
          <w:rFonts w:asciiTheme="minorHAnsi" w:eastAsiaTheme="minorEastAsia" w:hAnsiTheme="minorHAnsi" w:cstheme="minorBidi"/>
          <w:b w:val="0"/>
          <w:sz w:val="22"/>
          <w:szCs w:val="22"/>
        </w:rPr>
      </w:pPr>
      <w:r>
        <w:t>Order 80A</w:t>
      </w:r>
      <w:r>
        <w:rPr>
          <w:b w:val="0"/>
        </w:rPr>
        <w:t> </w:t>
      </w:r>
      <w:r>
        <w:t>—</w:t>
      </w:r>
      <w:r>
        <w:rPr>
          <w:b w:val="0"/>
        </w:rPr>
        <w:t> </w:t>
      </w:r>
      <w:r>
        <w:rPr>
          <w:i/>
          <w:iCs/>
        </w:rPr>
        <w:t>Royal Commission (Custody of Records) Act 1992</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_Toc163121706 \h </w:instrText>
      </w:r>
      <w:r>
        <w:fldChar w:fldCharType="separate"/>
      </w:r>
      <w:r>
        <w:t>548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for leave to have access (Act s. 14)</w:t>
      </w:r>
      <w:r>
        <w:tab/>
      </w:r>
      <w:r>
        <w:fldChar w:fldCharType="begin"/>
      </w:r>
      <w:r>
        <w:instrText xml:space="preserve"> PAGEREF _Toc163121707 \h </w:instrText>
      </w:r>
      <w:r>
        <w:fldChar w:fldCharType="separate"/>
      </w:r>
      <w:r>
        <w:t>548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Order granting leave, form of</w:t>
      </w:r>
      <w:r>
        <w:tab/>
      </w:r>
      <w:r>
        <w:fldChar w:fldCharType="begin"/>
      </w:r>
      <w:r>
        <w:instrText xml:space="preserve"> PAGEREF _Toc163121708 \h </w:instrText>
      </w:r>
      <w:r>
        <w:fldChar w:fldCharType="separate"/>
      </w:r>
      <w:r>
        <w:t>549</w:t>
      </w:r>
      <w:r>
        <w:fldChar w:fldCharType="end"/>
      </w:r>
    </w:p>
    <w:p>
      <w:pPr>
        <w:pStyle w:val="TOC2"/>
        <w:tabs>
          <w:tab w:val="right" w:leader="dot" w:pos="7077"/>
        </w:tabs>
        <w:rPr>
          <w:rFonts w:asciiTheme="minorHAnsi" w:eastAsiaTheme="minorEastAsia" w:hAnsiTheme="minorHAnsi" w:cstheme="minorBidi"/>
          <w:b w:val="0"/>
          <w:sz w:val="22"/>
          <w:szCs w:val="22"/>
        </w:rPr>
      </w:pPr>
      <w:r>
        <w:t>Order 81B</w:t>
      </w:r>
      <w:r>
        <w:rPr>
          <w:b w:val="0"/>
        </w:rPr>
        <w:t> </w:t>
      </w:r>
      <w:r>
        <w:t>—</w:t>
      </w:r>
      <w:r>
        <w:rPr>
          <w:b w:val="0"/>
        </w:rPr>
        <w:t> </w:t>
      </w:r>
      <w:r>
        <w:rPr>
          <w:i/>
          <w:iCs/>
        </w:rPr>
        <w:t>Service and Execution of Process Act 1992</w:t>
      </w:r>
      <w:r>
        <w:t xml:space="preserve"> (Commonwealth) rules</w:t>
      </w:r>
    </w:p>
    <w:p>
      <w:pPr>
        <w:pStyle w:val="TOC8"/>
        <w:rPr>
          <w:rFonts w:asciiTheme="minorHAnsi" w:eastAsiaTheme="minorEastAsia" w:hAnsiTheme="minorHAnsi" w:cstheme="minorBidi"/>
          <w:szCs w:val="22"/>
        </w:rPr>
      </w:pPr>
      <w:r>
        <w:t>1</w:t>
      </w:r>
      <w:r>
        <w:rPr>
          <w:snapToGrid w:val="0"/>
        </w:rPr>
        <w:t>.</w:t>
      </w:r>
      <w:r>
        <w:rPr>
          <w:snapToGrid w:val="0"/>
        </w:rPr>
        <w:tab/>
        <w:t>Terms used; how applications to be made</w:t>
      </w:r>
      <w:r>
        <w:tab/>
      </w:r>
      <w:r>
        <w:fldChar w:fldCharType="begin"/>
      </w:r>
      <w:r>
        <w:instrText xml:space="preserve"> PAGEREF _Toc163121710 \h </w:instrText>
      </w:r>
      <w:r>
        <w:fldChar w:fldCharType="separate"/>
      </w:r>
      <w:r>
        <w:t>550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Enforcing judgments under Act s. 105, procedure for</w:t>
      </w:r>
      <w:r>
        <w:tab/>
      </w:r>
      <w:r>
        <w:fldChar w:fldCharType="begin"/>
      </w:r>
      <w:r>
        <w:instrText xml:space="preserve"> PAGEREF _Toc163121711 \h </w:instrText>
      </w:r>
      <w:r>
        <w:fldChar w:fldCharType="separate"/>
      </w:r>
      <w:r>
        <w:t>550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Claiming interest under Act s. 108, procedure for</w:t>
      </w:r>
      <w:r>
        <w:tab/>
      </w:r>
      <w:r>
        <w:fldChar w:fldCharType="begin"/>
      </w:r>
      <w:r>
        <w:instrText xml:space="preserve"> PAGEREF _Toc163121712 \h </w:instrText>
      </w:r>
      <w:r>
        <w:fldChar w:fldCharType="separate"/>
      </w:r>
      <w:r>
        <w:t>551</w:t>
      </w:r>
      <w:r>
        <w:fldChar w:fldCharType="end"/>
      </w:r>
    </w:p>
    <w:p>
      <w:pPr>
        <w:pStyle w:val="TOC8"/>
        <w:rPr>
          <w:rFonts w:asciiTheme="minorHAnsi" w:eastAsiaTheme="minorEastAsia" w:hAnsiTheme="minorHAnsi" w:cstheme="minorBidi"/>
          <w:szCs w:val="22"/>
        </w:rPr>
      </w:pPr>
      <w:r>
        <w:t>4.</w:t>
      </w:r>
      <w:r>
        <w:tab/>
        <w:t>Appeals under Act</w:t>
      </w:r>
      <w:r>
        <w:tab/>
      </w:r>
      <w:r>
        <w:fldChar w:fldCharType="begin"/>
      </w:r>
      <w:r>
        <w:instrText xml:space="preserve"> PAGEREF _Toc163121713 \h </w:instrText>
      </w:r>
      <w:r>
        <w:fldChar w:fldCharType="separate"/>
      </w:r>
      <w:r>
        <w:t>551</w:t>
      </w:r>
      <w:r>
        <w:fldChar w:fldCharType="end"/>
      </w:r>
    </w:p>
    <w:p>
      <w:pPr>
        <w:pStyle w:val="TOC2"/>
        <w:tabs>
          <w:tab w:val="right" w:leader="dot" w:pos="7077"/>
        </w:tabs>
        <w:rPr>
          <w:rFonts w:asciiTheme="minorHAnsi" w:eastAsiaTheme="minorEastAsia" w:hAnsiTheme="minorHAnsi" w:cstheme="minorBidi"/>
          <w:b w:val="0"/>
          <w:sz w:val="22"/>
          <w:szCs w:val="22"/>
        </w:rPr>
      </w:pPr>
      <w:r>
        <w:t>Order 81C</w:t>
      </w:r>
      <w:r>
        <w:rPr>
          <w:b w:val="0"/>
        </w:rPr>
        <w:t> </w:t>
      </w:r>
      <w:r>
        <w:t>—</w:t>
      </w:r>
      <w:r>
        <w:rPr>
          <w:b w:val="0"/>
        </w:rPr>
        <w:t> </w:t>
      </w:r>
      <w:r>
        <w:t>Road traffic legislation</w:t>
      </w:r>
      <w:r>
        <w:rPr>
          <w:i/>
        </w:rPr>
        <w:t xml:space="preserve"> </w:t>
      </w:r>
      <w:r>
        <w:t>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_Toc163121715 \h </w:instrText>
      </w:r>
      <w:r>
        <w:fldChar w:fldCharType="separate"/>
      </w:r>
      <w:r>
        <w:t>552</w:t>
      </w:r>
      <w:r>
        <w:fldChar w:fldCharType="end"/>
      </w:r>
    </w:p>
    <w:p>
      <w:pPr>
        <w:pStyle w:val="TOC8"/>
        <w:rPr>
          <w:rFonts w:asciiTheme="minorHAnsi" w:eastAsiaTheme="minorEastAsia" w:hAnsiTheme="minorHAnsi" w:cstheme="minorBidi"/>
          <w:szCs w:val="22"/>
        </w:rPr>
      </w:pPr>
      <w:r>
        <w:t>2.</w:t>
      </w:r>
      <w:r>
        <w:tab/>
        <w:t>Applications under RT (AD) Act s. 24, 27 or 35, how to be made</w:t>
      </w:r>
      <w:r>
        <w:tab/>
      </w:r>
      <w:r>
        <w:fldChar w:fldCharType="begin"/>
      </w:r>
      <w:r>
        <w:instrText xml:space="preserve"> PAGEREF _Toc163121716 \h </w:instrText>
      </w:r>
      <w:r>
        <w:fldChar w:fldCharType="separate"/>
      </w:r>
      <w:r>
        <w:t>552</w:t>
      </w:r>
      <w:r>
        <w:fldChar w:fldCharType="end"/>
      </w:r>
    </w:p>
    <w:p>
      <w:pPr>
        <w:pStyle w:val="TOC8"/>
        <w:rPr>
          <w:rFonts w:asciiTheme="minorHAnsi" w:eastAsiaTheme="minorEastAsia" w:hAnsiTheme="minorHAnsi" w:cstheme="minorBidi"/>
          <w:szCs w:val="22"/>
        </w:rPr>
      </w:pPr>
      <w:r>
        <w:t>3.</w:t>
      </w:r>
      <w:r>
        <w:tab/>
        <w:t>Registrar’s functions when application is made</w:t>
      </w:r>
      <w:r>
        <w:tab/>
      </w:r>
      <w:r>
        <w:fldChar w:fldCharType="begin"/>
      </w:r>
      <w:r>
        <w:instrText xml:space="preserve"> PAGEREF _Toc163121717 \h </w:instrText>
      </w:r>
      <w:r>
        <w:fldChar w:fldCharType="separate"/>
      </w:r>
      <w:r>
        <w:t>553</w:t>
      </w:r>
      <w:r>
        <w:fldChar w:fldCharType="end"/>
      </w:r>
    </w:p>
    <w:p>
      <w:pPr>
        <w:pStyle w:val="TOC8"/>
        <w:rPr>
          <w:rFonts w:asciiTheme="minorHAnsi" w:eastAsiaTheme="minorEastAsia" w:hAnsiTheme="minorHAnsi" w:cstheme="minorBidi"/>
          <w:szCs w:val="22"/>
        </w:rPr>
      </w:pPr>
      <w:r>
        <w:t>4.</w:t>
      </w:r>
      <w:r>
        <w:tab/>
        <w:t>Applicant to serve application etc.</w:t>
      </w:r>
      <w:r>
        <w:tab/>
      </w:r>
      <w:r>
        <w:fldChar w:fldCharType="begin"/>
      </w:r>
      <w:r>
        <w:instrText xml:space="preserve"> PAGEREF _Toc163121718 \h </w:instrText>
      </w:r>
      <w:r>
        <w:fldChar w:fldCharType="separate"/>
      </w:r>
      <w:r>
        <w:t>553</w:t>
      </w:r>
      <w:r>
        <w:fldChar w:fldCharType="end"/>
      </w:r>
    </w:p>
    <w:p>
      <w:pPr>
        <w:pStyle w:val="TOC8"/>
        <w:rPr>
          <w:rFonts w:asciiTheme="minorHAnsi" w:eastAsiaTheme="minorEastAsia" w:hAnsiTheme="minorHAnsi" w:cstheme="minorBidi"/>
          <w:szCs w:val="22"/>
        </w:rPr>
      </w:pPr>
      <w:r>
        <w:t>5.</w:t>
      </w:r>
      <w:r>
        <w:tab/>
        <w:t>Hearing of application, appearance at</w:t>
      </w:r>
      <w:r>
        <w:tab/>
      </w:r>
      <w:r>
        <w:fldChar w:fldCharType="begin"/>
      </w:r>
      <w:r>
        <w:instrText xml:space="preserve"> PAGEREF _Toc163121719 \h </w:instrText>
      </w:r>
      <w:r>
        <w:fldChar w:fldCharType="separate"/>
      </w:r>
      <w:r>
        <w:t>554</w:t>
      </w:r>
      <w:r>
        <w:fldChar w:fldCharType="end"/>
      </w:r>
    </w:p>
    <w:p>
      <w:pPr>
        <w:pStyle w:val="TOC8"/>
        <w:rPr>
          <w:rFonts w:asciiTheme="minorHAnsi" w:eastAsiaTheme="minorEastAsia" w:hAnsiTheme="minorHAnsi" w:cstheme="minorBidi"/>
          <w:szCs w:val="22"/>
        </w:rPr>
      </w:pPr>
      <w:r>
        <w:t>6.</w:t>
      </w:r>
      <w:r>
        <w:tab/>
        <w:t>Hearing of application, procedure on</w:t>
      </w:r>
      <w:r>
        <w:tab/>
      </w:r>
      <w:r>
        <w:fldChar w:fldCharType="begin"/>
      </w:r>
      <w:r>
        <w:instrText xml:space="preserve"> PAGEREF _Toc163121720 \h </w:instrText>
      </w:r>
      <w:r>
        <w:fldChar w:fldCharType="separate"/>
      </w:r>
      <w:r>
        <w:t>554</w:t>
      </w:r>
      <w:r>
        <w:fldChar w:fldCharType="end"/>
      </w:r>
    </w:p>
    <w:p>
      <w:pPr>
        <w:pStyle w:val="TOC8"/>
        <w:rPr>
          <w:rFonts w:asciiTheme="minorHAnsi" w:eastAsiaTheme="minorEastAsia" w:hAnsiTheme="minorHAnsi" w:cstheme="minorBidi"/>
          <w:szCs w:val="22"/>
        </w:rPr>
      </w:pPr>
      <w:r>
        <w:t>7.</w:t>
      </w:r>
      <w:r>
        <w:tab/>
        <w:t>CEO to be notified of decision</w:t>
      </w:r>
      <w:r>
        <w:tab/>
      </w:r>
      <w:r>
        <w:fldChar w:fldCharType="begin"/>
      </w:r>
      <w:r>
        <w:instrText xml:space="preserve"> PAGEREF _Toc163121721 \h </w:instrText>
      </w:r>
      <w:r>
        <w:fldChar w:fldCharType="separate"/>
      </w:r>
      <w:r>
        <w:t>555</w:t>
      </w:r>
      <w:r>
        <w:fldChar w:fldCharType="end"/>
      </w:r>
    </w:p>
    <w:p>
      <w:pPr>
        <w:pStyle w:val="TOC2"/>
        <w:tabs>
          <w:tab w:val="right" w:leader="dot" w:pos="7077"/>
        </w:tabs>
        <w:rPr>
          <w:rFonts w:asciiTheme="minorHAnsi" w:eastAsiaTheme="minorEastAsia" w:hAnsiTheme="minorHAnsi" w:cstheme="minorBidi"/>
          <w:b w:val="0"/>
          <w:sz w:val="22"/>
          <w:szCs w:val="22"/>
        </w:rPr>
      </w:pPr>
      <w:r>
        <w:t>Order 81E — Cross</w:t>
      </w:r>
      <w:r>
        <w:noBreakHyphen/>
        <w:t>vesting</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_Toc163121723 \h </w:instrText>
      </w:r>
      <w:r>
        <w:fldChar w:fldCharType="separate"/>
      </w:r>
      <w:r>
        <w:t>556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of this Order</w:t>
      </w:r>
      <w:r>
        <w:tab/>
      </w:r>
      <w:r>
        <w:fldChar w:fldCharType="begin"/>
      </w:r>
      <w:r>
        <w:instrText xml:space="preserve"> PAGEREF _Toc163121724 \h </w:instrText>
      </w:r>
      <w:r>
        <w:fldChar w:fldCharType="separate"/>
      </w:r>
      <w:r>
        <w:t>556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Commencing proceedings that rely on cross-vesting laws</w:t>
      </w:r>
      <w:r>
        <w:tab/>
      </w:r>
      <w:r>
        <w:fldChar w:fldCharType="begin"/>
      </w:r>
      <w:r>
        <w:instrText xml:space="preserve"> PAGEREF _Toc163121725 \h </w:instrText>
      </w:r>
      <w:r>
        <w:fldChar w:fldCharType="separate"/>
      </w:r>
      <w:r>
        <w:t>556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Special federal matters</w:t>
      </w:r>
      <w:r>
        <w:tab/>
      </w:r>
      <w:r>
        <w:fldChar w:fldCharType="begin"/>
      </w:r>
      <w:r>
        <w:instrText xml:space="preserve"> PAGEREF _Toc163121726 \h </w:instrText>
      </w:r>
      <w:r>
        <w:fldChar w:fldCharType="separate"/>
      </w:r>
      <w:r>
        <w:t>557</w:t>
      </w:r>
      <w:r>
        <w:fldChar w:fldCharType="end"/>
      </w:r>
    </w:p>
    <w:p>
      <w:pPr>
        <w:pStyle w:val="TOC8"/>
        <w:rPr>
          <w:rFonts w:asciiTheme="minorHAnsi" w:eastAsiaTheme="minorEastAsia" w:hAnsiTheme="minorHAnsi" w:cstheme="minorBidi"/>
          <w:szCs w:val="22"/>
        </w:rPr>
      </w:pPr>
      <w:r>
        <w:lastRenderedPageBreak/>
        <w:t>6</w:t>
      </w:r>
      <w:r>
        <w:rPr>
          <w:snapToGrid w:val="0"/>
        </w:rPr>
        <w:t>.</w:t>
      </w:r>
      <w:r>
        <w:rPr>
          <w:snapToGrid w:val="0"/>
        </w:rPr>
        <w:tab/>
        <w:t>Directions for conduct of proceedings</w:t>
      </w:r>
      <w:r>
        <w:tab/>
      </w:r>
      <w:r>
        <w:fldChar w:fldCharType="begin"/>
      </w:r>
      <w:r>
        <w:instrText xml:space="preserve"> PAGEREF _Toc163121727 \h </w:instrText>
      </w:r>
      <w:r>
        <w:fldChar w:fldCharType="separate"/>
      </w:r>
      <w:r>
        <w:t>557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Transfer of proceedings</w:t>
      </w:r>
      <w:r>
        <w:tab/>
      </w:r>
      <w:r>
        <w:fldChar w:fldCharType="begin"/>
      </w:r>
      <w:r>
        <w:instrText xml:space="preserve"> PAGEREF _Toc163121728 \h </w:instrText>
      </w:r>
      <w:r>
        <w:fldChar w:fldCharType="separate"/>
      </w:r>
      <w:r>
        <w:t>558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Applications to be dealt with by judge</w:t>
      </w:r>
      <w:r>
        <w:tab/>
      </w:r>
      <w:r>
        <w:fldChar w:fldCharType="begin"/>
      </w:r>
      <w:r>
        <w:instrText xml:space="preserve"> PAGEREF _Toc163121729 \h </w:instrText>
      </w:r>
      <w:r>
        <w:fldChar w:fldCharType="separate"/>
      </w:r>
      <w:r>
        <w:t>558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Transfer on Attorney General’s application (Act s. 5 or 6)</w:t>
      </w:r>
      <w:r>
        <w:tab/>
      </w:r>
      <w:r>
        <w:fldChar w:fldCharType="begin"/>
      </w:r>
      <w:r>
        <w:instrText xml:space="preserve"> PAGEREF _Toc163121730 \h </w:instrText>
      </w:r>
      <w:r>
        <w:fldChar w:fldCharType="separate"/>
      </w:r>
      <w:r>
        <w:t>559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Transfer under Act s. 8, Court’s powers on</w:t>
      </w:r>
      <w:r>
        <w:tab/>
      </w:r>
      <w:r>
        <w:fldChar w:fldCharType="begin"/>
      </w:r>
      <w:r>
        <w:instrText xml:space="preserve"> PAGEREF _Toc163121731 \h </w:instrText>
      </w:r>
      <w:r>
        <w:fldChar w:fldCharType="separate"/>
      </w:r>
      <w:r>
        <w:t>559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Procedure if laws etc. of other place to apply under Act s. 11(1)</w:t>
      </w:r>
      <w:r>
        <w:tab/>
      </w:r>
      <w:r>
        <w:fldChar w:fldCharType="begin"/>
      </w:r>
      <w:r>
        <w:instrText xml:space="preserve"> PAGEREF _Toc163121732 \h </w:instrText>
      </w:r>
      <w:r>
        <w:fldChar w:fldCharType="separate"/>
      </w:r>
      <w:r>
        <w:t>559</w:t>
      </w:r>
      <w:r>
        <w:fldChar w:fldCharType="end"/>
      </w:r>
    </w:p>
    <w:p>
      <w:pPr>
        <w:pStyle w:val="TOC2"/>
        <w:tabs>
          <w:tab w:val="right" w:leader="dot" w:pos="7077"/>
        </w:tabs>
        <w:rPr>
          <w:rFonts w:asciiTheme="minorHAnsi" w:eastAsiaTheme="minorEastAsia" w:hAnsiTheme="minorHAnsi" w:cstheme="minorBidi"/>
          <w:b w:val="0"/>
          <w:sz w:val="22"/>
          <w:szCs w:val="22"/>
        </w:rPr>
      </w:pPr>
      <w:r>
        <w:t>Order 81F</w:t>
      </w:r>
      <w:r>
        <w:rPr>
          <w:b w:val="0"/>
        </w:rPr>
        <w:t> </w:t>
      </w:r>
      <w:r>
        <w:t>—</w:t>
      </w:r>
      <w:r>
        <w:rPr>
          <w:b w:val="0"/>
        </w:rPr>
        <w:t> </w:t>
      </w:r>
      <w:r>
        <w:rPr>
          <w:i/>
          <w:iCs/>
        </w:rPr>
        <w:t>Proceeds of Crime Act </w:t>
      </w:r>
      <w:r>
        <w:rPr>
          <w:i/>
        </w:rPr>
        <w:t>2002</w:t>
      </w:r>
      <w:r>
        <w:t xml:space="preserve"> (Commonwealth)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_Toc163121734 \h </w:instrText>
      </w:r>
      <w:r>
        <w:fldChar w:fldCharType="separate"/>
      </w:r>
      <w:r>
        <w:t>561</w:t>
      </w:r>
      <w:r>
        <w:fldChar w:fldCharType="end"/>
      </w:r>
    </w:p>
    <w:p>
      <w:pPr>
        <w:pStyle w:val="TOC8"/>
        <w:rPr>
          <w:rFonts w:asciiTheme="minorHAnsi" w:eastAsiaTheme="minorEastAsia" w:hAnsiTheme="minorHAnsi" w:cstheme="minorBidi"/>
          <w:szCs w:val="22"/>
        </w:rPr>
      </w:pPr>
      <w:r>
        <w:t>2.</w:t>
      </w:r>
      <w:r>
        <w:tab/>
        <w:t>Applications under Act, how to be made</w:t>
      </w:r>
      <w:r>
        <w:tab/>
      </w:r>
      <w:r>
        <w:fldChar w:fldCharType="begin"/>
      </w:r>
      <w:r>
        <w:instrText xml:space="preserve"> PAGEREF _Toc163121735 \h </w:instrText>
      </w:r>
      <w:r>
        <w:fldChar w:fldCharType="separate"/>
      </w:r>
      <w:r>
        <w:t>561</w:t>
      </w:r>
      <w:r>
        <w:fldChar w:fldCharType="end"/>
      </w:r>
    </w:p>
    <w:p>
      <w:pPr>
        <w:pStyle w:val="TOC8"/>
        <w:rPr>
          <w:rFonts w:asciiTheme="minorHAnsi" w:eastAsiaTheme="minorEastAsia" w:hAnsiTheme="minorHAnsi" w:cstheme="minorBidi"/>
          <w:szCs w:val="22"/>
        </w:rPr>
      </w:pPr>
      <w:r>
        <w:t>3.</w:t>
      </w:r>
      <w:r>
        <w:tab/>
        <w:t>Service on DPP (Cwlth) in Perth</w:t>
      </w:r>
      <w:r>
        <w:tab/>
      </w:r>
      <w:r>
        <w:fldChar w:fldCharType="begin"/>
      </w:r>
      <w:r>
        <w:instrText xml:space="preserve"> PAGEREF _Toc163121736 \h </w:instrText>
      </w:r>
      <w:r>
        <w:fldChar w:fldCharType="separate"/>
      </w:r>
      <w:r>
        <w:t>563</w:t>
      </w:r>
      <w:r>
        <w:fldChar w:fldCharType="end"/>
      </w:r>
    </w:p>
    <w:p>
      <w:pPr>
        <w:pStyle w:val="TOC8"/>
        <w:rPr>
          <w:rFonts w:asciiTheme="minorHAnsi" w:eastAsiaTheme="minorEastAsia" w:hAnsiTheme="minorHAnsi" w:cstheme="minorBidi"/>
          <w:szCs w:val="22"/>
        </w:rPr>
      </w:pPr>
      <w:r>
        <w:t>4.</w:t>
      </w:r>
      <w:r>
        <w:tab/>
        <w:t>DPP to file grounds for contesting application</w:t>
      </w:r>
      <w:r>
        <w:tab/>
      </w:r>
      <w:r>
        <w:fldChar w:fldCharType="begin"/>
      </w:r>
      <w:r>
        <w:instrText xml:space="preserve"> PAGEREF _Toc163121737 \h </w:instrText>
      </w:r>
      <w:r>
        <w:fldChar w:fldCharType="separate"/>
      </w:r>
      <w:r>
        <w:t>563</w:t>
      </w:r>
      <w:r>
        <w:fldChar w:fldCharType="end"/>
      </w:r>
    </w:p>
    <w:p>
      <w:pPr>
        <w:pStyle w:val="TOC8"/>
        <w:rPr>
          <w:rFonts w:asciiTheme="minorHAnsi" w:eastAsiaTheme="minorEastAsia" w:hAnsiTheme="minorHAnsi" w:cstheme="minorBidi"/>
          <w:szCs w:val="22"/>
        </w:rPr>
      </w:pPr>
      <w:r>
        <w:t>5.</w:t>
      </w:r>
      <w:r>
        <w:tab/>
        <w:t>Summons for directions</w:t>
      </w:r>
      <w:r>
        <w:tab/>
      </w:r>
      <w:r>
        <w:fldChar w:fldCharType="begin"/>
      </w:r>
      <w:r>
        <w:instrText xml:space="preserve"> PAGEREF _Toc163121738 \h </w:instrText>
      </w:r>
      <w:r>
        <w:fldChar w:fldCharType="separate"/>
      </w:r>
      <w:r>
        <w:t>563</w:t>
      </w:r>
      <w:r>
        <w:fldChar w:fldCharType="end"/>
      </w:r>
    </w:p>
    <w:p>
      <w:pPr>
        <w:pStyle w:val="TOC8"/>
        <w:rPr>
          <w:rFonts w:asciiTheme="minorHAnsi" w:eastAsiaTheme="minorEastAsia" w:hAnsiTheme="minorHAnsi" w:cstheme="minorBidi"/>
          <w:szCs w:val="22"/>
        </w:rPr>
      </w:pPr>
      <w:r>
        <w:t>6.</w:t>
      </w:r>
      <w:r>
        <w:tab/>
        <w:t>Court may give directions at any time</w:t>
      </w:r>
      <w:r>
        <w:tab/>
      </w:r>
      <w:r>
        <w:fldChar w:fldCharType="begin"/>
      </w:r>
      <w:r>
        <w:instrText xml:space="preserve"> PAGEREF _Toc163121739 \h </w:instrText>
      </w:r>
      <w:r>
        <w:fldChar w:fldCharType="separate"/>
      </w:r>
      <w:r>
        <w:t>564</w:t>
      </w:r>
      <w:r>
        <w:fldChar w:fldCharType="end"/>
      </w:r>
    </w:p>
    <w:p>
      <w:pPr>
        <w:pStyle w:val="TOC8"/>
        <w:rPr>
          <w:rFonts w:asciiTheme="minorHAnsi" w:eastAsiaTheme="minorEastAsia" w:hAnsiTheme="minorHAnsi" w:cstheme="minorBidi"/>
          <w:szCs w:val="22"/>
        </w:rPr>
      </w:pPr>
      <w:r>
        <w:t>7.</w:t>
      </w:r>
      <w:r>
        <w:tab/>
        <w:t>Representative respondent</w:t>
      </w:r>
      <w:r>
        <w:tab/>
      </w:r>
      <w:r>
        <w:fldChar w:fldCharType="begin"/>
      </w:r>
      <w:r>
        <w:instrText xml:space="preserve"> PAGEREF _Toc163121740 \h </w:instrText>
      </w:r>
      <w:r>
        <w:fldChar w:fldCharType="separate"/>
      </w:r>
      <w:r>
        <w:t>564</w:t>
      </w:r>
      <w:r>
        <w:fldChar w:fldCharType="end"/>
      </w:r>
    </w:p>
    <w:p>
      <w:pPr>
        <w:pStyle w:val="TOC8"/>
        <w:rPr>
          <w:rFonts w:asciiTheme="minorHAnsi" w:eastAsiaTheme="minorEastAsia" w:hAnsiTheme="minorHAnsi" w:cstheme="minorBidi"/>
          <w:szCs w:val="22"/>
        </w:rPr>
      </w:pPr>
      <w:r>
        <w:t>8.</w:t>
      </w:r>
      <w:r>
        <w:tab/>
        <w:t>Evidence on applications</w:t>
      </w:r>
      <w:r>
        <w:tab/>
      </w:r>
      <w:r>
        <w:fldChar w:fldCharType="begin"/>
      </w:r>
      <w:r>
        <w:instrText xml:space="preserve"> PAGEREF _Toc163121741 \h </w:instrText>
      </w:r>
      <w:r>
        <w:fldChar w:fldCharType="separate"/>
      </w:r>
      <w:r>
        <w:t>565</w:t>
      </w:r>
      <w:r>
        <w:fldChar w:fldCharType="end"/>
      </w:r>
    </w:p>
    <w:p>
      <w:pPr>
        <w:pStyle w:val="TOC8"/>
        <w:rPr>
          <w:rFonts w:asciiTheme="minorHAnsi" w:eastAsiaTheme="minorEastAsia" w:hAnsiTheme="minorHAnsi" w:cstheme="minorBidi"/>
          <w:szCs w:val="22"/>
        </w:rPr>
      </w:pPr>
      <w:r>
        <w:t>9.</w:t>
      </w:r>
      <w:r>
        <w:tab/>
        <w:t>Court may order separate hearing</w:t>
      </w:r>
      <w:r>
        <w:tab/>
      </w:r>
      <w:r>
        <w:fldChar w:fldCharType="begin"/>
      </w:r>
      <w:r>
        <w:instrText xml:space="preserve"> PAGEREF _Toc163121742 \h </w:instrText>
      </w:r>
      <w:r>
        <w:fldChar w:fldCharType="separate"/>
      </w:r>
      <w:r>
        <w:t>565</w:t>
      </w:r>
      <w:r>
        <w:fldChar w:fldCharType="end"/>
      </w:r>
    </w:p>
    <w:p>
      <w:pPr>
        <w:pStyle w:val="TOC2"/>
        <w:tabs>
          <w:tab w:val="right" w:leader="dot" w:pos="7077"/>
        </w:tabs>
        <w:rPr>
          <w:rFonts w:asciiTheme="minorHAnsi" w:eastAsiaTheme="minorEastAsia" w:hAnsiTheme="minorHAnsi" w:cstheme="minorBidi"/>
          <w:b w:val="0"/>
          <w:sz w:val="22"/>
          <w:szCs w:val="22"/>
        </w:rPr>
      </w:pPr>
      <w:r>
        <w:t>Order 81FA</w:t>
      </w:r>
      <w:r>
        <w:rPr>
          <w:b w:val="0"/>
        </w:rPr>
        <w:t> </w:t>
      </w:r>
      <w:r>
        <w:t>—</w:t>
      </w:r>
      <w:r>
        <w:rPr>
          <w:b w:val="0"/>
        </w:rPr>
        <w:t> </w:t>
      </w:r>
      <w:r>
        <w:rPr>
          <w:i/>
          <w:iCs/>
        </w:rPr>
        <w:t>Criminal Property Confiscation Act 2000</w:t>
      </w:r>
      <w:r>
        <w:t xml:space="preserve"> rules</w:t>
      </w:r>
    </w:p>
    <w:p>
      <w:pPr>
        <w:pStyle w:val="TOC4"/>
        <w:tabs>
          <w:tab w:val="right" w:leader="dot" w:pos="7077"/>
        </w:tabs>
        <w:rPr>
          <w:rFonts w:asciiTheme="minorHAnsi" w:eastAsiaTheme="minorEastAsia" w:hAnsiTheme="minorHAnsi" w:cstheme="minorBidi"/>
          <w:b w:val="0"/>
          <w:szCs w:val="22"/>
        </w:rPr>
      </w:pPr>
      <w:r>
        <w:t>Part 1 —</w:t>
      </w:r>
      <w:r>
        <w:rPr>
          <w:b w:val="0"/>
        </w:rPr>
        <w:t>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_Toc163121745 \h </w:instrText>
      </w:r>
      <w:r>
        <w:fldChar w:fldCharType="separate"/>
      </w:r>
      <w:r>
        <w:t>566</w:t>
      </w:r>
      <w:r>
        <w:fldChar w:fldCharType="end"/>
      </w:r>
    </w:p>
    <w:p>
      <w:pPr>
        <w:pStyle w:val="TOC4"/>
        <w:tabs>
          <w:tab w:val="right" w:leader="dot" w:pos="7077"/>
        </w:tabs>
        <w:rPr>
          <w:rFonts w:asciiTheme="minorHAnsi" w:eastAsiaTheme="minorEastAsia" w:hAnsiTheme="minorHAnsi" w:cstheme="minorBidi"/>
          <w:b w:val="0"/>
          <w:szCs w:val="22"/>
        </w:rPr>
      </w:pPr>
      <w:r>
        <w:t>Part 2 — Proceedings under the Confiscation Act 2000</w:t>
      </w:r>
    </w:p>
    <w:p>
      <w:pPr>
        <w:pStyle w:val="TOC8"/>
        <w:rPr>
          <w:rFonts w:asciiTheme="minorHAnsi" w:eastAsiaTheme="minorEastAsia" w:hAnsiTheme="minorHAnsi" w:cstheme="minorBidi"/>
          <w:szCs w:val="22"/>
        </w:rPr>
      </w:pPr>
      <w:r>
        <w:t>2.</w:t>
      </w:r>
      <w:r>
        <w:tab/>
        <w:t>Declarations under Act s. 30, applications for</w:t>
      </w:r>
      <w:r>
        <w:tab/>
      </w:r>
      <w:r>
        <w:fldChar w:fldCharType="begin"/>
      </w:r>
      <w:r>
        <w:instrText xml:space="preserve"> PAGEREF _Toc163121747 \h </w:instrText>
      </w:r>
      <w:r>
        <w:fldChar w:fldCharType="separate"/>
      </w:r>
      <w:r>
        <w:t>567</w:t>
      </w:r>
      <w:r>
        <w:fldChar w:fldCharType="end"/>
      </w:r>
    </w:p>
    <w:p>
      <w:pPr>
        <w:pStyle w:val="TOC8"/>
        <w:rPr>
          <w:rFonts w:asciiTheme="minorHAnsi" w:eastAsiaTheme="minorEastAsia" w:hAnsiTheme="minorHAnsi" w:cstheme="minorBidi"/>
          <w:szCs w:val="22"/>
        </w:rPr>
      </w:pPr>
      <w:r>
        <w:t>3.</w:t>
      </w:r>
      <w:r>
        <w:tab/>
        <w:t>Other declarations or orders, applications for</w:t>
      </w:r>
      <w:r>
        <w:tab/>
      </w:r>
      <w:r>
        <w:fldChar w:fldCharType="begin"/>
      </w:r>
      <w:r>
        <w:instrText xml:space="preserve"> PAGEREF _Toc163121748 \h </w:instrText>
      </w:r>
      <w:r>
        <w:fldChar w:fldCharType="separate"/>
      </w:r>
      <w:r>
        <w:t>568</w:t>
      </w:r>
      <w:r>
        <w:fldChar w:fldCharType="end"/>
      </w:r>
    </w:p>
    <w:p>
      <w:pPr>
        <w:pStyle w:val="TOC8"/>
        <w:rPr>
          <w:rFonts w:asciiTheme="minorHAnsi" w:eastAsiaTheme="minorEastAsia" w:hAnsiTheme="minorHAnsi" w:cstheme="minorBidi"/>
          <w:szCs w:val="22"/>
        </w:rPr>
      </w:pPr>
      <w:r>
        <w:t>4.</w:t>
      </w:r>
      <w:r>
        <w:tab/>
        <w:t>Affidavit in support required for some applications</w:t>
      </w:r>
      <w:r>
        <w:tab/>
      </w:r>
      <w:r>
        <w:fldChar w:fldCharType="begin"/>
      </w:r>
      <w:r>
        <w:instrText xml:space="preserve"> PAGEREF _Toc163121749 \h </w:instrText>
      </w:r>
      <w:r>
        <w:fldChar w:fldCharType="separate"/>
      </w:r>
      <w:r>
        <w:t>569</w:t>
      </w:r>
      <w:r>
        <w:fldChar w:fldCharType="end"/>
      </w:r>
    </w:p>
    <w:p>
      <w:pPr>
        <w:pStyle w:val="TOC8"/>
        <w:rPr>
          <w:rFonts w:asciiTheme="minorHAnsi" w:eastAsiaTheme="minorEastAsia" w:hAnsiTheme="minorHAnsi" w:cstheme="minorBidi"/>
          <w:szCs w:val="22"/>
        </w:rPr>
      </w:pPr>
      <w:r>
        <w:t>5.</w:t>
      </w:r>
      <w:r>
        <w:tab/>
        <w:t>Objections to confiscation of property, making of</w:t>
      </w:r>
      <w:r>
        <w:tab/>
      </w:r>
      <w:r>
        <w:fldChar w:fldCharType="begin"/>
      </w:r>
      <w:r>
        <w:instrText xml:space="preserve"> PAGEREF _Toc163121750 \h </w:instrText>
      </w:r>
      <w:r>
        <w:fldChar w:fldCharType="separate"/>
      </w:r>
      <w:r>
        <w:t>569</w:t>
      </w:r>
      <w:r>
        <w:fldChar w:fldCharType="end"/>
      </w:r>
    </w:p>
    <w:p>
      <w:pPr>
        <w:pStyle w:val="TOC8"/>
        <w:rPr>
          <w:rFonts w:asciiTheme="minorHAnsi" w:eastAsiaTheme="minorEastAsia" w:hAnsiTheme="minorHAnsi" w:cstheme="minorBidi"/>
          <w:szCs w:val="22"/>
        </w:rPr>
      </w:pPr>
      <w:r>
        <w:t>6.</w:t>
      </w:r>
      <w:r>
        <w:tab/>
        <w:t>DPP or CCC to be served</w:t>
      </w:r>
      <w:r>
        <w:tab/>
      </w:r>
      <w:r>
        <w:fldChar w:fldCharType="begin"/>
      </w:r>
      <w:r>
        <w:instrText xml:space="preserve"> PAGEREF _Toc163121751 \h </w:instrText>
      </w:r>
      <w:r>
        <w:fldChar w:fldCharType="separate"/>
      </w:r>
      <w:r>
        <w:t>570</w:t>
      </w:r>
      <w:r>
        <w:fldChar w:fldCharType="end"/>
      </w:r>
    </w:p>
    <w:p>
      <w:pPr>
        <w:pStyle w:val="TOC8"/>
        <w:rPr>
          <w:rFonts w:asciiTheme="minorHAnsi" w:eastAsiaTheme="minorEastAsia" w:hAnsiTheme="minorHAnsi" w:cstheme="minorBidi"/>
          <w:szCs w:val="22"/>
        </w:rPr>
      </w:pPr>
      <w:r>
        <w:t>7.</w:t>
      </w:r>
      <w:r>
        <w:tab/>
        <w:t>Directions</w:t>
      </w:r>
      <w:r>
        <w:tab/>
      </w:r>
      <w:r>
        <w:fldChar w:fldCharType="begin"/>
      </w:r>
      <w:r>
        <w:instrText xml:space="preserve"> PAGEREF _Toc163121752 \h </w:instrText>
      </w:r>
      <w:r>
        <w:fldChar w:fldCharType="separate"/>
      </w:r>
      <w:r>
        <w:t>570</w:t>
      </w:r>
      <w:r>
        <w:fldChar w:fldCharType="end"/>
      </w:r>
    </w:p>
    <w:p>
      <w:pPr>
        <w:pStyle w:val="TOC8"/>
        <w:rPr>
          <w:rFonts w:asciiTheme="minorHAnsi" w:eastAsiaTheme="minorEastAsia" w:hAnsiTheme="minorHAnsi" w:cstheme="minorBidi"/>
          <w:szCs w:val="22"/>
        </w:rPr>
      </w:pPr>
      <w:r>
        <w:t>8.</w:t>
      </w:r>
      <w:r>
        <w:tab/>
        <w:t>Conference not required</w:t>
      </w:r>
      <w:r>
        <w:tab/>
      </w:r>
      <w:r>
        <w:fldChar w:fldCharType="begin"/>
      </w:r>
      <w:r>
        <w:instrText xml:space="preserve"> PAGEREF _Toc163121753 \h </w:instrText>
      </w:r>
      <w:r>
        <w:fldChar w:fldCharType="separate"/>
      </w:r>
      <w:r>
        <w:t>570</w:t>
      </w:r>
      <w:r>
        <w:fldChar w:fldCharType="end"/>
      </w:r>
    </w:p>
    <w:p>
      <w:pPr>
        <w:pStyle w:val="TOC8"/>
        <w:rPr>
          <w:rFonts w:asciiTheme="minorHAnsi" w:eastAsiaTheme="minorEastAsia" w:hAnsiTheme="minorHAnsi" w:cstheme="minorBidi"/>
          <w:szCs w:val="22"/>
        </w:rPr>
      </w:pPr>
      <w:r>
        <w:t>9.</w:t>
      </w:r>
      <w:r>
        <w:tab/>
        <w:t>Representative defendant</w:t>
      </w:r>
      <w:r>
        <w:tab/>
      </w:r>
      <w:r>
        <w:fldChar w:fldCharType="begin"/>
      </w:r>
      <w:r>
        <w:instrText xml:space="preserve"> PAGEREF _Toc163121754 \h </w:instrText>
      </w:r>
      <w:r>
        <w:fldChar w:fldCharType="separate"/>
      </w:r>
      <w:r>
        <w:t>570</w:t>
      </w:r>
      <w:r>
        <w:fldChar w:fldCharType="end"/>
      </w:r>
    </w:p>
    <w:p>
      <w:pPr>
        <w:pStyle w:val="TOC4"/>
        <w:tabs>
          <w:tab w:val="right" w:leader="dot" w:pos="7077"/>
        </w:tabs>
        <w:rPr>
          <w:rFonts w:asciiTheme="minorHAnsi" w:eastAsiaTheme="minorEastAsia" w:hAnsiTheme="minorHAnsi" w:cstheme="minorBidi"/>
          <w:b w:val="0"/>
          <w:szCs w:val="22"/>
        </w:rPr>
      </w:pPr>
      <w:r>
        <w:t>Part 3 — Registration of freezing notices and interstate orders</w:t>
      </w:r>
    </w:p>
    <w:p>
      <w:pPr>
        <w:pStyle w:val="TOC8"/>
        <w:rPr>
          <w:rFonts w:asciiTheme="minorHAnsi" w:eastAsiaTheme="minorEastAsia" w:hAnsiTheme="minorHAnsi" w:cstheme="minorBidi"/>
          <w:szCs w:val="22"/>
        </w:rPr>
      </w:pPr>
      <w:r>
        <w:t>10.</w:t>
      </w:r>
      <w:r>
        <w:tab/>
        <w:t>Freezing notices, registration of etc.</w:t>
      </w:r>
      <w:r>
        <w:tab/>
      </w:r>
      <w:r>
        <w:fldChar w:fldCharType="begin"/>
      </w:r>
      <w:r>
        <w:instrText xml:space="preserve"> PAGEREF _Toc163121756 \h </w:instrText>
      </w:r>
      <w:r>
        <w:fldChar w:fldCharType="separate"/>
      </w:r>
      <w:r>
        <w:t>571</w:t>
      </w:r>
      <w:r>
        <w:fldChar w:fldCharType="end"/>
      </w:r>
    </w:p>
    <w:p>
      <w:pPr>
        <w:pStyle w:val="TOC8"/>
        <w:rPr>
          <w:rFonts w:asciiTheme="minorHAnsi" w:eastAsiaTheme="minorEastAsia" w:hAnsiTheme="minorHAnsi" w:cstheme="minorBidi"/>
          <w:szCs w:val="22"/>
        </w:rPr>
      </w:pPr>
      <w:r>
        <w:t>11.</w:t>
      </w:r>
      <w:r>
        <w:tab/>
        <w:t>Interstate orders, registration of etc.</w:t>
      </w:r>
      <w:r>
        <w:tab/>
      </w:r>
      <w:r>
        <w:fldChar w:fldCharType="begin"/>
      </w:r>
      <w:r>
        <w:instrText xml:space="preserve"> PAGEREF _Toc163121757 \h </w:instrText>
      </w:r>
      <w:r>
        <w:fldChar w:fldCharType="separate"/>
      </w:r>
      <w:r>
        <w:t>571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Order 81G — </w:t>
      </w:r>
      <w:r>
        <w:rPr>
          <w:i/>
          <w:iCs/>
        </w:rPr>
        <w:t>Criminal and Found Property Disposal Act 2006</w:t>
      </w:r>
      <w:r>
        <w:t xml:space="preserve">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_Toc163121759 \h </w:instrText>
      </w:r>
      <w:r>
        <w:fldChar w:fldCharType="separate"/>
      </w:r>
      <w:r>
        <w:t>573</w:t>
      </w:r>
      <w:r>
        <w:fldChar w:fldCharType="end"/>
      </w:r>
    </w:p>
    <w:p>
      <w:pPr>
        <w:pStyle w:val="TOC8"/>
        <w:rPr>
          <w:rFonts w:asciiTheme="minorHAnsi" w:eastAsiaTheme="minorEastAsia" w:hAnsiTheme="minorHAnsi" w:cstheme="minorBidi"/>
          <w:szCs w:val="22"/>
        </w:rPr>
      </w:pPr>
      <w:r>
        <w:t>2.</w:t>
      </w:r>
      <w:r>
        <w:tab/>
        <w:t>General matters</w:t>
      </w:r>
      <w:r>
        <w:tab/>
      </w:r>
      <w:r>
        <w:fldChar w:fldCharType="begin"/>
      </w:r>
      <w:r>
        <w:instrText xml:space="preserve"> PAGEREF _Toc163121760 \h </w:instrText>
      </w:r>
      <w:r>
        <w:fldChar w:fldCharType="separate"/>
      </w:r>
      <w:r>
        <w:t>573</w:t>
      </w:r>
      <w:r>
        <w:fldChar w:fldCharType="end"/>
      </w:r>
    </w:p>
    <w:p>
      <w:pPr>
        <w:pStyle w:val="TOC8"/>
        <w:rPr>
          <w:rFonts w:asciiTheme="minorHAnsi" w:eastAsiaTheme="minorEastAsia" w:hAnsiTheme="minorHAnsi" w:cstheme="minorBidi"/>
          <w:szCs w:val="22"/>
        </w:rPr>
      </w:pPr>
      <w:r>
        <w:t>3.</w:t>
      </w:r>
      <w:r>
        <w:tab/>
        <w:t>Claims, how to be made</w:t>
      </w:r>
      <w:r>
        <w:tab/>
      </w:r>
      <w:r>
        <w:fldChar w:fldCharType="begin"/>
      </w:r>
      <w:r>
        <w:instrText xml:space="preserve"> PAGEREF _Toc163121761 \h </w:instrText>
      </w:r>
      <w:r>
        <w:fldChar w:fldCharType="separate"/>
      </w:r>
      <w:r>
        <w:t>574</w:t>
      </w:r>
      <w:r>
        <w:fldChar w:fldCharType="end"/>
      </w:r>
    </w:p>
    <w:p>
      <w:pPr>
        <w:pStyle w:val="TOC8"/>
        <w:rPr>
          <w:rFonts w:asciiTheme="minorHAnsi" w:eastAsiaTheme="minorEastAsia" w:hAnsiTheme="minorHAnsi" w:cstheme="minorBidi"/>
          <w:szCs w:val="22"/>
        </w:rPr>
      </w:pPr>
      <w:r>
        <w:t>4.</w:t>
      </w:r>
      <w:r>
        <w:tab/>
        <w:t>Defendant may file memorandum of appearance</w:t>
      </w:r>
      <w:r>
        <w:tab/>
      </w:r>
      <w:r>
        <w:fldChar w:fldCharType="begin"/>
      </w:r>
      <w:r>
        <w:instrText xml:space="preserve"> PAGEREF _Toc163121762 \h </w:instrText>
      </w:r>
      <w:r>
        <w:fldChar w:fldCharType="separate"/>
      </w:r>
      <w:r>
        <w:t>574</w:t>
      </w:r>
      <w:r>
        <w:fldChar w:fldCharType="end"/>
      </w:r>
    </w:p>
    <w:p>
      <w:pPr>
        <w:pStyle w:val="TOC8"/>
        <w:rPr>
          <w:rFonts w:asciiTheme="minorHAnsi" w:eastAsiaTheme="minorEastAsia" w:hAnsiTheme="minorHAnsi" w:cstheme="minorBidi"/>
          <w:szCs w:val="22"/>
        </w:rPr>
      </w:pPr>
      <w:r>
        <w:t>5.</w:t>
      </w:r>
      <w:r>
        <w:tab/>
        <w:t>Defendant may file affidavit in response</w:t>
      </w:r>
      <w:r>
        <w:tab/>
      </w:r>
      <w:r>
        <w:fldChar w:fldCharType="begin"/>
      </w:r>
      <w:r>
        <w:instrText xml:space="preserve"> PAGEREF _Toc163121763 \h </w:instrText>
      </w:r>
      <w:r>
        <w:fldChar w:fldCharType="separate"/>
      </w:r>
      <w:r>
        <w:t>575</w:t>
      </w:r>
      <w:r>
        <w:fldChar w:fldCharType="end"/>
      </w:r>
    </w:p>
    <w:p>
      <w:pPr>
        <w:pStyle w:val="TOC8"/>
        <w:rPr>
          <w:rFonts w:asciiTheme="minorHAnsi" w:eastAsiaTheme="minorEastAsia" w:hAnsiTheme="minorHAnsi" w:cstheme="minorBidi"/>
          <w:szCs w:val="22"/>
        </w:rPr>
      </w:pPr>
      <w:r>
        <w:t>6.</w:t>
      </w:r>
      <w:r>
        <w:tab/>
        <w:t>Applications in course of proceedings on claim</w:t>
      </w:r>
      <w:r>
        <w:tab/>
      </w:r>
      <w:r>
        <w:fldChar w:fldCharType="begin"/>
      </w:r>
      <w:r>
        <w:instrText xml:space="preserve"> PAGEREF _Toc163121764 \h </w:instrText>
      </w:r>
      <w:r>
        <w:fldChar w:fldCharType="separate"/>
      </w:r>
      <w:r>
        <w:t>575</w:t>
      </w:r>
      <w:r>
        <w:fldChar w:fldCharType="end"/>
      </w:r>
    </w:p>
    <w:p>
      <w:pPr>
        <w:pStyle w:val="TOC8"/>
        <w:rPr>
          <w:rFonts w:asciiTheme="minorHAnsi" w:eastAsiaTheme="minorEastAsia" w:hAnsiTheme="minorHAnsi" w:cstheme="minorBidi"/>
          <w:szCs w:val="22"/>
        </w:rPr>
      </w:pPr>
      <w:r>
        <w:t>7.</w:t>
      </w:r>
      <w:r>
        <w:tab/>
        <w:t>Hearing claims</w:t>
      </w:r>
      <w:r>
        <w:tab/>
      </w:r>
      <w:r>
        <w:fldChar w:fldCharType="begin"/>
      </w:r>
      <w:r>
        <w:instrText xml:space="preserve"> PAGEREF _Toc163121765 \h </w:instrText>
      </w:r>
      <w:r>
        <w:fldChar w:fldCharType="separate"/>
      </w:r>
      <w:r>
        <w:t>575</w:t>
      </w:r>
      <w:r>
        <w:fldChar w:fldCharType="end"/>
      </w:r>
    </w:p>
    <w:p>
      <w:pPr>
        <w:pStyle w:val="TOC8"/>
        <w:rPr>
          <w:rFonts w:asciiTheme="minorHAnsi" w:eastAsiaTheme="minorEastAsia" w:hAnsiTheme="minorHAnsi" w:cstheme="minorBidi"/>
          <w:szCs w:val="22"/>
        </w:rPr>
      </w:pPr>
      <w:r>
        <w:t>8.</w:t>
      </w:r>
      <w:r>
        <w:tab/>
        <w:t>Costs</w:t>
      </w:r>
      <w:r>
        <w:tab/>
      </w:r>
      <w:r>
        <w:fldChar w:fldCharType="begin"/>
      </w:r>
      <w:r>
        <w:instrText xml:space="preserve"> PAGEREF _Toc163121766 \h </w:instrText>
      </w:r>
      <w:r>
        <w:fldChar w:fldCharType="separate"/>
      </w:r>
      <w:r>
        <w:t>576</w:t>
      </w:r>
      <w:r>
        <w:fldChar w:fldCharType="end"/>
      </w:r>
    </w:p>
    <w:p>
      <w:pPr>
        <w:pStyle w:val="TOC8"/>
        <w:rPr>
          <w:rFonts w:asciiTheme="minorHAnsi" w:eastAsiaTheme="minorEastAsia" w:hAnsiTheme="minorHAnsi" w:cstheme="minorBidi"/>
          <w:szCs w:val="22"/>
        </w:rPr>
      </w:pPr>
      <w:r>
        <w:t>9.</w:t>
      </w:r>
      <w:r>
        <w:tab/>
        <w:t>Documents cannot be filed electronically</w:t>
      </w:r>
      <w:r>
        <w:tab/>
      </w:r>
      <w:r>
        <w:fldChar w:fldCharType="begin"/>
      </w:r>
      <w:r>
        <w:instrText xml:space="preserve"> PAGEREF _Toc163121767 \h </w:instrText>
      </w:r>
      <w:r>
        <w:fldChar w:fldCharType="separate"/>
      </w:r>
      <w:r>
        <w:t>576</w:t>
      </w:r>
      <w:r>
        <w:fldChar w:fldCharType="end"/>
      </w:r>
    </w:p>
    <w:p>
      <w:pPr>
        <w:pStyle w:val="TOC2"/>
        <w:tabs>
          <w:tab w:val="right" w:leader="dot" w:pos="7077"/>
        </w:tabs>
        <w:rPr>
          <w:rFonts w:asciiTheme="minorHAnsi" w:eastAsiaTheme="minorEastAsia" w:hAnsiTheme="minorHAnsi" w:cstheme="minorBidi"/>
          <w:b w:val="0"/>
          <w:sz w:val="22"/>
          <w:szCs w:val="22"/>
        </w:rPr>
      </w:pPr>
      <w:r>
        <w:t>Order 81H</w:t>
      </w:r>
      <w:r>
        <w:rPr>
          <w:b w:val="0"/>
        </w:rPr>
        <w:t> </w:t>
      </w:r>
      <w:r>
        <w:t>—</w:t>
      </w:r>
      <w:r>
        <w:rPr>
          <w:b w:val="0"/>
        </w:rPr>
        <w:t> </w:t>
      </w:r>
      <w:r>
        <w:rPr>
          <w:i/>
          <w:iCs/>
        </w:rPr>
        <w:t xml:space="preserve">Surveillance Devices Act 1998 </w:t>
      </w:r>
      <w:r>
        <w:t>rules</w:t>
      </w:r>
    </w:p>
    <w:p>
      <w:pPr>
        <w:pStyle w:val="TOC8"/>
        <w:rPr>
          <w:rFonts w:asciiTheme="minorHAnsi" w:eastAsiaTheme="minorEastAsia" w:hAnsiTheme="minorHAnsi" w:cstheme="minorBidi"/>
          <w:szCs w:val="22"/>
        </w:rPr>
      </w:pPr>
      <w:r>
        <w:t>1.</w:t>
      </w:r>
      <w:r>
        <w:tab/>
        <w:t>Term used: Act</w:t>
      </w:r>
      <w:r>
        <w:tab/>
      </w:r>
      <w:r>
        <w:fldChar w:fldCharType="begin"/>
      </w:r>
      <w:r>
        <w:instrText xml:space="preserve"> PAGEREF _Toc163121769 \h </w:instrText>
      </w:r>
      <w:r>
        <w:fldChar w:fldCharType="separate"/>
      </w:r>
      <w:r>
        <w:t>577</w:t>
      </w:r>
      <w:r>
        <w:fldChar w:fldCharType="end"/>
      </w:r>
    </w:p>
    <w:p>
      <w:pPr>
        <w:pStyle w:val="TOC8"/>
        <w:rPr>
          <w:rFonts w:asciiTheme="minorHAnsi" w:eastAsiaTheme="minorEastAsia" w:hAnsiTheme="minorHAnsi" w:cstheme="minorBidi"/>
          <w:szCs w:val="22"/>
        </w:rPr>
      </w:pPr>
      <w:r>
        <w:t>2.</w:t>
      </w:r>
      <w:r>
        <w:tab/>
        <w:t>Warrants, applications for</w:t>
      </w:r>
      <w:r>
        <w:tab/>
      </w:r>
      <w:r>
        <w:fldChar w:fldCharType="begin"/>
      </w:r>
      <w:r>
        <w:instrText xml:space="preserve"> PAGEREF _Toc163121770 \h </w:instrText>
      </w:r>
      <w:r>
        <w:fldChar w:fldCharType="separate"/>
      </w:r>
      <w:r>
        <w:t>577</w:t>
      </w:r>
      <w:r>
        <w:fldChar w:fldCharType="end"/>
      </w:r>
    </w:p>
    <w:p>
      <w:pPr>
        <w:pStyle w:val="TOC8"/>
        <w:rPr>
          <w:rFonts w:asciiTheme="minorHAnsi" w:eastAsiaTheme="minorEastAsia" w:hAnsiTheme="minorHAnsi" w:cstheme="minorBidi"/>
          <w:szCs w:val="22"/>
        </w:rPr>
      </w:pPr>
      <w:r>
        <w:t>3.</w:t>
      </w:r>
      <w:r>
        <w:tab/>
        <w:t>Report to judge (Act s. 21 or 30)</w:t>
      </w:r>
      <w:r>
        <w:tab/>
      </w:r>
      <w:r>
        <w:fldChar w:fldCharType="begin"/>
      </w:r>
      <w:r>
        <w:instrText xml:space="preserve"> PAGEREF _Toc163121771 \h </w:instrText>
      </w:r>
      <w:r>
        <w:fldChar w:fldCharType="separate"/>
      </w:r>
      <w:r>
        <w:t>577</w:t>
      </w:r>
      <w:r>
        <w:fldChar w:fldCharType="end"/>
      </w:r>
    </w:p>
    <w:p>
      <w:pPr>
        <w:pStyle w:val="TOC8"/>
        <w:rPr>
          <w:rFonts w:asciiTheme="minorHAnsi" w:eastAsiaTheme="minorEastAsia" w:hAnsiTheme="minorHAnsi" w:cstheme="minorBidi"/>
          <w:szCs w:val="22"/>
        </w:rPr>
      </w:pPr>
      <w:r>
        <w:t>4.</w:t>
      </w:r>
      <w:r>
        <w:tab/>
        <w:t>Order allowing publication etc. (Act s. 31), application for</w:t>
      </w:r>
      <w:r>
        <w:tab/>
      </w:r>
      <w:r>
        <w:fldChar w:fldCharType="begin"/>
      </w:r>
      <w:r>
        <w:instrText xml:space="preserve"> PAGEREF _Toc163121772 \h </w:instrText>
      </w:r>
      <w:r>
        <w:fldChar w:fldCharType="separate"/>
      </w:r>
      <w:r>
        <w:t>577</w:t>
      </w:r>
      <w:r>
        <w:fldChar w:fldCharType="end"/>
      </w:r>
    </w:p>
    <w:p>
      <w:pPr>
        <w:pStyle w:val="TOC8"/>
        <w:rPr>
          <w:rFonts w:asciiTheme="minorHAnsi" w:eastAsiaTheme="minorEastAsia" w:hAnsiTheme="minorHAnsi" w:cstheme="minorBidi"/>
          <w:szCs w:val="22"/>
        </w:rPr>
      </w:pPr>
      <w:r>
        <w:t>5.</w:t>
      </w:r>
      <w:r>
        <w:tab/>
        <w:t>Identification of persons in documents</w:t>
      </w:r>
      <w:r>
        <w:tab/>
      </w:r>
      <w:r>
        <w:fldChar w:fldCharType="begin"/>
      </w:r>
      <w:r>
        <w:instrText xml:space="preserve"> PAGEREF _Toc163121773 \h </w:instrText>
      </w:r>
      <w:r>
        <w:fldChar w:fldCharType="separate"/>
      </w:r>
      <w:r>
        <w:t>578</w:t>
      </w:r>
      <w:r>
        <w:fldChar w:fldCharType="end"/>
      </w:r>
    </w:p>
    <w:p>
      <w:pPr>
        <w:pStyle w:val="TOC8"/>
        <w:rPr>
          <w:rFonts w:asciiTheme="minorHAnsi" w:eastAsiaTheme="minorEastAsia" w:hAnsiTheme="minorHAnsi" w:cstheme="minorBidi"/>
          <w:szCs w:val="22"/>
        </w:rPr>
      </w:pPr>
      <w:r>
        <w:t>6.</w:t>
      </w:r>
      <w:r>
        <w:tab/>
        <w:t>Practice Directions</w:t>
      </w:r>
      <w:r>
        <w:tab/>
      </w:r>
      <w:r>
        <w:fldChar w:fldCharType="begin"/>
      </w:r>
      <w:r>
        <w:instrText xml:space="preserve"> PAGEREF _Toc163121774 \h </w:instrText>
      </w:r>
      <w:r>
        <w:fldChar w:fldCharType="separate"/>
      </w:r>
      <w:r>
        <w:t>578</w:t>
      </w:r>
      <w:r>
        <w:fldChar w:fldCharType="end"/>
      </w:r>
    </w:p>
    <w:p>
      <w:pPr>
        <w:pStyle w:val="TOC8"/>
        <w:rPr>
          <w:rFonts w:asciiTheme="minorHAnsi" w:eastAsiaTheme="minorEastAsia" w:hAnsiTheme="minorHAnsi" w:cstheme="minorBidi"/>
          <w:szCs w:val="22"/>
        </w:rPr>
      </w:pPr>
      <w:r>
        <w:t>7.</w:t>
      </w:r>
      <w:r>
        <w:tab/>
        <w:t>Documents cannot be filed electronically</w:t>
      </w:r>
      <w:r>
        <w:tab/>
      </w:r>
      <w:r>
        <w:fldChar w:fldCharType="begin"/>
      </w:r>
      <w:r>
        <w:instrText xml:space="preserve"> PAGEREF _Toc163121775 \h </w:instrText>
      </w:r>
      <w:r>
        <w:fldChar w:fldCharType="separate"/>
      </w:r>
      <w:r>
        <w:t>578</w:t>
      </w:r>
      <w:r>
        <w:fldChar w:fldCharType="end"/>
      </w:r>
    </w:p>
    <w:p>
      <w:pPr>
        <w:pStyle w:val="TOC2"/>
        <w:tabs>
          <w:tab w:val="right" w:leader="dot" w:pos="7077"/>
        </w:tabs>
        <w:rPr>
          <w:rFonts w:asciiTheme="minorHAnsi" w:eastAsiaTheme="minorEastAsia" w:hAnsiTheme="minorHAnsi" w:cstheme="minorBidi"/>
          <w:b w:val="0"/>
          <w:sz w:val="22"/>
          <w:szCs w:val="22"/>
        </w:rPr>
      </w:pPr>
      <w:r>
        <w:t>Order 82 — Sheriff’s rules</w:t>
      </w:r>
    </w:p>
    <w:p>
      <w:pPr>
        <w:pStyle w:val="TOC8"/>
        <w:rPr>
          <w:rFonts w:asciiTheme="minorHAnsi" w:eastAsiaTheme="minorEastAsia" w:hAnsiTheme="minorHAnsi" w:cstheme="minorBidi"/>
          <w:szCs w:val="22"/>
        </w:rPr>
      </w:pPr>
      <w:r>
        <w:t>7</w:t>
      </w:r>
      <w:r>
        <w:rPr>
          <w:snapToGrid w:val="0"/>
        </w:rPr>
        <w:t>.</w:t>
      </w:r>
      <w:r>
        <w:rPr>
          <w:snapToGrid w:val="0"/>
        </w:rPr>
        <w:tab/>
        <w:t>Service of process by sheriff</w:t>
      </w:r>
      <w:r>
        <w:tab/>
      </w:r>
      <w:r>
        <w:fldChar w:fldCharType="begin"/>
      </w:r>
      <w:r>
        <w:instrText xml:space="preserve"> PAGEREF _Toc163121777 \h </w:instrText>
      </w:r>
      <w:r>
        <w:fldChar w:fldCharType="separate"/>
      </w:r>
      <w:r>
        <w:t>579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Fees etc. payable to sheriff, disputes as to</w:t>
      </w:r>
      <w:r>
        <w:tab/>
      </w:r>
      <w:r>
        <w:fldChar w:fldCharType="begin"/>
      </w:r>
      <w:r>
        <w:instrText xml:space="preserve"> PAGEREF _Toc163121778 \h </w:instrText>
      </w:r>
      <w:r>
        <w:fldChar w:fldCharType="separate"/>
      </w:r>
      <w:r>
        <w:t>579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Deposit on account of sheriff’s fees</w:t>
      </w:r>
      <w:r>
        <w:tab/>
      </w:r>
      <w:r>
        <w:fldChar w:fldCharType="begin"/>
      </w:r>
      <w:r>
        <w:instrText xml:space="preserve"> PAGEREF _Toc163121779 \h </w:instrText>
      </w:r>
      <w:r>
        <w:fldChar w:fldCharType="separate"/>
      </w:r>
      <w:r>
        <w:t>580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Travel distance by sheriff for service</w:t>
      </w:r>
      <w:r>
        <w:tab/>
      </w:r>
      <w:r>
        <w:fldChar w:fldCharType="begin"/>
      </w:r>
      <w:r>
        <w:instrText xml:space="preserve"> PAGEREF _Toc163121780 \h </w:instrText>
      </w:r>
      <w:r>
        <w:fldChar w:fldCharType="separate"/>
      </w:r>
      <w:r>
        <w:t>580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Non</w:t>
      </w:r>
      <w:r>
        <w:rPr>
          <w:snapToGrid w:val="0"/>
        </w:rPr>
        <w:noBreakHyphen/>
        <w:t>payment of sheriff’s fees, consequences of</w:t>
      </w:r>
      <w:r>
        <w:tab/>
      </w:r>
      <w:r>
        <w:fldChar w:fldCharType="begin"/>
      </w:r>
      <w:r>
        <w:instrText xml:space="preserve"> PAGEREF _Toc163121781 \h </w:instrText>
      </w:r>
      <w:r>
        <w:fldChar w:fldCharType="separate"/>
      </w:r>
      <w:r>
        <w:t>580</w:t>
      </w:r>
      <w:r>
        <w:fldChar w:fldCharType="end"/>
      </w:r>
    </w:p>
    <w:p>
      <w:pPr>
        <w:pStyle w:val="TOC2"/>
        <w:tabs>
          <w:tab w:val="right" w:leader="dot" w:pos="7077"/>
        </w:tabs>
        <w:rPr>
          <w:rFonts w:asciiTheme="minorHAnsi" w:eastAsiaTheme="minorEastAsia" w:hAnsiTheme="minorHAnsi" w:cstheme="minorBidi"/>
          <w:b w:val="0"/>
          <w:sz w:val="22"/>
          <w:szCs w:val="22"/>
        </w:rPr>
      </w:pPr>
      <w:r>
        <w:t>Order 83 — Consolidation of pending causes and matters</w:t>
      </w:r>
    </w:p>
    <w:p>
      <w:pPr>
        <w:pStyle w:val="TOC8"/>
        <w:rPr>
          <w:rFonts w:asciiTheme="minorHAnsi" w:eastAsiaTheme="minorEastAsia" w:hAnsiTheme="minorHAnsi" w:cstheme="minorBidi"/>
          <w:szCs w:val="22"/>
        </w:rPr>
      </w:pPr>
      <w:r>
        <w:t>1</w:t>
      </w:r>
      <w:r>
        <w:rPr>
          <w:snapToGrid w:val="0"/>
        </w:rPr>
        <w:t>.</w:t>
      </w:r>
      <w:r>
        <w:rPr>
          <w:snapToGrid w:val="0"/>
        </w:rPr>
        <w:tab/>
        <w:t>Causes may be consolidated</w:t>
      </w:r>
      <w:r>
        <w:tab/>
      </w:r>
      <w:r>
        <w:fldChar w:fldCharType="begin"/>
      </w:r>
      <w:r>
        <w:instrText xml:space="preserve"> PAGEREF _Toc163121783 \h </w:instrText>
      </w:r>
      <w:r>
        <w:fldChar w:fldCharType="separate"/>
      </w:r>
      <w:r>
        <w:t>582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Consolidation with action removed from another court</w:t>
      </w:r>
      <w:r>
        <w:tab/>
      </w:r>
      <w:r>
        <w:fldChar w:fldCharType="begin"/>
      </w:r>
      <w:r>
        <w:instrText xml:space="preserve"> PAGEREF _Toc163121784 \h </w:instrText>
      </w:r>
      <w:r>
        <w:fldChar w:fldCharType="separate"/>
      </w:r>
      <w:r>
        <w:t>582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Directions</w:t>
      </w:r>
      <w:r>
        <w:tab/>
      </w:r>
      <w:r>
        <w:fldChar w:fldCharType="begin"/>
      </w:r>
      <w:r>
        <w:instrText xml:space="preserve"> PAGEREF _Toc163121785 \h </w:instrText>
      </w:r>
      <w:r>
        <w:fldChar w:fldCharType="separate"/>
      </w:r>
      <w:r>
        <w:t>582</w:t>
      </w:r>
      <w:r>
        <w:fldChar w:fldCharType="end"/>
      </w:r>
    </w:p>
    <w:p>
      <w:pPr>
        <w:pStyle w:val="TOC2"/>
        <w:tabs>
          <w:tab w:val="right" w:leader="dot" w:pos="7077"/>
        </w:tabs>
        <w:rPr>
          <w:rFonts w:asciiTheme="minorHAnsi" w:eastAsiaTheme="minorEastAsia" w:hAnsiTheme="minorHAnsi" w:cstheme="minorBidi"/>
          <w:b w:val="0"/>
          <w:sz w:val="22"/>
          <w:szCs w:val="22"/>
        </w:rPr>
      </w:pPr>
      <w:r>
        <w:t>Order 84 — General rules</w:t>
      </w:r>
    </w:p>
    <w:p>
      <w:pPr>
        <w:pStyle w:val="TOC8"/>
        <w:rPr>
          <w:rFonts w:asciiTheme="minorHAnsi" w:eastAsiaTheme="minorEastAsia" w:hAnsiTheme="minorHAnsi" w:cstheme="minorBidi"/>
          <w:szCs w:val="22"/>
        </w:rPr>
      </w:pPr>
      <w:r>
        <w:t>1</w:t>
      </w:r>
      <w:r>
        <w:rPr>
          <w:snapToGrid w:val="0"/>
        </w:rPr>
        <w:t>.</w:t>
      </w:r>
      <w:r>
        <w:rPr>
          <w:snapToGrid w:val="0"/>
        </w:rPr>
        <w:tab/>
        <w:t>Repealed Orders not revived</w:t>
      </w:r>
      <w:r>
        <w:tab/>
      </w:r>
      <w:r>
        <w:fldChar w:fldCharType="begin"/>
      </w:r>
      <w:r>
        <w:instrText xml:space="preserve"> PAGEREF _Toc163121787 \h </w:instrText>
      </w:r>
      <w:r>
        <w:fldChar w:fldCharType="separate"/>
      </w:r>
      <w:r>
        <w:t>583</w:t>
      </w:r>
      <w:r>
        <w:fldChar w:fldCharType="end"/>
      </w:r>
    </w:p>
    <w:p>
      <w:pPr>
        <w:pStyle w:val="TOC8"/>
        <w:rPr>
          <w:rFonts w:asciiTheme="minorHAnsi" w:eastAsiaTheme="minorEastAsia" w:hAnsiTheme="minorHAnsi" w:cstheme="minorBidi"/>
          <w:szCs w:val="22"/>
        </w:rPr>
      </w:pPr>
      <w:r>
        <w:lastRenderedPageBreak/>
        <w:t>2</w:t>
      </w:r>
      <w:r>
        <w:rPr>
          <w:snapToGrid w:val="0"/>
        </w:rPr>
        <w:t>.</w:t>
      </w:r>
      <w:r>
        <w:rPr>
          <w:snapToGrid w:val="0"/>
        </w:rPr>
        <w:tab/>
        <w:t>Cases not provided for</w:t>
      </w:r>
      <w:r>
        <w:tab/>
      </w:r>
      <w:r>
        <w:fldChar w:fldCharType="begin"/>
      </w:r>
      <w:r>
        <w:instrText xml:space="preserve"> PAGEREF _Toc163121788 \h </w:instrText>
      </w:r>
      <w:r>
        <w:fldChar w:fldCharType="separate"/>
      </w:r>
      <w:r>
        <w:t>583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Publication of written reasons for judgment</w:t>
      </w:r>
      <w:r>
        <w:tab/>
      </w:r>
      <w:r>
        <w:fldChar w:fldCharType="begin"/>
      </w:r>
      <w:r>
        <w:instrText xml:space="preserve"> PAGEREF _Toc163121789 \h </w:instrText>
      </w:r>
      <w:r>
        <w:fldChar w:fldCharType="separate"/>
      </w:r>
      <w:r>
        <w:t>583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Bankruptcy jurisdiction, duty of Registrar in Bankruptcy as to seals, records etc.</w:t>
      </w:r>
      <w:r>
        <w:tab/>
      </w:r>
      <w:r>
        <w:fldChar w:fldCharType="begin"/>
      </w:r>
      <w:r>
        <w:instrText xml:space="preserve"> PAGEREF _Toc163121790 \h </w:instrText>
      </w:r>
      <w:r>
        <w:fldChar w:fldCharType="separate"/>
      </w:r>
      <w:r>
        <w:t>584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rPr>
          <w:i/>
          <w:iCs/>
          <w:snapToGrid w:val="0"/>
        </w:rPr>
        <w:t xml:space="preserve">Public Trustee Act 1941 </w:t>
      </w:r>
      <w:r>
        <w:rPr>
          <w:snapToGrid w:val="0"/>
        </w:rPr>
        <w:t>s. 27, proceedings under</w:t>
      </w:r>
      <w:r>
        <w:tab/>
      </w:r>
      <w:r>
        <w:fldChar w:fldCharType="begin"/>
      </w:r>
      <w:r>
        <w:instrText xml:space="preserve"> PAGEREF _Toc163121791 \h </w:instrText>
      </w:r>
      <w:r>
        <w:fldChar w:fldCharType="separate"/>
      </w:r>
      <w:r>
        <w:t>584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Sale proceeds paid into court, claimants to must file affidavit</w:t>
      </w:r>
      <w:r>
        <w:tab/>
      </w:r>
      <w:r>
        <w:fldChar w:fldCharType="begin"/>
      </w:r>
      <w:r>
        <w:instrText xml:space="preserve"> PAGEREF _Toc163121792 \h </w:instrText>
      </w:r>
      <w:r>
        <w:fldChar w:fldCharType="separate"/>
      </w:r>
      <w:r>
        <w:t>585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Account by solicitor to client, applying for and order as to</w:t>
      </w:r>
      <w:r>
        <w:tab/>
      </w:r>
      <w:r>
        <w:fldChar w:fldCharType="begin"/>
      </w:r>
      <w:r>
        <w:instrText xml:space="preserve"> PAGEREF _Toc163121793 \h </w:instrText>
      </w:r>
      <w:r>
        <w:fldChar w:fldCharType="separate"/>
      </w:r>
      <w:r>
        <w:t>585</w:t>
      </w:r>
      <w:r>
        <w:fldChar w:fldCharType="end"/>
      </w:r>
    </w:p>
    <w:p>
      <w:pPr>
        <w:pStyle w:val="TOC8"/>
        <w:rPr>
          <w:rFonts w:asciiTheme="minorHAnsi" w:eastAsiaTheme="minorEastAsia" w:hAnsiTheme="minorHAnsi" w:cstheme="minorBidi"/>
          <w:szCs w:val="22"/>
        </w:rPr>
      </w:pPr>
      <w:r>
        <w:t>8.</w:t>
      </w:r>
      <w:r>
        <w:tab/>
        <w:t>Interest and apportionment, certification of</w:t>
      </w:r>
      <w:r>
        <w:tab/>
      </w:r>
      <w:r>
        <w:fldChar w:fldCharType="begin"/>
      </w:r>
      <w:r>
        <w:instrText xml:space="preserve"> PAGEREF _Toc163121794 \h </w:instrText>
      </w:r>
      <w:r>
        <w:fldChar w:fldCharType="separate"/>
      </w:r>
      <w:r>
        <w:t>585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r>
      <w:r>
        <w:rPr>
          <w:i/>
          <w:snapToGrid w:val="0"/>
        </w:rPr>
        <w:t>Admiralty Act 1988</w:t>
      </w:r>
      <w:r>
        <w:rPr>
          <w:snapToGrid w:val="0"/>
        </w:rPr>
        <w:t xml:space="preserve"> (Cwlth) rules, registrar etc. may exercise powers etc. under</w:t>
      </w:r>
      <w:r>
        <w:tab/>
      </w:r>
      <w:r>
        <w:fldChar w:fldCharType="begin"/>
      </w:r>
      <w:r>
        <w:instrText xml:space="preserve"> PAGEREF _Toc163121795 \h </w:instrText>
      </w:r>
      <w:r>
        <w:fldChar w:fldCharType="separate"/>
      </w:r>
      <w:r>
        <w:t>586</w:t>
      </w:r>
      <w:r>
        <w:fldChar w:fldCharType="end"/>
      </w:r>
    </w:p>
    <w:p>
      <w:pPr>
        <w:pStyle w:val="TOC2"/>
        <w:tabs>
          <w:tab w:val="right" w:leader="dot" w:pos="7077"/>
        </w:tabs>
        <w:rPr>
          <w:rFonts w:asciiTheme="minorHAnsi" w:eastAsiaTheme="minorEastAsia" w:hAnsiTheme="minorHAnsi" w:cstheme="minorBidi"/>
          <w:b w:val="0"/>
          <w:sz w:val="22"/>
          <w:szCs w:val="22"/>
        </w:rPr>
      </w:pPr>
      <w:r>
        <w:t>Order 85</w:t>
      </w:r>
      <w:r>
        <w:rPr>
          <w:b w:val="0"/>
        </w:rPr>
        <w:t> </w:t>
      </w:r>
      <w:r>
        <w:t>—</w:t>
      </w:r>
      <w:r>
        <w:rPr>
          <w:b w:val="0"/>
        </w:rPr>
        <w:t> </w:t>
      </w:r>
      <w:r>
        <w:rPr>
          <w:i/>
          <w:iCs/>
        </w:rPr>
        <w:t>Federal Courts (State Jurisdiction) Act 1999</w:t>
      </w:r>
      <w:r>
        <w:t xml:space="preserve">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_Toc163121797 \h </w:instrText>
      </w:r>
      <w:r>
        <w:fldChar w:fldCharType="separate"/>
      </w:r>
      <w:r>
        <w:t>587</w:t>
      </w:r>
      <w:r>
        <w:fldChar w:fldCharType="end"/>
      </w:r>
    </w:p>
    <w:p>
      <w:pPr>
        <w:pStyle w:val="TOC8"/>
        <w:rPr>
          <w:rFonts w:asciiTheme="minorHAnsi" w:eastAsiaTheme="minorEastAsia" w:hAnsiTheme="minorHAnsi" w:cstheme="minorBidi"/>
          <w:szCs w:val="22"/>
        </w:rPr>
      </w:pPr>
      <w:r>
        <w:t>2.</w:t>
      </w:r>
      <w:r>
        <w:tab/>
        <w:t>Title of proceedings</w:t>
      </w:r>
      <w:r>
        <w:tab/>
      </w:r>
      <w:r>
        <w:fldChar w:fldCharType="begin"/>
      </w:r>
      <w:r>
        <w:instrText xml:space="preserve"> PAGEREF _Toc163121798 \h </w:instrText>
      </w:r>
      <w:r>
        <w:fldChar w:fldCharType="separate"/>
      </w:r>
      <w:r>
        <w:t>587</w:t>
      </w:r>
      <w:r>
        <w:fldChar w:fldCharType="end"/>
      </w:r>
    </w:p>
    <w:p>
      <w:pPr>
        <w:pStyle w:val="TOC8"/>
        <w:rPr>
          <w:rFonts w:asciiTheme="minorHAnsi" w:eastAsiaTheme="minorEastAsia" w:hAnsiTheme="minorHAnsi" w:cstheme="minorBidi"/>
          <w:szCs w:val="22"/>
        </w:rPr>
      </w:pPr>
      <w:r>
        <w:t>3.</w:t>
      </w:r>
      <w:r>
        <w:tab/>
        <w:t>No proceedings on ineffective judgment before application to have it registered</w:t>
      </w:r>
      <w:r>
        <w:tab/>
      </w:r>
      <w:r>
        <w:fldChar w:fldCharType="begin"/>
      </w:r>
      <w:r>
        <w:instrText xml:space="preserve"> PAGEREF _Toc163121799 \h </w:instrText>
      </w:r>
      <w:r>
        <w:fldChar w:fldCharType="separate"/>
      </w:r>
      <w:r>
        <w:t>587</w:t>
      </w:r>
      <w:r>
        <w:fldChar w:fldCharType="end"/>
      </w:r>
    </w:p>
    <w:p>
      <w:pPr>
        <w:pStyle w:val="TOC8"/>
        <w:rPr>
          <w:rFonts w:asciiTheme="minorHAnsi" w:eastAsiaTheme="minorEastAsia" w:hAnsiTheme="minorHAnsi" w:cstheme="minorBidi"/>
          <w:szCs w:val="22"/>
        </w:rPr>
      </w:pPr>
      <w:r>
        <w:t>4.</w:t>
      </w:r>
      <w:r>
        <w:tab/>
        <w:t>Ineffective judgment, application for registration of</w:t>
      </w:r>
      <w:r>
        <w:tab/>
      </w:r>
      <w:r>
        <w:fldChar w:fldCharType="begin"/>
      </w:r>
      <w:r>
        <w:instrText xml:space="preserve"> PAGEREF _Toc163121800 \h </w:instrText>
      </w:r>
      <w:r>
        <w:fldChar w:fldCharType="separate"/>
      </w:r>
      <w:r>
        <w:t>588</w:t>
      </w:r>
      <w:r>
        <w:fldChar w:fldCharType="end"/>
      </w:r>
    </w:p>
    <w:p>
      <w:pPr>
        <w:pStyle w:val="TOC8"/>
        <w:rPr>
          <w:rFonts w:asciiTheme="minorHAnsi" w:eastAsiaTheme="minorEastAsia" w:hAnsiTheme="minorHAnsi" w:cstheme="minorBidi"/>
          <w:szCs w:val="22"/>
        </w:rPr>
      </w:pPr>
      <w:r>
        <w:t>5.</w:t>
      </w:r>
      <w:r>
        <w:tab/>
        <w:t>Ineffective judgments, registration of</w:t>
      </w:r>
      <w:r>
        <w:tab/>
      </w:r>
      <w:r>
        <w:fldChar w:fldCharType="begin"/>
      </w:r>
      <w:r>
        <w:instrText xml:space="preserve"> PAGEREF _Toc163121801 \h </w:instrText>
      </w:r>
      <w:r>
        <w:fldChar w:fldCharType="separate"/>
      </w:r>
      <w:r>
        <w:t>589</w:t>
      </w:r>
      <w:r>
        <w:fldChar w:fldCharType="end"/>
      </w:r>
    </w:p>
    <w:p>
      <w:pPr>
        <w:pStyle w:val="TOC8"/>
        <w:rPr>
          <w:rFonts w:asciiTheme="minorHAnsi" w:eastAsiaTheme="minorEastAsia" w:hAnsiTheme="minorHAnsi" w:cstheme="minorBidi"/>
          <w:szCs w:val="22"/>
        </w:rPr>
      </w:pPr>
      <w:r>
        <w:t>6.</w:t>
      </w:r>
      <w:r>
        <w:tab/>
        <w:t>Act s. 10, application for order under</w:t>
      </w:r>
      <w:r>
        <w:tab/>
      </w:r>
      <w:r>
        <w:fldChar w:fldCharType="begin"/>
      </w:r>
      <w:r>
        <w:instrText xml:space="preserve"> PAGEREF _Toc163121802 \h </w:instrText>
      </w:r>
      <w:r>
        <w:fldChar w:fldCharType="separate"/>
      </w:r>
      <w:r>
        <w:t>589</w:t>
      </w:r>
      <w:r>
        <w:fldChar w:fldCharType="end"/>
      </w:r>
    </w:p>
    <w:p>
      <w:pPr>
        <w:pStyle w:val="TOC8"/>
        <w:rPr>
          <w:rFonts w:asciiTheme="minorHAnsi" w:eastAsiaTheme="minorEastAsia" w:hAnsiTheme="minorHAnsi" w:cstheme="minorBidi"/>
          <w:szCs w:val="22"/>
        </w:rPr>
      </w:pPr>
      <w:r>
        <w:t>7.</w:t>
      </w:r>
      <w:r>
        <w:tab/>
        <w:t>Act s. 11, application for order under</w:t>
      </w:r>
      <w:r>
        <w:tab/>
      </w:r>
      <w:r>
        <w:fldChar w:fldCharType="begin"/>
      </w:r>
      <w:r>
        <w:instrText xml:space="preserve"> PAGEREF _Toc163121803 \h </w:instrText>
      </w:r>
      <w:r>
        <w:fldChar w:fldCharType="separate"/>
      </w:r>
      <w:r>
        <w:t>590</w:t>
      </w:r>
      <w:r>
        <w:fldChar w:fldCharType="end"/>
      </w:r>
    </w:p>
    <w:p>
      <w:pPr>
        <w:pStyle w:val="TOC8"/>
        <w:rPr>
          <w:rFonts w:asciiTheme="minorHAnsi" w:eastAsiaTheme="minorEastAsia" w:hAnsiTheme="minorHAnsi" w:cstheme="minorBidi"/>
          <w:szCs w:val="22"/>
        </w:rPr>
      </w:pPr>
      <w:r>
        <w:t>8.</w:t>
      </w:r>
      <w:r>
        <w:tab/>
        <w:t>Act s. 11, effect of order under</w:t>
      </w:r>
      <w:r>
        <w:tab/>
      </w:r>
      <w:r>
        <w:fldChar w:fldCharType="begin"/>
      </w:r>
      <w:r>
        <w:instrText xml:space="preserve"> PAGEREF _Toc163121804 \h </w:instrText>
      </w:r>
      <w:r>
        <w:fldChar w:fldCharType="separate"/>
      </w:r>
      <w:r>
        <w:t>590</w:t>
      </w:r>
      <w:r>
        <w:fldChar w:fldCharType="end"/>
      </w:r>
    </w:p>
    <w:p>
      <w:pPr>
        <w:pStyle w:val="TOC2"/>
        <w:tabs>
          <w:tab w:val="right" w:leader="dot" w:pos="7077"/>
        </w:tabs>
        <w:rPr>
          <w:rFonts w:asciiTheme="minorHAnsi" w:eastAsiaTheme="minorEastAsia" w:hAnsiTheme="minorHAnsi" w:cstheme="minorBidi"/>
          <w:b w:val="0"/>
          <w:sz w:val="22"/>
          <w:szCs w:val="22"/>
        </w:rPr>
      </w:pPr>
      <w:r>
        <w:t>Schedule 2 — Forms</w:t>
      </w:r>
    </w:p>
    <w:p>
      <w:pPr>
        <w:pStyle w:val="TOC8"/>
        <w:rPr>
          <w:rFonts w:asciiTheme="minorHAnsi" w:eastAsiaTheme="minorEastAsia" w:hAnsiTheme="minorHAnsi" w:cstheme="minorBidi"/>
          <w:szCs w:val="22"/>
        </w:rPr>
      </w:pPr>
      <w:r>
        <w:t>1.</w:t>
      </w:r>
      <w:r>
        <w:tab/>
        <w:t>Writ of summons (general form) (O. 5 r. 1)</w:t>
      </w:r>
      <w:r>
        <w:tab/>
      </w:r>
      <w:r>
        <w:fldChar w:fldCharType="begin"/>
      </w:r>
      <w:r>
        <w:instrText xml:space="preserve"> PAGEREF _Toc163121806 \h </w:instrText>
      </w:r>
      <w:r>
        <w:fldChar w:fldCharType="separate"/>
      </w:r>
      <w:r>
        <w:t>592</w:t>
      </w:r>
      <w:r>
        <w:fldChar w:fldCharType="end"/>
      </w:r>
    </w:p>
    <w:p>
      <w:pPr>
        <w:pStyle w:val="TOC8"/>
        <w:rPr>
          <w:rFonts w:asciiTheme="minorHAnsi" w:eastAsiaTheme="minorEastAsia" w:hAnsiTheme="minorHAnsi" w:cstheme="minorBidi"/>
          <w:szCs w:val="22"/>
        </w:rPr>
      </w:pPr>
      <w:r>
        <w:t>2.</w:t>
      </w:r>
      <w:r>
        <w:tab/>
        <w:t>Writ of summons indorsed with statement of claim (O. 5 r. 1)</w:t>
      </w:r>
      <w:r>
        <w:tab/>
      </w:r>
      <w:r>
        <w:fldChar w:fldCharType="begin"/>
      </w:r>
      <w:r>
        <w:instrText xml:space="preserve"> PAGEREF _Toc163121807 \h </w:instrText>
      </w:r>
      <w:r>
        <w:fldChar w:fldCharType="separate"/>
      </w:r>
      <w:r>
        <w:t>594</w:t>
      </w:r>
      <w:r>
        <w:fldChar w:fldCharType="end"/>
      </w:r>
    </w:p>
    <w:p>
      <w:pPr>
        <w:pStyle w:val="TOC8"/>
        <w:rPr>
          <w:rFonts w:asciiTheme="minorHAnsi" w:eastAsiaTheme="minorEastAsia" w:hAnsiTheme="minorHAnsi" w:cstheme="minorBidi"/>
          <w:szCs w:val="22"/>
        </w:rPr>
      </w:pPr>
      <w:r>
        <w:t>3.</w:t>
      </w:r>
      <w:r>
        <w:tab/>
        <w:t>Writ of summons to be served outside WA</w:t>
      </w:r>
      <w:r>
        <w:tab/>
      </w:r>
      <w:r>
        <w:fldChar w:fldCharType="begin"/>
      </w:r>
      <w:r>
        <w:instrText xml:space="preserve"> PAGEREF _Toc163121808 \h </w:instrText>
      </w:r>
      <w:r>
        <w:fldChar w:fldCharType="separate"/>
      </w:r>
      <w:r>
        <w:t>595</w:t>
      </w:r>
      <w:r>
        <w:fldChar w:fldCharType="end"/>
      </w:r>
    </w:p>
    <w:p>
      <w:pPr>
        <w:pStyle w:val="TOC8"/>
        <w:rPr>
          <w:rFonts w:asciiTheme="minorHAnsi" w:eastAsiaTheme="minorEastAsia" w:hAnsiTheme="minorHAnsi" w:cstheme="minorBidi"/>
          <w:szCs w:val="22"/>
        </w:rPr>
      </w:pPr>
      <w:r>
        <w:t>4.</w:t>
      </w:r>
      <w:r>
        <w:tab/>
        <w:t>Notice to defendant in action for possession, foreclosure or sale of mortgaged property (O. 4AA r. 3)</w:t>
      </w:r>
      <w:r>
        <w:tab/>
      </w:r>
      <w:r>
        <w:fldChar w:fldCharType="begin"/>
      </w:r>
      <w:r>
        <w:instrText xml:space="preserve"> PAGEREF _Toc163121809 \h </w:instrText>
      </w:r>
      <w:r>
        <w:fldChar w:fldCharType="separate"/>
      </w:r>
      <w:r>
        <w:t>596</w:t>
      </w:r>
      <w:r>
        <w:fldChar w:fldCharType="end"/>
      </w:r>
    </w:p>
    <w:p>
      <w:pPr>
        <w:pStyle w:val="TOC8"/>
        <w:rPr>
          <w:rFonts w:asciiTheme="minorHAnsi" w:eastAsiaTheme="minorEastAsia" w:hAnsiTheme="minorHAnsi" w:cstheme="minorBidi"/>
          <w:szCs w:val="22"/>
        </w:rPr>
      </w:pPr>
      <w:r>
        <w:t>5.</w:t>
      </w:r>
      <w:r>
        <w:tab/>
        <w:t>Indorsements of representative capacity of parties (O. 6 r. 5)</w:t>
      </w:r>
      <w:r>
        <w:tab/>
      </w:r>
      <w:r>
        <w:fldChar w:fldCharType="begin"/>
      </w:r>
      <w:r>
        <w:instrText xml:space="preserve"> PAGEREF _Toc163121810 \h </w:instrText>
      </w:r>
      <w:r>
        <w:fldChar w:fldCharType="separate"/>
      </w:r>
      <w:r>
        <w:t>598</w:t>
      </w:r>
      <w:r>
        <w:fldChar w:fldCharType="end"/>
      </w:r>
    </w:p>
    <w:p>
      <w:pPr>
        <w:pStyle w:val="TOC8"/>
        <w:rPr>
          <w:rFonts w:asciiTheme="minorHAnsi" w:eastAsiaTheme="minorEastAsia" w:hAnsiTheme="minorHAnsi" w:cstheme="minorBidi"/>
          <w:szCs w:val="22"/>
        </w:rPr>
      </w:pPr>
      <w:r>
        <w:t>5AA.</w:t>
      </w:r>
      <w:r>
        <w:tab/>
        <w:t>Notice of change of representation, service details or address (O. 8 r. 5A; O. 71A r. 5(2)(aa))</w:t>
      </w:r>
      <w:r>
        <w:tab/>
      </w:r>
      <w:r>
        <w:fldChar w:fldCharType="begin"/>
      </w:r>
      <w:r>
        <w:instrText xml:space="preserve"> PAGEREF _Toc163121811 \h </w:instrText>
      </w:r>
      <w:r>
        <w:fldChar w:fldCharType="separate"/>
      </w:r>
      <w:r>
        <w:t>599</w:t>
      </w:r>
      <w:r>
        <w:fldChar w:fldCharType="end"/>
      </w:r>
    </w:p>
    <w:p>
      <w:pPr>
        <w:pStyle w:val="TOC8"/>
        <w:rPr>
          <w:rFonts w:asciiTheme="minorHAnsi" w:eastAsiaTheme="minorEastAsia" w:hAnsiTheme="minorHAnsi" w:cstheme="minorBidi"/>
          <w:szCs w:val="22"/>
        </w:rPr>
      </w:pPr>
      <w:r>
        <w:t>5A.</w:t>
      </w:r>
      <w:r>
        <w:tab/>
        <w:t>Request for service abroad of judicial documents and certificate (O. 11A r. 4, 6 &amp; 16)</w:t>
      </w:r>
      <w:r>
        <w:tab/>
      </w:r>
      <w:r>
        <w:fldChar w:fldCharType="begin"/>
      </w:r>
      <w:r>
        <w:instrText xml:space="preserve"> PAGEREF _Toc163121812 \h </w:instrText>
      </w:r>
      <w:r>
        <w:fldChar w:fldCharType="separate"/>
      </w:r>
      <w:r>
        <w:t>601</w:t>
      </w:r>
      <w:r>
        <w:fldChar w:fldCharType="end"/>
      </w:r>
    </w:p>
    <w:p>
      <w:pPr>
        <w:pStyle w:val="TOC8"/>
        <w:rPr>
          <w:rFonts w:asciiTheme="minorHAnsi" w:eastAsiaTheme="minorEastAsia" w:hAnsiTheme="minorHAnsi" w:cstheme="minorBidi"/>
          <w:szCs w:val="22"/>
        </w:rPr>
      </w:pPr>
      <w:r>
        <w:lastRenderedPageBreak/>
        <w:t>5AB.</w:t>
      </w:r>
      <w:r>
        <w:tab/>
        <w:t>Notice to defendant served outside Australia (O. 10 r. 8)</w:t>
      </w:r>
      <w:r>
        <w:tab/>
      </w:r>
      <w:r>
        <w:fldChar w:fldCharType="begin"/>
      </w:r>
      <w:r>
        <w:instrText xml:space="preserve"> PAGEREF _Toc163121813 \h </w:instrText>
      </w:r>
      <w:r>
        <w:fldChar w:fldCharType="separate"/>
      </w:r>
      <w:r>
        <w:t>604</w:t>
      </w:r>
      <w:r>
        <w:fldChar w:fldCharType="end"/>
      </w:r>
    </w:p>
    <w:p>
      <w:pPr>
        <w:pStyle w:val="TOC8"/>
        <w:rPr>
          <w:rFonts w:asciiTheme="minorHAnsi" w:eastAsiaTheme="minorEastAsia" w:hAnsiTheme="minorHAnsi" w:cstheme="minorBidi"/>
          <w:szCs w:val="22"/>
        </w:rPr>
      </w:pPr>
      <w:r>
        <w:t>5B.</w:t>
      </w:r>
      <w:r>
        <w:tab/>
        <w:t>Summary of the document to be served (O. 11A r. 4)</w:t>
      </w:r>
      <w:r>
        <w:tab/>
      </w:r>
      <w:r>
        <w:fldChar w:fldCharType="begin"/>
      </w:r>
      <w:r>
        <w:instrText xml:space="preserve"> PAGEREF _Toc163121814 \h </w:instrText>
      </w:r>
      <w:r>
        <w:fldChar w:fldCharType="separate"/>
      </w:r>
      <w:r>
        <w:t>605</w:t>
      </w:r>
      <w:r>
        <w:fldChar w:fldCharType="end"/>
      </w:r>
    </w:p>
    <w:p>
      <w:pPr>
        <w:pStyle w:val="TOC8"/>
        <w:rPr>
          <w:rFonts w:asciiTheme="minorHAnsi" w:eastAsiaTheme="minorEastAsia" w:hAnsiTheme="minorHAnsi" w:cstheme="minorBidi"/>
          <w:szCs w:val="22"/>
        </w:rPr>
      </w:pPr>
      <w:r>
        <w:t>6.</w:t>
      </w:r>
      <w:r>
        <w:tab/>
        <w:t>Memorandum of appearance (O. 12 r. 2(2))</w:t>
      </w:r>
      <w:r>
        <w:tab/>
      </w:r>
      <w:r>
        <w:fldChar w:fldCharType="begin"/>
      </w:r>
      <w:r>
        <w:instrText xml:space="preserve"> PAGEREF _Toc163121815 \h </w:instrText>
      </w:r>
      <w:r>
        <w:fldChar w:fldCharType="separate"/>
      </w:r>
      <w:r>
        <w:t>607</w:t>
      </w:r>
      <w:r>
        <w:fldChar w:fldCharType="end"/>
      </w:r>
    </w:p>
    <w:p>
      <w:pPr>
        <w:pStyle w:val="TOC8"/>
        <w:rPr>
          <w:rFonts w:asciiTheme="minorHAnsi" w:eastAsiaTheme="minorEastAsia" w:hAnsiTheme="minorHAnsi" w:cstheme="minorBidi"/>
          <w:szCs w:val="22"/>
        </w:rPr>
      </w:pPr>
      <w:r>
        <w:t>7.</w:t>
      </w:r>
      <w:r>
        <w:tab/>
        <w:t>Notice limiting defence (O. 12 r. 10)</w:t>
      </w:r>
      <w:r>
        <w:tab/>
      </w:r>
      <w:r>
        <w:fldChar w:fldCharType="begin"/>
      </w:r>
      <w:r>
        <w:instrText xml:space="preserve"> PAGEREF _Toc163121816 \h </w:instrText>
      </w:r>
      <w:r>
        <w:fldChar w:fldCharType="separate"/>
      </w:r>
      <w:r>
        <w:t>609</w:t>
      </w:r>
      <w:r>
        <w:fldChar w:fldCharType="end"/>
      </w:r>
    </w:p>
    <w:p>
      <w:pPr>
        <w:pStyle w:val="TOC8"/>
        <w:rPr>
          <w:rFonts w:asciiTheme="minorHAnsi" w:eastAsiaTheme="minorEastAsia" w:hAnsiTheme="minorHAnsi" w:cstheme="minorBidi"/>
          <w:szCs w:val="22"/>
        </w:rPr>
      </w:pPr>
      <w:r>
        <w:t>8.</w:t>
      </w:r>
      <w:r>
        <w:tab/>
        <w:t>Notice of intention to abide (O. 12 r. 11)</w:t>
      </w:r>
      <w:r>
        <w:tab/>
      </w:r>
      <w:r>
        <w:fldChar w:fldCharType="begin"/>
      </w:r>
      <w:r>
        <w:instrText xml:space="preserve"> PAGEREF _Toc163121817 \h </w:instrText>
      </w:r>
      <w:r>
        <w:fldChar w:fldCharType="separate"/>
      </w:r>
      <w:r>
        <w:t>610</w:t>
      </w:r>
      <w:r>
        <w:fldChar w:fldCharType="end"/>
      </w:r>
    </w:p>
    <w:p>
      <w:pPr>
        <w:pStyle w:val="TOC8"/>
        <w:rPr>
          <w:rFonts w:asciiTheme="minorHAnsi" w:eastAsiaTheme="minorEastAsia" w:hAnsiTheme="minorHAnsi" w:cstheme="minorBidi"/>
          <w:szCs w:val="22"/>
        </w:rPr>
      </w:pPr>
      <w:r>
        <w:t>10.</w:t>
      </w:r>
      <w:r>
        <w:tab/>
        <w:t>Forms for Order 18</w:t>
      </w:r>
      <w:r>
        <w:tab/>
      </w:r>
      <w:r>
        <w:fldChar w:fldCharType="begin"/>
      </w:r>
      <w:r>
        <w:instrText xml:space="preserve"> PAGEREF _Toc163121818 \h </w:instrText>
      </w:r>
      <w:r>
        <w:fldChar w:fldCharType="separate"/>
      </w:r>
      <w:r>
        <w:t>611</w:t>
      </w:r>
      <w:r>
        <w:fldChar w:fldCharType="end"/>
      </w:r>
    </w:p>
    <w:p>
      <w:pPr>
        <w:pStyle w:val="TOC8"/>
        <w:rPr>
          <w:rFonts w:asciiTheme="minorHAnsi" w:eastAsiaTheme="minorEastAsia" w:hAnsiTheme="minorHAnsi" w:cstheme="minorBidi"/>
          <w:szCs w:val="22"/>
        </w:rPr>
      </w:pPr>
      <w:r>
        <w:t>10A.</w:t>
      </w:r>
      <w:r>
        <w:tab/>
        <w:t>Consent to be group member in representative proceeding (O. 18A r. 4)</w:t>
      </w:r>
      <w:r>
        <w:tab/>
      </w:r>
      <w:r>
        <w:fldChar w:fldCharType="begin"/>
      </w:r>
      <w:r>
        <w:instrText xml:space="preserve"> PAGEREF _Toc163121819 \h </w:instrText>
      </w:r>
      <w:r>
        <w:fldChar w:fldCharType="separate"/>
      </w:r>
      <w:r>
        <w:t>613</w:t>
      </w:r>
      <w:r>
        <w:fldChar w:fldCharType="end"/>
      </w:r>
    </w:p>
    <w:p>
      <w:pPr>
        <w:pStyle w:val="TOC8"/>
        <w:rPr>
          <w:rFonts w:asciiTheme="minorHAnsi" w:eastAsiaTheme="minorEastAsia" w:hAnsiTheme="minorHAnsi" w:cstheme="minorBidi"/>
          <w:szCs w:val="22"/>
        </w:rPr>
      </w:pPr>
      <w:r>
        <w:t>10B.</w:t>
      </w:r>
      <w:r>
        <w:tab/>
        <w:t>Notice for opting out of representative proceeding (O. 18A r. 5)</w:t>
      </w:r>
      <w:r>
        <w:tab/>
      </w:r>
      <w:r>
        <w:fldChar w:fldCharType="begin"/>
      </w:r>
      <w:r>
        <w:instrText xml:space="preserve"> PAGEREF _Toc163121820 \h </w:instrText>
      </w:r>
      <w:r>
        <w:fldChar w:fldCharType="separate"/>
      </w:r>
      <w:r>
        <w:t>614</w:t>
      </w:r>
      <w:r>
        <w:fldChar w:fldCharType="end"/>
      </w:r>
    </w:p>
    <w:p>
      <w:pPr>
        <w:pStyle w:val="TOC8"/>
        <w:rPr>
          <w:rFonts w:asciiTheme="minorHAnsi" w:eastAsiaTheme="minorEastAsia" w:hAnsiTheme="minorHAnsi" w:cstheme="minorBidi"/>
          <w:szCs w:val="22"/>
        </w:rPr>
      </w:pPr>
      <w:r>
        <w:t>11.</w:t>
      </w:r>
      <w:r>
        <w:tab/>
        <w:t>Third party notice (general form) (O. 19 r. 1)</w:t>
      </w:r>
      <w:r>
        <w:tab/>
      </w:r>
      <w:r>
        <w:fldChar w:fldCharType="begin"/>
      </w:r>
      <w:r>
        <w:instrText xml:space="preserve"> PAGEREF _Toc163121821 \h </w:instrText>
      </w:r>
      <w:r>
        <w:fldChar w:fldCharType="separate"/>
      </w:r>
      <w:r>
        <w:t>615</w:t>
      </w:r>
      <w:r>
        <w:fldChar w:fldCharType="end"/>
      </w:r>
    </w:p>
    <w:p>
      <w:pPr>
        <w:pStyle w:val="TOC8"/>
        <w:rPr>
          <w:rFonts w:asciiTheme="minorHAnsi" w:eastAsiaTheme="minorEastAsia" w:hAnsiTheme="minorHAnsi" w:cstheme="minorBidi"/>
          <w:szCs w:val="22"/>
        </w:rPr>
      </w:pPr>
      <w:r>
        <w:t>12.</w:t>
      </w:r>
      <w:r>
        <w:tab/>
        <w:t>Third party notice where question or issue to be determined (O. 19 r. 1)</w:t>
      </w:r>
      <w:r>
        <w:tab/>
      </w:r>
      <w:r>
        <w:fldChar w:fldCharType="begin"/>
      </w:r>
      <w:r>
        <w:instrText xml:space="preserve"> PAGEREF _Toc163121822 \h </w:instrText>
      </w:r>
      <w:r>
        <w:fldChar w:fldCharType="separate"/>
      </w:r>
      <w:r>
        <w:t>617</w:t>
      </w:r>
      <w:r>
        <w:fldChar w:fldCharType="end"/>
      </w:r>
    </w:p>
    <w:p>
      <w:pPr>
        <w:pStyle w:val="TOC8"/>
        <w:rPr>
          <w:rFonts w:asciiTheme="minorHAnsi" w:eastAsiaTheme="minorEastAsia" w:hAnsiTheme="minorHAnsi" w:cstheme="minorBidi"/>
          <w:szCs w:val="22"/>
        </w:rPr>
      </w:pPr>
      <w:r>
        <w:t>17.</w:t>
      </w:r>
      <w:r>
        <w:tab/>
        <w:t>List of documents (O. 26 r. 4(1) &amp; 8)</w:t>
      </w:r>
      <w:r>
        <w:tab/>
      </w:r>
      <w:r>
        <w:fldChar w:fldCharType="begin"/>
      </w:r>
      <w:r>
        <w:instrText xml:space="preserve"> PAGEREF _Toc163121823 \h </w:instrText>
      </w:r>
      <w:r>
        <w:fldChar w:fldCharType="separate"/>
      </w:r>
      <w:r>
        <w:t>618</w:t>
      </w:r>
      <w:r>
        <w:fldChar w:fldCharType="end"/>
      </w:r>
    </w:p>
    <w:p>
      <w:pPr>
        <w:pStyle w:val="TOC8"/>
        <w:rPr>
          <w:rFonts w:asciiTheme="minorHAnsi" w:eastAsiaTheme="minorEastAsia" w:hAnsiTheme="minorHAnsi" w:cstheme="minorBidi"/>
          <w:szCs w:val="22"/>
        </w:rPr>
      </w:pPr>
      <w:r>
        <w:t>18.</w:t>
      </w:r>
      <w:r>
        <w:tab/>
        <w:t>Affidavit verifying list of documents (O. 26 r. 4(3))</w:t>
      </w:r>
      <w:r>
        <w:tab/>
      </w:r>
      <w:r>
        <w:fldChar w:fldCharType="begin"/>
      </w:r>
      <w:r>
        <w:instrText xml:space="preserve"> PAGEREF _Toc163121824 \h </w:instrText>
      </w:r>
      <w:r>
        <w:fldChar w:fldCharType="separate"/>
      </w:r>
      <w:r>
        <w:t>621</w:t>
      </w:r>
      <w:r>
        <w:fldChar w:fldCharType="end"/>
      </w:r>
    </w:p>
    <w:p>
      <w:pPr>
        <w:pStyle w:val="TOC8"/>
        <w:rPr>
          <w:rFonts w:asciiTheme="minorHAnsi" w:eastAsiaTheme="minorEastAsia" w:hAnsiTheme="minorHAnsi" w:cstheme="minorBidi"/>
          <w:szCs w:val="22"/>
        </w:rPr>
      </w:pPr>
      <w:r>
        <w:t>21.</w:t>
      </w:r>
      <w:r>
        <w:tab/>
        <w:t>Subpoena to give oral evidence (O. 36B r. 3(1))</w:t>
      </w:r>
      <w:r>
        <w:tab/>
      </w:r>
      <w:r>
        <w:fldChar w:fldCharType="begin"/>
      </w:r>
      <w:r>
        <w:instrText xml:space="preserve"> PAGEREF _Toc163121825 \h </w:instrText>
      </w:r>
      <w:r>
        <w:fldChar w:fldCharType="separate"/>
      </w:r>
      <w:r>
        <w:t>622</w:t>
      </w:r>
      <w:r>
        <w:fldChar w:fldCharType="end"/>
      </w:r>
    </w:p>
    <w:p>
      <w:pPr>
        <w:pStyle w:val="TOC8"/>
        <w:rPr>
          <w:rFonts w:asciiTheme="minorHAnsi" w:eastAsiaTheme="minorEastAsia" w:hAnsiTheme="minorHAnsi" w:cstheme="minorBidi"/>
          <w:szCs w:val="22"/>
        </w:rPr>
      </w:pPr>
      <w:r>
        <w:t>21A.</w:t>
      </w:r>
      <w:r>
        <w:tab/>
        <w:t>Subpoena to produce documents (O. 36B r. 3(1))</w:t>
      </w:r>
      <w:r>
        <w:tab/>
      </w:r>
      <w:r>
        <w:fldChar w:fldCharType="begin"/>
      </w:r>
      <w:r>
        <w:instrText xml:space="preserve"> PAGEREF _Toc163121826 \h </w:instrText>
      </w:r>
      <w:r>
        <w:fldChar w:fldCharType="separate"/>
      </w:r>
      <w:r>
        <w:t>623</w:t>
      </w:r>
      <w:r>
        <w:fldChar w:fldCharType="end"/>
      </w:r>
    </w:p>
    <w:p>
      <w:pPr>
        <w:pStyle w:val="TOC8"/>
        <w:rPr>
          <w:rFonts w:asciiTheme="minorHAnsi" w:eastAsiaTheme="minorEastAsia" w:hAnsiTheme="minorHAnsi" w:cstheme="minorBidi"/>
          <w:szCs w:val="22"/>
        </w:rPr>
      </w:pPr>
      <w:r>
        <w:t>21B.</w:t>
      </w:r>
      <w:r>
        <w:tab/>
        <w:t>Subpoena to give oral evidence and produce documents (O. 36B r. 3(1))</w:t>
      </w:r>
      <w:r>
        <w:tab/>
      </w:r>
      <w:r>
        <w:fldChar w:fldCharType="begin"/>
      </w:r>
      <w:r>
        <w:instrText xml:space="preserve"> PAGEREF _Toc163121827 \h </w:instrText>
      </w:r>
      <w:r>
        <w:fldChar w:fldCharType="separate"/>
      </w:r>
      <w:r>
        <w:t>626</w:t>
      </w:r>
      <w:r>
        <w:fldChar w:fldCharType="end"/>
      </w:r>
    </w:p>
    <w:p>
      <w:pPr>
        <w:pStyle w:val="TOC8"/>
        <w:rPr>
          <w:rFonts w:asciiTheme="minorHAnsi" w:eastAsiaTheme="minorEastAsia" w:hAnsiTheme="minorHAnsi" w:cstheme="minorBidi"/>
          <w:szCs w:val="22"/>
        </w:rPr>
      </w:pPr>
      <w:r>
        <w:t>22A.</w:t>
      </w:r>
      <w:r>
        <w:tab/>
        <w:t>Subpoena notice and declaration (O. 36B r. 10(3))</w:t>
      </w:r>
      <w:r>
        <w:tab/>
      </w:r>
      <w:r>
        <w:fldChar w:fldCharType="begin"/>
      </w:r>
      <w:r>
        <w:instrText xml:space="preserve"> PAGEREF _Toc163121828 \h </w:instrText>
      </w:r>
      <w:r>
        <w:fldChar w:fldCharType="separate"/>
      </w:r>
      <w:r>
        <w:t>630</w:t>
      </w:r>
      <w:r>
        <w:fldChar w:fldCharType="end"/>
      </w:r>
    </w:p>
    <w:p>
      <w:pPr>
        <w:pStyle w:val="TOC8"/>
        <w:rPr>
          <w:rFonts w:asciiTheme="minorHAnsi" w:eastAsiaTheme="minorEastAsia" w:hAnsiTheme="minorHAnsi" w:cstheme="minorBidi"/>
          <w:szCs w:val="22"/>
        </w:rPr>
      </w:pPr>
      <w:r>
        <w:t>23.</w:t>
      </w:r>
      <w:r>
        <w:tab/>
        <w:t>Subpoena to give evidence to WA Supreme Court (to be served in NZ) (O. 39A r. 2A)</w:t>
      </w:r>
      <w:r>
        <w:tab/>
      </w:r>
      <w:r>
        <w:fldChar w:fldCharType="begin"/>
      </w:r>
      <w:r>
        <w:instrText xml:space="preserve"> PAGEREF _Toc163121829 \h </w:instrText>
      </w:r>
      <w:r>
        <w:fldChar w:fldCharType="separate"/>
      </w:r>
      <w:r>
        <w:t>631</w:t>
      </w:r>
      <w:r>
        <w:fldChar w:fldCharType="end"/>
      </w:r>
    </w:p>
    <w:p>
      <w:pPr>
        <w:pStyle w:val="TOC8"/>
        <w:rPr>
          <w:rFonts w:asciiTheme="minorHAnsi" w:eastAsiaTheme="minorEastAsia" w:hAnsiTheme="minorHAnsi" w:cstheme="minorBidi"/>
          <w:szCs w:val="22"/>
        </w:rPr>
      </w:pPr>
      <w:r>
        <w:t>23A.</w:t>
      </w:r>
      <w:r>
        <w:tab/>
        <w:t>Subpoena to produce documents to WA Supreme Court (to be served in NZ) (O. 39A r. 2A)</w:t>
      </w:r>
      <w:r>
        <w:tab/>
      </w:r>
      <w:r>
        <w:fldChar w:fldCharType="begin"/>
      </w:r>
      <w:r>
        <w:instrText xml:space="preserve"> PAGEREF _Toc163121830 \h </w:instrText>
      </w:r>
      <w:r>
        <w:fldChar w:fldCharType="separate"/>
      </w:r>
      <w:r>
        <w:t>636</w:t>
      </w:r>
      <w:r>
        <w:fldChar w:fldCharType="end"/>
      </w:r>
    </w:p>
    <w:p>
      <w:pPr>
        <w:pStyle w:val="TOC8"/>
        <w:rPr>
          <w:rFonts w:asciiTheme="minorHAnsi" w:eastAsiaTheme="minorEastAsia" w:hAnsiTheme="minorHAnsi" w:cstheme="minorBidi"/>
          <w:szCs w:val="22"/>
        </w:rPr>
      </w:pPr>
      <w:r>
        <w:t>23B.</w:t>
      </w:r>
      <w:r>
        <w:tab/>
        <w:t>Subpoena to give evidence and produce documents to WA Supreme Court (to be served in NZ) (O. 39A r. 2A)</w:t>
      </w:r>
      <w:r>
        <w:tab/>
      </w:r>
      <w:r>
        <w:fldChar w:fldCharType="begin"/>
      </w:r>
      <w:r>
        <w:instrText xml:space="preserve"> PAGEREF _Toc163121831 \h </w:instrText>
      </w:r>
      <w:r>
        <w:fldChar w:fldCharType="separate"/>
      </w:r>
      <w:r>
        <w:t>643</w:t>
      </w:r>
      <w:r>
        <w:fldChar w:fldCharType="end"/>
      </w:r>
    </w:p>
    <w:p>
      <w:pPr>
        <w:pStyle w:val="TOC8"/>
        <w:rPr>
          <w:rFonts w:asciiTheme="minorHAnsi" w:eastAsiaTheme="minorEastAsia" w:hAnsiTheme="minorHAnsi" w:cstheme="minorBidi"/>
          <w:szCs w:val="22"/>
        </w:rPr>
      </w:pPr>
      <w:r>
        <w:t>25.</w:t>
      </w:r>
      <w:r>
        <w:tab/>
        <w:t>Order for examination of witness before trial (O. 38 r. 1)</w:t>
      </w:r>
      <w:r>
        <w:tab/>
      </w:r>
      <w:r>
        <w:fldChar w:fldCharType="begin"/>
      </w:r>
      <w:r>
        <w:instrText xml:space="preserve"> PAGEREF _Toc163121832 \h </w:instrText>
      </w:r>
      <w:r>
        <w:fldChar w:fldCharType="separate"/>
      </w:r>
      <w:r>
        <w:t>651</w:t>
      </w:r>
      <w:r>
        <w:fldChar w:fldCharType="end"/>
      </w:r>
    </w:p>
    <w:p>
      <w:pPr>
        <w:pStyle w:val="TOC8"/>
        <w:rPr>
          <w:rFonts w:asciiTheme="minorHAnsi" w:eastAsiaTheme="minorEastAsia" w:hAnsiTheme="minorHAnsi" w:cstheme="minorBidi"/>
          <w:szCs w:val="22"/>
        </w:rPr>
      </w:pPr>
      <w:r>
        <w:t>26.</w:t>
      </w:r>
      <w:r>
        <w:tab/>
      </w:r>
      <w:r>
        <w:rPr>
          <w:i/>
        </w:rPr>
        <w:t xml:space="preserve">Evidence Act 1906 </w:t>
      </w:r>
      <w:r>
        <w:t>s. 110 or 111, order under (O. 38A r. 5)</w:t>
      </w:r>
      <w:r>
        <w:tab/>
      </w:r>
      <w:r>
        <w:fldChar w:fldCharType="begin"/>
      </w:r>
      <w:r>
        <w:instrText xml:space="preserve"> PAGEREF _Toc163121833 \h </w:instrText>
      </w:r>
      <w:r>
        <w:fldChar w:fldCharType="separate"/>
      </w:r>
      <w:r>
        <w:t>652</w:t>
      </w:r>
      <w:r>
        <w:fldChar w:fldCharType="end"/>
      </w:r>
    </w:p>
    <w:p>
      <w:pPr>
        <w:pStyle w:val="TOC8"/>
        <w:rPr>
          <w:rFonts w:asciiTheme="minorHAnsi" w:eastAsiaTheme="minorEastAsia" w:hAnsiTheme="minorHAnsi" w:cstheme="minorBidi"/>
          <w:szCs w:val="22"/>
        </w:rPr>
      </w:pPr>
      <w:r>
        <w:t>28.</w:t>
      </w:r>
      <w:r>
        <w:tab/>
        <w:t>Letter of request (O. 38A r. 3(4))</w:t>
      </w:r>
      <w:r>
        <w:tab/>
      </w:r>
      <w:r>
        <w:fldChar w:fldCharType="begin"/>
      </w:r>
      <w:r>
        <w:instrText xml:space="preserve"> PAGEREF _Toc163121834 \h </w:instrText>
      </w:r>
      <w:r>
        <w:fldChar w:fldCharType="separate"/>
      </w:r>
      <w:r>
        <w:t>654</w:t>
      </w:r>
      <w:r>
        <w:fldChar w:fldCharType="end"/>
      </w:r>
    </w:p>
    <w:p>
      <w:pPr>
        <w:pStyle w:val="TOC8"/>
        <w:rPr>
          <w:rFonts w:asciiTheme="minorHAnsi" w:eastAsiaTheme="minorEastAsia" w:hAnsiTheme="minorHAnsi" w:cstheme="minorBidi"/>
          <w:szCs w:val="22"/>
        </w:rPr>
      </w:pPr>
      <w:r>
        <w:t>29.</w:t>
      </w:r>
      <w:r>
        <w:tab/>
        <w:t>Undertaking as to costs of letter of request (O. 38A r. 5)</w:t>
      </w:r>
      <w:r>
        <w:tab/>
      </w:r>
      <w:r>
        <w:fldChar w:fldCharType="begin"/>
      </w:r>
      <w:r>
        <w:instrText xml:space="preserve"> PAGEREF _Toc163121835 \h </w:instrText>
      </w:r>
      <w:r>
        <w:fldChar w:fldCharType="separate"/>
      </w:r>
      <w:r>
        <w:t>655</w:t>
      </w:r>
      <w:r>
        <w:fldChar w:fldCharType="end"/>
      </w:r>
    </w:p>
    <w:p>
      <w:pPr>
        <w:pStyle w:val="TOC8"/>
        <w:rPr>
          <w:rFonts w:asciiTheme="minorHAnsi" w:eastAsiaTheme="minorEastAsia" w:hAnsiTheme="minorHAnsi" w:cstheme="minorBidi"/>
          <w:szCs w:val="22"/>
        </w:rPr>
      </w:pPr>
      <w:r>
        <w:t>30.</w:t>
      </w:r>
      <w:r>
        <w:tab/>
      </w:r>
      <w:r>
        <w:rPr>
          <w:i/>
        </w:rPr>
        <w:t xml:space="preserve">Evidence Act 1906 </w:t>
      </w:r>
      <w:r>
        <w:t>s. 117, order under (O. 39 r. 3)</w:t>
      </w:r>
      <w:r>
        <w:tab/>
      </w:r>
      <w:r>
        <w:fldChar w:fldCharType="begin"/>
      </w:r>
      <w:r>
        <w:instrText xml:space="preserve"> PAGEREF _Toc163121836 \h </w:instrText>
      </w:r>
      <w:r>
        <w:fldChar w:fldCharType="separate"/>
      </w:r>
      <w:r>
        <w:t>656</w:t>
      </w:r>
      <w:r>
        <w:fldChar w:fldCharType="end"/>
      </w:r>
    </w:p>
    <w:p>
      <w:pPr>
        <w:pStyle w:val="TOC8"/>
        <w:rPr>
          <w:rFonts w:asciiTheme="minorHAnsi" w:eastAsiaTheme="minorEastAsia" w:hAnsiTheme="minorHAnsi" w:cstheme="minorBidi"/>
          <w:szCs w:val="22"/>
        </w:rPr>
      </w:pPr>
      <w:r>
        <w:t>31.</w:t>
      </w:r>
      <w:r>
        <w:tab/>
        <w:t>Certificate (O. 39 r. 5(2))</w:t>
      </w:r>
      <w:r>
        <w:tab/>
      </w:r>
      <w:r>
        <w:fldChar w:fldCharType="begin"/>
      </w:r>
      <w:r>
        <w:instrText xml:space="preserve"> PAGEREF _Toc163121837 \h </w:instrText>
      </w:r>
      <w:r>
        <w:fldChar w:fldCharType="separate"/>
      </w:r>
      <w:r>
        <w:t>657</w:t>
      </w:r>
      <w:r>
        <w:fldChar w:fldCharType="end"/>
      </w:r>
    </w:p>
    <w:p>
      <w:pPr>
        <w:pStyle w:val="TOC8"/>
        <w:rPr>
          <w:rFonts w:asciiTheme="minorHAnsi" w:eastAsiaTheme="minorEastAsia" w:hAnsiTheme="minorHAnsi" w:cstheme="minorBidi"/>
          <w:szCs w:val="22"/>
        </w:rPr>
      </w:pPr>
      <w:r>
        <w:t>31A.</w:t>
      </w:r>
      <w:r>
        <w:tab/>
        <w:t>Application for subpoena to be set aside (O. 39A r. 4(1))</w:t>
      </w:r>
      <w:r>
        <w:tab/>
      </w:r>
      <w:r>
        <w:fldChar w:fldCharType="begin"/>
      </w:r>
      <w:r>
        <w:instrText xml:space="preserve"> PAGEREF _Toc163121838 \h </w:instrText>
      </w:r>
      <w:r>
        <w:fldChar w:fldCharType="separate"/>
      </w:r>
      <w:r>
        <w:t>657</w:t>
      </w:r>
      <w:r>
        <w:fldChar w:fldCharType="end"/>
      </w:r>
    </w:p>
    <w:p>
      <w:pPr>
        <w:pStyle w:val="TOC8"/>
        <w:rPr>
          <w:rFonts w:asciiTheme="minorHAnsi" w:eastAsiaTheme="minorEastAsia" w:hAnsiTheme="minorHAnsi" w:cstheme="minorBidi"/>
          <w:szCs w:val="22"/>
        </w:rPr>
      </w:pPr>
      <w:r>
        <w:lastRenderedPageBreak/>
        <w:t>31B.</w:t>
      </w:r>
      <w:r>
        <w:tab/>
        <w:t>Request for application to be determined with hearing (O. 39A r. 4(8))</w:t>
      </w:r>
      <w:r>
        <w:tab/>
      </w:r>
      <w:r>
        <w:fldChar w:fldCharType="begin"/>
      </w:r>
      <w:r>
        <w:instrText xml:space="preserve"> PAGEREF _Toc163121839 \h </w:instrText>
      </w:r>
      <w:r>
        <w:fldChar w:fldCharType="separate"/>
      </w:r>
      <w:r>
        <w:t>658</w:t>
      </w:r>
      <w:r>
        <w:fldChar w:fldCharType="end"/>
      </w:r>
    </w:p>
    <w:p>
      <w:pPr>
        <w:pStyle w:val="TOC8"/>
        <w:rPr>
          <w:rFonts w:asciiTheme="minorHAnsi" w:eastAsiaTheme="minorEastAsia" w:hAnsiTheme="minorHAnsi" w:cstheme="minorBidi"/>
          <w:szCs w:val="22"/>
        </w:rPr>
      </w:pPr>
      <w:r>
        <w:t>31C.</w:t>
      </w:r>
      <w:r>
        <w:tab/>
        <w:t>Request to appear remotely in hearing to set aside subpoena (O. 39A r. 4(9))</w:t>
      </w:r>
      <w:r>
        <w:tab/>
      </w:r>
      <w:r>
        <w:fldChar w:fldCharType="begin"/>
      </w:r>
      <w:r>
        <w:instrText xml:space="preserve"> PAGEREF _Toc163121840 \h </w:instrText>
      </w:r>
      <w:r>
        <w:fldChar w:fldCharType="separate"/>
      </w:r>
      <w:r>
        <w:t>658</w:t>
      </w:r>
      <w:r>
        <w:fldChar w:fldCharType="end"/>
      </w:r>
    </w:p>
    <w:p>
      <w:pPr>
        <w:pStyle w:val="TOC8"/>
        <w:rPr>
          <w:rFonts w:asciiTheme="minorHAnsi" w:eastAsiaTheme="minorEastAsia" w:hAnsiTheme="minorHAnsi" w:cstheme="minorBidi"/>
          <w:szCs w:val="22"/>
        </w:rPr>
      </w:pPr>
      <w:r>
        <w:t>31D.</w:t>
      </w:r>
      <w:r>
        <w:tab/>
        <w:t>Certificate of non</w:t>
      </w:r>
      <w:r>
        <w:noBreakHyphen/>
        <w:t>compliance with subpoena (O. 39A r. 5)</w:t>
      </w:r>
      <w:r>
        <w:tab/>
      </w:r>
      <w:r>
        <w:fldChar w:fldCharType="begin"/>
      </w:r>
      <w:r>
        <w:instrText xml:space="preserve"> PAGEREF _Toc163121841 \h </w:instrText>
      </w:r>
      <w:r>
        <w:fldChar w:fldCharType="separate"/>
      </w:r>
      <w:r>
        <w:t>659</w:t>
      </w:r>
      <w:r>
        <w:fldChar w:fldCharType="end"/>
      </w:r>
    </w:p>
    <w:p>
      <w:pPr>
        <w:pStyle w:val="TOC8"/>
        <w:rPr>
          <w:rFonts w:asciiTheme="minorHAnsi" w:eastAsiaTheme="minorEastAsia" w:hAnsiTheme="minorHAnsi" w:cstheme="minorBidi"/>
          <w:szCs w:val="22"/>
        </w:rPr>
      </w:pPr>
      <w:r>
        <w:t>32.</w:t>
      </w:r>
      <w:r>
        <w:tab/>
        <w:t>Default judgment for liquidated demand (O. 13 r. 2; O. 42 r. 1)</w:t>
      </w:r>
      <w:r>
        <w:tab/>
      </w:r>
      <w:r>
        <w:fldChar w:fldCharType="begin"/>
      </w:r>
      <w:r>
        <w:instrText xml:space="preserve"> PAGEREF _Toc163121842 \h </w:instrText>
      </w:r>
      <w:r>
        <w:fldChar w:fldCharType="separate"/>
      </w:r>
      <w:r>
        <w:t>659</w:t>
      </w:r>
      <w:r>
        <w:fldChar w:fldCharType="end"/>
      </w:r>
    </w:p>
    <w:p>
      <w:pPr>
        <w:pStyle w:val="TOC8"/>
        <w:rPr>
          <w:rFonts w:asciiTheme="minorHAnsi" w:eastAsiaTheme="minorEastAsia" w:hAnsiTheme="minorHAnsi" w:cstheme="minorBidi"/>
          <w:szCs w:val="22"/>
        </w:rPr>
      </w:pPr>
      <w:r>
        <w:t>33.</w:t>
      </w:r>
      <w:r>
        <w:tab/>
        <w:t>Default judgment where demand unliquidated (O. 13 r. 3; O. 42 r. 1)</w:t>
      </w:r>
      <w:r>
        <w:tab/>
      </w:r>
      <w:r>
        <w:fldChar w:fldCharType="begin"/>
      </w:r>
      <w:r>
        <w:instrText xml:space="preserve"> PAGEREF _Toc163121843 \h </w:instrText>
      </w:r>
      <w:r>
        <w:fldChar w:fldCharType="separate"/>
      </w:r>
      <w:r>
        <w:t>661</w:t>
      </w:r>
      <w:r>
        <w:fldChar w:fldCharType="end"/>
      </w:r>
    </w:p>
    <w:p>
      <w:pPr>
        <w:pStyle w:val="TOC8"/>
        <w:rPr>
          <w:rFonts w:asciiTheme="minorHAnsi" w:eastAsiaTheme="minorEastAsia" w:hAnsiTheme="minorHAnsi" w:cstheme="minorBidi"/>
          <w:szCs w:val="22"/>
        </w:rPr>
      </w:pPr>
      <w:r>
        <w:t>34.</w:t>
      </w:r>
      <w:r>
        <w:tab/>
        <w:t>Default judgment in action relating to detention of goods other than in a mortgage action (O. 13 r. 4; O. 42 r. 1)</w:t>
      </w:r>
      <w:r>
        <w:tab/>
      </w:r>
      <w:r>
        <w:fldChar w:fldCharType="begin"/>
      </w:r>
      <w:r>
        <w:instrText xml:space="preserve"> PAGEREF _Toc163121844 \h </w:instrText>
      </w:r>
      <w:r>
        <w:fldChar w:fldCharType="separate"/>
      </w:r>
      <w:r>
        <w:t>662</w:t>
      </w:r>
      <w:r>
        <w:fldChar w:fldCharType="end"/>
      </w:r>
    </w:p>
    <w:p>
      <w:pPr>
        <w:pStyle w:val="TOC8"/>
        <w:rPr>
          <w:rFonts w:asciiTheme="minorHAnsi" w:eastAsiaTheme="minorEastAsia" w:hAnsiTheme="minorHAnsi" w:cstheme="minorBidi"/>
          <w:szCs w:val="22"/>
        </w:rPr>
      </w:pPr>
      <w:r>
        <w:t>35.</w:t>
      </w:r>
      <w:r>
        <w:tab/>
        <w:t>Default judgment after assessment of damages etc. (O. 13 r. 3 &amp; 4; O. 42 r. 1)</w:t>
      </w:r>
      <w:r>
        <w:tab/>
      </w:r>
      <w:r>
        <w:fldChar w:fldCharType="begin"/>
      </w:r>
      <w:r>
        <w:instrText xml:space="preserve"> PAGEREF _Toc163121845 \h </w:instrText>
      </w:r>
      <w:r>
        <w:fldChar w:fldCharType="separate"/>
      </w:r>
      <w:r>
        <w:t>664</w:t>
      </w:r>
      <w:r>
        <w:fldChar w:fldCharType="end"/>
      </w:r>
    </w:p>
    <w:p>
      <w:pPr>
        <w:pStyle w:val="TOC8"/>
        <w:rPr>
          <w:rFonts w:asciiTheme="minorHAnsi" w:eastAsiaTheme="minorEastAsia" w:hAnsiTheme="minorHAnsi" w:cstheme="minorBidi"/>
          <w:szCs w:val="22"/>
        </w:rPr>
      </w:pPr>
      <w:r>
        <w:t>36.</w:t>
      </w:r>
      <w:r>
        <w:tab/>
        <w:t>Default judgment for possession of land other than in a mortgage action (O. 13 r. 5; O. 42 r. 1)</w:t>
      </w:r>
      <w:r>
        <w:tab/>
      </w:r>
      <w:r>
        <w:fldChar w:fldCharType="begin"/>
      </w:r>
      <w:r>
        <w:instrText xml:space="preserve"> PAGEREF _Toc163121846 \h </w:instrText>
      </w:r>
      <w:r>
        <w:fldChar w:fldCharType="separate"/>
      </w:r>
      <w:r>
        <w:t>666</w:t>
      </w:r>
      <w:r>
        <w:fldChar w:fldCharType="end"/>
      </w:r>
    </w:p>
    <w:p>
      <w:pPr>
        <w:pStyle w:val="TOC8"/>
        <w:rPr>
          <w:rFonts w:asciiTheme="minorHAnsi" w:eastAsiaTheme="minorEastAsia" w:hAnsiTheme="minorHAnsi" w:cstheme="minorBidi"/>
          <w:szCs w:val="22"/>
        </w:rPr>
      </w:pPr>
      <w:r>
        <w:t>36A.</w:t>
      </w:r>
      <w:r>
        <w:tab/>
        <w:t>Notice to defendant of intention to request Court to make orders for possession, foreclosure or sale of mortgaged property (O. 13 r. 6)</w:t>
      </w:r>
      <w:r>
        <w:tab/>
      </w:r>
      <w:r>
        <w:fldChar w:fldCharType="begin"/>
      </w:r>
      <w:r>
        <w:instrText xml:space="preserve"> PAGEREF _Toc163121847 \h </w:instrText>
      </w:r>
      <w:r>
        <w:fldChar w:fldCharType="separate"/>
      </w:r>
      <w:r>
        <w:t>667</w:t>
      </w:r>
      <w:r>
        <w:fldChar w:fldCharType="end"/>
      </w:r>
    </w:p>
    <w:p>
      <w:pPr>
        <w:pStyle w:val="TOC8"/>
        <w:rPr>
          <w:rFonts w:asciiTheme="minorHAnsi" w:eastAsiaTheme="minorEastAsia" w:hAnsiTheme="minorHAnsi" w:cstheme="minorBidi"/>
          <w:szCs w:val="22"/>
        </w:rPr>
      </w:pPr>
      <w:r>
        <w:t>36B.</w:t>
      </w:r>
      <w:r>
        <w:tab/>
        <w:t>Request to enter default judgment in a mortgage action (O. 13 r. 6)</w:t>
      </w:r>
      <w:r>
        <w:tab/>
      </w:r>
      <w:r>
        <w:fldChar w:fldCharType="begin"/>
      </w:r>
      <w:r>
        <w:instrText xml:space="preserve"> PAGEREF _Toc163121848 \h </w:instrText>
      </w:r>
      <w:r>
        <w:fldChar w:fldCharType="separate"/>
      </w:r>
      <w:r>
        <w:t>668</w:t>
      </w:r>
      <w:r>
        <w:fldChar w:fldCharType="end"/>
      </w:r>
    </w:p>
    <w:p>
      <w:pPr>
        <w:pStyle w:val="TOC8"/>
        <w:rPr>
          <w:rFonts w:asciiTheme="minorHAnsi" w:eastAsiaTheme="minorEastAsia" w:hAnsiTheme="minorHAnsi" w:cstheme="minorBidi"/>
          <w:szCs w:val="22"/>
        </w:rPr>
      </w:pPr>
      <w:r>
        <w:t>36C.</w:t>
      </w:r>
      <w:r>
        <w:tab/>
        <w:t>Default judgment in a mortgage action (O. 13 r. 6; O. 42 r. 1)</w:t>
      </w:r>
      <w:r>
        <w:tab/>
      </w:r>
      <w:r>
        <w:fldChar w:fldCharType="begin"/>
      </w:r>
      <w:r>
        <w:instrText xml:space="preserve"> PAGEREF _Toc163121849 \h </w:instrText>
      </w:r>
      <w:r>
        <w:fldChar w:fldCharType="separate"/>
      </w:r>
      <w:r>
        <w:t>670</w:t>
      </w:r>
      <w:r>
        <w:fldChar w:fldCharType="end"/>
      </w:r>
    </w:p>
    <w:p>
      <w:pPr>
        <w:pStyle w:val="TOC8"/>
        <w:rPr>
          <w:rFonts w:asciiTheme="minorHAnsi" w:eastAsiaTheme="minorEastAsia" w:hAnsiTheme="minorHAnsi" w:cstheme="minorBidi"/>
          <w:szCs w:val="22"/>
        </w:rPr>
      </w:pPr>
      <w:r>
        <w:t>37.</w:t>
      </w:r>
      <w:r>
        <w:tab/>
        <w:t>Judgment (other than default judgment) after assessment of damages etc. (O. 42 r. 1)</w:t>
      </w:r>
      <w:r>
        <w:tab/>
      </w:r>
      <w:r>
        <w:fldChar w:fldCharType="begin"/>
      </w:r>
      <w:r>
        <w:instrText xml:space="preserve"> PAGEREF _Toc163121850 \h </w:instrText>
      </w:r>
      <w:r>
        <w:fldChar w:fldCharType="separate"/>
      </w:r>
      <w:r>
        <w:t>672</w:t>
      </w:r>
      <w:r>
        <w:fldChar w:fldCharType="end"/>
      </w:r>
    </w:p>
    <w:p>
      <w:pPr>
        <w:pStyle w:val="TOC8"/>
        <w:rPr>
          <w:rFonts w:asciiTheme="minorHAnsi" w:eastAsiaTheme="minorEastAsia" w:hAnsiTheme="minorHAnsi" w:cstheme="minorBidi"/>
          <w:szCs w:val="22"/>
        </w:rPr>
      </w:pPr>
      <w:r>
        <w:t>38.</w:t>
      </w:r>
      <w:r>
        <w:tab/>
        <w:t>Judgment under Order 14 (O. 14 r. 3)</w:t>
      </w:r>
      <w:r>
        <w:tab/>
      </w:r>
      <w:r>
        <w:fldChar w:fldCharType="begin"/>
      </w:r>
      <w:r>
        <w:instrText xml:space="preserve"> PAGEREF _Toc163121851 \h </w:instrText>
      </w:r>
      <w:r>
        <w:fldChar w:fldCharType="separate"/>
      </w:r>
      <w:r>
        <w:t>674</w:t>
      </w:r>
      <w:r>
        <w:fldChar w:fldCharType="end"/>
      </w:r>
    </w:p>
    <w:p>
      <w:pPr>
        <w:pStyle w:val="TOC8"/>
        <w:rPr>
          <w:rFonts w:asciiTheme="minorHAnsi" w:eastAsiaTheme="minorEastAsia" w:hAnsiTheme="minorHAnsi" w:cstheme="minorBidi"/>
          <w:szCs w:val="22"/>
        </w:rPr>
      </w:pPr>
      <w:r>
        <w:t>39.</w:t>
      </w:r>
      <w:r>
        <w:tab/>
        <w:t>Judgment after trial without jury (O. 42 r. 1)</w:t>
      </w:r>
      <w:r>
        <w:tab/>
      </w:r>
      <w:r>
        <w:fldChar w:fldCharType="begin"/>
      </w:r>
      <w:r>
        <w:instrText xml:space="preserve"> PAGEREF _Toc163121852 \h </w:instrText>
      </w:r>
      <w:r>
        <w:fldChar w:fldCharType="separate"/>
      </w:r>
      <w:r>
        <w:t>674</w:t>
      </w:r>
      <w:r>
        <w:fldChar w:fldCharType="end"/>
      </w:r>
    </w:p>
    <w:p>
      <w:pPr>
        <w:pStyle w:val="TOC8"/>
        <w:rPr>
          <w:rFonts w:asciiTheme="minorHAnsi" w:eastAsiaTheme="minorEastAsia" w:hAnsiTheme="minorHAnsi" w:cstheme="minorBidi"/>
          <w:szCs w:val="22"/>
        </w:rPr>
      </w:pPr>
      <w:r>
        <w:t>40.</w:t>
      </w:r>
      <w:r>
        <w:tab/>
        <w:t>Judgment after trial with jury (O. 42 r. 1)</w:t>
      </w:r>
      <w:r>
        <w:tab/>
      </w:r>
      <w:r>
        <w:fldChar w:fldCharType="begin"/>
      </w:r>
      <w:r>
        <w:instrText xml:space="preserve"> PAGEREF _Toc163121853 \h </w:instrText>
      </w:r>
      <w:r>
        <w:fldChar w:fldCharType="separate"/>
      </w:r>
      <w:r>
        <w:t>675</w:t>
      </w:r>
      <w:r>
        <w:fldChar w:fldCharType="end"/>
      </w:r>
    </w:p>
    <w:p>
      <w:pPr>
        <w:pStyle w:val="TOC8"/>
        <w:rPr>
          <w:rFonts w:asciiTheme="minorHAnsi" w:eastAsiaTheme="minorEastAsia" w:hAnsiTheme="minorHAnsi" w:cstheme="minorBidi"/>
          <w:szCs w:val="22"/>
        </w:rPr>
      </w:pPr>
      <w:r>
        <w:t>41.</w:t>
      </w:r>
      <w:r>
        <w:tab/>
        <w:t>Judgment after trial before master or special referee (O. 42 r. 1)</w:t>
      </w:r>
      <w:r>
        <w:tab/>
      </w:r>
      <w:r>
        <w:fldChar w:fldCharType="begin"/>
      </w:r>
      <w:r>
        <w:instrText xml:space="preserve"> PAGEREF _Toc163121854 \h </w:instrText>
      </w:r>
      <w:r>
        <w:fldChar w:fldCharType="separate"/>
      </w:r>
      <w:r>
        <w:t>675</w:t>
      </w:r>
      <w:r>
        <w:fldChar w:fldCharType="end"/>
      </w:r>
    </w:p>
    <w:p>
      <w:pPr>
        <w:pStyle w:val="TOC8"/>
        <w:rPr>
          <w:rFonts w:asciiTheme="minorHAnsi" w:eastAsiaTheme="minorEastAsia" w:hAnsiTheme="minorHAnsi" w:cstheme="minorBidi"/>
          <w:szCs w:val="22"/>
        </w:rPr>
      </w:pPr>
      <w:r>
        <w:t>42.</w:t>
      </w:r>
      <w:r>
        <w:tab/>
        <w:t>Judgment after decision of preliminary issue (O. 32 r. 7; O. 42 r. 1)</w:t>
      </w:r>
      <w:r>
        <w:tab/>
      </w:r>
      <w:r>
        <w:fldChar w:fldCharType="begin"/>
      </w:r>
      <w:r>
        <w:instrText xml:space="preserve"> PAGEREF _Toc163121855 \h </w:instrText>
      </w:r>
      <w:r>
        <w:fldChar w:fldCharType="separate"/>
      </w:r>
      <w:r>
        <w:t>676</w:t>
      </w:r>
      <w:r>
        <w:fldChar w:fldCharType="end"/>
      </w:r>
    </w:p>
    <w:p>
      <w:pPr>
        <w:pStyle w:val="TOC8"/>
        <w:rPr>
          <w:rFonts w:asciiTheme="minorHAnsi" w:eastAsiaTheme="minorEastAsia" w:hAnsiTheme="minorHAnsi" w:cstheme="minorBidi"/>
          <w:szCs w:val="22"/>
        </w:rPr>
      </w:pPr>
      <w:r>
        <w:t>43.</w:t>
      </w:r>
      <w:r>
        <w:tab/>
        <w:t>Judgment for defendant’s costs on discontinuance (O. 23 r. 2)</w:t>
      </w:r>
      <w:r>
        <w:tab/>
      </w:r>
      <w:r>
        <w:fldChar w:fldCharType="begin"/>
      </w:r>
      <w:r>
        <w:instrText xml:space="preserve"> PAGEREF _Toc163121856 \h </w:instrText>
      </w:r>
      <w:r>
        <w:fldChar w:fldCharType="separate"/>
      </w:r>
      <w:r>
        <w:t>676</w:t>
      </w:r>
      <w:r>
        <w:fldChar w:fldCharType="end"/>
      </w:r>
    </w:p>
    <w:p>
      <w:pPr>
        <w:pStyle w:val="TOC8"/>
        <w:rPr>
          <w:rFonts w:asciiTheme="minorHAnsi" w:eastAsiaTheme="minorEastAsia" w:hAnsiTheme="minorHAnsi" w:cstheme="minorBidi"/>
          <w:szCs w:val="22"/>
        </w:rPr>
      </w:pPr>
      <w:r>
        <w:t>44.</w:t>
      </w:r>
      <w:r>
        <w:tab/>
        <w:t>Judgment by consent (O. 42 r. 1(2))</w:t>
      </w:r>
      <w:r>
        <w:tab/>
      </w:r>
      <w:r>
        <w:fldChar w:fldCharType="begin"/>
      </w:r>
      <w:r>
        <w:instrText xml:space="preserve"> PAGEREF _Toc163121857 \h </w:instrText>
      </w:r>
      <w:r>
        <w:fldChar w:fldCharType="separate"/>
      </w:r>
      <w:r>
        <w:t>677</w:t>
      </w:r>
      <w:r>
        <w:fldChar w:fldCharType="end"/>
      </w:r>
    </w:p>
    <w:p>
      <w:pPr>
        <w:pStyle w:val="TOC8"/>
        <w:rPr>
          <w:rFonts w:asciiTheme="minorHAnsi" w:eastAsiaTheme="minorEastAsia" w:hAnsiTheme="minorHAnsi" w:cstheme="minorBidi"/>
          <w:szCs w:val="22"/>
        </w:rPr>
      </w:pPr>
      <w:r>
        <w:t>60.</w:t>
      </w:r>
      <w:r>
        <w:tab/>
        <w:t>Summons for appointment of receiver (O. 51 r. 1)</w:t>
      </w:r>
      <w:r>
        <w:tab/>
      </w:r>
      <w:r>
        <w:fldChar w:fldCharType="begin"/>
      </w:r>
      <w:r>
        <w:instrText xml:space="preserve"> PAGEREF _Toc163121858 \h </w:instrText>
      </w:r>
      <w:r>
        <w:fldChar w:fldCharType="separate"/>
      </w:r>
      <w:r>
        <w:t>677</w:t>
      </w:r>
      <w:r>
        <w:fldChar w:fldCharType="end"/>
      </w:r>
    </w:p>
    <w:p>
      <w:pPr>
        <w:pStyle w:val="TOC8"/>
        <w:rPr>
          <w:rFonts w:asciiTheme="minorHAnsi" w:eastAsiaTheme="minorEastAsia" w:hAnsiTheme="minorHAnsi" w:cstheme="minorBidi"/>
          <w:szCs w:val="22"/>
        </w:rPr>
      </w:pPr>
      <w:r>
        <w:t>61.</w:t>
      </w:r>
      <w:r>
        <w:tab/>
        <w:t>Order directing summons for appointment of receiver and granting injunction meanwhile (O. 51 r. 1)</w:t>
      </w:r>
      <w:r>
        <w:tab/>
      </w:r>
      <w:r>
        <w:fldChar w:fldCharType="begin"/>
      </w:r>
      <w:r>
        <w:instrText xml:space="preserve"> PAGEREF _Toc163121859 \h </w:instrText>
      </w:r>
      <w:r>
        <w:fldChar w:fldCharType="separate"/>
      </w:r>
      <w:r>
        <w:t>678</w:t>
      </w:r>
      <w:r>
        <w:fldChar w:fldCharType="end"/>
      </w:r>
    </w:p>
    <w:p>
      <w:pPr>
        <w:pStyle w:val="TOC8"/>
        <w:rPr>
          <w:rFonts w:asciiTheme="minorHAnsi" w:eastAsiaTheme="minorEastAsia" w:hAnsiTheme="minorHAnsi" w:cstheme="minorBidi"/>
          <w:szCs w:val="22"/>
        </w:rPr>
      </w:pPr>
      <w:r>
        <w:lastRenderedPageBreak/>
        <w:t>62.</w:t>
      </w:r>
      <w:r>
        <w:tab/>
        <w:t>Receiver order (interim) (O. 51 r. 1)</w:t>
      </w:r>
      <w:r>
        <w:tab/>
      </w:r>
      <w:r>
        <w:fldChar w:fldCharType="begin"/>
      </w:r>
      <w:r>
        <w:instrText xml:space="preserve"> PAGEREF _Toc163121860 \h </w:instrText>
      </w:r>
      <w:r>
        <w:fldChar w:fldCharType="separate"/>
      </w:r>
      <w:r>
        <w:t>679</w:t>
      </w:r>
      <w:r>
        <w:fldChar w:fldCharType="end"/>
      </w:r>
    </w:p>
    <w:p>
      <w:pPr>
        <w:pStyle w:val="TOC8"/>
        <w:rPr>
          <w:rFonts w:asciiTheme="minorHAnsi" w:eastAsiaTheme="minorEastAsia" w:hAnsiTheme="minorHAnsi" w:cstheme="minorBidi"/>
          <w:szCs w:val="22"/>
        </w:rPr>
      </w:pPr>
      <w:r>
        <w:t>64.</w:t>
      </w:r>
      <w:r>
        <w:tab/>
        <w:t>Notice of originating motion (O. 54 r. 5)</w:t>
      </w:r>
      <w:r>
        <w:tab/>
      </w:r>
      <w:r>
        <w:fldChar w:fldCharType="begin"/>
      </w:r>
      <w:r>
        <w:instrText xml:space="preserve"> PAGEREF _Toc163121861 \h </w:instrText>
      </w:r>
      <w:r>
        <w:fldChar w:fldCharType="separate"/>
      </w:r>
      <w:r>
        <w:t>679</w:t>
      </w:r>
      <w:r>
        <w:fldChar w:fldCharType="end"/>
      </w:r>
    </w:p>
    <w:p>
      <w:pPr>
        <w:pStyle w:val="TOC8"/>
        <w:rPr>
          <w:rFonts w:asciiTheme="minorHAnsi" w:eastAsiaTheme="minorEastAsia" w:hAnsiTheme="minorHAnsi" w:cstheme="minorBidi"/>
          <w:szCs w:val="22"/>
        </w:rPr>
      </w:pPr>
      <w:r>
        <w:t>65.</w:t>
      </w:r>
      <w:r>
        <w:tab/>
        <w:t>Notice of motion (O. 54 r. 5)</w:t>
      </w:r>
      <w:r>
        <w:tab/>
      </w:r>
      <w:r>
        <w:fldChar w:fldCharType="begin"/>
      </w:r>
      <w:r>
        <w:instrText xml:space="preserve"> PAGEREF _Toc163121862 \h </w:instrText>
      </w:r>
      <w:r>
        <w:fldChar w:fldCharType="separate"/>
      </w:r>
      <w:r>
        <w:t>680</w:t>
      </w:r>
      <w:r>
        <w:fldChar w:fldCharType="end"/>
      </w:r>
    </w:p>
    <w:p>
      <w:pPr>
        <w:pStyle w:val="TOC8"/>
        <w:rPr>
          <w:rFonts w:asciiTheme="minorHAnsi" w:eastAsiaTheme="minorEastAsia" w:hAnsiTheme="minorHAnsi" w:cstheme="minorBidi"/>
          <w:szCs w:val="22"/>
        </w:rPr>
      </w:pPr>
      <w:r>
        <w:t>66.</w:t>
      </w:r>
      <w:r>
        <w:tab/>
        <w:t>Order of committal (O. 55 r. 7(4))</w:t>
      </w:r>
      <w:r>
        <w:tab/>
      </w:r>
      <w:r>
        <w:fldChar w:fldCharType="begin"/>
      </w:r>
      <w:r>
        <w:instrText xml:space="preserve"> PAGEREF _Toc163121863 \h </w:instrText>
      </w:r>
      <w:r>
        <w:fldChar w:fldCharType="separate"/>
      </w:r>
      <w:r>
        <w:t>681</w:t>
      </w:r>
      <w:r>
        <w:fldChar w:fldCharType="end"/>
      </w:r>
    </w:p>
    <w:p>
      <w:pPr>
        <w:pStyle w:val="TOC8"/>
        <w:rPr>
          <w:rFonts w:asciiTheme="minorHAnsi" w:eastAsiaTheme="minorEastAsia" w:hAnsiTheme="minorHAnsi" w:cstheme="minorBidi"/>
          <w:szCs w:val="22"/>
        </w:rPr>
      </w:pPr>
      <w:r>
        <w:t>67A.</w:t>
      </w:r>
      <w:r>
        <w:tab/>
        <w:t>Application for judicial review (O. 56 r. 2)</w:t>
      </w:r>
      <w:r>
        <w:tab/>
      </w:r>
      <w:r>
        <w:fldChar w:fldCharType="begin"/>
      </w:r>
      <w:r>
        <w:instrText xml:space="preserve"> PAGEREF _Toc163121864 \h </w:instrText>
      </w:r>
      <w:r>
        <w:fldChar w:fldCharType="separate"/>
      </w:r>
      <w:r>
        <w:t>681</w:t>
      </w:r>
      <w:r>
        <w:fldChar w:fldCharType="end"/>
      </w:r>
    </w:p>
    <w:p>
      <w:pPr>
        <w:pStyle w:val="TOC8"/>
        <w:rPr>
          <w:rFonts w:asciiTheme="minorHAnsi" w:eastAsiaTheme="minorEastAsia" w:hAnsiTheme="minorHAnsi" w:cstheme="minorBidi"/>
          <w:szCs w:val="22"/>
        </w:rPr>
      </w:pPr>
      <w:r>
        <w:t>67.</w:t>
      </w:r>
      <w:r>
        <w:tab/>
        <w:t>Certiorari (O. 56 r. 14)</w:t>
      </w:r>
      <w:r>
        <w:tab/>
      </w:r>
      <w:r>
        <w:fldChar w:fldCharType="begin"/>
      </w:r>
      <w:r>
        <w:instrText xml:space="preserve"> PAGEREF _Toc163121865 \h </w:instrText>
      </w:r>
      <w:r>
        <w:fldChar w:fldCharType="separate"/>
      </w:r>
      <w:r>
        <w:t>683</w:t>
      </w:r>
      <w:r>
        <w:fldChar w:fldCharType="end"/>
      </w:r>
    </w:p>
    <w:p>
      <w:pPr>
        <w:pStyle w:val="TOC8"/>
        <w:rPr>
          <w:rFonts w:asciiTheme="minorHAnsi" w:eastAsiaTheme="minorEastAsia" w:hAnsiTheme="minorHAnsi" w:cstheme="minorBidi"/>
          <w:szCs w:val="22"/>
        </w:rPr>
      </w:pPr>
      <w:r>
        <w:t>69.</w:t>
      </w:r>
      <w:r>
        <w:tab/>
        <w:t>Mandamus (O. 56 r. 16)</w:t>
      </w:r>
      <w:r>
        <w:tab/>
      </w:r>
      <w:r>
        <w:fldChar w:fldCharType="begin"/>
      </w:r>
      <w:r>
        <w:instrText xml:space="preserve"> PAGEREF _Toc163121866 \h </w:instrText>
      </w:r>
      <w:r>
        <w:fldChar w:fldCharType="separate"/>
      </w:r>
      <w:r>
        <w:t>684</w:t>
      </w:r>
      <w:r>
        <w:fldChar w:fldCharType="end"/>
      </w:r>
    </w:p>
    <w:p>
      <w:pPr>
        <w:pStyle w:val="TOC8"/>
        <w:rPr>
          <w:rFonts w:asciiTheme="minorHAnsi" w:eastAsiaTheme="minorEastAsia" w:hAnsiTheme="minorHAnsi" w:cstheme="minorBidi"/>
          <w:szCs w:val="22"/>
        </w:rPr>
      </w:pPr>
      <w:r>
        <w:t>70.</w:t>
      </w:r>
      <w:r>
        <w:tab/>
      </w:r>
      <w:r>
        <w:rPr>
          <w:i/>
        </w:rPr>
        <w:t>Procedendo</w:t>
      </w:r>
      <w:r>
        <w:t xml:space="preserve"> (O. 56 r. 32)</w:t>
      </w:r>
      <w:r>
        <w:tab/>
      </w:r>
      <w:r>
        <w:fldChar w:fldCharType="begin"/>
      </w:r>
      <w:r>
        <w:instrText xml:space="preserve"> PAGEREF _Toc163121867 \h </w:instrText>
      </w:r>
      <w:r>
        <w:fldChar w:fldCharType="separate"/>
      </w:r>
      <w:r>
        <w:t>684</w:t>
      </w:r>
      <w:r>
        <w:fldChar w:fldCharType="end"/>
      </w:r>
    </w:p>
    <w:p>
      <w:pPr>
        <w:pStyle w:val="TOC8"/>
        <w:rPr>
          <w:rFonts w:asciiTheme="minorHAnsi" w:eastAsiaTheme="minorEastAsia" w:hAnsiTheme="minorHAnsi" w:cstheme="minorBidi"/>
          <w:szCs w:val="22"/>
        </w:rPr>
      </w:pPr>
      <w:r>
        <w:t>71.</w:t>
      </w:r>
      <w:r>
        <w:tab/>
        <w:t>Prohibition (O. 56 r. 33)</w:t>
      </w:r>
      <w:r>
        <w:tab/>
      </w:r>
      <w:r>
        <w:fldChar w:fldCharType="begin"/>
      </w:r>
      <w:r>
        <w:instrText xml:space="preserve"> PAGEREF _Toc163121868 \h </w:instrText>
      </w:r>
      <w:r>
        <w:fldChar w:fldCharType="separate"/>
      </w:r>
      <w:r>
        <w:t>685</w:t>
      </w:r>
      <w:r>
        <w:fldChar w:fldCharType="end"/>
      </w:r>
    </w:p>
    <w:p>
      <w:pPr>
        <w:pStyle w:val="TOC8"/>
        <w:rPr>
          <w:rFonts w:asciiTheme="minorHAnsi" w:eastAsiaTheme="minorEastAsia" w:hAnsiTheme="minorHAnsi" w:cstheme="minorBidi"/>
          <w:szCs w:val="22"/>
        </w:rPr>
      </w:pPr>
      <w:r>
        <w:t>73.</w:t>
      </w:r>
      <w:r>
        <w:tab/>
        <w:t>Habeas corpus (O. 57 r. 10)</w:t>
      </w:r>
      <w:r>
        <w:tab/>
      </w:r>
      <w:r>
        <w:fldChar w:fldCharType="begin"/>
      </w:r>
      <w:r>
        <w:instrText xml:space="preserve"> PAGEREF _Toc163121869 \h </w:instrText>
      </w:r>
      <w:r>
        <w:fldChar w:fldCharType="separate"/>
      </w:r>
      <w:r>
        <w:t>685</w:t>
      </w:r>
      <w:r>
        <w:fldChar w:fldCharType="end"/>
      </w:r>
    </w:p>
    <w:p>
      <w:pPr>
        <w:pStyle w:val="TOC8"/>
        <w:rPr>
          <w:rFonts w:asciiTheme="minorHAnsi" w:eastAsiaTheme="minorEastAsia" w:hAnsiTheme="minorHAnsi" w:cstheme="minorBidi"/>
          <w:szCs w:val="22"/>
        </w:rPr>
      </w:pPr>
      <w:r>
        <w:t>74.</w:t>
      </w:r>
      <w:r>
        <w:tab/>
        <w:t>Originating summons, appearance required (O. 58 r. 14)</w:t>
      </w:r>
      <w:r>
        <w:tab/>
      </w:r>
      <w:r>
        <w:fldChar w:fldCharType="begin"/>
      </w:r>
      <w:r>
        <w:instrText xml:space="preserve"> PAGEREF _Toc163121870 \h </w:instrText>
      </w:r>
      <w:r>
        <w:fldChar w:fldCharType="separate"/>
      </w:r>
      <w:r>
        <w:t>686</w:t>
      </w:r>
      <w:r>
        <w:fldChar w:fldCharType="end"/>
      </w:r>
    </w:p>
    <w:p>
      <w:pPr>
        <w:pStyle w:val="TOC8"/>
        <w:rPr>
          <w:rFonts w:asciiTheme="minorHAnsi" w:eastAsiaTheme="minorEastAsia" w:hAnsiTheme="minorHAnsi" w:cstheme="minorBidi"/>
          <w:szCs w:val="22"/>
        </w:rPr>
      </w:pPr>
      <w:r>
        <w:t>75.</w:t>
      </w:r>
      <w:r>
        <w:tab/>
        <w:t>Originating summons, appearance not required (O. 58 r. 14)</w:t>
      </w:r>
      <w:r>
        <w:tab/>
      </w:r>
      <w:r>
        <w:fldChar w:fldCharType="begin"/>
      </w:r>
      <w:r>
        <w:instrText xml:space="preserve"> PAGEREF _Toc163121871 \h </w:instrText>
      </w:r>
      <w:r>
        <w:fldChar w:fldCharType="separate"/>
      </w:r>
      <w:r>
        <w:t>686</w:t>
      </w:r>
      <w:r>
        <w:fldChar w:fldCharType="end"/>
      </w:r>
    </w:p>
    <w:p>
      <w:pPr>
        <w:pStyle w:val="TOC8"/>
        <w:rPr>
          <w:rFonts w:asciiTheme="minorHAnsi" w:eastAsiaTheme="minorEastAsia" w:hAnsiTheme="minorHAnsi" w:cstheme="minorBidi"/>
          <w:szCs w:val="22"/>
        </w:rPr>
      </w:pPr>
      <w:r>
        <w:t>76.</w:t>
      </w:r>
      <w:r>
        <w:tab/>
        <w:t>Notice of appointment to hear originating summons (O. 58 r. 19)</w:t>
      </w:r>
      <w:r>
        <w:tab/>
      </w:r>
      <w:r>
        <w:fldChar w:fldCharType="begin"/>
      </w:r>
      <w:r>
        <w:instrText xml:space="preserve"> PAGEREF _Toc163121872 \h </w:instrText>
      </w:r>
      <w:r>
        <w:fldChar w:fldCharType="separate"/>
      </w:r>
      <w:r>
        <w:t>687</w:t>
      </w:r>
      <w:r>
        <w:fldChar w:fldCharType="end"/>
      </w:r>
    </w:p>
    <w:p>
      <w:pPr>
        <w:pStyle w:val="TOC8"/>
        <w:rPr>
          <w:rFonts w:asciiTheme="minorHAnsi" w:eastAsiaTheme="minorEastAsia" w:hAnsiTheme="minorHAnsi" w:cstheme="minorBidi"/>
          <w:szCs w:val="22"/>
        </w:rPr>
      </w:pPr>
      <w:r>
        <w:t>77.</w:t>
      </w:r>
      <w:r>
        <w:tab/>
        <w:t>Summons (general form) (O. 59 r. 4(1))</w:t>
      </w:r>
      <w:r>
        <w:tab/>
      </w:r>
      <w:r>
        <w:fldChar w:fldCharType="begin"/>
      </w:r>
      <w:r>
        <w:instrText xml:space="preserve"> PAGEREF _Toc163121873 \h </w:instrText>
      </w:r>
      <w:r>
        <w:fldChar w:fldCharType="separate"/>
      </w:r>
      <w:r>
        <w:t>687</w:t>
      </w:r>
      <w:r>
        <w:fldChar w:fldCharType="end"/>
      </w:r>
    </w:p>
    <w:p>
      <w:pPr>
        <w:pStyle w:val="TOC8"/>
        <w:rPr>
          <w:rFonts w:asciiTheme="minorHAnsi" w:eastAsiaTheme="minorEastAsia" w:hAnsiTheme="minorHAnsi" w:cstheme="minorBidi"/>
          <w:szCs w:val="22"/>
        </w:rPr>
      </w:pPr>
      <w:r>
        <w:t>78.</w:t>
      </w:r>
      <w:r>
        <w:tab/>
        <w:t>Order (general form) (O. 59 r. 10)</w:t>
      </w:r>
      <w:r>
        <w:tab/>
      </w:r>
      <w:r>
        <w:fldChar w:fldCharType="begin"/>
      </w:r>
      <w:r>
        <w:instrText xml:space="preserve"> PAGEREF _Toc163121874 \h </w:instrText>
      </w:r>
      <w:r>
        <w:fldChar w:fldCharType="separate"/>
      </w:r>
      <w:r>
        <w:t>688</w:t>
      </w:r>
      <w:r>
        <w:fldChar w:fldCharType="end"/>
      </w:r>
    </w:p>
    <w:p>
      <w:pPr>
        <w:pStyle w:val="TOC8"/>
        <w:rPr>
          <w:rFonts w:asciiTheme="minorHAnsi" w:eastAsiaTheme="minorEastAsia" w:hAnsiTheme="minorHAnsi" w:cstheme="minorBidi"/>
          <w:szCs w:val="22"/>
        </w:rPr>
      </w:pPr>
      <w:r>
        <w:rPr>
          <w:bCs/>
        </w:rPr>
        <w:t>80A</w:t>
      </w:r>
      <w:r>
        <w:t>.</w:t>
      </w:r>
      <w:r>
        <w:tab/>
        <w:t>Appeal notice (Registrar’s decision) (O. 60A r. 5(3))</w:t>
      </w:r>
      <w:r>
        <w:tab/>
      </w:r>
      <w:r>
        <w:fldChar w:fldCharType="begin"/>
      </w:r>
      <w:r>
        <w:instrText xml:space="preserve"> PAGEREF _Toc163121875 \h </w:instrText>
      </w:r>
      <w:r>
        <w:fldChar w:fldCharType="separate"/>
      </w:r>
      <w:r>
        <w:t>688</w:t>
      </w:r>
      <w:r>
        <w:fldChar w:fldCharType="end"/>
      </w:r>
    </w:p>
    <w:p>
      <w:pPr>
        <w:pStyle w:val="TOC8"/>
        <w:rPr>
          <w:rFonts w:asciiTheme="minorHAnsi" w:eastAsiaTheme="minorEastAsia" w:hAnsiTheme="minorHAnsi" w:cstheme="minorBidi"/>
          <w:szCs w:val="22"/>
        </w:rPr>
      </w:pPr>
      <w:r>
        <w:t>80.</w:t>
      </w:r>
      <w:r>
        <w:tab/>
        <w:t>Notice of judgment or order (O. 61 r. 3(3))</w:t>
      </w:r>
      <w:r>
        <w:tab/>
      </w:r>
      <w:r>
        <w:fldChar w:fldCharType="begin"/>
      </w:r>
      <w:r>
        <w:instrText xml:space="preserve"> PAGEREF _Toc163121876 \h </w:instrText>
      </w:r>
      <w:r>
        <w:fldChar w:fldCharType="separate"/>
      </w:r>
      <w:r>
        <w:t>689</w:t>
      </w:r>
      <w:r>
        <w:fldChar w:fldCharType="end"/>
      </w:r>
    </w:p>
    <w:p>
      <w:pPr>
        <w:pStyle w:val="TOC8"/>
        <w:rPr>
          <w:rFonts w:asciiTheme="minorHAnsi" w:eastAsiaTheme="minorEastAsia" w:hAnsiTheme="minorHAnsi" w:cstheme="minorBidi"/>
          <w:szCs w:val="22"/>
        </w:rPr>
      </w:pPr>
      <w:r>
        <w:t>81.</w:t>
      </w:r>
      <w:r>
        <w:tab/>
        <w:t>Advertisement for creditors (O. 61 r. 15(2))</w:t>
      </w:r>
      <w:r>
        <w:tab/>
      </w:r>
      <w:r>
        <w:fldChar w:fldCharType="begin"/>
      </w:r>
      <w:r>
        <w:instrText xml:space="preserve"> PAGEREF _Toc163121877 \h </w:instrText>
      </w:r>
      <w:r>
        <w:fldChar w:fldCharType="separate"/>
      </w:r>
      <w:r>
        <w:t>690</w:t>
      </w:r>
      <w:r>
        <w:fldChar w:fldCharType="end"/>
      </w:r>
    </w:p>
    <w:p>
      <w:pPr>
        <w:pStyle w:val="TOC8"/>
        <w:rPr>
          <w:rFonts w:asciiTheme="minorHAnsi" w:eastAsiaTheme="minorEastAsia" w:hAnsiTheme="minorHAnsi" w:cstheme="minorBidi"/>
          <w:szCs w:val="22"/>
        </w:rPr>
      </w:pPr>
      <w:r>
        <w:t>82.</w:t>
      </w:r>
      <w:r>
        <w:tab/>
        <w:t>Advertisement for claimants other than creditors (O. 61 r. 15(2))</w:t>
      </w:r>
      <w:r>
        <w:tab/>
      </w:r>
      <w:r>
        <w:fldChar w:fldCharType="begin"/>
      </w:r>
      <w:r>
        <w:instrText xml:space="preserve"> PAGEREF _Toc163121878 \h </w:instrText>
      </w:r>
      <w:r>
        <w:fldChar w:fldCharType="separate"/>
      </w:r>
      <w:r>
        <w:t>690</w:t>
      </w:r>
      <w:r>
        <w:fldChar w:fldCharType="end"/>
      </w:r>
    </w:p>
    <w:p>
      <w:pPr>
        <w:pStyle w:val="TOC8"/>
        <w:rPr>
          <w:rFonts w:asciiTheme="minorHAnsi" w:eastAsiaTheme="minorEastAsia" w:hAnsiTheme="minorHAnsi" w:cstheme="minorBidi"/>
          <w:szCs w:val="22"/>
        </w:rPr>
      </w:pPr>
      <w:r>
        <w:t>83.</w:t>
      </w:r>
      <w:r>
        <w:tab/>
        <w:t>Appeal notice (O. 65 r. 10)</w:t>
      </w:r>
      <w:r>
        <w:tab/>
      </w:r>
      <w:r>
        <w:fldChar w:fldCharType="begin"/>
      </w:r>
      <w:r>
        <w:instrText xml:space="preserve"> PAGEREF _Toc163121879 \h </w:instrText>
      </w:r>
      <w:r>
        <w:fldChar w:fldCharType="separate"/>
      </w:r>
      <w:r>
        <w:t>691</w:t>
      </w:r>
      <w:r>
        <w:fldChar w:fldCharType="end"/>
      </w:r>
    </w:p>
    <w:p>
      <w:pPr>
        <w:pStyle w:val="TOC8"/>
        <w:rPr>
          <w:rFonts w:asciiTheme="minorHAnsi" w:eastAsiaTheme="minorEastAsia" w:hAnsiTheme="minorHAnsi" w:cstheme="minorBidi"/>
          <w:szCs w:val="22"/>
        </w:rPr>
      </w:pPr>
      <w:r>
        <w:t>84.</w:t>
      </w:r>
      <w:r>
        <w:tab/>
        <w:t>Service certificate (O. 65 r. 10(7))</w:t>
      </w:r>
      <w:r>
        <w:tab/>
      </w:r>
      <w:r>
        <w:fldChar w:fldCharType="begin"/>
      </w:r>
      <w:r>
        <w:instrText xml:space="preserve"> PAGEREF _Toc163121880 \h </w:instrText>
      </w:r>
      <w:r>
        <w:fldChar w:fldCharType="separate"/>
      </w:r>
      <w:r>
        <w:t>693</w:t>
      </w:r>
      <w:r>
        <w:fldChar w:fldCharType="end"/>
      </w:r>
    </w:p>
    <w:p>
      <w:pPr>
        <w:pStyle w:val="TOC8"/>
        <w:rPr>
          <w:rFonts w:asciiTheme="minorHAnsi" w:eastAsiaTheme="minorEastAsia" w:hAnsiTheme="minorHAnsi" w:cstheme="minorBidi"/>
          <w:szCs w:val="22"/>
        </w:rPr>
      </w:pPr>
      <w:r>
        <w:t>85.</w:t>
      </w:r>
      <w:r>
        <w:tab/>
        <w:t>Notice of respondent’s intention (O. 65 r. 12)</w:t>
      </w:r>
      <w:r>
        <w:tab/>
      </w:r>
      <w:r>
        <w:fldChar w:fldCharType="begin"/>
      </w:r>
      <w:r>
        <w:instrText xml:space="preserve"> PAGEREF _Toc163121881 \h </w:instrText>
      </w:r>
      <w:r>
        <w:fldChar w:fldCharType="separate"/>
      </w:r>
      <w:r>
        <w:t>694</w:t>
      </w:r>
      <w:r>
        <w:fldChar w:fldCharType="end"/>
      </w:r>
    </w:p>
    <w:p>
      <w:pPr>
        <w:pStyle w:val="TOC8"/>
        <w:rPr>
          <w:rFonts w:asciiTheme="minorHAnsi" w:eastAsiaTheme="minorEastAsia" w:hAnsiTheme="minorHAnsi" w:cstheme="minorBidi"/>
          <w:szCs w:val="22"/>
        </w:rPr>
      </w:pPr>
      <w:r>
        <w:t>86.</w:t>
      </w:r>
      <w:r>
        <w:tab/>
        <w:t>Application in an appeal (O. 65 r. 13)</w:t>
      </w:r>
      <w:r>
        <w:tab/>
      </w:r>
      <w:r>
        <w:fldChar w:fldCharType="begin"/>
      </w:r>
      <w:r>
        <w:instrText xml:space="preserve"> PAGEREF _Toc163121882 \h </w:instrText>
      </w:r>
      <w:r>
        <w:fldChar w:fldCharType="separate"/>
      </w:r>
      <w:r>
        <w:t>695</w:t>
      </w:r>
      <w:r>
        <w:fldChar w:fldCharType="end"/>
      </w:r>
    </w:p>
    <w:p>
      <w:pPr>
        <w:pStyle w:val="TOC8"/>
        <w:rPr>
          <w:rFonts w:asciiTheme="minorHAnsi" w:eastAsiaTheme="minorEastAsia" w:hAnsiTheme="minorHAnsi" w:cstheme="minorBidi"/>
          <w:szCs w:val="22"/>
        </w:rPr>
      </w:pPr>
      <w:r>
        <w:t>87.</w:t>
      </w:r>
      <w:r>
        <w:tab/>
        <w:t>Consent notice (O. 65 r. 15 &amp; 18)</w:t>
      </w:r>
      <w:r>
        <w:tab/>
      </w:r>
      <w:r>
        <w:fldChar w:fldCharType="begin"/>
      </w:r>
      <w:r>
        <w:instrText xml:space="preserve"> PAGEREF _Toc163121883 \h </w:instrText>
      </w:r>
      <w:r>
        <w:fldChar w:fldCharType="separate"/>
      </w:r>
      <w:r>
        <w:t>695</w:t>
      </w:r>
      <w:r>
        <w:fldChar w:fldCharType="end"/>
      </w:r>
    </w:p>
    <w:p>
      <w:pPr>
        <w:pStyle w:val="TOC8"/>
        <w:rPr>
          <w:rFonts w:asciiTheme="minorHAnsi" w:eastAsiaTheme="minorEastAsia" w:hAnsiTheme="minorHAnsi" w:cstheme="minorBidi"/>
          <w:szCs w:val="22"/>
        </w:rPr>
      </w:pPr>
      <w:r>
        <w:t>88.</w:t>
      </w:r>
      <w:r>
        <w:tab/>
        <w:t>Request for hearing (O. 65 r. 7)</w:t>
      </w:r>
      <w:r>
        <w:tab/>
      </w:r>
      <w:r>
        <w:fldChar w:fldCharType="begin"/>
      </w:r>
      <w:r>
        <w:instrText xml:space="preserve"> PAGEREF _Toc163121884 \h </w:instrText>
      </w:r>
      <w:r>
        <w:fldChar w:fldCharType="separate"/>
      </w:r>
      <w:r>
        <w:t>696</w:t>
      </w:r>
      <w:r>
        <w:fldChar w:fldCharType="end"/>
      </w:r>
    </w:p>
    <w:p>
      <w:pPr>
        <w:pStyle w:val="TOC8"/>
        <w:rPr>
          <w:rFonts w:asciiTheme="minorHAnsi" w:eastAsiaTheme="minorEastAsia" w:hAnsiTheme="minorHAnsi" w:cstheme="minorBidi"/>
          <w:szCs w:val="22"/>
        </w:rPr>
      </w:pPr>
      <w:r>
        <w:t>89.</w:t>
      </w:r>
      <w:r>
        <w:tab/>
        <w:t>Discontinuance notice (O. 65 r. 17)</w:t>
      </w:r>
      <w:r>
        <w:tab/>
      </w:r>
      <w:r>
        <w:fldChar w:fldCharType="begin"/>
      </w:r>
      <w:r>
        <w:instrText xml:space="preserve"> PAGEREF _Toc163121885 \h </w:instrText>
      </w:r>
      <w:r>
        <w:fldChar w:fldCharType="separate"/>
      </w:r>
      <w:r>
        <w:t>696</w:t>
      </w:r>
      <w:r>
        <w:fldChar w:fldCharType="end"/>
      </w:r>
    </w:p>
    <w:p>
      <w:pPr>
        <w:pStyle w:val="TOC8"/>
        <w:rPr>
          <w:rFonts w:asciiTheme="minorHAnsi" w:eastAsiaTheme="minorEastAsia" w:hAnsiTheme="minorHAnsi" w:cstheme="minorBidi"/>
          <w:szCs w:val="22"/>
        </w:rPr>
      </w:pPr>
      <w:r>
        <w:t>93A.</w:t>
      </w:r>
      <w:r>
        <w:tab/>
      </w:r>
      <w:r>
        <w:rPr>
          <w:i/>
        </w:rPr>
        <w:t>Public Notaries Act 1979</w:t>
      </w:r>
      <w:r>
        <w:t xml:space="preserve"> s. 8, certificate (O. 76 r. 2)</w:t>
      </w:r>
      <w:r>
        <w:tab/>
      </w:r>
      <w:r>
        <w:fldChar w:fldCharType="begin"/>
      </w:r>
      <w:r>
        <w:instrText xml:space="preserve"> PAGEREF _Toc163121886 \h </w:instrText>
      </w:r>
      <w:r>
        <w:fldChar w:fldCharType="separate"/>
      </w:r>
      <w:r>
        <w:t>697</w:t>
      </w:r>
      <w:r>
        <w:fldChar w:fldCharType="end"/>
      </w:r>
    </w:p>
    <w:p>
      <w:pPr>
        <w:pStyle w:val="TOC8"/>
        <w:rPr>
          <w:rFonts w:asciiTheme="minorHAnsi" w:eastAsiaTheme="minorEastAsia" w:hAnsiTheme="minorHAnsi" w:cstheme="minorBidi"/>
          <w:szCs w:val="22"/>
        </w:rPr>
      </w:pPr>
      <w:r>
        <w:t>93B.</w:t>
      </w:r>
      <w:r>
        <w:tab/>
        <w:t>Notice of intention to apply for appointment as public notary (O. 76 r. 3)</w:t>
      </w:r>
      <w:r>
        <w:tab/>
      </w:r>
      <w:r>
        <w:fldChar w:fldCharType="begin"/>
      </w:r>
      <w:r>
        <w:instrText xml:space="preserve"> PAGEREF _Toc163121887 \h </w:instrText>
      </w:r>
      <w:r>
        <w:fldChar w:fldCharType="separate"/>
      </w:r>
      <w:r>
        <w:t>697</w:t>
      </w:r>
      <w:r>
        <w:fldChar w:fldCharType="end"/>
      </w:r>
    </w:p>
    <w:p>
      <w:pPr>
        <w:pStyle w:val="TOC8"/>
        <w:rPr>
          <w:rFonts w:asciiTheme="minorHAnsi" w:eastAsiaTheme="minorEastAsia" w:hAnsiTheme="minorHAnsi" w:cstheme="minorBidi"/>
          <w:szCs w:val="22"/>
        </w:rPr>
      </w:pPr>
      <w:r>
        <w:t>93C.</w:t>
      </w:r>
      <w:r>
        <w:tab/>
        <w:t>Certificate of appointment as public notary Western Australia (O. 76 r. 5(1))</w:t>
      </w:r>
      <w:r>
        <w:tab/>
      </w:r>
      <w:r>
        <w:fldChar w:fldCharType="begin"/>
      </w:r>
      <w:r>
        <w:instrText xml:space="preserve"> PAGEREF _Toc163121888 \h </w:instrText>
      </w:r>
      <w:r>
        <w:fldChar w:fldCharType="separate"/>
      </w:r>
      <w:r>
        <w:t>698</w:t>
      </w:r>
      <w:r>
        <w:fldChar w:fldCharType="end"/>
      </w:r>
    </w:p>
    <w:p>
      <w:pPr>
        <w:pStyle w:val="TOC8"/>
        <w:rPr>
          <w:rFonts w:asciiTheme="minorHAnsi" w:eastAsiaTheme="minorEastAsia" w:hAnsiTheme="minorHAnsi" w:cstheme="minorBidi"/>
          <w:szCs w:val="22"/>
        </w:rPr>
      </w:pPr>
      <w:r>
        <w:t>93D.</w:t>
      </w:r>
      <w:r>
        <w:tab/>
        <w:t>Certificate that name of public notary remains on roll (O. 76 r. 5(2))</w:t>
      </w:r>
      <w:r>
        <w:tab/>
      </w:r>
      <w:r>
        <w:fldChar w:fldCharType="begin"/>
      </w:r>
      <w:r>
        <w:instrText xml:space="preserve"> PAGEREF _Toc163121889 \h </w:instrText>
      </w:r>
      <w:r>
        <w:fldChar w:fldCharType="separate"/>
      </w:r>
      <w:r>
        <w:t>698</w:t>
      </w:r>
      <w:r>
        <w:fldChar w:fldCharType="end"/>
      </w:r>
    </w:p>
    <w:p>
      <w:pPr>
        <w:pStyle w:val="TOC8"/>
        <w:rPr>
          <w:rFonts w:asciiTheme="minorHAnsi" w:eastAsiaTheme="minorEastAsia" w:hAnsiTheme="minorHAnsi" w:cstheme="minorBidi"/>
          <w:szCs w:val="22"/>
        </w:rPr>
      </w:pPr>
      <w:r>
        <w:lastRenderedPageBreak/>
        <w:t>99.</w:t>
      </w:r>
      <w:r>
        <w:tab/>
      </w:r>
      <w:r>
        <w:rPr>
          <w:i/>
        </w:rPr>
        <w:t>Escheat (Procedure) Act 1940</w:t>
      </w:r>
      <w:r>
        <w:t>, notice of application under (O. 80 r. 3)</w:t>
      </w:r>
      <w:r>
        <w:tab/>
      </w:r>
      <w:r>
        <w:fldChar w:fldCharType="begin"/>
      </w:r>
      <w:r>
        <w:instrText xml:space="preserve"> PAGEREF _Toc163121890 \h </w:instrText>
      </w:r>
      <w:r>
        <w:fldChar w:fldCharType="separate"/>
      </w:r>
      <w:r>
        <w:t>700</w:t>
      </w:r>
      <w:r>
        <w:fldChar w:fldCharType="end"/>
      </w:r>
    </w:p>
    <w:p>
      <w:pPr>
        <w:pStyle w:val="TOC8"/>
        <w:rPr>
          <w:rFonts w:asciiTheme="minorHAnsi" w:eastAsiaTheme="minorEastAsia" w:hAnsiTheme="minorHAnsi" w:cstheme="minorBidi"/>
          <w:szCs w:val="22"/>
        </w:rPr>
      </w:pPr>
      <w:r>
        <w:t>100.</w:t>
      </w:r>
      <w:r>
        <w:tab/>
      </w:r>
      <w:r>
        <w:rPr>
          <w:i/>
        </w:rPr>
        <w:t>Escheat (Procedure) Act 1940</w:t>
      </w:r>
      <w:r>
        <w:t>, order of escheat (O. 80 r. 7)</w:t>
      </w:r>
      <w:r>
        <w:tab/>
      </w:r>
      <w:r>
        <w:fldChar w:fldCharType="begin"/>
      </w:r>
      <w:r>
        <w:instrText xml:space="preserve"> PAGEREF _Toc163121891 \h </w:instrText>
      </w:r>
      <w:r>
        <w:fldChar w:fldCharType="separate"/>
      </w:r>
      <w:r>
        <w:t>700</w:t>
      </w:r>
      <w:r>
        <w:fldChar w:fldCharType="end"/>
      </w:r>
    </w:p>
    <w:p>
      <w:pPr>
        <w:pStyle w:val="TOC8"/>
        <w:rPr>
          <w:rFonts w:asciiTheme="minorHAnsi" w:eastAsiaTheme="minorEastAsia" w:hAnsiTheme="minorHAnsi" w:cstheme="minorBidi"/>
          <w:szCs w:val="22"/>
        </w:rPr>
      </w:pPr>
      <w:r>
        <w:t>101.</w:t>
      </w:r>
      <w:r>
        <w:tab/>
        <w:t>Application for extraordinary licence (O. 81C r. 2(1))</w:t>
      </w:r>
      <w:r>
        <w:tab/>
      </w:r>
      <w:r>
        <w:fldChar w:fldCharType="begin"/>
      </w:r>
      <w:r>
        <w:instrText xml:space="preserve"> PAGEREF _Toc163121892 \h </w:instrText>
      </w:r>
      <w:r>
        <w:fldChar w:fldCharType="separate"/>
      </w:r>
      <w:r>
        <w:t>701</w:t>
      </w:r>
      <w:r>
        <w:fldChar w:fldCharType="end"/>
      </w:r>
    </w:p>
    <w:p>
      <w:pPr>
        <w:pStyle w:val="TOC8"/>
        <w:rPr>
          <w:rFonts w:asciiTheme="minorHAnsi" w:eastAsiaTheme="minorEastAsia" w:hAnsiTheme="minorHAnsi" w:cstheme="minorBidi"/>
          <w:szCs w:val="22"/>
        </w:rPr>
      </w:pPr>
      <w:r>
        <w:t>102.</w:t>
      </w:r>
      <w:r>
        <w:tab/>
        <w:t>Application by holder to vary extraordinary licence (O. 81C r. 2(2))</w:t>
      </w:r>
      <w:r>
        <w:tab/>
      </w:r>
      <w:r>
        <w:fldChar w:fldCharType="begin"/>
      </w:r>
      <w:r>
        <w:instrText xml:space="preserve"> PAGEREF _Toc163121893 \h </w:instrText>
      </w:r>
      <w:r>
        <w:fldChar w:fldCharType="separate"/>
      </w:r>
      <w:r>
        <w:t>702</w:t>
      </w:r>
      <w:r>
        <w:fldChar w:fldCharType="end"/>
      </w:r>
    </w:p>
    <w:p>
      <w:pPr>
        <w:pStyle w:val="TOC8"/>
        <w:rPr>
          <w:rFonts w:asciiTheme="minorHAnsi" w:eastAsiaTheme="minorEastAsia" w:hAnsiTheme="minorHAnsi" w:cstheme="minorBidi"/>
          <w:szCs w:val="22"/>
        </w:rPr>
      </w:pPr>
      <w:r>
        <w:t>103.</w:t>
      </w:r>
      <w:r>
        <w:tab/>
        <w:t>Application by CEO to vary, cancel extraordinary licence (O. 81C r. 2(3))</w:t>
      </w:r>
      <w:r>
        <w:tab/>
      </w:r>
      <w:r>
        <w:fldChar w:fldCharType="begin"/>
      </w:r>
      <w:r>
        <w:instrText xml:space="preserve"> PAGEREF _Toc163121894 \h </w:instrText>
      </w:r>
      <w:r>
        <w:fldChar w:fldCharType="separate"/>
      </w:r>
      <w:r>
        <w:t>703</w:t>
      </w:r>
      <w:r>
        <w:fldChar w:fldCharType="end"/>
      </w:r>
    </w:p>
    <w:p>
      <w:pPr>
        <w:pStyle w:val="TOC8"/>
        <w:rPr>
          <w:rFonts w:asciiTheme="minorHAnsi" w:eastAsiaTheme="minorEastAsia" w:hAnsiTheme="minorHAnsi" w:cstheme="minorBidi"/>
          <w:szCs w:val="22"/>
        </w:rPr>
      </w:pPr>
      <w:r>
        <w:t>104.</w:t>
      </w:r>
      <w:r>
        <w:tab/>
        <w:t>Application for removal of disqualification (O. 81C r. 2(4))</w:t>
      </w:r>
      <w:r>
        <w:tab/>
      </w:r>
      <w:r>
        <w:fldChar w:fldCharType="begin"/>
      </w:r>
      <w:r>
        <w:instrText xml:space="preserve"> PAGEREF _Toc163121895 \h </w:instrText>
      </w:r>
      <w:r>
        <w:fldChar w:fldCharType="separate"/>
      </w:r>
      <w:r>
        <w:t>704</w:t>
      </w:r>
      <w:r>
        <w:fldChar w:fldCharType="end"/>
      </w:r>
    </w:p>
    <w:p>
      <w:pPr>
        <w:pStyle w:val="TOC8"/>
        <w:rPr>
          <w:rFonts w:asciiTheme="minorHAnsi" w:eastAsiaTheme="minorEastAsia" w:hAnsiTheme="minorHAnsi" w:cstheme="minorBidi"/>
          <w:szCs w:val="22"/>
        </w:rPr>
      </w:pPr>
      <w:r>
        <w:t>108.</w:t>
      </w:r>
      <w:r>
        <w:tab/>
      </w:r>
      <w:r>
        <w:rPr>
          <w:i/>
        </w:rPr>
        <w:t>Criminal and Found Property Disposal Act 2006</w:t>
      </w:r>
      <w:r>
        <w:t>, claim under (O. 81G r. 3)</w:t>
      </w:r>
      <w:r>
        <w:tab/>
      </w:r>
      <w:r>
        <w:fldChar w:fldCharType="begin"/>
      </w:r>
      <w:r>
        <w:instrText xml:space="preserve"> PAGEREF _Toc163121896 \h </w:instrText>
      </w:r>
      <w:r>
        <w:fldChar w:fldCharType="separate"/>
      </w:r>
      <w:r>
        <w:t>705</w:t>
      </w:r>
      <w:r>
        <w:fldChar w:fldCharType="end"/>
      </w:r>
    </w:p>
    <w:p>
      <w:pPr>
        <w:pStyle w:val="TOC2"/>
        <w:tabs>
          <w:tab w:val="right" w:leader="dot" w:pos="7077"/>
        </w:tabs>
        <w:rPr>
          <w:rFonts w:asciiTheme="minorHAnsi" w:eastAsiaTheme="minorEastAsia" w:hAnsiTheme="minorHAnsi" w:cstheme="minorBidi"/>
          <w:b w:val="0"/>
          <w:sz w:val="22"/>
          <w:szCs w:val="22"/>
        </w:rPr>
      </w:pPr>
      <w:r>
        <w:t>Schedule 3 — Payment into and out of court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_Toc163121899 \h </w:instrText>
      </w:r>
      <w:r>
        <w:fldChar w:fldCharType="separate"/>
      </w:r>
      <w:r>
        <w:t>711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_Toc163121900 \h </w:instrText>
      </w:r>
      <w:r>
        <w:fldChar w:fldCharType="separate"/>
      </w:r>
      <w:r>
        <w:t>721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Supreme Court Act 1935</w:t>
      </w:r>
    </w:p>
    <w:p>
      <w:pPr>
        <w:pStyle w:val="NameofActReg"/>
        <w:spacing w:before="1440"/>
      </w:pPr>
      <w:r>
        <w:t>Rules of the Supreme Court 1971</w:t>
      </w:r>
    </w:p>
    <w:p>
      <w:pPr>
        <w:pStyle w:val="Heading2"/>
        <w:pageBreakBefore w:val="0"/>
      </w:pPr>
      <w:bookmarkStart w:id="2" w:name="_Toc162940146"/>
      <w:bookmarkStart w:id="3" w:name="_Toc162952921"/>
      <w:bookmarkStart w:id="4" w:name="_Toc163120594"/>
      <w:r>
        <w:rPr>
          <w:rStyle w:val="CharPartNo"/>
        </w:rPr>
        <w:t>Order 1</w:t>
      </w:r>
      <w:r>
        <w:t> — </w:t>
      </w:r>
      <w:r>
        <w:rPr>
          <w:rStyle w:val="CharPartText"/>
        </w:rPr>
        <w:t>Application, elimination of delay and forms</w:t>
      </w:r>
      <w:bookmarkEnd w:id="2"/>
      <w:bookmarkEnd w:id="3"/>
      <w:bookmarkEnd w:id="4"/>
    </w:p>
    <w:p>
      <w:pPr>
        <w:pStyle w:val="Footnoteheading"/>
        <w:ind w:left="890"/>
        <w:rPr>
          <w:snapToGrid w:val="0"/>
        </w:rPr>
      </w:pPr>
      <w:r>
        <w:rPr>
          <w:snapToGrid w:val="0"/>
        </w:rPr>
        <w:tab/>
        <w:t>[Heading inserted: Gazette 26 Mar 1993 p. 1840.]</w:t>
      </w:r>
    </w:p>
    <w:p>
      <w:pPr>
        <w:pStyle w:val="Heading5"/>
        <w:rPr>
          <w:snapToGrid w:val="0"/>
        </w:rPr>
      </w:pPr>
      <w:bookmarkStart w:id="5" w:name="_Toc163120595"/>
      <w:r>
        <w:rPr>
          <w:rStyle w:val="CharSectno"/>
        </w:rPr>
        <w:t>1</w:t>
      </w:r>
      <w:r>
        <w:rPr>
          <w:snapToGrid w:val="0"/>
        </w:rPr>
        <w:t>.</w:t>
      </w:r>
      <w:r>
        <w:rPr>
          <w:snapToGrid w:val="0"/>
        </w:rPr>
        <w:tab/>
        <w:t>Short title</w:t>
      </w:r>
      <w:bookmarkEnd w:id="5"/>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w:t>
      </w:r>
    </w:p>
    <w:p>
      <w:pPr>
        <w:pStyle w:val="Heading5"/>
        <w:rPr>
          <w:snapToGrid w:val="0"/>
        </w:rPr>
      </w:pPr>
      <w:bookmarkStart w:id="6" w:name="_Toc163120596"/>
      <w:r>
        <w:rPr>
          <w:rStyle w:val="CharSectno"/>
        </w:rPr>
        <w:t>2</w:t>
      </w:r>
      <w:r>
        <w:rPr>
          <w:snapToGrid w:val="0"/>
        </w:rPr>
        <w:t>.</w:t>
      </w:r>
      <w:r>
        <w:rPr>
          <w:snapToGrid w:val="0"/>
        </w:rPr>
        <w:tab/>
        <w:t>Commencement and saving</w:t>
      </w:r>
      <w:bookmarkEnd w:id="6"/>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deleted]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Gazette 21 Feb 2007 p. 533; 22 Feb 2008 p. 634.]</w:t>
      </w:r>
    </w:p>
    <w:p>
      <w:pPr>
        <w:pStyle w:val="Heading5"/>
        <w:rPr>
          <w:snapToGrid w:val="0"/>
        </w:rPr>
      </w:pPr>
      <w:bookmarkStart w:id="7" w:name="_Toc163120597"/>
      <w:r>
        <w:rPr>
          <w:rStyle w:val="CharSectno"/>
        </w:rPr>
        <w:lastRenderedPageBreak/>
        <w:t>3</w:t>
      </w:r>
      <w:r>
        <w:rPr>
          <w:snapToGrid w:val="0"/>
        </w:rPr>
        <w:t>.</w:t>
      </w:r>
      <w:r>
        <w:rPr>
          <w:snapToGrid w:val="0"/>
        </w:rPr>
        <w:tab/>
        <w:t>Certain proceedings excluded</w:t>
      </w:r>
      <w:bookmarkEnd w:id="7"/>
      <w:r>
        <w:rPr>
          <w:snapToGrid w:val="0"/>
        </w:rPr>
        <w:t xml:space="preserve"> </w:t>
      </w:r>
    </w:p>
    <w:p>
      <w:pPr>
        <w:pStyle w:val="Subsection"/>
        <w:keepNext/>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2989"/>
        <w:gridCol w:w="3360"/>
      </w:tblGrid>
      <w:tr>
        <w:trPr>
          <w:tblHeader/>
        </w:trPr>
        <w:tc>
          <w:tcPr>
            <w:tcW w:w="2989" w:type="dxa"/>
          </w:tcPr>
          <w:p>
            <w:pPr>
              <w:pStyle w:val="TableNAm"/>
              <w:keepNext/>
              <w:jc w:val="center"/>
              <w:rPr>
                <w:b/>
                <w:bCs/>
              </w:rPr>
            </w:pPr>
            <w:r>
              <w:rPr>
                <w:b/>
                <w:bCs/>
              </w:rPr>
              <w:t>Proceedings</w:t>
            </w:r>
          </w:p>
        </w:tc>
        <w:tc>
          <w:tcPr>
            <w:tcW w:w="3360" w:type="dxa"/>
          </w:tcPr>
          <w:p>
            <w:pPr>
              <w:pStyle w:val="TableNAm"/>
              <w:keepNext/>
              <w:jc w:val="center"/>
              <w:rPr>
                <w:b/>
                <w:bCs/>
              </w:rPr>
            </w:pPr>
            <w:r>
              <w:rPr>
                <w:b/>
                <w:bCs/>
              </w:rPr>
              <w:t>Enactments</w:t>
            </w:r>
          </w:p>
        </w:tc>
      </w:tr>
      <w:tr>
        <w:tc>
          <w:tcPr>
            <w:tcW w:w="2989" w:type="dxa"/>
          </w:tcPr>
          <w:p>
            <w:pPr>
              <w:pStyle w:val="TableNAm"/>
              <w:keepNext/>
              <w:tabs>
                <w:tab w:val="clear" w:pos="567"/>
                <w:tab w:val="left" w:pos="448"/>
              </w:tabs>
              <w:ind w:left="448" w:hanging="448"/>
              <w:rPr>
                <w:i/>
              </w:rPr>
            </w:pPr>
            <w:r>
              <w:rPr>
                <w:i/>
              </w:rPr>
              <w:t>[1.</w:t>
            </w:r>
            <w:r>
              <w:rPr>
                <w:i/>
              </w:rPr>
              <w:tab/>
              <w:t>deleted]</w:t>
            </w:r>
          </w:p>
        </w:tc>
        <w:tc>
          <w:tcPr>
            <w:tcW w:w="3360" w:type="dxa"/>
          </w:tcPr>
          <w:p>
            <w:pPr>
              <w:pStyle w:val="TableNAm"/>
              <w:keepNext/>
            </w:pPr>
          </w:p>
        </w:tc>
      </w:tr>
      <w:tr>
        <w:tc>
          <w:tcPr>
            <w:tcW w:w="2989" w:type="dxa"/>
          </w:tcPr>
          <w:p>
            <w:pPr>
              <w:pStyle w:val="TableNAm"/>
              <w:keepNext/>
              <w:tabs>
                <w:tab w:val="clear" w:pos="567"/>
                <w:tab w:val="left" w:pos="448"/>
              </w:tabs>
              <w:ind w:left="448" w:hanging="448"/>
            </w:pPr>
            <w:r>
              <w:t>2.</w:t>
            </w:r>
            <w:r>
              <w:tab/>
              <w:t>Non</w:t>
            </w:r>
            <w:r>
              <w:noBreakHyphen/>
              <w:t>contentious or common form probate business.</w:t>
            </w:r>
          </w:p>
        </w:tc>
        <w:tc>
          <w:tcPr>
            <w:tcW w:w="3360" w:type="dxa"/>
          </w:tcPr>
          <w:p>
            <w:pPr>
              <w:pStyle w:val="TableNAm"/>
            </w:pPr>
            <w:r>
              <w:rPr>
                <w:i/>
              </w:rPr>
              <w:t>Administration Act 1903</w:t>
            </w:r>
            <w:r>
              <w:t>, s. 144.</w:t>
            </w:r>
            <w:r>
              <w:br/>
            </w:r>
            <w:r>
              <w:rPr>
                <w:i/>
              </w:rPr>
              <w:t>Supreme Court Act 1935</w:t>
            </w:r>
            <w:r>
              <w:t>, s. 167.</w:t>
            </w:r>
            <w:r>
              <w:br/>
            </w:r>
            <w:r>
              <w:rPr>
                <w:i/>
              </w:rPr>
              <w:t>Public Trustee Act 1941</w:t>
            </w:r>
            <w:r>
              <w:t>, s. 65.</w:t>
            </w:r>
          </w:p>
        </w:tc>
      </w:tr>
      <w:tr>
        <w:tc>
          <w:tcPr>
            <w:tcW w:w="2989" w:type="dxa"/>
          </w:tcPr>
          <w:p>
            <w:pPr>
              <w:pStyle w:val="TableNAm"/>
              <w:tabs>
                <w:tab w:val="clear" w:pos="567"/>
                <w:tab w:val="left" w:pos="448"/>
              </w:tabs>
              <w:ind w:left="448" w:hanging="448"/>
              <w:rPr>
                <w:i/>
              </w:rPr>
            </w:pPr>
            <w:r>
              <w:rPr>
                <w:i/>
              </w:rPr>
              <w:t>[3.</w:t>
            </w:r>
            <w:r>
              <w:rPr>
                <w:i/>
              </w:rPr>
              <w:tab/>
              <w:t>deleted]</w:t>
            </w:r>
          </w:p>
        </w:tc>
        <w:tc>
          <w:tcPr>
            <w:tcW w:w="3360" w:type="dxa"/>
          </w:tcPr>
          <w:p>
            <w:pPr>
              <w:pStyle w:val="TableNAm"/>
            </w:pPr>
          </w:p>
        </w:tc>
      </w:tr>
      <w:tr>
        <w:tc>
          <w:tcPr>
            <w:tcW w:w="2989" w:type="dxa"/>
          </w:tcPr>
          <w:p>
            <w:pPr>
              <w:pStyle w:val="TableNAm"/>
              <w:tabs>
                <w:tab w:val="clear" w:pos="567"/>
                <w:tab w:val="left" w:pos="448"/>
              </w:tabs>
              <w:ind w:left="448" w:hanging="448"/>
            </w:pPr>
            <w:r>
              <w:t>4.</w:t>
            </w:r>
            <w:r>
              <w:tab/>
              <w:t>Proceedings in the Court of Disputed Returns to which the</w:t>
            </w:r>
            <w:r>
              <w:rPr>
                <w:i/>
              </w:rPr>
              <w:t xml:space="preserve"> Electoral Rules 1908</w:t>
            </w:r>
            <w:r>
              <w:rPr>
                <w:vertAlign w:val="superscript"/>
              </w:rPr>
              <w:t> 1</w:t>
            </w:r>
            <w:r>
              <w:t xml:space="preserve"> apply.</w:t>
            </w:r>
          </w:p>
        </w:tc>
        <w:tc>
          <w:tcPr>
            <w:tcW w:w="3360" w:type="dxa"/>
          </w:tcPr>
          <w:p>
            <w:pPr>
              <w:pStyle w:val="TableNAm"/>
            </w:pPr>
            <w:r>
              <w:rPr>
                <w:i/>
              </w:rPr>
              <w:t>Electoral Act 1907</w:t>
            </w:r>
            <w:r>
              <w:t>, s. 173.</w:t>
            </w:r>
          </w:p>
        </w:tc>
      </w:tr>
    </w:tbl>
    <w:p>
      <w:pPr>
        <w:pStyle w:val="Subsection"/>
        <w:spacing w:before="240"/>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w:t>
      </w:r>
      <w:r>
        <w:t>subrules</w:t>
      </w:r>
      <w:r>
        <w:rPr>
          <w:snapToGrid w:val="0"/>
        </w:rPr>
        <w:t xml:space="preserve"> (2) and (3), nothing in those subrules shall be taken as affecting any provision of any rules (whether made under the Act or any other </w:t>
      </w:r>
      <w:r>
        <w:rPr>
          <w:snapToGrid w:val="0"/>
        </w:rPr>
        <w:lastRenderedPageBreak/>
        <w:t xml:space="preserve">Act) by virtue of which the </w:t>
      </w:r>
      <w:r>
        <w:rPr>
          <w:iCs/>
          <w:snapToGrid w:val="0"/>
        </w:rPr>
        <w:t>rules of the Supreme Court</w:t>
      </w:r>
      <w:r>
        <w:rPr>
          <w:snapToGrid w:val="0"/>
        </w:rPr>
        <w:t xml:space="preserve"> or any provisions thereof are applied in relation to any of those proceedings.</w:t>
      </w:r>
    </w:p>
    <w:p>
      <w:pPr>
        <w:pStyle w:val="Footnotesection"/>
        <w:keepLines w:val="0"/>
        <w:spacing w:after="120"/>
        <w:ind w:left="890" w:hanging="890"/>
      </w:pPr>
      <w:r>
        <w:tab/>
        <w:t>[Rule 3 amended: Gazette 10 Sep 1973 p. 3428; 28 Jun 1994 p. 3049; 8 May 2000 p. 2161; 29 Dec 2000 p. 7918; 27 Jul 2001 p. 3895; 21 Feb 2007 p. 533; 28 Jun 2011 p. 2552</w:t>
      </w:r>
      <w:r>
        <w:noBreakHyphen/>
        <w:t xml:space="preserve">3.] </w:t>
      </w:r>
    </w:p>
    <w:p>
      <w:pPr>
        <w:pStyle w:val="Heading5"/>
        <w:rPr>
          <w:snapToGrid w:val="0"/>
        </w:rPr>
      </w:pPr>
      <w:bookmarkStart w:id="8" w:name="_Toc163120598"/>
      <w:r>
        <w:rPr>
          <w:rStyle w:val="CharSectno"/>
        </w:rPr>
        <w:t>3A</w:t>
      </w:r>
      <w:r>
        <w:rPr>
          <w:snapToGrid w:val="0"/>
        </w:rPr>
        <w:t>.</w:t>
      </w:r>
      <w:r>
        <w:rPr>
          <w:snapToGrid w:val="0"/>
        </w:rPr>
        <w:tab/>
        <w:t>Inherent powers not affected</w:t>
      </w:r>
      <w:bookmarkEnd w:id="8"/>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Gazette 28 Oct 1996 p. 5673.] </w:t>
      </w:r>
    </w:p>
    <w:p>
      <w:pPr>
        <w:pStyle w:val="Heading5"/>
        <w:rPr>
          <w:snapToGrid w:val="0"/>
        </w:rPr>
      </w:pPr>
      <w:bookmarkStart w:id="9" w:name="_Toc163120599"/>
      <w:r>
        <w:rPr>
          <w:rStyle w:val="CharSectno"/>
        </w:rPr>
        <w:t>4</w:t>
      </w:r>
      <w:r>
        <w:rPr>
          <w:snapToGrid w:val="0"/>
        </w:rPr>
        <w:t>.</w:t>
      </w:r>
      <w:r>
        <w:rPr>
          <w:snapToGrid w:val="0"/>
        </w:rPr>
        <w:tab/>
        <w:t>Terms used</w:t>
      </w:r>
      <w:bookmarkEnd w:id="9"/>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Act</w:t>
      </w:r>
      <w:r>
        <w:t xml:space="preserve"> means the </w:t>
      </w:r>
      <w:r>
        <w:rPr>
          <w:i/>
        </w:rPr>
        <w:t>Supreme Court Act 1935</w:t>
      </w:r>
      <w:r>
        <w: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Australia — </w:t>
      </w:r>
    </w:p>
    <w:p>
      <w:pPr>
        <w:pStyle w:val="Defpara"/>
      </w:pPr>
      <w:r>
        <w:tab/>
        <w:t>(a)</w:t>
      </w:r>
      <w:r>
        <w:tab/>
        <w:t>ambassador; and</w:t>
      </w:r>
    </w:p>
    <w:p>
      <w:pPr>
        <w:pStyle w:val="Defpara"/>
      </w:pPr>
      <w:r>
        <w:tab/>
        <w:t>(b)</w:t>
      </w:r>
      <w:r>
        <w:tab/>
        <w:t>high commissioner; and</w:t>
      </w:r>
    </w:p>
    <w:p>
      <w:pPr>
        <w:pStyle w:val="Defpara"/>
      </w:pPr>
      <w:r>
        <w:tab/>
        <w:t>(c)</w:t>
      </w:r>
      <w:r>
        <w:tab/>
        <w:t>minister; and</w:t>
      </w:r>
    </w:p>
    <w:p>
      <w:pPr>
        <w:pStyle w:val="Defpara"/>
      </w:pPr>
      <w:r>
        <w:tab/>
        <w:t>(d)</w:t>
      </w:r>
      <w:r>
        <w:tab/>
        <w:t>head of mission; and</w:t>
      </w:r>
    </w:p>
    <w:p>
      <w:pPr>
        <w:pStyle w:val="Defpara"/>
      </w:pPr>
      <w:r>
        <w:tab/>
        <w:t>(e)</w:t>
      </w:r>
      <w:r>
        <w:tab/>
        <w:t>commissioner; and</w:t>
      </w:r>
    </w:p>
    <w:p>
      <w:pPr>
        <w:pStyle w:val="Defpara"/>
      </w:pPr>
      <w:r>
        <w:tab/>
        <w:t>(f)</w:t>
      </w:r>
      <w:r>
        <w:tab/>
        <w:t>chargé d’affaires; and</w:t>
      </w:r>
    </w:p>
    <w:p>
      <w:pPr>
        <w:pStyle w:val="Defpara"/>
      </w:pPr>
      <w:r>
        <w:lastRenderedPageBreak/>
        <w:tab/>
        <w:t>(g)</w:t>
      </w:r>
      <w:r>
        <w:tab/>
        <w:t>counsellor, secretary or attaché at an embassy, high commissioner’s office, legation or other post; and</w:t>
      </w:r>
    </w:p>
    <w:p>
      <w:pPr>
        <w:pStyle w:val="Defpara"/>
      </w:pPr>
      <w:r>
        <w:tab/>
        <w:t>(h)</w:t>
      </w:r>
      <w:r>
        <w:tab/>
        <w:t>consul</w:t>
      </w:r>
      <w:r>
        <w:noBreakHyphen/>
        <w:t>general; and</w:t>
      </w:r>
    </w:p>
    <w:p>
      <w:pPr>
        <w:pStyle w:val="Defpara"/>
      </w:pPr>
      <w:r>
        <w:tab/>
        <w:t>(i)</w:t>
      </w:r>
      <w:r>
        <w:tab/>
        <w:t>consul; and</w:t>
      </w:r>
    </w:p>
    <w:p>
      <w:pPr>
        <w:pStyle w:val="Defpara"/>
      </w:pPr>
      <w:r>
        <w:tab/>
        <w:t>(j)</w:t>
      </w:r>
      <w:r>
        <w:tab/>
        <w:t>vice</w:t>
      </w:r>
      <w:r>
        <w:noBreakHyphen/>
        <w:t>consul; and</w:t>
      </w:r>
    </w:p>
    <w:p>
      <w:pPr>
        <w:pStyle w:val="Defpara"/>
      </w:pPr>
      <w:r>
        <w:tab/>
        <w:t>(k)</w:t>
      </w:r>
      <w:r>
        <w:tab/>
        <w:t>trade commissioner; and</w:t>
      </w:r>
    </w:p>
    <w:p>
      <w:pPr>
        <w:pStyle w:val="Defpara"/>
      </w:pPr>
      <w:r>
        <w:tab/>
        <w:t>(l)</w:t>
      </w:r>
      <w:r>
        <w:tab/>
        <w:t>consular agent;</w:t>
      </w:r>
    </w:p>
    <w:p>
      <w:pPr>
        <w:pStyle w:val="Defstart"/>
      </w:pPr>
      <w:r>
        <w:tab/>
      </w:r>
      <w:r>
        <w:rPr>
          <w:rStyle w:val="CharDefText"/>
        </w:rPr>
        <w:t>authorised user</w:t>
      </w:r>
      <w:r>
        <w:t>, of the ECMS, means a person who is registered with the Court to send documents to the Court, and to receive documents from the Court, by means of the ECMS;</w:t>
      </w:r>
    </w:p>
    <w:p>
      <w:pPr>
        <w:pStyle w:val="Defstart"/>
      </w:pPr>
      <w:r>
        <w:tab/>
      </w:r>
      <w:r>
        <w:rPr>
          <w:rStyle w:val="CharDefText"/>
        </w:rPr>
        <w:t>case manager</w:t>
      </w:r>
      <w:r>
        <w:t xml:space="preserve"> has the meaning given in Order 4A rule 1;</w:t>
      </w:r>
    </w:p>
    <w:p>
      <w:pPr>
        <w:pStyle w:val="Defstart"/>
      </w:pPr>
      <w:r>
        <w:rPr>
          <w:b/>
        </w:rPr>
        <w:tab/>
      </w:r>
      <w:r>
        <w:rPr>
          <w:rStyle w:val="CharDefText"/>
        </w:rPr>
        <w:t>Cause Book</w:t>
      </w:r>
      <w:r>
        <w:t xml:space="preserve"> means the book kept in the Central Office, in the manner directed by the Chief Justice from time to time,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Perth;</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tab/>
      </w:r>
      <w:r>
        <w:rPr>
          <w:rStyle w:val="CharDefText"/>
        </w:rPr>
        <w:t>Convention country</w:t>
      </w:r>
      <w:r>
        <w:t xml:space="preserve"> means a country, other than Australia, that is a party to the Hague Convention;</w:t>
      </w:r>
    </w:p>
    <w:p>
      <w:pPr>
        <w:pStyle w:val="Defstart"/>
      </w:pPr>
      <w:r>
        <w:rPr>
          <w:b/>
        </w:rPr>
        <w:tab/>
      </w:r>
      <w:r>
        <w:rPr>
          <w:rStyle w:val="CharDefText"/>
        </w:rPr>
        <w:t>costs</w:t>
      </w:r>
      <w:r>
        <w:t xml:space="preserve"> includes fees to counsel, charges, disbursements, expenses and remuneration;</w:t>
      </w:r>
    </w:p>
    <w:p>
      <w:pPr>
        <w:pStyle w:val="Defstart"/>
      </w:pPr>
      <w:r>
        <w:tab/>
      </w:r>
      <w:r>
        <w:rPr>
          <w:rStyle w:val="CharDefText"/>
        </w:rPr>
        <w:t>Court</w:t>
      </w:r>
      <w:r>
        <w:t xml:space="preserve"> includes any officer of the Court exercising powers of the Court delegated to the officer by these rules;</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lastRenderedPageBreak/>
        <w:tab/>
      </w:r>
      <w:r>
        <w:rPr>
          <w:rStyle w:val="CharDefText"/>
        </w:rPr>
        <w:t>file</w:t>
      </w:r>
      <w:r>
        <w:t>, in relation to a document, means to comply with Order 67A in relation to the document;</w:t>
      </w:r>
    </w:p>
    <w:p>
      <w:pPr>
        <w:pStyle w:val="Defstart"/>
      </w:pPr>
      <w:r>
        <w:tab/>
      </w:r>
      <w:r>
        <w:rPr>
          <w:rStyle w:val="CharDefText"/>
        </w:rPr>
        <w:t>file electronically</w:t>
      </w:r>
      <w:r>
        <w:t>, in relation to a document, means file the document under Order 67A using the ECMS;</w:t>
      </w:r>
    </w:p>
    <w:p>
      <w:pPr>
        <w:pStyle w:val="Defstart"/>
        <w:keepNext/>
      </w:pPr>
      <w:r>
        <w:tab/>
      </w:r>
      <w:r>
        <w:rPr>
          <w:rStyle w:val="CharDefText"/>
        </w:rPr>
        <w:t>filed document</w:t>
      </w:r>
      <w:r>
        <w:t xml:space="preserve"> means —</w:t>
      </w:r>
    </w:p>
    <w:p>
      <w:pPr>
        <w:pStyle w:val="Defpara"/>
      </w:pPr>
      <w:r>
        <w:tab/>
        <w:t>(a)</w:t>
      </w:r>
      <w:r>
        <w:tab/>
        <w:t>a document that —</w:t>
      </w:r>
    </w:p>
    <w:p>
      <w:pPr>
        <w:pStyle w:val="Defsubpara"/>
      </w:pPr>
      <w:r>
        <w:tab/>
        <w:t>(i)</w:t>
      </w:r>
      <w:r>
        <w:tab/>
        <w:t>has been filed with the Court; and</w:t>
      </w:r>
    </w:p>
    <w:p>
      <w:pPr>
        <w:pStyle w:val="Defsubpara"/>
      </w:pPr>
      <w:r>
        <w:tab/>
        <w:t>(ii)</w:t>
      </w:r>
      <w:r>
        <w:tab/>
        <w:t>has not been refused by the Court; and</w:t>
      </w:r>
    </w:p>
    <w:p>
      <w:pPr>
        <w:pStyle w:val="Defsubpara"/>
      </w:pPr>
      <w:r>
        <w:tab/>
        <w:t>(iii)</w:t>
      </w:r>
      <w:r>
        <w:tab/>
        <w:t>has been officially recorded by the Court as having been filed;</w:t>
      </w:r>
    </w:p>
    <w:p>
      <w:pPr>
        <w:pStyle w:val="Defpara"/>
      </w:pPr>
      <w:r>
        <w:tab/>
      </w:r>
      <w:r>
        <w:tab/>
        <w:t>and</w:t>
      </w:r>
    </w:p>
    <w:p>
      <w:pPr>
        <w:pStyle w:val="Defpara"/>
      </w:pPr>
      <w:r>
        <w:tab/>
        <w:t>(b)</w:t>
      </w:r>
      <w:r>
        <w:tab/>
        <w:t>any other document officially recorded by the Court as being a filed document;</w:t>
      </w:r>
    </w:p>
    <w:p>
      <w:pPr>
        <w:pStyle w:val="Defstart"/>
      </w:pPr>
      <w:r>
        <w:rPr>
          <w:b/>
        </w:rPr>
        <w:tab/>
      </w:r>
      <w:r>
        <w:rPr>
          <w:rStyle w:val="CharDefText"/>
        </w:rPr>
        <w:t>folio</w:t>
      </w:r>
      <w:r>
        <w:t xml:space="preserve"> means 72 words, each figure being counted as one word;</w:t>
      </w:r>
    </w:p>
    <w:p>
      <w:pPr>
        <w:pStyle w:val="Defstart"/>
      </w:pPr>
      <w:r>
        <w:tab/>
      </w:r>
      <w:r>
        <w:rPr>
          <w:rStyle w:val="CharDefText"/>
        </w:rPr>
        <w:t>form</w:t>
      </w:r>
      <w:r>
        <w:t xml:space="preserve"> has a meaning affected by rule 6 and, if followed by a number, means the form of that number in Schedule 2;</w:t>
      </w:r>
    </w:p>
    <w:p>
      <w:pPr>
        <w:pStyle w:val="Defstart"/>
      </w:pPr>
      <w:r>
        <w:rPr>
          <w:b/>
        </w:rPr>
        <w:tab/>
      </w:r>
      <w:r>
        <w:rPr>
          <w:rStyle w:val="CharDefText"/>
        </w:rPr>
        <w:t>geographical address</w:t>
      </w:r>
      <w:r>
        <w:t xml:space="preserve"> of a person, has the meaning given by Order 71A rule 2;</w:t>
      </w:r>
    </w:p>
    <w:p>
      <w:pPr>
        <w:pStyle w:val="Defstart"/>
      </w:pPr>
      <w:r>
        <w:tab/>
      </w:r>
      <w:r>
        <w:rPr>
          <w:rStyle w:val="CharDefText"/>
        </w:rPr>
        <w:t>Hague Convention</w:t>
      </w:r>
      <w:r>
        <w:t xml:space="preserve"> means the </w:t>
      </w:r>
      <w:r>
        <w:rPr>
          <w:i/>
          <w:iCs/>
        </w:rPr>
        <w:t>Convention on the Service Abroad of Judicial and Extrajudicial Documents in Civil or Commercial Matters</w:t>
      </w:r>
      <w:r>
        <w:rPr>
          <w:iCs/>
        </w:rPr>
        <w:t xml:space="preserve"> </w:t>
      </w:r>
      <w:r>
        <w:t>done at the Hague on 15 November 1965;</w:t>
      </w:r>
    </w:p>
    <w:p>
      <w:pPr>
        <w:pStyle w:val="Defstart"/>
      </w:pPr>
      <w:r>
        <w:rPr>
          <w:b/>
        </w:rPr>
        <w:tab/>
      </w:r>
      <w:r>
        <w:rPr>
          <w:rStyle w:val="CharDefText"/>
        </w:rPr>
        <w:t>master</w:t>
      </w:r>
      <w:r>
        <w:t xml:space="preserve"> means a master of the Supreme Court, and includes an acting master;</w:t>
      </w:r>
    </w:p>
    <w:p>
      <w:pPr>
        <w:pStyle w:val="Defstart"/>
      </w:pPr>
      <w:r>
        <w:tab/>
      </w:r>
      <w:r>
        <w:rPr>
          <w:rStyle w:val="CharDefText"/>
        </w:rPr>
        <w:t>mortgage action</w:t>
      </w:r>
      <w:r>
        <w:t xml:space="preserve"> has the meaning given in Order 4AA rule 1(1);</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tab/>
      </w:r>
      <w:r>
        <w:rPr>
          <w:rStyle w:val="CharDefText"/>
        </w:rPr>
        <w:t>prescribed fee</w:t>
      </w:r>
      <w:r>
        <w:t xml:space="preserve"> means the fee prescribed by the </w:t>
      </w:r>
      <w:r>
        <w:rPr>
          <w:i/>
        </w:rPr>
        <w:t>Supreme Court (Fees) Regulations 2002</w:t>
      </w:r>
      <w:r>
        <w:t>;</w:t>
      </w:r>
    </w:p>
    <w:p>
      <w:pPr>
        <w:pStyle w:val="Defstart"/>
      </w:pPr>
      <w:r>
        <w:rPr>
          <w:b/>
        </w:rPr>
        <w:tab/>
      </w:r>
      <w:r>
        <w:rPr>
          <w:rStyle w:val="CharDefText"/>
        </w:rPr>
        <w:t>probate action</w:t>
      </w:r>
      <w:r>
        <w:t xml:space="preserve"> has the meaning assigned to it by Order 73;</w:t>
      </w:r>
    </w:p>
    <w:p>
      <w:pPr>
        <w:pStyle w:val="Defstart"/>
      </w:pPr>
      <w:r>
        <w:rPr>
          <w:b/>
        </w:rPr>
        <w:lastRenderedPageBreak/>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trial</w:t>
      </w:r>
      <w:r>
        <w:t xml:space="preserve"> includes hearing;</w:t>
      </w:r>
    </w:p>
    <w:p>
      <w:pPr>
        <w:pStyle w:val="Defstart"/>
      </w:pPr>
      <w:r>
        <w:lastRenderedPageBreak/>
        <w:tab/>
      </w:r>
      <w:r>
        <w:rPr>
          <w:rStyle w:val="CharDefText"/>
        </w:rPr>
        <w:t>working day</w:t>
      </w:r>
      <w:r>
        <w:t xml:space="preserve"> means a day other than a Saturday, a Sunday, or a public holiday throughout the State;</w:t>
      </w:r>
    </w:p>
    <w:p>
      <w:pPr>
        <w:pStyle w:val="Defstart"/>
      </w:pPr>
      <w:r>
        <w:rPr>
          <w:b/>
        </w:rPr>
        <w:tab/>
      </w:r>
      <w:r>
        <w:rPr>
          <w:rStyle w:val="CharDefText"/>
        </w:rPr>
        <w:t>writ</w:t>
      </w:r>
      <w:r>
        <w:t xml:space="preserve"> means a writ of summons.</w:t>
      </w:r>
    </w:p>
    <w:p>
      <w:pPr>
        <w:pStyle w:val="Ednotesubsection"/>
      </w:pPr>
      <w:r>
        <w:tab/>
        <w:t>[(2)</w:t>
      </w:r>
      <w:r>
        <w:tab/>
        <w:t>deleted]</w:t>
      </w:r>
    </w:p>
    <w:p>
      <w:pPr>
        <w:pStyle w:val="Footnotesection"/>
      </w:pPr>
      <w:r>
        <w:tab/>
        <w:t>[Rule 4 amended: Gazette 14 Dec 1979 p. 3869; 30 Nov 1984 p. 3951</w:t>
      </w:r>
      <w:r>
        <w:noBreakHyphen/>
        <w:t>2; 28 Oct 1996 p. 5674; 19 Apr 2005 p. 1298; 21 Feb 2007 p. 533</w:t>
      </w:r>
      <w:r>
        <w:noBreakHyphen/>
        <w:t xml:space="preserve">4; 3 Jul 2009 p. 2699; 28 Jul 2010 p. 3440 and 3482; 28 Jun 2011 p. 2551; 16 Nov 2016 p. 5185; 16 Aug 2017 p. 4392; 27 Feb 2018 p. 551-2; 31 Dec 2019 p. 4677; SL 2022/74 r. 10; SL 2024/38 r. 4.] </w:t>
      </w:r>
    </w:p>
    <w:p>
      <w:pPr>
        <w:pStyle w:val="Heading5"/>
        <w:rPr>
          <w:snapToGrid w:val="0"/>
        </w:rPr>
      </w:pPr>
      <w:bookmarkStart w:id="10" w:name="_Toc163120600"/>
      <w:r>
        <w:rPr>
          <w:rStyle w:val="CharSectno"/>
        </w:rPr>
        <w:t>4A</w:t>
      </w:r>
      <w:r>
        <w:rPr>
          <w:snapToGrid w:val="0"/>
        </w:rPr>
        <w:t>.</w:t>
      </w:r>
      <w:r>
        <w:rPr>
          <w:snapToGrid w:val="0"/>
        </w:rPr>
        <w:tab/>
        <w:t>Delays, elimination of</w:t>
      </w:r>
      <w:bookmarkEnd w:id="10"/>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Gazette 26 Mar 1993 p. 1840.] </w:t>
      </w:r>
    </w:p>
    <w:p>
      <w:pPr>
        <w:pStyle w:val="Heading5"/>
        <w:rPr>
          <w:snapToGrid w:val="0"/>
        </w:rPr>
      </w:pPr>
      <w:bookmarkStart w:id="11" w:name="_Toc163120601"/>
      <w:r>
        <w:rPr>
          <w:rStyle w:val="CharSectno"/>
        </w:rPr>
        <w:t>4B</w:t>
      </w:r>
      <w:r>
        <w:rPr>
          <w:snapToGrid w:val="0"/>
        </w:rPr>
        <w:t>.</w:t>
      </w:r>
      <w:r>
        <w:rPr>
          <w:snapToGrid w:val="0"/>
        </w:rPr>
        <w:tab/>
        <w:t>Case flow management, use and objects of</w:t>
      </w:r>
      <w:bookmarkEnd w:id="11"/>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 and</w:t>
      </w:r>
    </w:p>
    <w:p>
      <w:pPr>
        <w:pStyle w:val="Indenta"/>
        <w:rPr>
          <w:snapToGrid w:val="0"/>
        </w:rPr>
      </w:pPr>
      <w:r>
        <w:rPr>
          <w:snapToGrid w:val="0"/>
        </w:rPr>
        <w:tab/>
        <w:t>(b)</w:t>
      </w:r>
      <w:r>
        <w:rPr>
          <w:snapToGrid w:val="0"/>
        </w:rPr>
        <w:tab/>
        <w:t>disposing efficiently of the business of the Court; and</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 xml:space="preserve">facilitating the timely disposal of </w:t>
      </w:r>
      <w:r>
        <w:t>business; and</w:t>
      </w:r>
    </w:p>
    <w:p>
      <w:pPr>
        <w:pStyle w:val="Indenta"/>
      </w:pPr>
      <w:r>
        <w:tab/>
        <w:t>(e)</w:t>
      </w:r>
      <w:r>
        <w:tab/>
        <w:t xml:space="preserve">ensuring the procedure applicable, and the costs of the procedure to the parties and the State, are proportionate </w:t>
      </w:r>
      <w:r>
        <w:lastRenderedPageBreak/>
        <w:t>to the value, importance and complexity of the subject matter in dispute; and</w:t>
      </w:r>
    </w:p>
    <w:p>
      <w:pPr>
        <w:pStyle w:val="Indenta"/>
      </w:pPr>
      <w:r>
        <w:tab/>
        <w:t>(f)</w:t>
      </w:r>
      <w:r>
        <w:tab/>
        <w:t>that the procedure applicable, and the costs of the procedure to the parties, are proportionate to the financial position of each party.</w:t>
      </w:r>
    </w:p>
    <w:p>
      <w:pPr>
        <w:pStyle w:val="Subsection"/>
        <w:keepNext/>
        <w:rPr>
          <w:snapToGrid w:val="0"/>
        </w:rPr>
      </w:pPr>
      <w:r>
        <w:rPr>
          <w:snapToGrid w:val="0"/>
        </w:rPr>
        <w:tab/>
        <w:t>(2)</w:t>
      </w:r>
      <w:r>
        <w:rPr>
          <w:snapToGrid w:val="0"/>
        </w:rPr>
        <w:tab/>
        <w:t xml:space="preserve">These rules are to be construed and applied and the processes and procedures of the Court conducted so as best to ensure the attainment of the objects referred to in </w:t>
      </w:r>
      <w:r>
        <w:t>subrule</w:t>
      </w:r>
      <w:r>
        <w:rPr>
          <w:snapToGrid w:val="0"/>
        </w:rPr>
        <w:t> (1).</w:t>
      </w:r>
    </w:p>
    <w:p>
      <w:pPr>
        <w:pStyle w:val="Footnotesection"/>
      </w:pPr>
      <w:r>
        <w:tab/>
        <w:t>[Rule 4B inserted: Gazette 26 Mar 1993 p. 1840</w:t>
      </w:r>
      <w:r>
        <w:noBreakHyphen/>
        <w:t xml:space="preserve">1; amended: Gazette 28 Jul 2010 p. 3440; 28 Jun 2011 p. 2552.] </w:t>
      </w:r>
    </w:p>
    <w:p>
      <w:pPr>
        <w:pStyle w:val="Heading5"/>
        <w:rPr>
          <w:snapToGrid w:val="0"/>
        </w:rPr>
      </w:pPr>
      <w:bookmarkStart w:id="12" w:name="_Toc163120602"/>
      <w:r>
        <w:rPr>
          <w:rStyle w:val="CharSectno"/>
        </w:rPr>
        <w:t>4C</w:t>
      </w:r>
      <w:r>
        <w:rPr>
          <w:snapToGrid w:val="0"/>
        </w:rPr>
        <w:t>.</w:t>
      </w:r>
      <w:r>
        <w:rPr>
          <w:snapToGrid w:val="0"/>
        </w:rPr>
        <w:tab/>
        <w:t>Parties to notify settlement</w:t>
      </w:r>
      <w:bookmarkEnd w:id="12"/>
      <w:r>
        <w:rPr>
          <w:snapToGrid w:val="0"/>
        </w:rPr>
        <w:t xml:space="preserve"> </w:t>
      </w:r>
    </w:p>
    <w:p>
      <w:pPr>
        <w:pStyle w:val="Subsection"/>
        <w:keepNext/>
        <w:rPr>
          <w:snapToGrid w:val="0"/>
        </w:rPr>
      </w:pPr>
      <w:r>
        <w:rPr>
          <w:snapToGrid w:val="0"/>
        </w:rPr>
        <w:tab/>
      </w:r>
      <w:r>
        <w:rPr>
          <w:snapToGrid w:val="0"/>
        </w:rPr>
        <w:tab/>
        <w:t xml:space="preserve">When any cause or matter is disposed of in whole or in part by settlement the solicitors for the parties to the settlement shall notify the </w:t>
      </w:r>
      <w:r>
        <w:t>Principal Registrar</w:t>
      </w:r>
      <w:r>
        <w:rPr>
          <w:snapToGrid w:val="0"/>
        </w:rPr>
        <w:t xml:space="preserve"> in writing forthwith.</w:t>
      </w:r>
    </w:p>
    <w:p>
      <w:pPr>
        <w:pStyle w:val="Footnotesection"/>
      </w:pPr>
      <w:r>
        <w:tab/>
        <w:t xml:space="preserve">[Rule 4C inserted: Gazette 26 Mar 1993 p. 1841; amended: Gazette 12 Jun 2012 p. 2445.] </w:t>
      </w:r>
    </w:p>
    <w:p>
      <w:pPr>
        <w:pStyle w:val="Ednotesection"/>
      </w:pPr>
      <w:r>
        <w:t>[</w:t>
      </w:r>
      <w:r>
        <w:rPr>
          <w:b/>
        </w:rPr>
        <w:t>5.</w:t>
      </w:r>
      <w:r>
        <w:tab/>
        <w:t>Deleted: Gazette 28 Jun 2011 p. 2551.]</w:t>
      </w:r>
    </w:p>
    <w:p>
      <w:pPr>
        <w:pStyle w:val="Heading5"/>
        <w:rPr>
          <w:snapToGrid w:val="0"/>
        </w:rPr>
      </w:pPr>
      <w:bookmarkStart w:id="13" w:name="_Toc163120603"/>
      <w:r>
        <w:rPr>
          <w:rStyle w:val="CharSectno"/>
        </w:rPr>
        <w:t>6</w:t>
      </w:r>
      <w:r>
        <w:rPr>
          <w:snapToGrid w:val="0"/>
        </w:rPr>
        <w:t>.</w:t>
      </w:r>
      <w:r>
        <w:rPr>
          <w:snapToGrid w:val="0"/>
        </w:rPr>
        <w:tab/>
        <w:t>Forms</w:t>
      </w:r>
      <w:bookmarkEnd w:id="13"/>
      <w:r>
        <w:rPr>
          <w:snapToGrid w:val="0"/>
        </w:rPr>
        <w:t xml:space="preserve"> </w:t>
      </w:r>
    </w:p>
    <w:p>
      <w:pPr>
        <w:pStyle w:val="Subsection"/>
        <w:rPr>
          <w:snapToGrid w:val="0"/>
        </w:rPr>
      </w:pPr>
      <w:r>
        <w:rPr>
          <w:snapToGrid w:val="0"/>
        </w:rPr>
        <w:tab/>
        <w:t>(1)</w:t>
      </w:r>
      <w:r>
        <w:rPr>
          <w:snapToGrid w:val="0"/>
        </w:rPr>
        <w:tab/>
        <w:t xml:space="preserve">The forms in </w:t>
      </w:r>
      <w:r>
        <w:t>Schedule 2 shall</w:t>
      </w:r>
      <w:r>
        <w:rPr>
          <w:snapToGrid w:val="0"/>
        </w:rPr>
        <w:t xml:space="preserve"> be used where applicable with such variations as the circumstances of the particular case require, and the reference to any form in or at the end of any rule shall be read as referring to the appropriate Form in </w:t>
      </w:r>
      <w:r>
        <w:t xml:space="preserve">Schedule 2 </w:t>
      </w:r>
      <w:r>
        <w:rPr>
          <w:snapToGrid w:val="0"/>
        </w:rPr>
        <w:t>and as a direction to use that Form for the purpose indicated by the rule.</w:t>
      </w:r>
    </w:p>
    <w:p>
      <w:pPr>
        <w:pStyle w:val="Ednotesubsection"/>
        <w:keepNext/>
      </w:pPr>
      <w:r>
        <w:tab/>
        <w:t>[(2)</w:t>
      </w:r>
      <w:r>
        <w:tab/>
        <w:t>deleted]</w:t>
      </w:r>
    </w:p>
    <w:p>
      <w:pPr>
        <w:pStyle w:val="Footnotesection"/>
      </w:pPr>
      <w:r>
        <w:tab/>
        <w:t>[Rule 6 amended: Gazette 30 Nov 1984 p. 3952; 22 Feb 2008 p. 634; 28 Jun 2011 p. 2553.]</w:t>
      </w:r>
    </w:p>
    <w:p>
      <w:pPr>
        <w:pStyle w:val="Heading5"/>
      </w:pPr>
      <w:bookmarkStart w:id="14" w:name="_Toc163120604"/>
      <w:r>
        <w:rPr>
          <w:rStyle w:val="CharSectno"/>
        </w:rPr>
        <w:lastRenderedPageBreak/>
        <w:t>6A</w:t>
      </w:r>
      <w:r>
        <w:t>.</w:t>
      </w:r>
      <w:r>
        <w:tab/>
        <w:t xml:space="preserve">Forms under </w:t>
      </w:r>
      <w:r>
        <w:rPr>
          <w:i/>
        </w:rPr>
        <w:t>Restraining Orders Act 1997</w:t>
      </w:r>
      <w:bookmarkEnd w:id="14"/>
    </w:p>
    <w:p>
      <w:pPr>
        <w:pStyle w:val="Subsection"/>
      </w:pPr>
      <w:r>
        <w:tab/>
        <w:t>(1)</w:t>
      </w:r>
      <w:r>
        <w:tab/>
        <w:t xml:space="preserve">For the purposes of the </w:t>
      </w:r>
      <w:r>
        <w:rPr>
          <w:i/>
        </w:rPr>
        <w:t>Restraining Orders Act 1997</w:t>
      </w:r>
      <w:r>
        <w:t xml:space="preserve">, the forms set out in the </w:t>
      </w:r>
      <w:r>
        <w:rPr>
          <w:i/>
        </w:rPr>
        <w:t>Magistrates Court (Civil Proceedings) Rules 2005</w:t>
      </w:r>
      <w:r>
        <w:t xml:space="preserve"> Schedule 1, as in force on 25 November 2017, are prescribed (with any necessary changes) in relation to the matters specified in those forms.</w:t>
      </w:r>
    </w:p>
    <w:p>
      <w:pPr>
        <w:pStyle w:val="Subsection"/>
        <w:keepNext/>
      </w:pPr>
      <w:r>
        <w:tab/>
        <w:t>(2)</w:t>
      </w:r>
      <w:r>
        <w:tab/>
        <w:t>Where a form is in parts, then only those parts of the form that are relevant, taking into account the part heading, need be used for a particular copy of the form, or for a particular purpose.</w:t>
      </w:r>
    </w:p>
    <w:p>
      <w:pPr>
        <w:pStyle w:val="Footnotesection"/>
      </w:pPr>
      <w:r>
        <w:tab/>
        <w:t>[Rule 6A inserted: Gazette 30 Jun 2017 p. 3576; amended: Gazette 1 Dec 2017 p. 5733.]</w:t>
      </w:r>
    </w:p>
    <w:p>
      <w:pPr>
        <w:pStyle w:val="Heading5"/>
      </w:pPr>
      <w:bookmarkStart w:id="15" w:name="_Toc163120605"/>
      <w:r>
        <w:rPr>
          <w:rStyle w:val="CharSectno"/>
        </w:rPr>
        <w:t>7</w:t>
      </w:r>
      <w:r>
        <w:t>.</w:t>
      </w:r>
      <w:r>
        <w:tab/>
        <w:t>Court fees</w:t>
      </w:r>
      <w:bookmarkEnd w:id="15"/>
    </w:p>
    <w:p>
      <w:pPr>
        <w:pStyle w:val="Subsection"/>
        <w:keepNext/>
      </w:pPr>
      <w:r>
        <w:tab/>
      </w:r>
      <w:r>
        <w:tab/>
        <w:t xml:space="preserve">These rules are to be read with but do not affect the operation of the </w:t>
      </w:r>
      <w:r>
        <w:rPr>
          <w:i/>
        </w:rPr>
        <w:t>Supreme Court (Fees) Regulations 2002</w:t>
      </w:r>
      <w:r>
        <w:t>.</w:t>
      </w:r>
    </w:p>
    <w:p>
      <w:pPr>
        <w:pStyle w:val="Footnotesection"/>
      </w:pPr>
      <w:r>
        <w:tab/>
        <w:t>[Rule 7 inserted: Gazette 28 Jul 2010 p. 3482.]</w:t>
      </w:r>
    </w:p>
    <w:p>
      <w:pPr>
        <w:pStyle w:val="Heading5"/>
      </w:pPr>
      <w:bookmarkStart w:id="16" w:name="_Toc163120606"/>
      <w:r>
        <w:rPr>
          <w:rStyle w:val="CharSectno"/>
        </w:rPr>
        <w:t>8</w:t>
      </w:r>
      <w:r>
        <w:t>.</w:t>
      </w:r>
      <w:r>
        <w:tab/>
        <w:t>Documents given to authorised users or Court by means of ECMS</w:t>
      </w:r>
      <w:bookmarkEnd w:id="16"/>
    </w:p>
    <w:p>
      <w:pPr>
        <w:pStyle w:val="Subsection"/>
        <w:keepNext/>
      </w:pPr>
      <w:r>
        <w:tab/>
        <w:t>(1)</w:t>
      </w:r>
      <w:r>
        <w:tab/>
        <w:t xml:space="preserve">If — </w:t>
      </w:r>
    </w:p>
    <w:p>
      <w:pPr>
        <w:pStyle w:val="Indenta"/>
      </w:pPr>
      <w:r>
        <w:tab/>
        <w:t>(a)</w:t>
      </w:r>
      <w:r>
        <w:tab/>
        <w:t>these rules provide that the Court is required or authorised to give any writ, notice, order, summons or other document to a person; and</w:t>
      </w:r>
    </w:p>
    <w:p>
      <w:pPr>
        <w:pStyle w:val="Indenta"/>
        <w:keepNext/>
      </w:pPr>
      <w:r>
        <w:tab/>
        <w:t>(b)</w:t>
      </w:r>
      <w:r>
        <w:tab/>
        <w:t>the person is an authorised user of the ECMS,</w:t>
      </w:r>
    </w:p>
    <w:p>
      <w:pPr>
        <w:pStyle w:val="Subsection"/>
      </w:pPr>
      <w:r>
        <w:tab/>
      </w:r>
      <w:r>
        <w:tab/>
        <w:t>the Court may give the document to the person by means of the ECMS.</w:t>
      </w:r>
    </w:p>
    <w:p>
      <w:pPr>
        <w:pStyle w:val="Subsection"/>
        <w:keepNext/>
      </w:pPr>
      <w:r>
        <w:tab/>
        <w:t>(2)</w:t>
      </w:r>
      <w:r>
        <w:tab/>
        <w:t xml:space="preserve">If — </w:t>
      </w:r>
    </w:p>
    <w:p>
      <w:pPr>
        <w:pStyle w:val="Indenta"/>
      </w:pPr>
      <w:r>
        <w:tab/>
        <w:t>(a)</w:t>
      </w:r>
      <w:r>
        <w:tab/>
        <w:t>these rules provide that a person is required or authorised to give a document to the Court; and</w:t>
      </w:r>
    </w:p>
    <w:p>
      <w:pPr>
        <w:pStyle w:val="Indenta"/>
        <w:keepNext/>
      </w:pPr>
      <w:r>
        <w:lastRenderedPageBreak/>
        <w:tab/>
        <w:t>(b)</w:t>
      </w:r>
      <w:r>
        <w:tab/>
        <w:t>the person is an authorised user of the ECMS,</w:t>
      </w:r>
    </w:p>
    <w:p>
      <w:pPr>
        <w:pStyle w:val="Subsection"/>
        <w:keepNext/>
      </w:pPr>
      <w:r>
        <w:tab/>
      </w:r>
      <w:r>
        <w:tab/>
        <w:t>the person may give the document to the Court only by filing the document electronically unless these rules provide otherwise in respect of the document.</w:t>
      </w:r>
    </w:p>
    <w:p>
      <w:pPr>
        <w:pStyle w:val="Footnotesection"/>
        <w:rPr>
          <w:b/>
        </w:rPr>
      </w:pPr>
      <w:r>
        <w:tab/>
        <w:t>[Rule 8 inserted: Gazette 27 Feb 2018 p. 552-3; amended: Gazette 31 Dec 2019 p. 4677-8.]</w:t>
      </w:r>
    </w:p>
    <w:p>
      <w:pPr>
        <w:pStyle w:val="Heading2"/>
        <w:rPr>
          <w:b w:val="0"/>
        </w:rPr>
      </w:pPr>
      <w:bookmarkStart w:id="17" w:name="_Toc162940159"/>
      <w:bookmarkStart w:id="18" w:name="_Toc162952934"/>
      <w:bookmarkStart w:id="19" w:name="_Toc163120607"/>
      <w:r>
        <w:rPr>
          <w:rStyle w:val="CharPartNo"/>
        </w:rPr>
        <w:lastRenderedPageBreak/>
        <w:t>Order 2</w:t>
      </w:r>
      <w:r>
        <w:t> — </w:t>
      </w:r>
      <w:r>
        <w:rPr>
          <w:rStyle w:val="CharPartText"/>
        </w:rPr>
        <w:t>Effect of non</w:t>
      </w:r>
      <w:r>
        <w:rPr>
          <w:rStyle w:val="CharPartText"/>
        </w:rPr>
        <w:noBreakHyphen/>
        <w:t>compliance</w:t>
      </w:r>
      <w:bookmarkEnd w:id="17"/>
      <w:bookmarkEnd w:id="18"/>
      <w:bookmarkEnd w:id="19"/>
    </w:p>
    <w:p>
      <w:pPr>
        <w:pStyle w:val="Heading5"/>
        <w:rPr>
          <w:snapToGrid w:val="0"/>
        </w:rPr>
      </w:pPr>
      <w:bookmarkStart w:id="20" w:name="_Toc163120608"/>
      <w:r>
        <w:rPr>
          <w:rStyle w:val="CharSectno"/>
        </w:rPr>
        <w:t>1</w:t>
      </w:r>
      <w:r>
        <w:rPr>
          <w:snapToGrid w:val="0"/>
        </w:rPr>
        <w:t>.</w:t>
      </w:r>
      <w:r>
        <w:rPr>
          <w:snapToGrid w:val="0"/>
        </w:rPr>
        <w:tab/>
        <w:t>Non</w:t>
      </w:r>
      <w:r>
        <w:rPr>
          <w:snapToGrid w:val="0"/>
        </w:rPr>
        <w:noBreakHyphen/>
        <w:t>compliance with rules</w:t>
      </w:r>
      <w:bookmarkEnd w:id="20"/>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subrule (3) the Court may, on the ground that there has been such a failure as is mentioned in subrule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Footnotesection"/>
      </w:pPr>
      <w:r>
        <w:tab/>
        <w:t>[Rule 1 amended: Gazette 28 Jun 2011 p. 2552.]</w:t>
      </w:r>
    </w:p>
    <w:p>
      <w:pPr>
        <w:pStyle w:val="Heading5"/>
        <w:rPr>
          <w:snapToGrid w:val="0"/>
        </w:rPr>
      </w:pPr>
      <w:bookmarkStart w:id="21" w:name="_Toc163120609"/>
      <w:r>
        <w:rPr>
          <w:rStyle w:val="CharSectno"/>
        </w:rPr>
        <w:t>2</w:t>
      </w:r>
      <w:r>
        <w:rPr>
          <w:snapToGrid w:val="0"/>
        </w:rPr>
        <w:t>.</w:t>
      </w:r>
      <w:r>
        <w:rPr>
          <w:snapToGrid w:val="0"/>
        </w:rPr>
        <w:tab/>
        <w:t>Application to set aside for irregularity</w:t>
      </w:r>
      <w:bookmarkEnd w:id="21"/>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lastRenderedPageBreak/>
        <w:tab/>
        <w:t>(2)</w:t>
      </w:r>
      <w:r>
        <w:tab/>
        <w:t>An application under this rule shall be made by summons or motion, as the case may require, and the grounds of objection must be stated in the summons or notice of motion.</w:t>
      </w:r>
    </w:p>
    <w:p>
      <w:pPr>
        <w:pStyle w:val="Heading2"/>
        <w:rPr>
          <w:b w:val="0"/>
        </w:rPr>
      </w:pPr>
      <w:bookmarkStart w:id="22" w:name="_Toc162940162"/>
      <w:bookmarkStart w:id="23" w:name="_Toc162952937"/>
      <w:bookmarkStart w:id="24" w:name="_Toc163120610"/>
      <w:r>
        <w:rPr>
          <w:rStyle w:val="CharPartNo"/>
        </w:rPr>
        <w:lastRenderedPageBreak/>
        <w:t>Order 3</w:t>
      </w:r>
      <w:r>
        <w:t> — </w:t>
      </w:r>
      <w:r>
        <w:rPr>
          <w:rStyle w:val="CharPartText"/>
        </w:rPr>
        <w:t>Time</w:t>
      </w:r>
      <w:bookmarkEnd w:id="22"/>
      <w:bookmarkEnd w:id="23"/>
      <w:bookmarkEnd w:id="24"/>
    </w:p>
    <w:p>
      <w:pPr>
        <w:pStyle w:val="Heading5"/>
        <w:tabs>
          <w:tab w:val="left" w:pos="1440"/>
          <w:tab w:val="left" w:pos="2160"/>
          <w:tab w:val="left" w:pos="2880"/>
          <w:tab w:val="left" w:pos="3600"/>
          <w:tab w:val="left" w:pos="4320"/>
          <w:tab w:val="left" w:pos="4877"/>
        </w:tabs>
        <w:rPr>
          <w:snapToGrid w:val="0"/>
        </w:rPr>
      </w:pPr>
      <w:bookmarkStart w:id="25" w:name="_Toc163120611"/>
      <w:r>
        <w:rPr>
          <w:rStyle w:val="CharSectno"/>
        </w:rPr>
        <w:t>1</w:t>
      </w:r>
      <w:r>
        <w:rPr>
          <w:snapToGrid w:val="0"/>
        </w:rPr>
        <w:t>.</w:t>
      </w:r>
      <w:r>
        <w:rPr>
          <w:snapToGrid w:val="0"/>
        </w:rPr>
        <w:tab/>
        <w:t>Term used: month</w:t>
      </w:r>
      <w:bookmarkEnd w:id="25"/>
    </w:p>
    <w:p>
      <w:pPr>
        <w:pStyle w:val="Subsection"/>
      </w:pPr>
      <w:r>
        <w:tab/>
      </w:r>
      <w:r>
        <w:tab/>
        <w:t xml:space="preserve">Without prejudice to the definition of the word </w:t>
      </w:r>
      <w:r>
        <w:rPr>
          <w:b/>
          <w:bCs/>
          <w:i/>
          <w:iCs/>
        </w:rPr>
        <w:t>month</w:t>
      </w:r>
      <w:r>
        <w:t xml:space="preserve">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r>
        <w:tab/>
        <w:t>[Rule 1 amended: Gazette 29 Apr 2005 p. 1791.]</w:t>
      </w:r>
    </w:p>
    <w:p>
      <w:pPr>
        <w:pStyle w:val="Heading5"/>
        <w:rPr>
          <w:snapToGrid w:val="0"/>
        </w:rPr>
      </w:pPr>
      <w:bookmarkStart w:id="26" w:name="_Toc163120612"/>
      <w:r>
        <w:rPr>
          <w:rStyle w:val="CharSectno"/>
        </w:rPr>
        <w:t>2</w:t>
      </w:r>
      <w:r>
        <w:rPr>
          <w:snapToGrid w:val="0"/>
        </w:rPr>
        <w:t>.</w:t>
      </w:r>
      <w:r>
        <w:rPr>
          <w:snapToGrid w:val="0"/>
        </w:rPr>
        <w:tab/>
        <w:t>Reckoning periods of time</w:t>
      </w:r>
      <w:bookmarkEnd w:id="26"/>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27" w:name="_Toc163120613"/>
      <w:r>
        <w:rPr>
          <w:rStyle w:val="CharSectno"/>
        </w:rPr>
        <w:t>3</w:t>
      </w:r>
      <w:r>
        <w:rPr>
          <w:snapToGrid w:val="0"/>
        </w:rPr>
        <w:t>.</w:t>
      </w:r>
      <w:r>
        <w:rPr>
          <w:snapToGrid w:val="0"/>
        </w:rPr>
        <w:tab/>
        <w:t>Period between 24 Dec and 15 Jan excluded when computing time</w:t>
      </w:r>
      <w:bookmarkEnd w:id="27"/>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Gazette 9 Nov 1973 p. 4164.] </w:t>
      </w:r>
    </w:p>
    <w:p>
      <w:pPr>
        <w:pStyle w:val="Heading5"/>
        <w:rPr>
          <w:snapToGrid w:val="0"/>
        </w:rPr>
      </w:pPr>
      <w:bookmarkStart w:id="28" w:name="_Toc163120614"/>
      <w:r>
        <w:rPr>
          <w:rStyle w:val="CharSectno"/>
        </w:rPr>
        <w:lastRenderedPageBreak/>
        <w:t>4</w:t>
      </w:r>
      <w:r>
        <w:rPr>
          <w:snapToGrid w:val="0"/>
        </w:rPr>
        <w:t>.</w:t>
      </w:r>
      <w:r>
        <w:rPr>
          <w:snapToGrid w:val="0"/>
        </w:rPr>
        <w:tab/>
        <w:t>Time expiring on day Central Office closed, effect of</w:t>
      </w:r>
      <w:bookmarkEnd w:id="28"/>
    </w:p>
    <w:p>
      <w:pPr>
        <w:pStyle w:val="Subsection"/>
      </w:pPr>
      <w:r>
        <w:tab/>
        <w:t>(1)</w:t>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Subsection"/>
      </w:pPr>
      <w:r>
        <w:tab/>
        <w:t>(2)</w:t>
      </w:r>
      <w:r>
        <w:tab/>
        <w:t>Subrule (1) does not apply to the filing of a document on a day on which the Central Office is closed if the document is required by these rules to be filed electronically.</w:t>
      </w:r>
    </w:p>
    <w:p>
      <w:pPr>
        <w:pStyle w:val="Footnotesection"/>
      </w:pPr>
      <w:r>
        <w:tab/>
        <w:t>[Rule 4 amended: Gazette 27 Feb 2018 p. 553.]</w:t>
      </w:r>
    </w:p>
    <w:p>
      <w:pPr>
        <w:pStyle w:val="Heading5"/>
        <w:rPr>
          <w:snapToGrid w:val="0"/>
        </w:rPr>
      </w:pPr>
      <w:bookmarkStart w:id="29" w:name="_Toc163120615"/>
      <w:r>
        <w:rPr>
          <w:rStyle w:val="CharSectno"/>
        </w:rPr>
        <w:t>5</w:t>
      </w:r>
      <w:r>
        <w:rPr>
          <w:snapToGrid w:val="0"/>
        </w:rPr>
        <w:t>.</w:t>
      </w:r>
      <w:r>
        <w:rPr>
          <w:snapToGrid w:val="0"/>
        </w:rPr>
        <w:tab/>
        <w:t>Extending and abridging time</w:t>
      </w:r>
      <w:bookmarkEnd w:id="29"/>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 xml:space="preserve">The Court may extend any such period as is referred to in </w:t>
      </w:r>
      <w:r>
        <w:t>subrule</w:t>
      </w:r>
      <w:r>
        <w:rPr>
          <w:snapToGrid w:val="0"/>
        </w:rPr>
        <w:t>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Gazette 29 Apr 2005 p. 1791; 28 Jun 2011 p. 2552.]</w:t>
      </w:r>
    </w:p>
    <w:p>
      <w:pPr>
        <w:pStyle w:val="Heading5"/>
        <w:rPr>
          <w:snapToGrid w:val="0"/>
        </w:rPr>
      </w:pPr>
      <w:bookmarkStart w:id="30" w:name="_Toc163120616"/>
      <w:r>
        <w:rPr>
          <w:rStyle w:val="CharSectno"/>
        </w:rPr>
        <w:t>6</w:t>
      </w:r>
      <w:r>
        <w:rPr>
          <w:snapToGrid w:val="0"/>
        </w:rPr>
        <w:t>.</w:t>
      </w:r>
      <w:r>
        <w:rPr>
          <w:snapToGrid w:val="0"/>
        </w:rPr>
        <w:tab/>
        <w:t>Extension of time where security ordered</w:t>
      </w:r>
      <w:bookmarkEnd w:id="30"/>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31" w:name="_Toc163120617"/>
      <w:r>
        <w:rPr>
          <w:rStyle w:val="CharSectno"/>
        </w:rPr>
        <w:lastRenderedPageBreak/>
        <w:t>7</w:t>
      </w:r>
      <w:r>
        <w:rPr>
          <w:snapToGrid w:val="0"/>
        </w:rPr>
        <w:t>.</w:t>
      </w:r>
      <w:r>
        <w:rPr>
          <w:snapToGrid w:val="0"/>
        </w:rPr>
        <w:tab/>
        <w:t>Notice of intention to proceed after year’s delay</w:t>
      </w:r>
      <w:bookmarkEnd w:id="31"/>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ind w:left="890" w:hanging="890"/>
      </w:pPr>
      <w:r>
        <w:t>[</w:t>
      </w:r>
      <w:r>
        <w:rPr>
          <w:b/>
        </w:rPr>
        <w:t>8.</w:t>
      </w:r>
      <w:r>
        <w:tab/>
        <w:t xml:space="preserve">Deleted: Gazette 20 Jun 1986 p. 2040.] </w:t>
      </w:r>
    </w:p>
    <w:p>
      <w:pPr>
        <w:pStyle w:val="Heading2"/>
      </w:pPr>
      <w:bookmarkStart w:id="32" w:name="_Toc162940170"/>
      <w:bookmarkStart w:id="33" w:name="_Toc162952945"/>
      <w:bookmarkStart w:id="34" w:name="_Toc163120618"/>
      <w:r>
        <w:rPr>
          <w:rStyle w:val="CharPartNo"/>
        </w:rPr>
        <w:lastRenderedPageBreak/>
        <w:t>Order 4A</w:t>
      </w:r>
      <w:r>
        <w:rPr>
          <w:b w:val="0"/>
        </w:rPr>
        <w:t> </w:t>
      </w:r>
      <w:r>
        <w:t>—</w:t>
      </w:r>
      <w:r>
        <w:rPr>
          <w:b w:val="0"/>
        </w:rPr>
        <w:t> </w:t>
      </w:r>
      <w:r>
        <w:rPr>
          <w:rStyle w:val="CharPartText"/>
        </w:rPr>
        <w:t>Case management</w:t>
      </w:r>
      <w:bookmarkEnd w:id="32"/>
      <w:bookmarkEnd w:id="33"/>
      <w:bookmarkEnd w:id="34"/>
    </w:p>
    <w:p>
      <w:pPr>
        <w:pStyle w:val="Footnoteheading"/>
      </w:pPr>
      <w:r>
        <w:tab/>
        <w:t>[Heading inserted: Gazette 28 Jul 2010 p. 3441.]</w:t>
      </w:r>
    </w:p>
    <w:p>
      <w:pPr>
        <w:pStyle w:val="Heading3"/>
      </w:pPr>
      <w:bookmarkStart w:id="35" w:name="_Toc162940171"/>
      <w:bookmarkStart w:id="36" w:name="_Toc162952946"/>
      <w:bookmarkStart w:id="37" w:name="_Toc163120619"/>
      <w:r>
        <w:rPr>
          <w:rStyle w:val="CharDivNo"/>
        </w:rPr>
        <w:t>Division 1</w:t>
      </w:r>
      <w:r>
        <w:t> — </w:t>
      </w:r>
      <w:r>
        <w:rPr>
          <w:rStyle w:val="CharDivText"/>
        </w:rPr>
        <w:t>Preliminary matters</w:t>
      </w:r>
      <w:bookmarkEnd w:id="35"/>
      <w:bookmarkEnd w:id="36"/>
      <w:bookmarkEnd w:id="37"/>
    </w:p>
    <w:p>
      <w:pPr>
        <w:pStyle w:val="Footnoteheading"/>
      </w:pPr>
      <w:r>
        <w:tab/>
        <w:t>[Heading inserted: Gazette 28 Jul 2010 p. 3441.]</w:t>
      </w:r>
    </w:p>
    <w:p>
      <w:pPr>
        <w:pStyle w:val="Heading5"/>
      </w:pPr>
      <w:bookmarkStart w:id="38" w:name="_Toc163120620"/>
      <w:r>
        <w:rPr>
          <w:rStyle w:val="CharSectno"/>
        </w:rPr>
        <w:t>1</w:t>
      </w:r>
      <w:r>
        <w:t>.</w:t>
      </w:r>
      <w:r>
        <w:tab/>
        <w:t>Terms used</w:t>
      </w:r>
      <w:bookmarkEnd w:id="38"/>
    </w:p>
    <w:p>
      <w:pPr>
        <w:pStyle w:val="Subsection"/>
      </w:pPr>
      <w:r>
        <w:tab/>
      </w:r>
      <w:r>
        <w:tab/>
        <w:t>In this Order, unless the contrary intention appears —</w:t>
      </w:r>
    </w:p>
    <w:p>
      <w:pPr>
        <w:pStyle w:val="Defstart"/>
      </w:pPr>
      <w:r>
        <w:rPr>
          <w:b/>
        </w:rPr>
        <w:tab/>
      </w:r>
      <w:r>
        <w:rPr>
          <w:rStyle w:val="CharDefText"/>
        </w:rPr>
        <w:t>approved mediator</w:t>
      </w:r>
      <w:r>
        <w:t xml:space="preserve"> means a registrar or other person, approved as a mediator by the Chief Justice;</w:t>
      </w:r>
    </w:p>
    <w:p>
      <w:pPr>
        <w:pStyle w:val="Defstart"/>
      </w:pPr>
      <w:r>
        <w:tab/>
      </w:r>
      <w:r>
        <w:rPr>
          <w:rStyle w:val="CharDefText"/>
        </w:rPr>
        <w:t>case</w:t>
      </w:r>
      <w:r>
        <w:t xml:space="preserve"> means any action, cause or matter in the General Division of the Court;</w:t>
      </w:r>
    </w:p>
    <w:p>
      <w:pPr>
        <w:pStyle w:val="Defstart"/>
      </w:pPr>
      <w:r>
        <w:rPr>
          <w:b/>
        </w:rPr>
        <w:tab/>
      </w:r>
      <w:r>
        <w:rPr>
          <w:rStyle w:val="CharDefText"/>
        </w:rPr>
        <w:t>case management direction</w:t>
      </w:r>
      <w:r>
        <w:t xml:space="preserve"> has the meaning given in rule 2;</w:t>
      </w:r>
    </w:p>
    <w:p>
      <w:pPr>
        <w:pStyle w:val="Defstart"/>
      </w:pPr>
      <w:r>
        <w:tab/>
      </w:r>
      <w:r>
        <w:rPr>
          <w:rStyle w:val="CharDefText"/>
        </w:rPr>
        <w:t>case manager</w:t>
      </w:r>
      <w:r>
        <w:t xml:space="preserve"> means a judge, master or registrar to whom the case is assigned;</w:t>
      </w:r>
    </w:p>
    <w:p>
      <w:pPr>
        <w:pStyle w:val="Defstart"/>
      </w:pPr>
      <w:r>
        <w:rPr>
          <w:b/>
        </w:rPr>
        <w:tab/>
      </w:r>
      <w:r>
        <w:rPr>
          <w:rStyle w:val="CharDefText"/>
        </w:rPr>
        <w:t>CMC List</w:t>
      </w:r>
      <w:r>
        <w:t xml:space="preserve"> means the Commercial and Managed Cases List referred to in Division 3;</w:t>
      </w:r>
    </w:p>
    <w:p>
      <w:pPr>
        <w:pStyle w:val="Defstart"/>
      </w:pPr>
      <w:r>
        <w:rPr>
          <w:b/>
        </w:rPr>
        <w:tab/>
      </w:r>
      <w:r>
        <w:rPr>
          <w:rStyle w:val="CharDefText"/>
        </w:rPr>
        <w:t>CMC List case</w:t>
      </w:r>
      <w:r>
        <w:t xml:space="preserve"> means a case that is on the CMC List;</w:t>
      </w:r>
    </w:p>
    <w:p>
      <w:pPr>
        <w:pStyle w:val="Defstart"/>
      </w:pPr>
      <w:r>
        <w:rPr>
          <w:b/>
        </w:rPr>
        <w:tab/>
      </w:r>
      <w:r>
        <w:rPr>
          <w:rStyle w:val="CharDefText"/>
        </w:rPr>
        <w:t>enforcement order</w:t>
      </w:r>
      <w:r>
        <w:t xml:space="preserve"> has the meaning given in rule 3.</w:t>
      </w:r>
    </w:p>
    <w:p>
      <w:pPr>
        <w:pStyle w:val="Footnotesection"/>
      </w:pPr>
      <w:r>
        <w:tab/>
        <w:t>[Rule 1 inserted: Gazette 28 Jul 2010 p. 3441; amended: Gazette 16 Aug 2017 p. 4392.]</w:t>
      </w:r>
    </w:p>
    <w:p>
      <w:pPr>
        <w:pStyle w:val="Heading5"/>
      </w:pPr>
      <w:bookmarkStart w:id="39" w:name="_Toc163120621"/>
      <w:r>
        <w:rPr>
          <w:rStyle w:val="CharSectno"/>
        </w:rPr>
        <w:t>2</w:t>
      </w:r>
      <w:r>
        <w:t>.</w:t>
      </w:r>
      <w:r>
        <w:tab/>
        <w:t>Term used: case management direction</w:t>
      </w:r>
      <w:bookmarkEnd w:id="39"/>
    </w:p>
    <w:p>
      <w:pPr>
        <w:pStyle w:val="Subsection"/>
      </w:pPr>
      <w:r>
        <w:tab/>
        <w:t>(1)</w:t>
      </w:r>
      <w:r>
        <w:tab/>
        <w:t>A case management direction is any procedural direction that in the Court’s opinion it is just to make in a case to facilitate the attainment of the objects referred to in Order 1 rule 4B(1).</w:t>
      </w:r>
    </w:p>
    <w:p>
      <w:pPr>
        <w:pStyle w:val="Subsection"/>
      </w:pPr>
      <w:r>
        <w:tab/>
        <w:t>(2)</w:t>
      </w:r>
      <w:r>
        <w:tab/>
        <w:t>Without limiting subrule (1), a case management direction may do one or more of the following —</w:t>
      </w:r>
    </w:p>
    <w:p>
      <w:pPr>
        <w:pStyle w:val="Indenta"/>
      </w:pPr>
      <w:r>
        <w:tab/>
        <w:t>(a)</w:t>
      </w:r>
      <w:r>
        <w:tab/>
        <w:t>give directions to assist the convenience of the parties or witnesses;</w:t>
      </w:r>
    </w:p>
    <w:p>
      <w:pPr>
        <w:pStyle w:val="Indenta"/>
      </w:pPr>
      <w:r>
        <w:lastRenderedPageBreak/>
        <w:tab/>
        <w:t>(b)</w:t>
      </w:r>
      <w:r>
        <w:tab/>
        <w:t>direct the parties to comply with a timetable for procedural steps that are needed in the case;</w:t>
      </w:r>
    </w:p>
    <w:p>
      <w:pPr>
        <w:pStyle w:val="Indenta"/>
      </w:pPr>
      <w:r>
        <w:tab/>
        <w:t>(c)</w:t>
      </w:r>
      <w:r>
        <w:tab/>
        <w:t>dispense with all or any or any further pleadings;</w:t>
      </w:r>
    </w:p>
    <w:p>
      <w:pPr>
        <w:pStyle w:val="Indenta"/>
      </w:pPr>
      <w:r>
        <w:tab/>
        <w:t>(d)</w:t>
      </w:r>
      <w:r>
        <w:tab/>
        <w:t>direct specified pleadings to be filed;</w:t>
      </w:r>
    </w:p>
    <w:p>
      <w:pPr>
        <w:pStyle w:val="Indenta"/>
      </w:pPr>
      <w:r>
        <w:tab/>
        <w:t>(e)</w:t>
      </w:r>
      <w:r>
        <w:tab/>
        <w:t>dispense with any interlocutory step;</w:t>
      </w:r>
    </w:p>
    <w:p>
      <w:pPr>
        <w:pStyle w:val="Indenta"/>
      </w:pPr>
      <w:r>
        <w:tab/>
        <w:t>(f)</w:t>
      </w:r>
      <w:r>
        <w:tab/>
        <w:t>direct that an interlocutory application not be heard;</w:t>
      </w:r>
    </w:p>
    <w:p>
      <w:pPr>
        <w:pStyle w:val="Indenta"/>
      </w:pPr>
      <w:r>
        <w:tab/>
        <w:t>(g)</w:t>
      </w:r>
      <w:r>
        <w:tab/>
        <w:t>as to any interlocutory matter —</w:t>
      </w:r>
    </w:p>
    <w:p>
      <w:pPr>
        <w:pStyle w:val="Indenti"/>
      </w:pPr>
      <w:r>
        <w:tab/>
        <w:t>(i)</w:t>
      </w:r>
      <w:r>
        <w:tab/>
        <w:t>direct the parties or their legal practitioners to file and exchange memoranda before the hearing of it in order to clarify the matters in issue before the hearing;</w:t>
      </w:r>
    </w:p>
    <w:p>
      <w:pPr>
        <w:pStyle w:val="Indenti"/>
      </w:pPr>
      <w:r>
        <w:tab/>
        <w:t>(ii)</w:t>
      </w:r>
      <w:r>
        <w:tab/>
        <w:t>direct that it be dealt with by telephone, video link or other similar means of communication;</w:t>
      </w:r>
    </w:p>
    <w:p>
      <w:pPr>
        <w:pStyle w:val="Indenti"/>
      </w:pPr>
      <w:r>
        <w:tab/>
        <w:t>(iii)</w:t>
      </w:r>
      <w:r>
        <w:tab/>
        <w:t>give directions as to the use of audio</w:t>
      </w:r>
      <w:r>
        <w:noBreakHyphen/>
        <w:t>visual equipment, computers and other equipment in any hearing of it;</w:t>
      </w:r>
    </w:p>
    <w:p>
      <w:pPr>
        <w:pStyle w:val="Indenti"/>
      </w:pPr>
      <w:r>
        <w:tab/>
        <w:t>(iv)</w:t>
      </w:r>
      <w:r>
        <w:tab/>
        <w:t>direct that it be dealt with, and any evidence in relation to it be provided, by email, fax, telegram, telex, courier, post or other similar means;</w:t>
      </w:r>
    </w:p>
    <w:p>
      <w:pPr>
        <w:pStyle w:val="Indenti"/>
      </w:pPr>
      <w:r>
        <w:tab/>
        <w:t>(v)</w:t>
      </w:r>
      <w:r>
        <w:tab/>
        <w:t>give directions for the speedier and more effective recording of evidence at any hearing of it;</w:t>
      </w:r>
    </w:p>
    <w:p>
      <w:pPr>
        <w:pStyle w:val="Indenta"/>
      </w:pPr>
      <w:r>
        <w:tab/>
        <w:t>(h)</w:t>
      </w:r>
      <w:r>
        <w:tab/>
        <w:t>direct that an application for an adjournment of any proceeding be supported by affidavits of specified people;</w:t>
      </w:r>
    </w:p>
    <w:p>
      <w:pPr>
        <w:pStyle w:val="Indenta"/>
      </w:pPr>
      <w:r>
        <w:tab/>
        <w:t>(i)</w:t>
      </w:r>
      <w:r>
        <w:tab/>
        <w:t>limit discovery or direct that discovery be given in stages;</w:t>
      </w:r>
    </w:p>
    <w:p>
      <w:pPr>
        <w:pStyle w:val="Indenta"/>
      </w:pPr>
      <w:r>
        <w:tab/>
        <w:t>(ia)</w:t>
      </w:r>
      <w:r>
        <w:tab/>
        <w:t xml:space="preserve">give directions for the purposes of Order 36A rule 1 as to expert evidence including directions as to any of the following — </w:t>
      </w:r>
    </w:p>
    <w:p>
      <w:pPr>
        <w:pStyle w:val="Indenti"/>
      </w:pPr>
      <w:r>
        <w:tab/>
        <w:t>(i)</w:t>
      </w:r>
      <w:r>
        <w:tab/>
        <w:t xml:space="preserve">the provision to a party or the Court of a copy of a report, or part of a report, of an expert witness, before the trial; </w:t>
      </w:r>
    </w:p>
    <w:p>
      <w:pPr>
        <w:pStyle w:val="Indenti"/>
      </w:pPr>
      <w:r>
        <w:lastRenderedPageBreak/>
        <w:tab/>
        <w:t>(ii)</w:t>
      </w:r>
      <w:r>
        <w:tab/>
        <w:t>the disclosure to a party or the Court, in writing, of the substance of all or any part of expert evidence, before the trial;</w:t>
      </w:r>
    </w:p>
    <w:p>
      <w:pPr>
        <w:pStyle w:val="Indenti"/>
      </w:pPr>
      <w:r>
        <w:tab/>
        <w:t>(iii)</w:t>
      </w:r>
      <w:r>
        <w:tab/>
        <w:t>the number of expert witnesses who may be called at the trial;</w:t>
      </w:r>
    </w:p>
    <w:p>
      <w:pPr>
        <w:pStyle w:val="Indenti"/>
      </w:pPr>
      <w:r>
        <w:tab/>
        <w:t>(iv)</w:t>
      </w:r>
      <w:r>
        <w:tab/>
        <w:t>the provision to the case manager for inspection under subrule (6) of any report or document containing expert evidence or the substance of the expert evidence;</w:t>
      </w:r>
    </w:p>
    <w:p>
      <w:pPr>
        <w:pStyle w:val="Indenta"/>
      </w:pPr>
      <w:r>
        <w:tab/>
        <w:t>(j)</w:t>
      </w:r>
      <w:r>
        <w:tab/>
        <w:t>direct any or all of the parties to confer on a “without prejudice” basis for the purpose of identifying, resolving and narrowing the points of difference between them;</w:t>
      </w:r>
    </w:p>
    <w:p>
      <w:pPr>
        <w:pStyle w:val="Indenta"/>
      </w:pPr>
      <w:r>
        <w:tab/>
        <w:t>(k)</w:t>
      </w:r>
      <w:r>
        <w:tab/>
        <w:t>direct that experts, whose reports have been provided or whose evidence the substance of which has been disclosed, under a direction under paragraph (ia), confer on a “without prejudice” basis for the purpose of identifying, resolving and narrowing the points of difference between them;</w:t>
      </w:r>
    </w:p>
    <w:p>
      <w:pPr>
        <w:pStyle w:val="Indenta"/>
      </w:pPr>
      <w:r>
        <w:tab/>
        <w:t>(l)</w:t>
      </w:r>
      <w:r>
        <w:tab/>
        <w:t>if under paragraph (j) or (k) a conference is directed to be held —</w:t>
      </w:r>
    </w:p>
    <w:p>
      <w:pPr>
        <w:pStyle w:val="Indenti"/>
      </w:pPr>
      <w:r>
        <w:tab/>
        <w:t>(i)</w:t>
      </w:r>
      <w:r>
        <w:tab/>
        <w:t>subject to subrule (5) and rule 8, direct that it be conducted by a mediator;</w:t>
      </w:r>
    </w:p>
    <w:p>
      <w:pPr>
        <w:pStyle w:val="Indenti"/>
      </w:pPr>
      <w:r>
        <w:tab/>
        <w:t>(ii)</w:t>
      </w:r>
      <w:r>
        <w:tab/>
        <w:t>direct that it be held by telephone, video link or other similar means of communication;</w:t>
      </w:r>
    </w:p>
    <w:p>
      <w:pPr>
        <w:pStyle w:val="Indenti"/>
      </w:pPr>
      <w:r>
        <w:tab/>
        <w:t>(iii)</w:t>
      </w:r>
      <w:r>
        <w:tab/>
        <w:t>set the terms or conditions for it and deal with anything in relation to it;</w:t>
      </w:r>
    </w:p>
    <w:p>
      <w:pPr>
        <w:pStyle w:val="Ednotepara"/>
      </w:pPr>
      <w:r>
        <w:tab/>
        <w:t>[(m)</w:t>
      </w:r>
      <w:r>
        <w:tab/>
        <w:t>deleted]</w:t>
      </w:r>
    </w:p>
    <w:p>
      <w:pPr>
        <w:pStyle w:val="Indenta"/>
      </w:pPr>
      <w:r>
        <w:tab/>
        <w:t>(n)</w:t>
      </w:r>
      <w:r>
        <w:tab/>
        <w:t>direct a party (</w:t>
      </w:r>
      <w:r>
        <w:rPr>
          <w:b/>
          <w:bCs/>
          <w:i/>
          <w:iCs/>
        </w:rPr>
        <w:t>A</w:t>
      </w:r>
      <w:r>
        <w:t xml:space="preserve">) intending to produce a plan, photograph, model or other object (the </w:t>
      </w:r>
      <w:r>
        <w:rPr>
          <w:rStyle w:val="CharDefText"/>
        </w:rPr>
        <w:t>object</w:t>
      </w:r>
      <w:r>
        <w:rPr>
          <w:rStyle w:val="CharDefText"/>
          <w:b w:val="0"/>
          <w:bCs/>
          <w:i w:val="0"/>
          <w:iCs/>
        </w:rPr>
        <w:t>)</w:t>
      </w:r>
      <w:r>
        <w:t xml:space="preserve"> at trial to serve on the other party (</w:t>
      </w:r>
      <w:r>
        <w:rPr>
          <w:b/>
          <w:bCs/>
          <w:i/>
          <w:iCs/>
        </w:rPr>
        <w:t>B</w:t>
      </w:r>
      <w:r>
        <w:t>), at a time specified, a written notice —</w:t>
      </w:r>
    </w:p>
    <w:p>
      <w:pPr>
        <w:pStyle w:val="Indenti"/>
      </w:pPr>
      <w:r>
        <w:tab/>
        <w:t>(i)</w:t>
      </w:r>
      <w:r>
        <w:tab/>
        <w:t>describing the object; and</w:t>
      </w:r>
    </w:p>
    <w:p>
      <w:pPr>
        <w:pStyle w:val="Indenti"/>
      </w:pPr>
      <w:r>
        <w:tab/>
        <w:t>(ii)</w:t>
      </w:r>
      <w:r>
        <w:tab/>
        <w:t>stating where and when it may be inspected; and</w:t>
      </w:r>
    </w:p>
    <w:p>
      <w:pPr>
        <w:pStyle w:val="Indenti"/>
      </w:pPr>
      <w:r>
        <w:lastRenderedPageBreak/>
        <w:tab/>
        <w:t>(iii)</w:t>
      </w:r>
      <w:r>
        <w:tab/>
        <w:t>requiring B to serve A, within 7 days after the date on which the notice is served, a written notice agreeing or refusing to agree to the admission in evidence of the object without further proof of it;</w:t>
      </w:r>
    </w:p>
    <w:p>
      <w:pPr>
        <w:pStyle w:val="Indenta"/>
      </w:pPr>
      <w:r>
        <w:tab/>
        <w:t>(o)</w:t>
      </w:r>
      <w:r>
        <w:tab/>
        <w:t xml:space="preserve">direct a legal practitioner for a party to give the party a memorandum stating — </w:t>
      </w:r>
    </w:p>
    <w:p>
      <w:pPr>
        <w:pStyle w:val="Indenti"/>
      </w:pPr>
      <w:r>
        <w:tab/>
        <w:t>(i)</w:t>
      </w:r>
      <w:r>
        <w:tab/>
        <w:t>the approximate solicitor and client costs and disbursements of the party to the date of the memorandum; and</w:t>
      </w:r>
    </w:p>
    <w:p>
      <w:pPr>
        <w:pStyle w:val="Indenti"/>
      </w:pPr>
      <w:r>
        <w:tab/>
        <w:t>(ii)</w:t>
      </w:r>
      <w:r>
        <w:tab/>
        <w:t>the estimated future solicitor and client costs and disbursements of the party to but not including the trial; and</w:t>
      </w:r>
    </w:p>
    <w:p>
      <w:pPr>
        <w:pStyle w:val="Indenti"/>
      </w:pPr>
      <w:r>
        <w:tab/>
        <w:t>(iii)</w:t>
      </w:r>
      <w:r>
        <w:tab/>
        <w:t>the estimated length of the trial and the estimated solicitor and client costs and disbursements of the trial; and</w:t>
      </w:r>
    </w:p>
    <w:p>
      <w:pPr>
        <w:pStyle w:val="Indenti"/>
      </w:pPr>
      <w:r>
        <w:tab/>
        <w:t>(iv)</w:t>
      </w:r>
      <w:r>
        <w:tab/>
        <w:t>the estimated party and party costs that would be payable by the party if the party were unsuccessful at trial;</w:t>
      </w:r>
    </w:p>
    <w:p>
      <w:pPr>
        <w:pStyle w:val="Indenta"/>
      </w:pPr>
      <w:r>
        <w:tab/>
        <w:t>(p)</w:t>
      </w:r>
      <w:r>
        <w:tab/>
        <w:t>set a timetable for the trial of the case including a timetable that includes any limit that could be directed under Order 34 rule 5A(1);</w:t>
      </w:r>
    </w:p>
    <w:p>
      <w:pPr>
        <w:pStyle w:val="Indenta"/>
      </w:pPr>
      <w:r>
        <w:tab/>
        <w:t>(q)</w:t>
      </w:r>
      <w:r>
        <w:tab/>
        <w:t>limit the length of written submissions that can be made in the case;</w:t>
      </w:r>
    </w:p>
    <w:p>
      <w:pPr>
        <w:pStyle w:val="Indenta"/>
      </w:pPr>
      <w:r>
        <w:tab/>
        <w:t>(r)</w:t>
      </w:r>
      <w:r>
        <w:tab/>
        <w:t>direct the parties to prepare bundles, files or folders of documents for use at the trial of the case, either —</w:t>
      </w:r>
    </w:p>
    <w:p>
      <w:pPr>
        <w:pStyle w:val="Indenti"/>
      </w:pPr>
      <w:r>
        <w:tab/>
        <w:t>(i)</w:t>
      </w:r>
      <w:r>
        <w:tab/>
        <w:t>grouped according to topic, class, category, allegation in issue or otherwise; or</w:t>
      </w:r>
    </w:p>
    <w:p>
      <w:pPr>
        <w:pStyle w:val="Indenti"/>
      </w:pPr>
      <w:r>
        <w:tab/>
        <w:t>(ii)</w:t>
      </w:r>
      <w:r>
        <w:tab/>
        <w:t>in an order or sequence,</w:t>
      </w:r>
    </w:p>
    <w:p>
      <w:pPr>
        <w:pStyle w:val="Indenta"/>
      </w:pPr>
      <w:r>
        <w:tab/>
      </w:r>
      <w:r>
        <w:tab/>
        <w:t>as specified in the direction, and identified or indexed as specified in the direction;</w:t>
      </w:r>
    </w:p>
    <w:p>
      <w:pPr>
        <w:pStyle w:val="Indenta"/>
      </w:pPr>
      <w:r>
        <w:tab/>
        <w:t>(s)</w:t>
      </w:r>
      <w:r>
        <w:tab/>
        <w:t xml:space="preserve">direct a party to serve on the other parties, at times set by the case manager making the direction, a signed </w:t>
      </w:r>
      <w:r>
        <w:lastRenderedPageBreak/>
        <w:t>written statement of the proposed evidence in chief of each witness to be called by that party;</w:t>
      </w:r>
    </w:p>
    <w:p>
      <w:pPr>
        <w:pStyle w:val="Indenta"/>
      </w:pPr>
      <w:r>
        <w:tab/>
        <w:t>(t)</w:t>
      </w:r>
      <w:r>
        <w:tab/>
        <w:t>direct that a signed written statement referred to in paragraph (s) or any part of it stand as the evidence in chief of the witness;</w:t>
      </w:r>
    </w:p>
    <w:p>
      <w:pPr>
        <w:pStyle w:val="Indenta"/>
      </w:pPr>
      <w:r>
        <w:tab/>
        <w:t>(u)</w:t>
      </w:r>
      <w:r>
        <w:tab/>
        <w:t>change the venue of the trial, or adjourn the trial part heard to continue at a different venue;</w:t>
      </w:r>
    </w:p>
    <w:p>
      <w:pPr>
        <w:pStyle w:val="Indenta"/>
      </w:pPr>
      <w:r>
        <w:tab/>
        <w:t>(v)</w:t>
      </w:r>
      <w:r>
        <w:tab/>
        <w:t>in exceptional circumstances, direct that an application made by a party under this Order operate as a stay of proceedings;</w:t>
      </w:r>
    </w:p>
    <w:p>
      <w:pPr>
        <w:pStyle w:val="Indenta"/>
      </w:pPr>
      <w:r>
        <w:tab/>
        <w:t>(w)</w:t>
      </w:r>
      <w:r>
        <w:tab/>
        <w:t>in exceptional circumstances or if not to do so would frustrate the appeal, direct that an appeal against a decision made under this Order by a registrar operate as a stay of proceedings;</w:t>
      </w:r>
    </w:p>
    <w:p>
      <w:pPr>
        <w:pStyle w:val="Indenta"/>
      </w:pPr>
      <w:r>
        <w:tab/>
        <w:t>(x)</w:t>
      </w:r>
      <w:r>
        <w:tab/>
        <w:t>give directions as to the manner in which the parties are to defray the costs of giving effect to any case management direction;</w:t>
      </w:r>
    </w:p>
    <w:p>
      <w:pPr>
        <w:pStyle w:val="Indenta"/>
      </w:pPr>
      <w:r>
        <w:tab/>
        <w:t>(y)</w:t>
      </w:r>
      <w:r>
        <w:tab/>
        <w:t>direct that a specified case management direction be complied with by a set date;</w:t>
      </w:r>
    </w:p>
    <w:p>
      <w:pPr>
        <w:pStyle w:val="Indenta"/>
      </w:pPr>
      <w:r>
        <w:tab/>
        <w:t>(z)</w:t>
      </w:r>
      <w:r>
        <w:tab/>
        <w:t>direct that a referee give the Court a report on any question or issue of fact.</w:t>
      </w:r>
    </w:p>
    <w:p>
      <w:pPr>
        <w:pStyle w:val="Subsection"/>
      </w:pPr>
      <w:r>
        <w:tab/>
        <w:t>(3)</w:t>
      </w:r>
      <w:r>
        <w:tab/>
        <w:t xml:space="preserve">A case management direction may — </w:t>
      </w:r>
    </w:p>
    <w:p>
      <w:pPr>
        <w:pStyle w:val="Indenta"/>
      </w:pPr>
      <w:r>
        <w:tab/>
        <w:t>(a)</w:t>
      </w:r>
      <w:r>
        <w:tab/>
        <w:t>include any ancillary direction that is needed for the purpose of the direction; and</w:t>
      </w:r>
    </w:p>
    <w:p>
      <w:pPr>
        <w:pStyle w:val="Indenta"/>
      </w:pPr>
      <w:r>
        <w:tab/>
        <w:t>(b)</w:t>
      </w:r>
      <w:r>
        <w:tab/>
        <w:t>amend or cancel another case management direction.</w:t>
      </w:r>
    </w:p>
    <w:p>
      <w:pPr>
        <w:pStyle w:val="Ednotesubsection"/>
      </w:pPr>
      <w:r>
        <w:tab/>
        <w:t>[(4)</w:t>
      </w:r>
      <w:r>
        <w:tab/>
        <w:t>deleted]</w:t>
      </w:r>
    </w:p>
    <w:p>
      <w:pPr>
        <w:pStyle w:val="Subsection"/>
      </w:pPr>
      <w:r>
        <w:tab/>
        <w:t>(5)</w:t>
      </w:r>
      <w:r>
        <w:tab/>
        <w:t>A case management direction must not, without the consent of the parties, direct that a conference take place where a party would become liable to remunerate a mediator.</w:t>
      </w:r>
    </w:p>
    <w:p>
      <w:pPr>
        <w:pStyle w:val="Subsection"/>
      </w:pPr>
      <w:r>
        <w:tab/>
        <w:t>(6)</w:t>
      </w:r>
      <w:r>
        <w:tab/>
        <w:t xml:space="preserve">For the purpose of deciding whether to make a direction for the purposes of Order 36A rule 1, the case manager may inspect any report or document containing expert evidence or the substance </w:t>
      </w:r>
      <w:r>
        <w:lastRenderedPageBreak/>
        <w:t>of the expert evidence, with or without disclosing the contents of that report or document to any other party.</w:t>
      </w:r>
    </w:p>
    <w:p>
      <w:pPr>
        <w:pStyle w:val="Footnotesection"/>
      </w:pPr>
      <w:r>
        <w:tab/>
        <w:t>[Rule 2 inserted: Gazette 28 Jul 2010 p. 3441-6; amended: Gazette 13 Nov 2015 p. 4644; 16 Aug 2017 p. 4393</w:t>
      </w:r>
      <w:r>
        <w:noBreakHyphen/>
        <w:t>4; SL 2022/74 r. 15.]</w:t>
      </w:r>
    </w:p>
    <w:p>
      <w:pPr>
        <w:pStyle w:val="Heading5"/>
      </w:pPr>
      <w:bookmarkStart w:id="40" w:name="_Toc163120622"/>
      <w:r>
        <w:rPr>
          <w:rStyle w:val="CharSectno"/>
        </w:rPr>
        <w:t>3</w:t>
      </w:r>
      <w:r>
        <w:t>.</w:t>
      </w:r>
      <w:r>
        <w:tab/>
        <w:t>Term used: enforcement order</w:t>
      </w:r>
      <w:bookmarkEnd w:id="40"/>
    </w:p>
    <w:p>
      <w:pPr>
        <w:pStyle w:val="Subsection"/>
      </w:pPr>
      <w:r>
        <w:tab/>
      </w:r>
      <w:r>
        <w:tab/>
        <w:t>An enforcement order is —</w:t>
      </w:r>
    </w:p>
    <w:p>
      <w:pPr>
        <w:pStyle w:val="Indenta"/>
      </w:pPr>
      <w:r>
        <w:tab/>
        <w:t>(a)</w:t>
      </w:r>
      <w:r>
        <w:tab/>
        <w:t>an order as to the payment of costs;</w:t>
      </w:r>
    </w:p>
    <w:p>
      <w:pPr>
        <w:pStyle w:val="Indenta"/>
      </w:pPr>
      <w:r>
        <w:tab/>
        <w:t>(b)</w:t>
      </w:r>
      <w:r>
        <w:tab/>
        <w:t>an order as to the payment of costs of the parties on an indemnity basis, to be fixed in a manner specified in the order, and payable within 14 days after the date of the order;</w:t>
      </w:r>
    </w:p>
    <w:p>
      <w:pPr>
        <w:pStyle w:val="Indenta"/>
      </w:pPr>
      <w:r>
        <w:tab/>
        <w:t>(c)</w:t>
      </w:r>
      <w:r>
        <w:tab/>
        <w:t>a self</w:t>
      </w:r>
      <w:r>
        <w:noBreakHyphen/>
        <w:t>executing order for judgment, striking out pleadings or otherwise;</w:t>
      </w:r>
    </w:p>
    <w:p>
      <w:pPr>
        <w:pStyle w:val="Indenta"/>
      </w:pPr>
      <w:r>
        <w:tab/>
        <w:t>(d)</w:t>
      </w:r>
      <w:r>
        <w:tab/>
        <w:t>an order under Order 66 rule 5.</w:t>
      </w:r>
    </w:p>
    <w:p>
      <w:pPr>
        <w:pStyle w:val="Footnotesection"/>
      </w:pPr>
      <w:r>
        <w:tab/>
        <w:t>[Rule 3 inserted: Gazette 28 Jul 2010 p. 3446.]</w:t>
      </w:r>
    </w:p>
    <w:p>
      <w:pPr>
        <w:pStyle w:val="Heading5"/>
      </w:pPr>
      <w:bookmarkStart w:id="41" w:name="_Toc163120623"/>
      <w:r>
        <w:rPr>
          <w:rStyle w:val="CharSectno"/>
        </w:rPr>
        <w:t>4</w:t>
      </w:r>
      <w:r>
        <w:t>.</w:t>
      </w:r>
      <w:r>
        <w:tab/>
        <w:t>Inconsistencies with other rules</w:t>
      </w:r>
      <w:bookmarkEnd w:id="41"/>
    </w:p>
    <w:p>
      <w:pPr>
        <w:pStyle w:val="Subsection"/>
      </w:pPr>
      <w:r>
        <w:tab/>
      </w:r>
      <w:r>
        <w:tab/>
        <w:t xml:space="preserve">If a provision in this Order is inconsistent with these rules or the </w:t>
      </w:r>
      <w:r>
        <w:rPr>
          <w:i/>
        </w:rPr>
        <w:t>Supreme Court (Corporations) (WA) Rules 2004</w:t>
      </w:r>
      <w:r>
        <w:t>, the provision in this Order prevails.</w:t>
      </w:r>
    </w:p>
    <w:p>
      <w:pPr>
        <w:pStyle w:val="Footnotesection"/>
      </w:pPr>
      <w:r>
        <w:tab/>
        <w:t>[Rule 4 inserted: Gazette 28 Jul 2010 p. 3446.]</w:t>
      </w:r>
    </w:p>
    <w:p>
      <w:pPr>
        <w:pStyle w:val="Heading3"/>
      </w:pPr>
      <w:bookmarkStart w:id="42" w:name="_Toc162940176"/>
      <w:bookmarkStart w:id="43" w:name="_Toc162952951"/>
      <w:bookmarkStart w:id="44" w:name="_Toc163120624"/>
      <w:r>
        <w:rPr>
          <w:rStyle w:val="CharDivNo"/>
        </w:rPr>
        <w:t>Division 2</w:t>
      </w:r>
      <w:r>
        <w:t> — </w:t>
      </w:r>
      <w:r>
        <w:rPr>
          <w:rStyle w:val="CharDivText"/>
        </w:rPr>
        <w:t>Provisions applicable to all cases</w:t>
      </w:r>
      <w:bookmarkEnd w:id="42"/>
      <w:bookmarkEnd w:id="43"/>
      <w:bookmarkEnd w:id="44"/>
    </w:p>
    <w:p>
      <w:pPr>
        <w:pStyle w:val="Footnoteheading"/>
      </w:pPr>
      <w:r>
        <w:tab/>
        <w:t>[Heading inserted: Gazette 28 Jul 2010 p. 3446.]</w:t>
      </w:r>
    </w:p>
    <w:p>
      <w:pPr>
        <w:pStyle w:val="Heading5"/>
      </w:pPr>
      <w:bookmarkStart w:id="45" w:name="_Toc163120625"/>
      <w:r>
        <w:rPr>
          <w:rStyle w:val="CharSectno"/>
        </w:rPr>
        <w:t>4A</w:t>
      </w:r>
      <w:r>
        <w:t>.</w:t>
      </w:r>
      <w:r>
        <w:tab/>
        <w:t>Case management conferences</w:t>
      </w:r>
      <w:bookmarkEnd w:id="45"/>
    </w:p>
    <w:p>
      <w:pPr>
        <w:pStyle w:val="Subsection"/>
      </w:pPr>
      <w:r>
        <w:tab/>
      </w:r>
      <w:r>
        <w:tab/>
        <w:t xml:space="preserve">An interlocutory application or matter, a review under rule 5 and a request by a party (including a request by a party under rule 5A) must be dealt with by way of a case management conference unless — </w:t>
      </w:r>
    </w:p>
    <w:p>
      <w:pPr>
        <w:pStyle w:val="Indenta"/>
      </w:pPr>
      <w:r>
        <w:lastRenderedPageBreak/>
        <w:tab/>
        <w:t>(a)</w:t>
      </w:r>
      <w:r>
        <w:tab/>
        <w:t>the case manager directs otherwise; or</w:t>
      </w:r>
    </w:p>
    <w:p>
      <w:pPr>
        <w:pStyle w:val="Indenta"/>
      </w:pPr>
      <w:r>
        <w:tab/>
        <w:t>(b)</w:t>
      </w:r>
      <w:r>
        <w:tab/>
        <w:t>a decision is made in relation to the application, matter, review or request on the basis of documents filed without requiring the parties or their legal practitioners to attend a hearing.</w:t>
      </w:r>
    </w:p>
    <w:p>
      <w:pPr>
        <w:pStyle w:val="Footnotesection"/>
      </w:pPr>
      <w:r>
        <w:tab/>
        <w:t>[Rule 4A inserted: Gazette 16 Aug 2017 p. 4394; amended: SL 2022/74 r. 15.]</w:t>
      </w:r>
    </w:p>
    <w:p>
      <w:pPr>
        <w:pStyle w:val="Heading5"/>
      </w:pPr>
      <w:bookmarkStart w:id="46" w:name="_Toc163120626"/>
      <w:r>
        <w:rPr>
          <w:rStyle w:val="CharSectno"/>
        </w:rPr>
        <w:t>5</w:t>
      </w:r>
      <w:r>
        <w:t>.</w:t>
      </w:r>
      <w:r>
        <w:tab/>
        <w:t>Case manager may review case at any time</w:t>
      </w:r>
      <w:bookmarkEnd w:id="46"/>
    </w:p>
    <w:p>
      <w:pPr>
        <w:pStyle w:val="Subsection"/>
      </w:pPr>
      <w:r>
        <w:tab/>
        <w:t>(1)</w:t>
      </w:r>
      <w:r>
        <w:tab/>
        <w:t>The case manager for a case may review the progress of the case —</w:t>
      </w:r>
    </w:p>
    <w:p>
      <w:pPr>
        <w:pStyle w:val="Indenta"/>
      </w:pPr>
      <w:r>
        <w:tab/>
        <w:t>(a)</w:t>
      </w:r>
      <w:r>
        <w:tab/>
        <w:t>at any time in the case, on the case manager’s own initiative after notifying the parties; or</w:t>
      </w:r>
    </w:p>
    <w:p>
      <w:pPr>
        <w:pStyle w:val="Indenta"/>
      </w:pPr>
      <w:r>
        <w:tab/>
        <w:t>(b)</w:t>
      </w:r>
      <w:r>
        <w:tab/>
        <w:t xml:space="preserve">when hearing a request by a party (including a request by a party under rule 5A); or </w:t>
      </w:r>
    </w:p>
    <w:p>
      <w:pPr>
        <w:pStyle w:val="Indenta"/>
      </w:pPr>
      <w:r>
        <w:tab/>
        <w:t>(c)</w:t>
      </w:r>
      <w:r>
        <w:tab/>
        <w:t>when hearing any other application in the case.</w:t>
      </w:r>
    </w:p>
    <w:p>
      <w:pPr>
        <w:pStyle w:val="Subsection"/>
      </w:pPr>
      <w:r>
        <w:tab/>
        <w:t>(2)</w:t>
      </w:r>
      <w:r>
        <w:tab/>
        <w:t>On the review, the case manager may do all or any of the following —</w:t>
      </w:r>
    </w:p>
    <w:p>
      <w:pPr>
        <w:pStyle w:val="Indenta"/>
      </w:pPr>
      <w:r>
        <w:tab/>
        <w:t>(a)</w:t>
      </w:r>
      <w:r>
        <w:tab/>
        <w:t>make any interlocutory order the case manager considers just;</w:t>
      </w:r>
    </w:p>
    <w:p>
      <w:pPr>
        <w:pStyle w:val="Indenta"/>
      </w:pPr>
      <w:r>
        <w:tab/>
        <w:t>(b)</w:t>
      </w:r>
      <w:r>
        <w:tab/>
        <w:t>make any case management direction the case manager considers just;</w:t>
      </w:r>
    </w:p>
    <w:p>
      <w:pPr>
        <w:pStyle w:val="Indenta"/>
      </w:pPr>
      <w:r>
        <w:tab/>
        <w:t>(c)</w:t>
      </w:r>
      <w:r>
        <w:tab/>
        <w:t>make any enforcement order the case manager considers just.</w:t>
      </w:r>
    </w:p>
    <w:p>
      <w:pPr>
        <w:pStyle w:val="Subsection"/>
      </w:pPr>
      <w:r>
        <w:tab/>
        <w:t>(3)</w:t>
      </w:r>
      <w:r>
        <w:tab/>
        <w:t>For the purposes of subrule (1)(a), the case manager may at any time direct all or any of the parties to a case to attend before the case manager.</w:t>
      </w:r>
    </w:p>
    <w:p>
      <w:pPr>
        <w:pStyle w:val="Subsection"/>
      </w:pPr>
      <w:r>
        <w:tab/>
        <w:t>(4)</w:t>
      </w:r>
      <w:r>
        <w:tab/>
        <w:t>If the case manager is a master, subrules (1) and (2) are subject to Order 60 rule 1(3) and (4).</w:t>
      </w:r>
    </w:p>
    <w:p>
      <w:pPr>
        <w:pStyle w:val="Subsection"/>
      </w:pPr>
      <w:r>
        <w:tab/>
        <w:t>(5)</w:t>
      </w:r>
      <w:r>
        <w:tab/>
        <w:t>If the case manager is a registrar, subrules (1) and (2) are subject to Order 60A rule 2(2), (3) and (4).</w:t>
      </w:r>
    </w:p>
    <w:p>
      <w:pPr>
        <w:pStyle w:val="Footnotesection"/>
      </w:pPr>
      <w:r>
        <w:lastRenderedPageBreak/>
        <w:tab/>
        <w:t>[Rule 5 inserted: Gazette 16 Aug 2017 p. 4394</w:t>
      </w:r>
      <w:r>
        <w:noBreakHyphen/>
        <w:t>5.]</w:t>
      </w:r>
    </w:p>
    <w:p>
      <w:pPr>
        <w:pStyle w:val="Heading5"/>
      </w:pPr>
      <w:bookmarkStart w:id="47" w:name="_Toc163120627"/>
      <w:r>
        <w:rPr>
          <w:rStyle w:val="CharSectno"/>
        </w:rPr>
        <w:t>5A</w:t>
      </w:r>
      <w:r>
        <w:t>.</w:t>
      </w:r>
      <w:r>
        <w:tab/>
        <w:t>Requesting interlocutory orders and case management directions</w:t>
      </w:r>
      <w:bookmarkEnd w:id="47"/>
    </w:p>
    <w:p>
      <w:pPr>
        <w:pStyle w:val="Subsection"/>
      </w:pPr>
      <w:r>
        <w:tab/>
        <w:t>(1)</w:t>
      </w:r>
      <w:r>
        <w:tab/>
        <w:t xml:space="preserve">A party to a case may at any time request the case manager to do any of the following — </w:t>
      </w:r>
    </w:p>
    <w:p>
      <w:pPr>
        <w:pStyle w:val="Indenta"/>
      </w:pPr>
      <w:r>
        <w:tab/>
        <w:t>(a)</w:t>
      </w:r>
      <w:r>
        <w:tab/>
        <w:t>make an interlocutory order that the case manager has jurisdiction to make;</w:t>
      </w:r>
    </w:p>
    <w:p>
      <w:pPr>
        <w:pStyle w:val="Indenta"/>
      </w:pPr>
      <w:r>
        <w:tab/>
        <w:t>(b)</w:t>
      </w:r>
      <w:r>
        <w:tab/>
        <w:t>make, cancel or amend a case management direction.</w:t>
      </w:r>
    </w:p>
    <w:p>
      <w:pPr>
        <w:pStyle w:val="Subsection"/>
      </w:pPr>
      <w:r>
        <w:tab/>
        <w:t>(2)</w:t>
      </w:r>
      <w:r>
        <w:tab/>
        <w:t xml:space="preserve">The party must make the request by way of a letter to the case manager in accordance with rule 5B(1) and (2) unless — </w:t>
      </w:r>
    </w:p>
    <w:p>
      <w:pPr>
        <w:pStyle w:val="Indenta"/>
      </w:pPr>
      <w:r>
        <w:tab/>
        <w:t>(a)</w:t>
      </w:r>
      <w:r>
        <w:tab/>
        <w:t>the request is made orally either during a case management conference or during a hearing; or</w:t>
      </w:r>
    </w:p>
    <w:p>
      <w:pPr>
        <w:pStyle w:val="Indenta"/>
      </w:pPr>
      <w:r>
        <w:tab/>
        <w:t>(b)</w:t>
      </w:r>
      <w:r>
        <w:tab/>
        <w:t>a motion or summons is justified by the circumstances of the particular case or the nature of the request, in which case the request may be made by way of motion or summons; or</w:t>
      </w:r>
    </w:p>
    <w:p>
      <w:pPr>
        <w:pStyle w:val="Indenta"/>
      </w:pPr>
      <w:r>
        <w:tab/>
        <w:t>(c)</w:t>
      </w:r>
      <w:r>
        <w:tab/>
        <w:t xml:space="preserve">the </w:t>
      </w:r>
      <w:r>
        <w:rPr>
          <w:i/>
        </w:rPr>
        <w:t>Supreme Court (Corporations) (WA) Rules 2004</w:t>
      </w:r>
      <w:r>
        <w:t xml:space="preserve"> apply to the case, in which case the request must be made under those rules; or</w:t>
      </w:r>
    </w:p>
    <w:p>
      <w:pPr>
        <w:pStyle w:val="Indenta"/>
      </w:pPr>
      <w:r>
        <w:tab/>
        <w:t>(d)</w:t>
      </w:r>
      <w:r>
        <w:tab/>
        <w:t>a form, prescribed under a written law, is specific to the nature of the request, in which case the request must be made in that form.</w:t>
      </w:r>
    </w:p>
    <w:p>
      <w:pPr>
        <w:pStyle w:val="Subsection"/>
      </w:pPr>
      <w:r>
        <w:tab/>
        <w:t>(3)</w:t>
      </w:r>
      <w:r>
        <w:tab/>
        <w:t>The case manager may by notice, direct the parties to attend a case management conference or a hearing to consider the request.</w:t>
      </w:r>
    </w:p>
    <w:p>
      <w:pPr>
        <w:pStyle w:val="Footnotesection"/>
      </w:pPr>
      <w:r>
        <w:tab/>
        <w:t>[Rule 5A inserted: Gazette 16 Aug 2017 p. 4395</w:t>
      </w:r>
      <w:r>
        <w:noBreakHyphen/>
        <w:t>6.]</w:t>
      </w:r>
    </w:p>
    <w:p>
      <w:pPr>
        <w:pStyle w:val="Heading5"/>
      </w:pPr>
      <w:bookmarkStart w:id="48" w:name="_Toc163120628"/>
      <w:r>
        <w:rPr>
          <w:rStyle w:val="CharSectno"/>
        </w:rPr>
        <w:t>5B</w:t>
      </w:r>
      <w:r>
        <w:t>.</w:t>
      </w:r>
      <w:r>
        <w:tab/>
        <w:t>Request under r. 5A by letter</w:t>
      </w:r>
      <w:bookmarkEnd w:id="48"/>
      <w:r>
        <w:t xml:space="preserve"> </w:t>
      </w:r>
    </w:p>
    <w:p>
      <w:pPr>
        <w:pStyle w:val="Subsection"/>
      </w:pPr>
      <w:r>
        <w:tab/>
        <w:t>(1)</w:t>
      </w:r>
      <w:r>
        <w:tab/>
        <w:t>A party making a request under rule 5A by way of a letter must —</w:t>
      </w:r>
    </w:p>
    <w:p>
      <w:pPr>
        <w:pStyle w:val="Indenta"/>
      </w:pPr>
      <w:r>
        <w:tab/>
        <w:t>(a)</w:t>
      </w:r>
      <w:r>
        <w:tab/>
        <w:t xml:space="preserve">file the letter and any attachments; and </w:t>
      </w:r>
    </w:p>
    <w:p>
      <w:pPr>
        <w:pStyle w:val="Indenta"/>
      </w:pPr>
      <w:r>
        <w:lastRenderedPageBreak/>
        <w:tab/>
        <w:t>(b)</w:t>
      </w:r>
      <w:r>
        <w:tab/>
        <w:t>set out in the letter details of any order or direction sought or file with the letter as an attachment a minute in Form 78 of any order sought; and</w:t>
      </w:r>
    </w:p>
    <w:p>
      <w:pPr>
        <w:pStyle w:val="Indenta"/>
      </w:pPr>
      <w:r>
        <w:tab/>
        <w:t>(c)</w:t>
      </w:r>
      <w:r>
        <w:tab/>
        <w:t>file with the letter as an attachment any other relevant document; and</w:t>
      </w:r>
    </w:p>
    <w:p>
      <w:pPr>
        <w:pStyle w:val="Indenta"/>
      </w:pPr>
      <w:r>
        <w:tab/>
        <w:t>(d)</w:t>
      </w:r>
      <w:r>
        <w:tab/>
        <w:t>email a copy of the letter and the attachments to the associate to the case manager, or if the case manager is not known, to the associate to the Principal Registrar; and</w:t>
      </w:r>
    </w:p>
    <w:p>
      <w:pPr>
        <w:pStyle w:val="Indenta"/>
      </w:pPr>
      <w:r>
        <w:tab/>
        <w:t>(e)</w:t>
      </w:r>
      <w:r>
        <w:tab/>
        <w:t>give a copy of the letter and the attachments to the other parties.</w:t>
      </w:r>
    </w:p>
    <w:p>
      <w:pPr>
        <w:pStyle w:val="Subsection"/>
      </w:pPr>
      <w:r>
        <w:tab/>
        <w:t>(2)</w:t>
      </w:r>
      <w:r>
        <w:tab/>
        <w:t>A party must comply with subrule (1) not less than 2 clear days before the case manager is requested to act upon the request.</w:t>
      </w:r>
    </w:p>
    <w:p>
      <w:pPr>
        <w:pStyle w:val="Subsection"/>
      </w:pPr>
      <w:r>
        <w:tab/>
        <w:t>(3)</w:t>
      </w:r>
      <w:r>
        <w:tab/>
        <w:t>A party who fails to comply with subrule (1) or (2) in relation to a letter, attachment or other document cannot, without the case manager’s leave, refer to or rely on the document —</w:t>
      </w:r>
    </w:p>
    <w:p>
      <w:pPr>
        <w:pStyle w:val="Indenta"/>
      </w:pPr>
      <w:r>
        <w:tab/>
        <w:t>(a)</w:t>
      </w:r>
      <w:r>
        <w:tab/>
        <w:t>in any hearing; or</w:t>
      </w:r>
    </w:p>
    <w:p>
      <w:pPr>
        <w:pStyle w:val="Indenta"/>
      </w:pPr>
      <w:r>
        <w:tab/>
        <w:t>(b)</w:t>
      </w:r>
      <w:r>
        <w:tab/>
        <w:t>in any other filed document.</w:t>
      </w:r>
    </w:p>
    <w:p>
      <w:pPr>
        <w:pStyle w:val="Subsection"/>
      </w:pPr>
      <w:r>
        <w:tab/>
        <w:t>(4)</w:t>
      </w:r>
      <w:r>
        <w:tab/>
        <w:t>If a party is given leave to refer to or rely on a document referred to in subrule (3), the party must file the document as soon as practicable after the leave is given.</w:t>
      </w:r>
    </w:p>
    <w:p>
      <w:pPr>
        <w:pStyle w:val="Subsection"/>
      </w:pPr>
      <w:r>
        <w:tab/>
        <w:t>(5)</w:t>
      </w:r>
      <w:r>
        <w:tab/>
        <w:t>Order 67A rule 2(4) and (5) do not apply to a party who fails to comply with subrule (1)(a).</w:t>
      </w:r>
    </w:p>
    <w:p>
      <w:pPr>
        <w:pStyle w:val="Subsection"/>
      </w:pPr>
      <w:r>
        <w:tab/>
        <w:t>(6)</w:t>
      </w:r>
      <w:r>
        <w:tab/>
        <w:t>The case manager may direct a party who has made a request by way of a letter to make the request in some other manner.</w:t>
      </w:r>
    </w:p>
    <w:p>
      <w:pPr>
        <w:pStyle w:val="Footnotesection"/>
      </w:pPr>
      <w:r>
        <w:tab/>
        <w:t>[Rule 5B inserted: Gazette 16 Aug 2017 p. 4396</w:t>
      </w:r>
      <w:r>
        <w:noBreakHyphen/>
        <w:t>7; amended: Gazette 27 Feb 2018 p. 553-4.]</w:t>
      </w:r>
    </w:p>
    <w:p>
      <w:pPr>
        <w:pStyle w:val="Heading5"/>
        <w:pageBreakBefore/>
        <w:spacing w:before="0"/>
      </w:pPr>
      <w:bookmarkStart w:id="49" w:name="_Toc163120629"/>
      <w:r>
        <w:rPr>
          <w:rStyle w:val="CharSectno"/>
        </w:rPr>
        <w:lastRenderedPageBreak/>
        <w:t>5C</w:t>
      </w:r>
      <w:r>
        <w:t>.</w:t>
      </w:r>
      <w:r>
        <w:tab/>
        <w:t>Request under r. 5A at case management conference or hearing</w:t>
      </w:r>
      <w:bookmarkEnd w:id="49"/>
    </w:p>
    <w:p>
      <w:pPr>
        <w:pStyle w:val="Subsection"/>
      </w:pPr>
      <w:r>
        <w:tab/>
      </w:r>
      <w:r>
        <w:tab/>
        <w:t xml:space="preserve">A party who seeks to refer to or rely on a document while making an oral request during a case management conference or a hearing referred to in rule 5A(2)(a) must — </w:t>
      </w:r>
    </w:p>
    <w:p>
      <w:pPr>
        <w:pStyle w:val="Indenta"/>
      </w:pPr>
      <w:r>
        <w:tab/>
        <w:t>(a)</w:t>
      </w:r>
      <w:r>
        <w:tab/>
        <w:t>if the document contains a proposed order or a direction, file the document as soon as practicable after the conference or hearing; and</w:t>
      </w:r>
    </w:p>
    <w:p>
      <w:pPr>
        <w:pStyle w:val="Indenta"/>
      </w:pPr>
      <w:r>
        <w:tab/>
        <w:t>(b)</w:t>
      </w:r>
      <w:r>
        <w:tab/>
        <w:t>if the document is required to be filed under these rules, comply with Order 67A Division 2 in relation to the document.</w:t>
      </w:r>
    </w:p>
    <w:p>
      <w:pPr>
        <w:pStyle w:val="Footnotesection"/>
      </w:pPr>
      <w:r>
        <w:tab/>
        <w:t>[Rule 5C inserted: Gazette 16 Aug 2017 p. 4397; amended: Gazette 27 Feb 2018 p. 554.]</w:t>
      </w:r>
    </w:p>
    <w:p>
      <w:pPr>
        <w:pStyle w:val="Heading5"/>
      </w:pPr>
      <w:bookmarkStart w:id="50" w:name="_Toc163120630"/>
      <w:r>
        <w:rPr>
          <w:rStyle w:val="CharSectno"/>
        </w:rPr>
        <w:t>6</w:t>
      </w:r>
      <w:r>
        <w:t>.</w:t>
      </w:r>
      <w:r>
        <w:tab/>
        <w:t>Timetables</w:t>
      </w:r>
      <w:bookmarkEnd w:id="50"/>
    </w:p>
    <w:p>
      <w:pPr>
        <w:pStyle w:val="Subsection"/>
      </w:pPr>
      <w:r>
        <w:tab/>
        <w:t>(1)</w:t>
      </w:r>
      <w:r>
        <w:tab/>
        <w:t>This rule applies if the case manager for a case directs the parties to the case to comply with a timetable for procedural steps that are needed in the case.</w:t>
      </w:r>
    </w:p>
    <w:p>
      <w:pPr>
        <w:pStyle w:val="Subsection"/>
      </w:pPr>
      <w:r>
        <w:tab/>
        <w:t>(2)</w:t>
      </w:r>
      <w:r>
        <w:tab/>
        <w:t>The case manager making the direction must set the timetable.</w:t>
      </w:r>
    </w:p>
    <w:p>
      <w:pPr>
        <w:pStyle w:val="Subsection"/>
      </w:pPr>
      <w:r>
        <w:tab/>
        <w:t>(3)</w:t>
      </w:r>
      <w:r>
        <w:tab/>
        <w:t>The case manager may do all or any of the following —</w:t>
      </w:r>
    </w:p>
    <w:p>
      <w:pPr>
        <w:pStyle w:val="Indenta"/>
      </w:pPr>
      <w:r>
        <w:tab/>
        <w:t>(a)</w:t>
      </w:r>
      <w:r>
        <w:tab/>
        <w:t>amend the timetable, whether on the case manager’s own initiative or on a party’s request;</w:t>
      </w:r>
    </w:p>
    <w:p>
      <w:pPr>
        <w:pStyle w:val="Indenta"/>
      </w:pPr>
      <w:r>
        <w:tab/>
        <w:t>(b)</w:t>
      </w:r>
      <w:r>
        <w:tab/>
        <w:t>at any time direct the parties to explain in writing why the timetable has not been complied with;</w:t>
      </w:r>
    </w:p>
    <w:p>
      <w:pPr>
        <w:pStyle w:val="Indenta"/>
      </w:pPr>
      <w:r>
        <w:tab/>
        <w:t>(c)</w:t>
      </w:r>
      <w:r>
        <w:tab/>
        <w:t>at any time, by notice, direct the parties to attend a hearing and explain why the timetable has not been complied with;</w:t>
      </w:r>
    </w:p>
    <w:p>
      <w:pPr>
        <w:pStyle w:val="Indenta"/>
      </w:pPr>
      <w:r>
        <w:tab/>
        <w:t>(d)</w:t>
      </w:r>
      <w:r>
        <w:tab/>
        <w:t>for the purposes of a hearing under paragraph (c), direct the parties to file an affidavit in response to the direction at any time that the case manager considers just;</w:t>
      </w:r>
    </w:p>
    <w:p>
      <w:pPr>
        <w:pStyle w:val="Indenta"/>
      </w:pPr>
      <w:r>
        <w:tab/>
        <w:t>(e)</w:t>
      </w:r>
      <w:r>
        <w:tab/>
        <w:t>after a hearing under paragraph (c) —</w:t>
      </w:r>
    </w:p>
    <w:p>
      <w:pPr>
        <w:pStyle w:val="Indenti"/>
      </w:pPr>
      <w:r>
        <w:tab/>
        <w:t>(i)</w:t>
      </w:r>
      <w:r>
        <w:tab/>
        <w:t>amend the timetable;</w:t>
      </w:r>
    </w:p>
    <w:p>
      <w:pPr>
        <w:pStyle w:val="Indenti"/>
      </w:pPr>
      <w:r>
        <w:lastRenderedPageBreak/>
        <w:tab/>
        <w:t>(ii)</w:t>
      </w:r>
      <w:r>
        <w:tab/>
        <w:t>make any case management direction the case manager considers just;</w:t>
      </w:r>
    </w:p>
    <w:p>
      <w:pPr>
        <w:pStyle w:val="Indenti"/>
      </w:pPr>
      <w:r>
        <w:tab/>
        <w:t>(iii)</w:t>
      </w:r>
      <w:r>
        <w:tab/>
        <w:t>make any enforcement order the case manager considers just;</w:t>
      </w:r>
    </w:p>
    <w:p>
      <w:pPr>
        <w:pStyle w:val="Indenta"/>
      </w:pPr>
      <w:r>
        <w:tab/>
        <w:t>(f)</w:t>
      </w:r>
      <w:r>
        <w:tab/>
        <w:t>if a party does not comply with the timetable, obey a direction under paragraph (c) or file an affidavit as directed, make any case management direction or enforcement order the case manager considers just.</w:t>
      </w:r>
    </w:p>
    <w:p>
      <w:pPr>
        <w:pStyle w:val="Subsection"/>
      </w:pPr>
      <w:r>
        <w:tab/>
        <w:t>(4)</w:t>
      </w:r>
      <w:r>
        <w:tab/>
        <w:t>If the case manager is a master, subrule (3)(e) and (f) are subject to Order 60 rule 1(3) and (4).</w:t>
      </w:r>
    </w:p>
    <w:p>
      <w:pPr>
        <w:pStyle w:val="Subsection"/>
      </w:pPr>
      <w:r>
        <w:tab/>
        <w:t>(5)</w:t>
      </w:r>
      <w:r>
        <w:tab/>
        <w:t>If the case manager is a registrar, subrule (3)(e) and (f) are subject to Order 60A rule 2(2), (3) and (4).</w:t>
      </w:r>
    </w:p>
    <w:p>
      <w:pPr>
        <w:pStyle w:val="Subsection"/>
      </w:pPr>
      <w:r>
        <w:tab/>
        <w:t>(6)</w:t>
      </w:r>
      <w:r>
        <w:tab/>
        <w:t xml:space="preserve">If a direction is made under subrule (3)(b), the parties and their legal practitioners must — </w:t>
      </w:r>
    </w:p>
    <w:p>
      <w:pPr>
        <w:pStyle w:val="Indenta"/>
      </w:pPr>
      <w:r>
        <w:tab/>
        <w:t>(a)</w:t>
      </w:r>
      <w:r>
        <w:tab/>
        <w:t xml:space="preserve">give the Court the explanation within the time specified in the direction; and </w:t>
      </w:r>
    </w:p>
    <w:p>
      <w:pPr>
        <w:pStyle w:val="Indenta"/>
      </w:pPr>
      <w:r>
        <w:tab/>
        <w:t>(b)</w:t>
      </w:r>
      <w:r>
        <w:tab/>
        <w:t>serve the explanation on each other party.</w:t>
      </w:r>
    </w:p>
    <w:p>
      <w:pPr>
        <w:pStyle w:val="Footnotesection"/>
      </w:pPr>
      <w:r>
        <w:tab/>
        <w:t>[Rule 6 inserted: Gazette 16 Aug 2017 p. 4397</w:t>
      </w:r>
      <w:r>
        <w:noBreakHyphen/>
        <w:t>9; amended: SL 2022/74 r. 15.]</w:t>
      </w:r>
    </w:p>
    <w:p>
      <w:pPr>
        <w:pStyle w:val="Heading5"/>
      </w:pPr>
      <w:bookmarkStart w:id="51" w:name="_Toc163120631"/>
      <w:r>
        <w:rPr>
          <w:rStyle w:val="CharSectno"/>
        </w:rPr>
        <w:t>7</w:t>
      </w:r>
      <w:r>
        <w:t>.</w:t>
      </w:r>
      <w:r>
        <w:tab/>
        <w:t>Attendance at proceedings under this Order</w:t>
      </w:r>
      <w:bookmarkEnd w:id="51"/>
    </w:p>
    <w:p>
      <w:pPr>
        <w:pStyle w:val="Subsection"/>
      </w:pPr>
      <w:r>
        <w:tab/>
        <w:t>(1)</w:t>
      </w:r>
      <w:r>
        <w:tab/>
        <w:t>A party who is represented by a legal practitioner need not attend a proceeding under this Order unless subpoenaed or directed to do so by the case manager.</w:t>
      </w:r>
    </w:p>
    <w:p>
      <w:pPr>
        <w:pStyle w:val="Subsection"/>
      </w:pPr>
      <w:r>
        <w:tab/>
        <w:t>(2)</w:t>
      </w:r>
      <w:r>
        <w:tab/>
        <w:t xml:space="preserve">Unless the case manager directs otherwise, subrule (1) does not apply to — </w:t>
      </w:r>
    </w:p>
    <w:p>
      <w:pPr>
        <w:pStyle w:val="Indenta"/>
      </w:pPr>
      <w:r>
        <w:tab/>
        <w:t>(a)</w:t>
      </w:r>
      <w:r>
        <w:tab/>
        <w:t>a conference conducted by a mediator under rule 8; or</w:t>
      </w:r>
    </w:p>
    <w:p>
      <w:pPr>
        <w:pStyle w:val="Indenta"/>
      </w:pPr>
      <w:r>
        <w:tab/>
        <w:t>(b)</w:t>
      </w:r>
      <w:r>
        <w:tab/>
        <w:t xml:space="preserve">a strategic conference held under rule 14A; or </w:t>
      </w:r>
    </w:p>
    <w:p>
      <w:pPr>
        <w:pStyle w:val="Indenta"/>
      </w:pPr>
      <w:r>
        <w:tab/>
        <w:t>(c)</w:t>
      </w:r>
      <w:r>
        <w:tab/>
        <w:t>the first case management conference for the case referred to in rule 18(1).</w:t>
      </w:r>
    </w:p>
    <w:p>
      <w:pPr>
        <w:pStyle w:val="Subsection"/>
      </w:pPr>
      <w:r>
        <w:lastRenderedPageBreak/>
        <w:tab/>
        <w:t>(3)</w:t>
      </w:r>
      <w:r>
        <w:tab/>
        <w:t>If there is no legal practitioner on the record for a party that is a body corporate, the case manager presiding at a proceeding under this Order may permit a person who is not a legal practitioner to represent the party.</w:t>
      </w:r>
    </w:p>
    <w:p>
      <w:pPr>
        <w:pStyle w:val="Footnotesection"/>
      </w:pPr>
      <w:r>
        <w:tab/>
        <w:t>[Rule 7 inserted: Gazette 16 Aug 2017 p. 4399; amended: SL 2022/74 r. 15.]</w:t>
      </w:r>
    </w:p>
    <w:p>
      <w:pPr>
        <w:pStyle w:val="Heading5"/>
      </w:pPr>
      <w:bookmarkStart w:id="52" w:name="_Toc163120632"/>
      <w:r>
        <w:rPr>
          <w:rStyle w:val="CharSectno"/>
        </w:rPr>
        <w:t>8</w:t>
      </w:r>
      <w:r>
        <w:t>.</w:t>
      </w:r>
      <w:r>
        <w:tab/>
        <w:t>Conferences of parties with mediator</w:t>
      </w:r>
      <w:bookmarkEnd w:id="52"/>
    </w:p>
    <w:p>
      <w:pPr>
        <w:pStyle w:val="Subsection"/>
      </w:pPr>
      <w:r>
        <w:tab/>
        <w:t>(1)</w:t>
      </w:r>
      <w:r>
        <w:tab/>
        <w:t>The case manager for a case may, by notice, direct that a conference conducted by a mediator be held for the case.</w:t>
      </w:r>
    </w:p>
    <w:p>
      <w:pPr>
        <w:pStyle w:val="Subsection"/>
      </w:pPr>
      <w:r>
        <w:tab/>
        <w:t>(2)</w:t>
      </w:r>
      <w:r>
        <w:tab/>
        <w:t>The case manager must direct whether the mediator is to be an approved mediator or some other person.</w:t>
      </w:r>
    </w:p>
    <w:p>
      <w:pPr>
        <w:pStyle w:val="Subsection"/>
      </w:pPr>
      <w:r>
        <w:tab/>
        <w:t>(3)</w:t>
      </w:r>
      <w:r>
        <w:tab/>
        <w:t>The case manager must not direct that the mediator is to be a person who is not an approved mediator unless the parties consent.</w:t>
      </w:r>
    </w:p>
    <w:p>
      <w:pPr>
        <w:pStyle w:val="Subsection"/>
      </w:pPr>
      <w:r>
        <w:tab/>
        <w:t>(3A)</w:t>
      </w:r>
      <w:r>
        <w:tab/>
        <w:t xml:space="preserve">The following persons must attend the conference unless the mediator or the case manager directs otherwise — </w:t>
      </w:r>
    </w:p>
    <w:p>
      <w:pPr>
        <w:pStyle w:val="Indenta"/>
      </w:pPr>
      <w:r>
        <w:tab/>
        <w:t>(a)</w:t>
      </w:r>
      <w:r>
        <w:tab/>
        <w:t xml:space="preserve">each party to the case; </w:t>
      </w:r>
    </w:p>
    <w:p>
      <w:pPr>
        <w:pStyle w:val="Indenta"/>
      </w:pPr>
      <w:r>
        <w:tab/>
        <w:t>(b)</w:t>
      </w:r>
      <w:r>
        <w:tab/>
        <w:t>if a party is represented by a legal practitioner, the legal practitioner;</w:t>
      </w:r>
    </w:p>
    <w:p>
      <w:pPr>
        <w:pStyle w:val="Indenta"/>
      </w:pPr>
      <w:r>
        <w:tab/>
        <w:t>(c)</w:t>
      </w:r>
      <w:r>
        <w:tab/>
        <w:t xml:space="preserve">if a party is not an individual, a representative of the party with authority to conduct settlement negotiations and to settle the case; </w:t>
      </w:r>
    </w:p>
    <w:p>
      <w:pPr>
        <w:pStyle w:val="Indenta"/>
      </w:pPr>
      <w:r>
        <w:tab/>
        <w:t>(d)</w:t>
      </w:r>
      <w:r>
        <w:tab/>
        <w:t>if settlement negotiations are to be conducted on behalf of a party by its insurer, a representative of the insurer with authority to conduct settlement negotiations and to settle the case.</w:t>
      </w:r>
    </w:p>
    <w:p>
      <w:pPr>
        <w:pStyle w:val="Subsection"/>
      </w:pPr>
      <w:r>
        <w:tab/>
        <w:t>(4)</w:t>
      </w:r>
      <w:r>
        <w:tab/>
        <w:t>In the absence of any other direction made by the case manager —</w:t>
      </w:r>
    </w:p>
    <w:p>
      <w:pPr>
        <w:pStyle w:val="Indenta"/>
      </w:pPr>
      <w:r>
        <w:tab/>
        <w:t>(a)</w:t>
      </w:r>
      <w:r>
        <w:tab/>
        <w:t>the conference must take place at the time and place directed; and</w:t>
      </w:r>
    </w:p>
    <w:p>
      <w:pPr>
        <w:pStyle w:val="Indenta"/>
      </w:pPr>
      <w:r>
        <w:lastRenderedPageBreak/>
        <w:tab/>
        <w:t>(b)</w:t>
      </w:r>
      <w:r>
        <w:tab/>
        <w:t>if the case manager does not set a date for the conference, each party must, subject to any directions, take the steps necessary to ensure the conference takes place as soon as possible; and</w:t>
      </w:r>
    </w:p>
    <w:p>
      <w:pPr>
        <w:pStyle w:val="Indenta"/>
      </w:pPr>
      <w:r>
        <w:tab/>
        <w:t>(c)</w:t>
      </w:r>
      <w:r>
        <w:tab/>
        <w:t>each party’s costs of and incidental to the conference shall be the party’s costs in the cause, unless the parties agree; but a party may apply for those costs if they have been unnecessarily incurred due to the conduct of the other party; and</w:t>
      </w:r>
    </w:p>
    <w:p>
      <w:pPr>
        <w:pStyle w:val="Indenta"/>
      </w:pPr>
      <w:r>
        <w:tab/>
        <w:t>(d)</w:t>
      </w:r>
      <w:r>
        <w:tab/>
        <w:t>the fees and expenses of any mediator who is not a registrar must be paid by the parties in equal shares, unless the parties agree; and</w:t>
      </w:r>
    </w:p>
    <w:p>
      <w:pPr>
        <w:pStyle w:val="Indenta"/>
      </w:pPr>
      <w:r>
        <w:tab/>
        <w:t>(e)</w:t>
      </w:r>
      <w:r>
        <w:tab/>
        <w:t>within 2 weeks after the conclusion of the conference, the plaintiff must file a report, signed by or on behalf of each party —</w:t>
      </w:r>
    </w:p>
    <w:p>
      <w:pPr>
        <w:pStyle w:val="Indenti"/>
      </w:pPr>
      <w:r>
        <w:tab/>
        <w:t>(i)</w:t>
      </w:r>
      <w:r>
        <w:tab/>
        <w:t>confirming that the conference has taken place as directed; and</w:t>
      </w:r>
    </w:p>
    <w:p>
      <w:pPr>
        <w:pStyle w:val="Indenti"/>
      </w:pPr>
      <w:r>
        <w:tab/>
        <w:t>(ii)</w:t>
      </w:r>
      <w:r>
        <w:tab/>
        <w:t>recording the substance of any resolution or narrowing of the points of difference between the parties resulting from the conference.</w:t>
      </w:r>
    </w:p>
    <w:p>
      <w:pPr>
        <w:pStyle w:val="Subsection"/>
      </w:pPr>
      <w:r>
        <w:tab/>
        <w:t>(5)</w:t>
      </w:r>
      <w:r>
        <w:tab/>
        <w:t xml:space="preserve">The mediator — </w:t>
      </w:r>
    </w:p>
    <w:p>
      <w:pPr>
        <w:pStyle w:val="Indenta"/>
      </w:pPr>
      <w:r>
        <w:tab/>
        <w:t>(a)</w:t>
      </w:r>
      <w:r>
        <w:tab/>
        <w:t>must not, unless the parties agree, report to the Court on the conference; but</w:t>
      </w:r>
    </w:p>
    <w:p>
      <w:pPr>
        <w:pStyle w:val="Indenta"/>
      </w:pPr>
      <w:r>
        <w:tab/>
        <w:t>(b)</w:t>
      </w:r>
      <w:r>
        <w:tab/>
        <w:t>whether or not the parties agree, may report to the Court on any failure by a party to cooperate in the conference.</w:t>
      </w:r>
    </w:p>
    <w:p>
      <w:pPr>
        <w:pStyle w:val="Subsection"/>
      </w:pPr>
      <w:r>
        <w:tab/>
        <w:t>(6)</w:t>
      </w:r>
      <w:r>
        <w:tab/>
        <w:t>A report given under subrule (5)(b) must not be disclosed to the trial judge except for the purposes of determining any question as to costs.</w:t>
      </w:r>
    </w:p>
    <w:p>
      <w:pPr>
        <w:pStyle w:val="Footnotesection"/>
      </w:pPr>
      <w:r>
        <w:tab/>
        <w:t>[Rule 8 inserted: Gazette 28 Jul 2010 p. 3449-50; amended: Gazette 16 Aug 2017 p. 4399</w:t>
      </w:r>
      <w:r>
        <w:noBreakHyphen/>
        <w:t>400; SL 2022/74 r. 15.]</w:t>
      </w:r>
    </w:p>
    <w:p>
      <w:pPr>
        <w:pStyle w:val="Heading5"/>
      </w:pPr>
      <w:bookmarkStart w:id="53" w:name="_Toc163120633"/>
      <w:r>
        <w:rPr>
          <w:rStyle w:val="CharSectno"/>
        </w:rPr>
        <w:lastRenderedPageBreak/>
        <w:t>9</w:t>
      </w:r>
      <w:r>
        <w:t>.</w:t>
      </w:r>
      <w:r>
        <w:tab/>
        <w:t>Referees</w:t>
      </w:r>
      <w:bookmarkEnd w:id="53"/>
    </w:p>
    <w:p>
      <w:pPr>
        <w:pStyle w:val="Subsection"/>
      </w:pPr>
      <w:r>
        <w:tab/>
        <w:t>(1)</w:t>
      </w:r>
      <w:r>
        <w:tab/>
        <w:t>This rule applies if the case manager for a case directs that a referee give the Court a report on any question or issue of fact.</w:t>
      </w:r>
    </w:p>
    <w:p>
      <w:pPr>
        <w:pStyle w:val="Subsection"/>
      </w:pPr>
      <w:r>
        <w:tab/>
        <w:t>(2)</w:t>
      </w:r>
      <w:r>
        <w:tab/>
        <w:t>The case manager may do any or all of the following —</w:t>
      </w:r>
    </w:p>
    <w:p>
      <w:pPr>
        <w:pStyle w:val="Indenta"/>
      </w:pPr>
      <w:r>
        <w:tab/>
        <w:t>(a)</w:t>
      </w:r>
      <w:r>
        <w:tab/>
        <w:t>appoint the referee;</w:t>
      </w:r>
    </w:p>
    <w:p>
      <w:pPr>
        <w:pStyle w:val="Indenta"/>
      </w:pPr>
      <w:r>
        <w:tab/>
        <w:t>(b)</w:t>
      </w:r>
      <w:r>
        <w:tab/>
        <w:t>give the referee instructions about the question or issue of fact referred and the report required;</w:t>
      </w:r>
    </w:p>
    <w:p>
      <w:pPr>
        <w:pStyle w:val="Indenta"/>
      </w:pPr>
      <w:r>
        <w:tab/>
        <w:t>(c)</w:t>
      </w:r>
      <w:r>
        <w:tab/>
        <w:t>give directions with respect to the conduct of proceedings before the referee;</w:t>
      </w:r>
    </w:p>
    <w:p>
      <w:pPr>
        <w:pStyle w:val="Indenta"/>
      </w:pPr>
      <w:r>
        <w:tab/>
        <w:t>(d)</w:t>
      </w:r>
      <w:r>
        <w:tab/>
        <w:t>give directions for the provision —</w:t>
      </w:r>
    </w:p>
    <w:p>
      <w:pPr>
        <w:pStyle w:val="Indenti"/>
      </w:pPr>
      <w:r>
        <w:tab/>
        <w:t>(i)</w:t>
      </w:r>
      <w:r>
        <w:tab/>
        <w:t>of services of officers of the Court;</w:t>
      </w:r>
    </w:p>
    <w:p>
      <w:pPr>
        <w:pStyle w:val="Indenti"/>
      </w:pPr>
      <w:r>
        <w:tab/>
        <w:t>(ii)</w:t>
      </w:r>
      <w:r>
        <w:tab/>
        <w:t>of courtrooms and other facilities,</w:t>
      </w:r>
    </w:p>
    <w:p>
      <w:pPr>
        <w:pStyle w:val="Indenta"/>
      </w:pPr>
      <w:r>
        <w:tab/>
      </w:r>
      <w:r>
        <w:tab/>
        <w:t>for the purpose of the referee;</w:t>
      </w:r>
    </w:p>
    <w:p>
      <w:pPr>
        <w:pStyle w:val="Indenta"/>
      </w:pPr>
      <w:r>
        <w:tab/>
        <w:t>(e)</w:t>
      </w:r>
      <w:r>
        <w:tab/>
        <w:t>vary or cancel a direction given under this subrule.</w:t>
      </w:r>
    </w:p>
    <w:p>
      <w:pPr>
        <w:pStyle w:val="Subsection"/>
      </w:pPr>
      <w:r>
        <w:tab/>
        <w:t>(3)</w:t>
      </w:r>
      <w:r>
        <w:tab/>
        <w:t>The case manager may —</w:t>
      </w:r>
    </w:p>
    <w:p>
      <w:pPr>
        <w:pStyle w:val="Indenta"/>
      </w:pPr>
      <w:r>
        <w:tab/>
        <w:t>(a)</w:t>
      </w:r>
      <w:r>
        <w:tab/>
        <w:t>determine the amount of the fees to be paid to the referee; and</w:t>
      </w:r>
    </w:p>
    <w:p>
      <w:pPr>
        <w:pStyle w:val="Indenta"/>
      </w:pPr>
      <w:r>
        <w:tab/>
        <w:t>(b)</w:t>
      </w:r>
      <w:r>
        <w:tab/>
        <w:t>direct how, when and by whom the whole or any part of the fees referred to in paragraph (a) are to be paid.</w:t>
      </w:r>
    </w:p>
    <w:p>
      <w:pPr>
        <w:pStyle w:val="Subsection"/>
      </w:pPr>
      <w:r>
        <w:tab/>
        <w:t>(4)</w:t>
      </w:r>
      <w:r>
        <w:tab/>
        <w:t>Evidence before the referee —</w:t>
      </w:r>
    </w:p>
    <w:p>
      <w:pPr>
        <w:pStyle w:val="Indenta"/>
      </w:pPr>
      <w:r>
        <w:tab/>
        <w:t>(a)</w:t>
      </w:r>
      <w:r>
        <w:tab/>
        <w:t>may be given orally or in writing; and</w:t>
      </w:r>
    </w:p>
    <w:p>
      <w:pPr>
        <w:pStyle w:val="Indenta"/>
      </w:pPr>
      <w:r>
        <w:tab/>
        <w:t>(b)</w:t>
      </w:r>
      <w:r>
        <w:tab/>
        <w:t>must, if the referee so requires, be given on oath or affirmation.</w:t>
      </w:r>
    </w:p>
    <w:p>
      <w:pPr>
        <w:pStyle w:val="Subsection"/>
      </w:pPr>
      <w:r>
        <w:tab/>
        <w:t>(5)</w:t>
      </w:r>
      <w:r>
        <w:tab/>
        <w:t>Evidence additional to the evidence taken before the referee cannot be adduced before the Court except with the leave of the Court.</w:t>
      </w:r>
    </w:p>
    <w:p>
      <w:pPr>
        <w:pStyle w:val="Footnotesection"/>
      </w:pPr>
      <w:r>
        <w:tab/>
        <w:t>[Rule 9 inserted: Gazette 28 Jul 2010 p. 3450-1; amended: Gazette 16 Aug 2017 p. 4400</w:t>
      </w:r>
      <w:r>
        <w:noBreakHyphen/>
        <w:t>1.]</w:t>
      </w:r>
    </w:p>
    <w:p>
      <w:pPr>
        <w:pStyle w:val="Heading3"/>
      </w:pPr>
      <w:bookmarkStart w:id="54" w:name="_Toc162940186"/>
      <w:bookmarkStart w:id="55" w:name="_Toc162952961"/>
      <w:bookmarkStart w:id="56" w:name="_Toc163120634"/>
      <w:r>
        <w:rPr>
          <w:rStyle w:val="CharDivNo"/>
        </w:rPr>
        <w:lastRenderedPageBreak/>
        <w:t>Division 3</w:t>
      </w:r>
      <w:r>
        <w:t> — </w:t>
      </w:r>
      <w:r>
        <w:rPr>
          <w:rStyle w:val="CharDivText"/>
        </w:rPr>
        <w:t>Cases on the CMC List</w:t>
      </w:r>
      <w:bookmarkEnd w:id="54"/>
      <w:bookmarkEnd w:id="55"/>
      <w:bookmarkEnd w:id="56"/>
    </w:p>
    <w:p>
      <w:pPr>
        <w:pStyle w:val="Footnoteheading"/>
      </w:pPr>
      <w:r>
        <w:tab/>
        <w:t>[Heading inserted: Gazette 28 Jul 2010 p. 3451.]</w:t>
      </w:r>
    </w:p>
    <w:p>
      <w:pPr>
        <w:pStyle w:val="Heading5"/>
      </w:pPr>
      <w:bookmarkStart w:id="57" w:name="_Toc163120635"/>
      <w:r>
        <w:rPr>
          <w:rStyle w:val="CharSectno"/>
        </w:rPr>
        <w:t>10</w:t>
      </w:r>
      <w:r>
        <w:t>.</w:t>
      </w:r>
      <w:r>
        <w:tab/>
        <w:t>Application of this Division</w:t>
      </w:r>
      <w:bookmarkEnd w:id="57"/>
    </w:p>
    <w:p>
      <w:pPr>
        <w:pStyle w:val="Subsection"/>
      </w:pPr>
      <w:r>
        <w:tab/>
      </w:r>
      <w:r>
        <w:tab/>
        <w:t>This Division applies to every CMC List case unless and to the extent it is directed otherwise by a CMC List case manager.</w:t>
      </w:r>
    </w:p>
    <w:p>
      <w:pPr>
        <w:pStyle w:val="Footnotesection"/>
      </w:pPr>
      <w:r>
        <w:tab/>
        <w:t>[Rule 10 inserted: Gazette 28 Jul 2010 p. 3451; amended: Gazette 16 Aug 2017 p. 4401.]</w:t>
      </w:r>
    </w:p>
    <w:p>
      <w:pPr>
        <w:pStyle w:val="Heading5"/>
      </w:pPr>
      <w:bookmarkStart w:id="58" w:name="_Toc163120636"/>
      <w:r>
        <w:rPr>
          <w:rStyle w:val="CharSectno"/>
        </w:rPr>
        <w:t>11</w:t>
      </w:r>
      <w:r>
        <w:t>.</w:t>
      </w:r>
      <w:r>
        <w:tab/>
        <w:t>Cases on CMC List</w:t>
      </w:r>
      <w:bookmarkEnd w:id="58"/>
    </w:p>
    <w:p>
      <w:pPr>
        <w:pStyle w:val="Subsection"/>
      </w:pPr>
      <w:r>
        <w:tab/>
      </w:r>
      <w:r>
        <w:tab/>
        <w:t>These cases are on the CMC List —</w:t>
      </w:r>
    </w:p>
    <w:p>
      <w:pPr>
        <w:pStyle w:val="Indenta"/>
      </w:pPr>
      <w:r>
        <w:tab/>
        <w:t>(a)</w:t>
      </w:r>
      <w:r>
        <w:tab/>
        <w:t>any case in which defamation is alleged;</w:t>
      </w:r>
    </w:p>
    <w:p>
      <w:pPr>
        <w:pStyle w:val="Indenta"/>
      </w:pPr>
      <w:r>
        <w:tab/>
        <w:t>(ba)</w:t>
      </w:r>
      <w:r>
        <w:tab/>
        <w:t>any case in which there is an application for —</w:t>
      </w:r>
    </w:p>
    <w:p>
      <w:pPr>
        <w:pStyle w:val="Indenti"/>
      </w:pPr>
      <w:r>
        <w:tab/>
        <w:t>(i)</w:t>
      </w:r>
      <w:r>
        <w:tab/>
        <w:t>judicial review to which Order 56 applies; or</w:t>
      </w:r>
    </w:p>
    <w:p>
      <w:pPr>
        <w:pStyle w:val="Indenti"/>
      </w:pPr>
      <w:r>
        <w:tab/>
        <w:t>(ii)</w:t>
      </w:r>
      <w:r>
        <w:tab/>
        <w:t xml:space="preserve">a review order under the </w:t>
      </w:r>
      <w:r>
        <w:rPr>
          <w:i/>
        </w:rPr>
        <w:t>Magistrates Court Act 2004</w:t>
      </w:r>
      <w:r>
        <w:t xml:space="preserve"> section 36; or</w:t>
      </w:r>
    </w:p>
    <w:p>
      <w:pPr>
        <w:pStyle w:val="Indenti"/>
      </w:pPr>
      <w:r>
        <w:tab/>
        <w:t>(iii)</w:t>
      </w:r>
      <w:r>
        <w:tab/>
        <w:t xml:space="preserve">a writ of habeas corpus or an information of </w:t>
      </w:r>
      <w:r>
        <w:rPr>
          <w:i/>
        </w:rPr>
        <w:t>quo warranto</w:t>
      </w:r>
      <w:r>
        <w:t>;</w:t>
      </w:r>
    </w:p>
    <w:p>
      <w:pPr>
        <w:pStyle w:val="Indenta"/>
      </w:pPr>
      <w:r>
        <w:tab/>
        <w:t>(b)</w:t>
      </w:r>
      <w:r>
        <w:tab/>
        <w:t>any case that is directed to be on the list under rule 13;</w:t>
      </w:r>
    </w:p>
    <w:p>
      <w:pPr>
        <w:pStyle w:val="Indenta"/>
      </w:pPr>
      <w:r>
        <w:tab/>
        <w:t>(ca)</w:t>
      </w:r>
      <w:r>
        <w:tab/>
        <w:t xml:space="preserve">any case involving proceedings to which the </w:t>
      </w:r>
      <w:r>
        <w:rPr>
          <w:i/>
        </w:rPr>
        <w:t>Supreme Court (Arbitration) Rules 2016</w:t>
      </w:r>
      <w:r>
        <w:t xml:space="preserve"> apply;</w:t>
      </w:r>
    </w:p>
    <w:p>
      <w:pPr>
        <w:pStyle w:val="Indenta"/>
      </w:pPr>
      <w:r>
        <w:tab/>
        <w:t>(c)</w:t>
      </w:r>
      <w:r>
        <w:tab/>
        <w:t xml:space="preserve">any case on the CMC List, as established administratively by the Court, immediately before the </w:t>
      </w:r>
      <w:r>
        <w:rPr>
          <w:i/>
        </w:rPr>
        <w:t>Supreme Court Amendment Rules </w:t>
      </w:r>
      <w:r>
        <w:rPr>
          <w:i/>
          <w:iCs/>
        </w:rPr>
        <w:t>2010</w:t>
      </w:r>
      <w:r>
        <w:t xml:space="preserve"> rule 5 comes into operation.</w:t>
      </w:r>
    </w:p>
    <w:p>
      <w:pPr>
        <w:pStyle w:val="Footnotesection"/>
      </w:pPr>
      <w:r>
        <w:tab/>
        <w:t>[Rule 11 inserted: Gazette 28 Jul 2010 p. 3451-2; amended: Gazette 15 Mar 2013 p. 1206; 23 Apr 2013 p. 1591 (disallowed: Gazette 1 Nov 2013 p. 4910); 17 Dec 2013 p. 6231; 16 Aug 2017 p. 4401.]</w:t>
      </w:r>
    </w:p>
    <w:p>
      <w:pPr>
        <w:pStyle w:val="Heading5"/>
        <w:spacing w:before="180"/>
      </w:pPr>
      <w:bookmarkStart w:id="59" w:name="_Toc163120637"/>
      <w:r>
        <w:rPr>
          <w:rStyle w:val="CharSectno"/>
        </w:rPr>
        <w:lastRenderedPageBreak/>
        <w:t>12</w:t>
      </w:r>
      <w:r>
        <w:t>.</w:t>
      </w:r>
      <w:r>
        <w:tab/>
        <w:t>Headings to documents</w:t>
      </w:r>
      <w:bookmarkEnd w:id="59"/>
    </w:p>
    <w:p>
      <w:pPr>
        <w:pStyle w:val="Subsection"/>
      </w:pPr>
      <w:r>
        <w:tab/>
      </w:r>
      <w:r>
        <w:tab/>
        <w:t>The heading of every document filed or issued in a CMC List case must include “Commercial and Managed Cases List” under “In the Supreme Court of Western Australia”.</w:t>
      </w:r>
    </w:p>
    <w:p>
      <w:pPr>
        <w:pStyle w:val="Footnotesection"/>
      </w:pPr>
      <w:r>
        <w:tab/>
        <w:t>[Rule 12 inserted: Gazette 28 Jul 2010 p. 3452.]</w:t>
      </w:r>
    </w:p>
    <w:p>
      <w:pPr>
        <w:pStyle w:val="Heading5"/>
      </w:pPr>
      <w:bookmarkStart w:id="60" w:name="_Toc163120638"/>
      <w:r>
        <w:rPr>
          <w:rStyle w:val="CharSectno"/>
        </w:rPr>
        <w:t>13</w:t>
      </w:r>
      <w:r>
        <w:t>.</w:t>
      </w:r>
      <w:r>
        <w:tab/>
        <w:t>CMC List case manager may direct case to be on or taken off CMC List</w:t>
      </w:r>
      <w:bookmarkEnd w:id="60"/>
    </w:p>
    <w:p>
      <w:pPr>
        <w:pStyle w:val="Subsection"/>
      </w:pPr>
      <w:r>
        <w:tab/>
        <w:t>(1)</w:t>
      </w:r>
      <w:r>
        <w:tab/>
        <w:t>Only a CMC List case manager can direct that a case be admitted to or taken off the CMC List.</w:t>
      </w:r>
    </w:p>
    <w:p>
      <w:pPr>
        <w:pStyle w:val="Subsection"/>
      </w:pPr>
      <w:r>
        <w:tab/>
        <w:t>(2)</w:t>
      </w:r>
      <w:r>
        <w:tab/>
        <w:t>A CMC List case manager, on the case manager’s own initiative or on a request made under rule 14, may direct a case to be admitted to the CMC List.</w:t>
      </w:r>
    </w:p>
    <w:p>
      <w:pPr>
        <w:pStyle w:val="Subsection"/>
      </w:pPr>
      <w:r>
        <w:tab/>
        <w:t>(3)</w:t>
      </w:r>
      <w:r>
        <w:tab/>
        <w:t>A CMC List case manager, on the case manager’s own initiative or on a request by a party, may direct a CMC List case to be taken off the CMC List.</w:t>
      </w:r>
    </w:p>
    <w:p>
      <w:pPr>
        <w:pStyle w:val="Footnotesection"/>
      </w:pPr>
      <w:r>
        <w:tab/>
        <w:t>[Rule 13 inserted: Gazette 16 Aug 2017 p. 4401</w:t>
      </w:r>
      <w:r>
        <w:noBreakHyphen/>
        <w:t>2.]</w:t>
      </w:r>
    </w:p>
    <w:p>
      <w:pPr>
        <w:pStyle w:val="Heading5"/>
      </w:pPr>
      <w:bookmarkStart w:id="61" w:name="_Toc163120639"/>
      <w:r>
        <w:rPr>
          <w:rStyle w:val="CharSectno"/>
        </w:rPr>
        <w:t>14</w:t>
      </w:r>
      <w:r>
        <w:t>.</w:t>
      </w:r>
      <w:r>
        <w:tab/>
        <w:t>Requesting case be put on CMC List</w:t>
      </w:r>
      <w:bookmarkEnd w:id="61"/>
    </w:p>
    <w:p>
      <w:pPr>
        <w:pStyle w:val="Subsection"/>
      </w:pPr>
      <w:r>
        <w:tab/>
        <w:t>(1)</w:t>
      </w:r>
      <w:r>
        <w:tab/>
        <w:t>A party to a case may request a direction that the case be admitted to the CMC List.</w:t>
      </w:r>
    </w:p>
    <w:p>
      <w:pPr>
        <w:pStyle w:val="Subsection"/>
      </w:pPr>
      <w:r>
        <w:tab/>
        <w:t>(2)</w:t>
      </w:r>
      <w:r>
        <w:tab/>
        <w:t xml:space="preserve">The request must not be made until after the first of the following events occurs — </w:t>
      </w:r>
    </w:p>
    <w:p>
      <w:pPr>
        <w:pStyle w:val="Indenta"/>
      </w:pPr>
      <w:r>
        <w:tab/>
        <w:t>(a)</w:t>
      </w:r>
      <w:r>
        <w:tab/>
        <w:t>an appearance has been entered by each party who is required to do so;</w:t>
      </w:r>
    </w:p>
    <w:p>
      <w:pPr>
        <w:pStyle w:val="Indenta"/>
      </w:pPr>
      <w:r>
        <w:tab/>
        <w:t>(b)</w:t>
      </w:r>
      <w:r>
        <w:tab/>
        <w:t>the time limited for appearing expires.</w:t>
      </w:r>
    </w:p>
    <w:p>
      <w:pPr>
        <w:pStyle w:val="Subsection"/>
      </w:pPr>
      <w:r>
        <w:tab/>
        <w:t>(3)</w:t>
      </w:r>
      <w:r>
        <w:tab/>
        <w:t xml:space="preserve">The request is a request under rule 5A and must — </w:t>
      </w:r>
    </w:p>
    <w:p>
      <w:pPr>
        <w:pStyle w:val="Indenta"/>
      </w:pPr>
      <w:r>
        <w:tab/>
        <w:t>(a)</w:t>
      </w:r>
      <w:r>
        <w:tab/>
        <w:t xml:space="preserve">be made by letter in accordance with rule 5B(1) and (2); and </w:t>
      </w:r>
    </w:p>
    <w:p>
      <w:pPr>
        <w:pStyle w:val="Indenta"/>
        <w:keepNext/>
      </w:pPr>
      <w:r>
        <w:lastRenderedPageBreak/>
        <w:tab/>
        <w:t>(b)</w:t>
      </w:r>
      <w:r>
        <w:tab/>
        <w:t xml:space="preserve">contain the email address (if any) — </w:t>
      </w:r>
    </w:p>
    <w:p>
      <w:pPr>
        <w:pStyle w:val="Indenti"/>
      </w:pPr>
      <w:r>
        <w:tab/>
        <w:t>(i)</w:t>
      </w:r>
      <w:r>
        <w:tab/>
        <w:t xml:space="preserve">of each party to the case, other than a party who is required to enter an appearance and has not; and </w:t>
      </w:r>
    </w:p>
    <w:p>
      <w:pPr>
        <w:pStyle w:val="Indenti"/>
      </w:pPr>
      <w:r>
        <w:tab/>
        <w:t>(ii)</w:t>
      </w:r>
      <w:r>
        <w:tab/>
        <w:t>that was provided by a party in accordance with Order 71A rule 3.</w:t>
      </w:r>
    </w:p>
    <w:p>
      <w:pPr>
        <w:pStyle w:val="Subsection"/>
      </w:pPr>
      <w:r>
        <w:tab/>
        <w:t>(4)</w:t>
      </w:r>
      <w:r>
        <w:tab/>
        <w:t>A request made under this rule must be decided by a CMC List case manager.</w:t>
      </w:r>
    </w:p>
    <w:p>
      <w:pPr>
        <w:pStyle w:val="Subsection"/>
      </w:pPr>
      <w:r>
        <w:tab/>
        <w:t>(5)</w:t>
      </w:r>
      <w:r>
        <w:tab/>
        <w:t>At the hearing of the request, the CMC List case manager, if satisfied the case should be subject to this Division, may direct the case be admitted to the CMC List unless a party shows cause why it should not be admitted.</w:t>
      </w:r>
    </w:p>
    <w:p>
      <w:pPr>
        <w:pStyle w:val="Footnotesection"/>
      </w:pPr>
      <w:r>
        <w:tab/>
        <w:t>[Rule 14 inserted: Gazette 16 Aug 2017 p. 4402.]</w:t>
      </w:r>
    </w:p>
    <w:p>
      <w:pPr>
        <w:pStyle w:val="Heading5"/>
      </w:pPr>
      <w:bookmarkStart w:id="62" w:name="_Toc163120640"/>
      <w:r>
        <w:rPr>
          <w:rStyle w:val="CharSectno"/>
        </w:rPr>
        <w:t>14A</w:t>
      </w:r>
      <w:r>
        <w:t>.</w:t>
      </w:r>
      <w:r>
        <w:tab/>
        <w:t>Strategic conferences</w:t>
      </w:r>
      <w:bookmarkEnd w:id="62"/>
    </w:p>
    <w:p>
      <w:pPr>
        <w:pStyle w:val="Subsection"/>
      </w:pPr>
      <w:r>
        <w:tab/>
        <w:t>(1)</w:t>
      </w:r>
      <w:r>
        <w:tab/>
        <w:t xml:space="preserve">In this rule — </w:t>
      </w:r>
    </w:p>
    <w:p>
      <w:pPr>
        <w:pStyle w:val="Defstart"/>
      </w:pPr>
      <w:r>
        <w:tab/>
      </w:r>
      <w:r>
        <w:rPr>
          <w:b/>
          <w:i/>
        </w:rPr>
        <w:t>strategic conference</w:t>
      </w:r>
      <w:r>
        <w:t xml:space="preserve"> means a conference at which it is to be demonstrated how a party to a case proposes to attain the objects referred to in Order 1 rule 4B(1).</w:t>
      </w:r>
    </w:p>
    <w:p>
      <w:pPr>
        <w:pStyle w:val="Subsection"/>
      </w:pPr>
      <w:r>
        <w:tab/>
        <w:t>(2)</w:t>
      </w:r>
      <w:r>
        <w:tab/>
        <w:t>The CMC List case manager may, by notice, direct that a strategic conference be held for the case.</w:t>
      </w:r>
    </w:p>
    <w:p>
      <w:pPr>
        <w:pStyle w:val="Subsection"/>
      </w:pPr>
      <w:r>
        <w:tab/>
        <w:t>(3)</w:t>
      </w:r>
      <w:r>
        <w:tab/>
        <w:t xml:space="preserve">The following persons must attend the conference unless the case manager directs otherwise — </w:t>
      </w:r>
    </w:p>
    <w:p>
      <w:pPr>
        <w:pStyle w:val="Indenta"/>
      </w:pPr>
      <w:r>
        <w:tab/>
        <w:t>(a)</w:t>
      </w:r>
      <w:r>
        <w:tab/>
        <w:t>each party to the case;</w:t>
      </w:r>
    </w:p>
    <w:p>
      <w:pPr>
        <w:pStyle w:val="Indenta"/>
      </w:pPr>
      <w:r>
        <w:tab/>
        <w:t>(b)</w:t>
      </w:r>
      <w:r>
        <w:tab/>
        <w:t>if a party is represented by a legal practitioner, the legal practitioner.</w:t>
      </w:r>
    </w:p>
    <w:p>
      <w:pPr>
        <w:pStyle w:val="Footnotesection"/>
      </w:pPr>
      <w:r>
        <w:tab/>
        <w:t>[Rule 14A inserted: Gazette 16 Aug 2017 p. 4403; amended: SL 2022/74 r. 15.]</w:t>
      </w:r>
    </w:p>
    <w:p>
      <w:pPr>
        <w:pStyle w:val="Heading5"/>
        <w:rPr>
          <w:snapToGrid w:val="0"/>
        </w:rPr>
      </w:pPr>
      <w:bookmarkStart w:id="63" w:name="_Toc163120641"/>
      <w:r>
        <w:rPr>
          <w:rStyle w:val="CharSectno"/>
        </w:rPr>
        <w:lastRenderedPageBreak/>
        <w:t>15</w:t>
      </w:r>
      <w:r>
        <w:t>.</w:t>
      </w:r>
      <w:r>
        <w:tab/>
        <w:t>Interlocutory hearings</w:t>
      </w:r>
      <w:bookmarkEnd w:id="63"/>
      <w:r>
        <w:t xml:space="preserve"> </w:t>
      </w:r>
    </w:p>
    <w:p>
      <w:pPr>
        <w:pStyle w:val="Subsection"/>
        <w:rPr>
          <w:snapToGrid w:val="0"/>
        </w:rPr>
      </w:pPr>
      <w:r>
        <w:tab/>
        <w:t>(1)</w:t>
      </w:r>
      <w:r>
        <w:tab/>
      </w:r>
      <w:r>
        <w:rPr>
          <w:snapToGrid w:val="0"/>
        </w:rPr>
        <w:t xml:space="preserve">The </w:t>
      </w:r>
      <w:r>
        <w:t>CMC List case manager may hear any interlocutory matter relating to the case, or may refer the matter to a</w:t>
      </w:r>
      <w:r>
        <w:rPr>
          <w:snapToGrid w:val="0"/>
        </w:rPr>
        <w:t xml:space="preserve"> judge or master for hearing who has and may exercise all powers of the case manager.</w:t>
      </w:r>
    </w:p>
    <w:p>
      <w:pPr>
        <w:pStyle w:val="Subsection"/>
      </w:pPr>
      <w:r>
        <w:tab/>
        <w:t>(2)</w:t>
      </w:r>
      <w:r>
        <w:tab/>
        <w:t>If the CMC List case manager is a master, subrule (1) is subject to Order 60 rule 1(3) and (4).</w:t>
      </w:r>
    </w:p>
    <w:p>
      <w:pPr>
        <w:pStyle w:val="Footnotesection"/>
      </w:pPr>
      <w:r>
        <w:tab/>
        <w:t>[Rule 15 inserted: Gazette 28 Jul 2010 p. 3453; amended: Gazette 13 Nov 2015 p. 4645; 16 Aug 2017 p. 4403.]</w:t>
      </w:r>
    </w:p>
    <w:p>
      <w:pPr>
        <w:pStyle w:val="Heading3"/>
      </w:pPr>
      <w:bookmarkStart w:id="64" w:name="_Toc162940194"/>
      <w:bookmarkStart w:id="65" w:name="_Toc162952969"/>
      <w:bookmarkStart w:id="66" w:name="_Toc163120642"/>
      <w:r>
        <w:rPr>
          <w:rStyle w:val="CharDivNo"/>
        </w:rPr>
        <w:t>Division 4</w:t>
      </w:r>
      <w:r>
        <w:t> — </w:t>
      </w:r>
      <w:r>
        <w:rPr>
          <w:rStyle w:val="CharDivText"/>
        </w:rPr>
        <w:t>Cases not on the CMC List</w:t>
      </w:r>
      <w:bookmarkEnd w:id="64"/>
      <w:bookmarkEnd w:id="65"/>
      <w:bookmarkEnd w:id="66"/>
    </w:p>
    <w:p>
      <w:pPr>
        <w:pStyle w:val="Footnoteheading"/>
        <w:keepNext/>
      </w:pPr>
      <w:r>
        <w:tab/>
        <w:t>[Heading inserted: Gazette 28 Jul 2010 p. 3453.]</w:t>
      </w:r>
    </w:p>
    <w:p>
      <w:pPr>
        <w:pStyle w:val="Heading5"/>
      </w:pPr>
      <w:bookmarkStart w:id="67" w:name="_Toc163120643"/>
      <w:r>
        <w:rPr>
          <w:rStyle w:val="CharSectno"/>
        </w:rPr>
        <w:t>16</w:t>
      </w:r>
      <w:r>
        <w:t>.</w:t>
      </w:r>
      <w:r>
        <w:tab/>
        <w:t>Application of this Division</w:t>
      </w:r>
      <w:bookmarkEnd w:id="67"/>
    </w:p>
    <w:p>
      <w:pPr>
        <w:pStyle w:val="Subsection"/>
      </w:pPr>
      <w:r>
        <w:tab/>
      </w:r>
      <w:r>
        <w:tab/>
        <w:t>This Division applies to every case that is not on the CMC List unless and to the extent it is ordered otherwise by a judge or master.</w:t>
      </w:r>
    </w:p>
    <w:p>
      <w:pPr>
        <w:pStyle w:val="Footnotesection"/>
      </w:pPr>
      <w:r>
        <w:tab/>
        <w:t>[Rule 16 inserted: Gazette 28 Jul 2010 p. 3453.]</w:t>
      </w:r>
    </w:p>
    <w:p>
      <w:pPr>
        <w:pStyle w:val="Ednotesection"/>
      </w:pPr>
      <w:r>
        <w:t>[</w:t>
      </w:r>
      <w:r>
        <w:rPr>
          <w:b/>
        </w:rPr>
        <w:t>17.</w:t>
      </w:r>
      <w:r>
        <w:tab/>
        <w:t>Deleted: Gazette 16 Aug 2017 p. 4404.]</w:t>
      </w:r>
    </w:p>
    <w:p>
      <w:pPr>
        <w:pStyle w:val="Heading5"/>
      </w:pPr>
      <w:bookmarkStart w:id="68" w:name="_Toc163120644"/>
      <w:r>
        <w:rPr>
          <w:rStyle w:val="CharSectno"/>
        </w:rPr>
        <w:t>18</w:t>
      </w:r>
      <w:r>
        <w:t>.</w:t>
      </w:r>
      <w:r>
        <w:tab/>
        <w:t>Case management conferences for cases not on CMC List</w:t>
      </w:r>
      <w:bookmarkEnd w:id="68"/>
    </w:p>
    <w:p>
      <w:pPr>
        <w:pStyle w:val="Subsection"/>
      </w:pPr>
      <w:r>
        <w:tab/>
        <w:t>(1)</w:t>
      </w:r>
      <w:r>
        <w:tab/>
        <w:t>The case manager for a case may, by notice, direct that the first case management conference be held for the case.</w:t>
      </w:r>
    </w:p>
    <w:p>
      <w:pPr>
        <w:pStyle w:val="Subsection"/>
      </w:pPr>
      <w:r>
        <w:tab/>
        <w:t>(2)</w:t>
      </w:r>
      <w:r>
        <w:tab/>
        <w:t xml:space="preserve">The following persons must attend the first case management conference for a case unless the case manager directs otherwise — </w:t>
      </w:r>
    </w:p>
    <w:p>
      <w:pPr>
        <w:pStyle w:val="Indenta"/>
      </w:pPr>
      <w:r>
        <w:tab/>
        <w:t>(a)</w:t>
      </w:r>
      <w:r>
        <w:tab/>
        <w:t xml:space="preserve">each party to the case; </w:t>
      </w:r>
    </w:p>
    <w:p>
      <w:pPr>
        <w:pStyle w:val="Indenta"/>
      </w:pPr>
      <w:r>
        <w:tab/>
        <w:t>(b)</w:t>
      </w:r>
      <w:r>
        <w:tab/>
        <w:t>if a party is represented by a legal practitioner, the legal practitioner.</w:t>
      </w:r>
    </w:p>
    <w:p>
      <w:pPr>
        <w:pStyle w:val="Subsection"/>
      </w:pPr>
      <w:r>
        <w:tab/>
        <w:t>(3)</w:t>
      </w:r>
      <w:r>
        <w:tab/>
        <w:t xml:space="preserve">At any case management conference the case manager may inquire into the following — </w:t>
      </w:r>
    </w:p>
    <w:p>
      <w:pPr>
        <w:pStyle w:val="Indenta"/>
      </w:pPr>
      <w:r>
        <w:lastRenderedPageBreak/>
        <w:tab/>
        <w:t>(a)</w:t>
      </w:r>
      <w:r>
        <w:tab/>
        <w:t>whether pleadings or any specified pleadings are necessary;</w:t>
      </w:r>
    </w:p>
    <w:p>
      <w:pPr>
        <w:pStyle w:val="Indenta"/>
      </w:pPr>
      <w:r>
        <w:tab/>
        <w:t>(b)</w:t>
      </w:r>
      <w:r>
        <w:tab/>
        <w:t>the state of the pleadings and whether the times prescribed by these rules for pleadings are being complied with and if not, the reasons for the non</w:t>
      </w:r>
      <w:r>
        <w:noBreakHyphen/>
        <w:t>compliance;</w:t>
      </w:r>
    </w:p>
    <w:p>
      <w:pPr>
        <w:pStyle w:val="Indenta"/>
      </w:pPr>
      <w:r>
        <w:tab/>
        <w:t>(c)</w:t>
      </w:r>
      <w:r>
        <w:tab/>
        <w:t>whether any party intends to commence third party or similar proceedings under Order 19;</w:t>
      </w:r>
    </w:p>
    <w:p>
      <w:pPr>
        <w:pStyle w:val="Indenta"/>
      </w:pPr>
      <w:r>
        <w:tab/>
        <w:t>(d)</w:t>
      </w:r>
      <w:r>
        <w:tab/>
        <w:t>whether any party intends to require discovery and inspection under Order 26;</w:t>
      </w:r>
    </w:p>
    <w:p>
      <w:pPr>
        <w:pStyle w:val="Indenta"/>
      </w:pPr>
      <w:r>
        <w:tab/>
        <w:t>(e)</w:t>
      </w:r>
      <w:r>
        <w:tab/>
        <w:t>whether any party intends to interrogate under Order 27;</w:t>
      </w:r>
    </w:p>
    <w:p>
      <w:pPr>
        <w:pStyle w:val="Indenta"/>
      </w:pPr>
      <w:r>
        <w:tab/>
        <w:t>(f)</w:t>
      </w:r>
      <w:r>
        <w:tab/>
        <w:t>whether any party intends to adduce expert evidence at the trial;</w:t>
      </w:r>
    </w:p>
    <w:p>
      <w:pPr>
        <w:pStyle w:val="Indenta"/>
      </w:pPr>
      <w:r>
        <w:tab/>
        <w:t>(g)</w:t>
      </w:r>
      <w:r>
        <w:tab/>
        <w:t>whether a conference of the parties with a mediator is needed and if so, when;</w:t>
      </w:r>
    </w:p>
    <w:p>
      <w:pPr>
        <w:pStyle w:val="Indenta"/>
      </w:pPr>
      <w:r>
        <w:tab/>
        <w:t>(h)</w:t>
      </w:r>
      <w:r>
        <w:tab/>
        <w:t>the likely length of the trial;</w:t>
      </w:r>
    </w:p>
    <w:p>
      <w:pPr>
        <w:pStyle w:val="Indenta"/>
      </w:pPr>
      <w:r>
        <w:tab/>
        <w:t>(i)</w:t>
      </w:r>
      <w:r>
        <w:tab/>
        <w:t>any other matter relevant to ensuring the case is managed in accordance with Order 1 rule 4B.</w:t>
      </w:r>
    </w:p>
    <w:p>
      <w:pPr>
        <w:pStyle w:val="Subsection"/>
      </w:pPr>
      <w:r>
        <w:tab/>
        <w:t>(4)</w:t>
      </w:r>
      <w:r>
        <w:tab/>
        <w:t>A case is not to be entered for trial unless the case manager has conducted a full case evaluation at one or more case management conferences for the case.</w:t>
      </w:r>
    </w:p>
    <w:p>
      <w:pPr>
        <w:pStyle w:val="Subsection"/>
      </w:pPr>
      <w:r>
        <w:tab/>
        <w:t>(5)</w:t>
      </w:r>
      <w:r>
        <w:tab/>
        <w:t>The case manager may, at the request of a party, or on the case manager’s own initiative, make a direction that subrule (4) does not apply to the case.</w:t>
      </w:r>
    </w:p>
    <w:p>
      <w:pPr>
        <w:pStyle w:val="Subsection"/>
      </w:pPr>
      <w:r>
        <w:tab/>
        <w:t>(6)</w:t>
      </w:r>
      <w:r>
        <w:tab/>
        <w:t>The case manager may conduct a full case evaluation referred to in subrule (4) by inquiring into the following —</w:t>
      </w:r>
    </w:p>
    <w:p>
      <w:pPr>
        <w:pStyle w:val="Indenta"/>
      </w:pPr>
      <w:r>
        <w:tab/>
        <w:t>(a)</w:t>
      </w:r>
      <w:r>
        <w:tab/>
        <w:t>the state of the pleadings and if they are not closed, the reasons for that;</w:t>
      </w:r>
    </w:p>
    <w:p>
      <w:pPr>
        <w:pStyle w:val="Indenta"/>
      </w:pPr>
      <w:r>
        <w:tab/>
        <w:t>(b)</w:t>
      </w:r>
      <w:r>
        <w:tab/>
        <w:t>whether a conference of the parties with a mediator is needed and if so, when;</w:t>
      </w:r>
    </w:p>
    <w:p>
      <w:pPr>
        <w:pStyle w:val="Indenta"/>
      </w:pPr>
      <w:r>
        <w:lastRenderedPageBreak/>
        <w:tab/>
        <w:t>(c)</w:t>
      </w:r>
      <w:r>
        <w:tab/>
        <w:t>the content of any report or document containing expert evidence or the substance of expert evidence and whether a conference between experts is needed;</w:t>
      </w:r>
    </w:p>
    <w:p>
      <w:pPr>
        <w:pStyle w:val="Indenta"/>
      </w:pPr>
      <w:r>
        <w:tab/>
        <w:t>(d)</w:t>
      </w:r>
      <w:r>
        <w:tab/>
        <w:t>whether the case, at the time of the listing conference, will be ready for trial and if not, the reasons for not being ready;</w:t>
      </w:r>
    </w:p>
    <w:p>
      <w:pPr>
        <w:pStyle w:val="Indenta"/>
      </w:pPr>
      <w:r>
        <w:tab/>
        <w:t>(e)</w:t>
      </w:r>
      <w:r>
        <w:tab/>
        <w:t>whether the estimated length of the trial is still accurate;</w:t>
      </w:r>
    </w:p>
    <w:p>
      <w:pPr>
        <w:pStyle w:val="Indenta"/>
      </w:pPr>
      <w:r>
        <w:tab/>
        <w:t>(f)</w:t>
      </w:r>
      <w:r>
        <w:tab/>
        <w:t>the number of witnesses to be called at the trial, whether there are any known difficulties as to the availability of any witness and the estimated time it will take for each witness to give evidence;</w:t>
      </w:r>
    </w:p>
    <w:p>
      <w:pPr>
        <w:pStyle w:val="Indenta"/>
      </w:pPr>
      <w:r>
        <w:tab/>
        <w:t>(g)</w:t>
      </w:r>
      <w:r>
        <w:tab/>
        <w:t>the administrative resources likely to be needed for the trial.</w:t>
      </w:r>
    </w:p>
    <w:p>
      <w:pPr>
        <w:pStyle w:val="Subsection"/>
      </w:pPr>
      <w:r>
        <w:tab/>
        <w:t>(7)</w:t>
      </w:r>
      <w:r>
        <w:tab/>
        <w:t>The first and any other case management conference may be held even if, at the time of the case management conference, not all parties to the case have been served with the originating process or have entered appearances.</w:t>
      </w:r>
    </w:p>
    <w:p>
      <w:pPr>
        <w:pStyle w:val="Footnotesection"/>
      </w:pPr>
      <w:r>
        <w:tab/>
        <w:t>[Rule 18 inserted: Gazette 16 Aug 2017 p. 4404</w:t>
      </w:r>
      <w:r>
        <w:noBreakHyphen/>
        <w:t>6; amended: SL 2022/74 r. 15.]</w:t>
      </w:r>
    </w:p>
    <w:p>
      <w:pPr>
        <w:pStyle w:val="Heading5"/>
      </w:pPr>
      <w:bookmarkStart w:id="69" w:name="_Toc163120645"/>
      <w:r>
        <w:rPr>
          <w:rStyle w:val="CharSectno"/>
        </w:rPr>
        <w:t>19</w:t>
      </w:r>
      <w:r>
        <w:t>.</w:t>
      </w:r>
      <w:r>
        <w:tab/>
        <w:t>Powers of case manager at case management conferences for cases not on CMC List</w:t>
      </w:r>
      <w:bookmarkEnd w:id="69"/>
    </w:p>
    <w:p>
      <w:pPr>
        <w:pStyle w:val="Subsection"/>
      </w:pPr>
      <w:r>
        <w:tab/>
        <w:t>(1)</w:t>
      </w:r>
      <w:r>
        <w:tab/>
        <w:t>At any case management conference the case manager may at the request of a party or on the case manager’s own initiative do one or more of the following —</w:t>
      </w:r>
    </w:p>
    <w:p>
      <w:pPr>
        <w:pStyle w:val="Indenta"/>
      </w:pPr>
      <w:r>
        <w:tab/>
        <w:t>(a)</w:t>
      </w:r>
      <w:r>
        <w:tab/>
        <w:t>make any interlocutory order the case manager considers just;</w:t>
      </w:r>
    </w:p>
    <w:p>
      <w:pPr>
        <w:pStyle w:val="Indenta"/>
      </w:pPr>
      <w:r>
        <w:tab/>
        <w:t>(b)</w:t>
      </w:r>
      <w:r>
        <w:tab/>
        <w:t>make any case management direction the case manager considers just;</w:t>
      </w:r>
    </w:p>
    <w:p>
      <w:pPr>
        <w:pStyle w:val="Indenta"/>
      </w:pPr>
      <w:r>
        <w:tab/>
        <w:t>(c)</w:t>
      </w:r>
      <w:r>
        <w:tab/>
        <w:t>make any enforcement order the case manager considers just.</w:t>
      </w:r>
    </w:p>
    <w:p>
      <w:pPr>
        <w:pStyle w:val="Subsection"/>
      </w:pPr>
      <w:r>
        <w:tab/>
        <w:t>(2)</w:t>
      </w:r>
      <w:r>
        <w:tab/>
        <w:t>If the case manager is a master, subrule (1) is subject to Order 60 rule 1(3) and (4).</w:t>
      </w:r>
    </w:p>
    <w:p>
      <w:pPr>
        <w:pStyle w:val="Subsection"/>
      </w:pPr>
      <w:r>
        <w:lastRenderedPageBreak/>
        <w:tab/>
        <w:t>(3)</w:t>
      </w:r>
      <w:r>
        <w:tab/>
        <w:t>If the case manager is a registrar, subrule (1) is subject to Order 60A rule 2(2), (3) and (4).</w:t>
      </w:r>
    </w:p>
    <w:p>
      <w:pPr>
        <w:pStyle w:val="Subsection"/>
      </w:pPr>
      <w:r>
        <w:tab/>
        <w:t>(4)</w:t>
      </w:r>
      <w:r>
        <w:tab/>
        <w:t>The case manager may at the request of a party or on the case manager’s own initiative, arrange for one or more further case management conferences to be held but any further case management conference must not be held on or after the date of the listing conference.</w:t>
      </w:r>
    </w:p>
    <w:p>
      <w:pPr>
        <w:pStyle w:val="Subsection"/>
      </w:pPr>
      <w:r>
        <w:tab/>
        <w:t>(5)</w:t>
      </w:r>
      <w:r>
        <w:tab/>
        <w:t>The case manager may at the request of a party or on the case manager’s own initiative, adjourn any case management conference from time to time but not to a date on or after the date of the listing conference.</w:t>
      </w:r>
    </w:p>
    <w:p>
      <w:pPr>
        <w:pStyle w:val="Footnotesection"/>
      </w:pPr>
      <w:r>
        <w:tab/>
        <w:t>[Rule 19 inserted: Gazette 16 Aug 2017 p. 4406</w:t>
      </w:r>
      <w:r>
        <w:noBreakHyphen/>
        <w:t>7.]</w:t>
      </w:r>
    </w:p>
    <w:p>
      <w:pPr>
        <w:pStyle w:val="Heading5"/>
      </w:pPr>
      <w:bookmarkStart w:id="70" w:name="_Toc163120646"/>
      <w:r>
        <w:rPr>
          <w:rStyle w:val="CharSectno"/>
        </w:rPr>
        <w:t>20</w:t>
      </w:r>
      <w:r>
        <w:t>.</w:t>
      </w:r>
      <w:r>
        <w:tab/>
        <w:t>Listing conference</w:t>
      </w:r>
      <w:bookmarkEnd w:id="70"/>
    </w:p>
    <w:p>
      <w:pPr>
        <w:pStyle w:val="Subsection"/>
        <w:keepNext/>
      </w:pPr>
      <w:r>
        <w:tab/>
        <w:t>(1)</w:t>
      </w:r>
      <w:r>
        <w:tab/>
        <w:t>A listing conference shall be held before a judge in chambers.</w:t>
      </w:r>
    </w:p>
    <w:p>
      <w:pPr>
        <w:pStyle w:val="Subsection"/>
      </w:pPr>
      <w:r>
        <w:tab/>
        <w:t>(2)</w:t>
      </w:r>
      <w: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pPr>
      <w:r>
        <w:tab/>
        <w:t>(3)</w:t>
      </w:r>
      <w:r>
        <w:tab/>
        <w:t>At the listing conference the judge may review the documents on the Court file and inquire into these matters —</w:t>
      </w:r>
    </w:p>
    <w:p>
      <w:pPr>
        <w:pStyle w:val="Indenta"/>
      </w:pPr>
      <w:r>
        <w:tab/>
        <w:t>(a)</w:t>
      </w:r>
      <w:r>
        <w:tab/>
        <w:t>whether the case can be settled;</w:t>
      </w:r>
    </w:p>
    <w:p>
      <w:pPr>
        <w:pStyle w:val="Indenta"/>
      </w:pPr>
      <w:r>
        <w:tab/>
        <w:t>(b)</w:t>
      </w:r>
      <w:r>
        <w:tab/>
        <w:t>which documents will be admitted at trial by consent;</w:t>
      </w:r>
    </w:p>
    <w:p>
      <w:pPr>
        <w:pStyle w:val="Indenta"/>
      </w:pPr>
      <w:r>
        <w:tab/>
        <w:t>(c)</w:t>
      </w:r>
      <w:r>
        <w:tab/>
        <w:t>the number of witnesses to be called at the trial, whether there are any known difficulties as to the availability of any witness, and the estimated time it will take for them to give their evidence in chief;</w:t>
      </w:r>
    </w:p>
    <w:p>
      <w:pPr>
        <w:pStyle w:val="Indenta"/>
      </w:pPr>
      <w:r>
        <w:tab/>
        <w:t>(d)</w:t>
      </w:r>
      <w:r>
        <w:tab/>
        <w:t>whether the case in all respects is ready to go to trial.</w:t>
      </w:r>
    </w:p>
    <w:p>
      <w:pPr>
        <w:pStyle w:val="Subsection"/>
      </w:pPr>
      <w:r>
        <w:tab/>
        <w:t>(4)</w:t>
      </w:r>
      <w:r>
        <w:tab/>
        <w:t>At the listing conference the judge may do any or all of the following —</w:t>
      </w:r>
    </w:p>
    <w:p>
      <w:pPr>
        <w:pStyle w:val="Indenta"/>
      </w:pPr>
      <w:r>
        <w:lastRenderedPageBreak/>
        <w:tab/>
        <w:t>(a)</w:t>
      </w:r>
      <w:r>
        <w:tab/>
        <w:t>make any case management direction the judge considers just;</w:t>
      </w:r>
    </w:p>
    <w:p>
      <w:pPr>
        <w:pStyle w:val="Indenta"/>
      </w:pPr>
      <w:r>
        <w:tab/>
        <w:t>(b)</w:t>
      </w:r>
      <w:r>
        <w:tab/>
        <w:t>amend or cancel any case management direction made previously;</w:t>
      </w:r>
    </w:p>
    <w:p>
      <w:pPr>
        <w:pStyle w:val="Indenta"/>
        <w:keepNext/>
      </w:pPr>
      <w:r>
        <w:tab/>
        <w:t>(c)</w:t>
      </w:r>
      <w:r>
        <w:tab/>
        <w:t xml:space="preserve">if the judge considers it is convenient to do so to facilitate the preparation for, or the conduct of, the trial, or is otherwise desirable — </w:t>
      </w:r>
    </w:p>
    <w:p>
      <w:pPr>
        <w:pStyle w:val="Indenti"/>
      </w:pPr>
      <w:r>
        <w:tab/>
        <w:t>(i)</w:t>
      </w:r>
      <w:r>
        <w:tab/>
        <w:t>after giving notice to the parties, determine any question of law; or</w:t>
      </w:r>
    </w:p>
    <w:p>
      <w:pPr>
        <w:pStyle w:val="Indenti"/>
      </w:pPr>
      <w:r>
        <w:tab/>
        <w:t>(ii)</w:t>
      </w:r>
      <w:r>
        <w:tab/>
        <w:t>determine any question of procedure.</w:t>
      </w:r>
    </w:p>
    <w:p>
      <w:pPr>
        <w:pStyle w:val="Subsection"/>
      </w:pPr>
      <w:r>
        <w:tab/>
        <w:t>(5)</w:t>
      </w:r>
      <w:r>
        <w:tab/>
        <w:t>The judge may adjourn the listing conference from time to time.</w:t>
      </w:r>
    </w:p>
    <w:p>
      <w:pPr>
        <w:pStyle w:val="Subsection"/>
      </w:pPr>
      <w:r>
        <w:tab/>
        <w:t>(6)</w:t>
      </w:r>
      <w:r>
        <w:tab/>
        <w:t>At the listing conference the judge may fix the date of the trial of the case and the length of the trial.</w:t>
      </w:r>
    </w:p>
    <w:p>
      <w:pPr>
        <w:pStyle w:val="Footnotesection"/>
      </w:pPr>
      <w:r>
        <w:tab/>
        <w:t>[Rule 20 inserted: Gazette 28 Jul 2010 p. 3458-9.]</w:t>
      </w:r>
    </w:p>
    <w:p>
      <w:pPr>
        <w:pStyle w:val="Heading3"/>
      </w:pPr>
      <w:bookmarkStart w:id="71" w:name="_Toc162940199"/>
      <w:bookmarkStart w:id="72" w:name="_Toc162952974"/>
      <w:bookmarkStart w:id="73" w:name="_Toc163120647"/>
      <w:r>
        <w:rPr>
          <w:rStyle w:val="CharDivNo"/>
        </w:rPr>
        <w:t>Division 5</w:t>
      </w:r>
      <w:r>
        <w:t> — </w:t>
      </w:r>
      <w:r>
        <w:rPr>
          <w:rStyle w:val="CharDivText"/>
        </w:rPr>
        <w:t>Inactive Cases List</w:t>
      </w:r>
      <w:bookmarkEnd w:id="71"/>
      <w:bookmarkEnd w:id="72"/>
      <w:bookmarkEnd w:id="73"/>
    </w:p>
    <w:p>
      <w:pPr>
        <w:pStyle w:val="Footnoteheading"/>
      </w:pPr>
      <w:r>
        <w:tab/>
        <w:t>[Heading inserted: Gazette 28 Jul 2010 p. 3459.]</w:t>
      </w:r>
    </w:p>
    <w:p>
      <w:pPr>
        <w:pStyle w:val="Heading5"/>
      </w:pPr>
      <w:bookmarkStart w:id="74" w:name="_Toc163120648"/>
      <w:r>
        <w:rPr>
          <w:rStyle w:val="CharSectno"/>
        </w:rPr>
        <w:t>21</w:t>
      </w:r>
      <w:r>
        <w:t>.</w:t>
      </w:r>
      <w:r>
        <w:tab/>
        <w:t>Term used: Inactive Cases List</w:t>
      </w:r>
      <w:bookmarkEnd w:id="74"/>
    </w:p>
    <w:p>
      <w:pPr>
        <w:pStyle w:val="Subsection"/>
      </w:pPr>
      <w:r>
        <w:tab/>
      </w:r>
      <w:r>
        <w:tab/>
        <w:t>In this Division —</w:t>
      </w:r>
    </w:p>
    <w:p>
      <w:pPr>
        <w:pStyle w:val="Defstart"/>
      </w:pPr>
      <w:r>
        <w:rPr>
          <w:b/>
        </w:rPr>
        <w:tab/>
      </w:r>
      <w:r>
        <w:rPr>
          <w:rStyle w:val="CharDefText"/>
        </w:rPr>
        <w:t>Inactive Cases List</w:t>
      </w:r>
      <w:r>
        <w:t xml:space="preserve"> means a list of inactive cases kept by the Principal Registrar for the purposes of this Division.</w:t>
      </w:r>
    </w:p>
    <w:p>
      <w:pPr>
        <w:pStyle w:val="Footnotesection"/>
      </w:pPr>
      <w:r>
        <w:tab/>
        <w:t>[Rule 21 inserted: Gazette 28 Jul 2010 p. 3459; amended: Gazette 16 Aug 2017 p. 4407.]</w:t>
      </w:r>
    </w:p>
    <w:p>
      <w:pPr>
        <w:pStyle w:val="Heading5"/>
      </w:pPr>
      <w:bookmarkStart w:id="75" w:name="_Toc163120649"/>
      <w:r>
        <w:rPr>
          <w:rStyle w:val="CharSectno"/>
        </w:rPr>
        <w:t>22</w:t>
      </w:r>
      <w:r>
        <w:t>.</w:t>
      </w:r>
      <w:r>
        <w:tab/>
        <w:t>Case manager may direct party to show cause</w:t>
      </w:r>
      <w:bookmarkEnd w:id="75"/>
    </w:p>
    <w:p>
      <w:pPr>
        <w:pStyle w:val="Subsection"/>
      </w:pPr>
      <w:r>
        <w:tab/>
        <w:t>(1)</w:t>
      </w:r>
      <w:r>
        <w:tab/>
        <w:t>The case manager for a case may at any time, by notice, direct the parties to attend a hearing before a case manager to show cause why the case should not be put on the Inactive Cases List.</w:t>
      </w:r>
    </w:p>
    <w:p>
      <w:pPr>
        <w:pStyle w:val="Subsection"/>
      </w:pPr>
      <w:r>
        <w:tab/>
        <w:t>(2)</w:t>
      </w:r>
      <w:r>
        <w:tab/>
        <w:t>The date of the hearing must be at least 7 days after the date on which the direction is made.</w:t>
      </w:r>
    </w:p>
    <w:p>
      <w:pPr>
        <w:pStyle w:val="Subsection"/>
      </w:pPr>
      <w:r>
        <w:lastRenderedPageBreak/>
        <w:tab/>
        <w:t>(3)</w:t>
      </w:r>
      <w:r>
        <w:tab/>
        <w:t>The direction  does not prevent any party to the case from taking any procedural step in the case.</w:t>
      </w:r>
    </w:p>
    <w:p>
      <w:pPr>
        <w:pStyle w:val="Subsection"/>
      </w:pPr>
      <w:r>
        <w:tab/>
        <w:t>(4)</w:t>
      </w:r>
      <w:r>
        <w:tab/>
        <w:t>At the hearing the case manager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r>
        <w:tab/>
        <w:t>[Rule 22 inserted: Gazette 16 Aug 2017 p. 4407.]</w:t>
      </w:r>
    </w:p>
    <w:p>
      <w:pPr>
        <w:pStyle w:val="Heading5"/>
      </w:pPr>
      <w:bookmarkStart w:id="76" w:name="_Toc163120650"/>
      <w:r>
        <w:rPr>
          <w:rStyle w:val="CharSectno"/>
        </w:rPr>
        <w:t>23</w:t>
      </w:r>
      <w:r>
        <w:t>.</w:t>
      </w:r>
      <w:r>
        <w:tab/>
        <w:t>Springing order that case be put on Inactive Cases List</w:t>
      </w:r>
      <w:bookmarkEnd w:id="76"/>
    </w:p>
    <w:p>
      <w:pPr>
        <w:pStyle w:val="Subsection"/>
      </w:pPr>
      <w:r>
        <w:tab/>
        <w:t>(1)</w:t>
      </w:r>
      <w:r>
        <w:tab/>
        <w:t>A judge, master or registrar making an interlocutory order or case management direction in a case may include an order that unless the interlocutory order or direction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ind w:left="890" w:hanging="890"/>
      </w:pPr>
      <w:r>
        <w:tab/>
        <w:t>[Rule 23 inserted: Gazette 28 Jul 2010 p. 3460.]</w:t>
      </w:r>
    </w:p>
    <w:p>
      <w:pPr>
        <w:pStyle w:val="Heading5"/>
        <w:spacing w:before="180"/>
      </w:pPr>
      <w:bookmarkStart w:id="77" w:name="_Toc163120651"/>
      <w:r>
        <w:rPr>
          <w:rStyle w:val="CharSectno"/>
        </w:rPr>
        <w:t>24</w:t>
      </w:r>
      <w:r>
        <w:t>.</w:t>
      </w:r>
      <w:r>
        <w:tab/>
        <w:t>Cases inactive for 12 months deemed inactive</w:t>
      </w:r>
      <w:bookmarkEnd w:id="77"/>
    </w:p>
    <w:p>
      <w:pPr>
        <w:pStyle w:val="Subsection"/>
        <w:spacing w:before="120"/>
      </w:pPr>
      <w:r>
        <w:tab/>
      </w:r>
      <w:r>
        <w:tab/>
        <w:t>If no procedural step is taken in a case for 12 months by any party to the case, the case is taken to be inactive unless the case manager for the case orders otherwise.</w:t>
      </w:r>
    </w:p>
    <w:p>
      <w:pPr>
        <w:pStyle w:val="Footnotesection"/>
      </w:pPr>
      <w:r>
        <w:tab/>
        <w:t>[Rule 24 inserted: Gazette 28 Jul 2010 p. 3460.]</w:t>
      </w:r>
    </w:p>
    <w:p>
      <w:pPr>
        <w:pStyle w:val="Heading5"/>
      </w:pPr>
      <w:bookmarkStart w:id="78" w:name="_Toc163120652"/>
      <w:r>
        <w:rPr>
          <w:rStyle w:val="CharSectno"/>
        </w:rPr>
        <w:t>25</w:t>
      </w:r>
      <w:r>
        <w:t>.</w:t>
      </w:r>
      <w:r>
        <w:tab/>
        <w:t>Parties to be notified of case being on Inactive Cases List</w:t>
      </w:r>
      <w:bookmarkEnd w:id="78"/>
    </w:p>
    <w:p>
      <w:pPr>
        <w:pStyle w:val="Subsection"/>
      </w:pPr>
      <w:r>
        <w:tab/>
        <w:t>(1)</w:t>
      </w:r>
      <w:r>
        <w:tab/>
        <w:t xml:space="preserve">When an order is made under rule 22(4), or an order made under rule 23(1) takes effect, or a case is taken to be inactive under rule 24, the Principal Registrar must — </w:t>
      </w:r>
    </w:p>
    <w:p>
      <w:pPr>
        <w:pStyle w:val="Indenta"/>
      </w:pPr>
      <w:r>
        <w:tab/>
        <w:t>(a)</w:t>
      </w:r>
      <w:r>
        <w:tab/>
        <w:t>put the case on the Inactive Cases List; and</w:t>
      </w:r>
    </w:p>
    <w:p>
      <w:pPr>
        <w:pStyle w:val="Indenta"/>
      </w:pPr>
      <w:r>
        <w:tab/>
        <w:t>(b)</w:t>
      </w:r>
      <w:r>
        <w:tab/>
        <w:t xml:space="preserve">give all parties to the case written notice of — </w:t>
      </w:r>
    </w:p>
    <w:p>
      <w:pPr>
        <w:pStyle w:val="Indenti"/>
      </w:pPr>
      <w:r>
        <w:lastRenderedPageBreak/>
        <w:tab/>
        <w:t>(i)</w:t>
      </w:r>
      <w:r>
        <w:tab/>
        <w:t>the fact that the case is on the Inactive Cases List and why; and</w:t>
      </w:r>
    </w:p>
    <w:p>
      <w:pPr>
        <w:pStyle w:val="Indenti"/>
      </w:pPr>
      <w:r>
        <w:tab/>
        <w:t>(ii)</w:t>
      </w:r>
      <w:r>
        <w:tab/>
        <w:t>the effect of rule 28.</w:t>
      </w:r>
    </w:p>
    <w:p>
      <w:pPr>
        <w:pStyle w:val="Subsection"/>
      </w:pPr>
      <w:r>
        <w:tab/>
        <w:t>(2)</w:t>
      </w:r>
      <w:r>
        <w:tab/>
        <w:t xml:space="preserve">If under subrule (1)(b) written notice is given to a party to the case by giving the notice to a legal practitioner for the party, the legal practitioner must, as soon as practicable after receiving the notice, notify the party of — </w:t>
      </w:r>
    </w:p>
    <w:p>
      <w:pPr>
        <w:pStyle w:val="Indenta"/>
      </w:pPr>
      <w:r>
        <w:tab/>
        <w:t>(a)</w:t>
      </w:r>
      <w:r>
        <w:tab/>
        <w:t>the fact that the case is on the Inactive Cases List and why; and</w:t>
      </w:r>
    </w:p>
    <w:p>
      <w:pPr>
        <w:pStyle w:val="Indenta"/>
      </w:pPr>
      <w:r>
        <w:tab/>
        <w:t>(b)</w:t>
      </w:r>
      <w:r>
        <w:tab/>
        <w:t>the effect of rule 28.</w:t>
      </w:r>
    </w:p>
    <w:p>
      <w:pPr>
        <w:pStyle w:val="Footnotesection"/>
      </w:pPr>
      <w:r>
        <w:tab/>
        <w:t>[Rule 25 inserted: Gazette 16 Aug 2017 p. 4408; SL 2022/74 r. 15.]</w:t>
      </w:r>
    </w:p>
    <w:p>
      <w:pPr>
        <w:pStyle w:val="Heading5"/>
        <w:spacing w:before="180"/>
      </w:pPr>
      <w:bookmarkStart w:id="79" w:name="_Toc163120653"/>
      <w:r>
        <w:rPr>
          <w:rStyle w:val="CharSectno"/>
        </w:rPr>
        <w:t>26</w:t>
      </w:r>
      <w:r>
        <w:t>.</w:t>
      </w:r>
      <w:r>
        <w:tab/>
        <w:t>Consequences of case being on Inactive Cases List</w:t>
      </w:r>
      <w:bookmarkEnd w:id="79"/>
    </w:p>
    <w:p>
      <w:pPr>
        <w:pStyle w:val="Subsection"/>
      </w:pPr>
      <w:r>
        <w:tab/>
        <w:t>(1)</w:t>
      </w:r>
      <w:r>
        <w:tab/>
        <w:t>If a case is on the Inactive Cases List, only these documents may be filed in the Court in relation to the case —</w:t>
      </w:r>
    </w:p>
    <w:p>
      <w:pPr>
        <w:pStyle w:val="Indenta"/>
      </w:pPr>
      <w:r>
        <w:tab/>
        <w:t>(a)</w:t>
      </w:r>
      <w:r>
        <w:tab/>
        <w:t>a request for an order under rule 27(1);</w:t>
      </w:r>
    </w:p>
    <w:p>
      <w:pPr>
        <w:pStyle w:val="Indenta"/>
      </w:pPr>
      <w:r>
        <w:tab/>
        <w:t>(b)</w:t>
      </w:r>
      <w:r>
        <w:tab/>
        <w:t>a notice of discontinuance by the plaintiff under Order 23 rule 2;</w:t>
      </w:r>
    </w:p>
    <w:p>
      <w:pPr>
        <w:pStyle w:val="Indenta"/>
      </w:pPr>
      <w:r>
        <w:tab/>
        <w:t>(c)</w:t>
      </w:r>
      <w:r>
        <w:tab/>
        <w:t>a request made by the plaintiff or the defendant for leave under Order 23 rule 2;</w:t>
      </w:r>
    </w:p>
    <w:p>
      <w:pPr>
        <w:pStyle w:val="Indenta"/>
      </w:pPr>
      <w:r>
        <w:tab/>
        <w:t>(d)</w:t>
      </w:r>
      <w:r>
        <w:tab/>
        <w:t>a written consent under Order 43 rule 16 to the making of an order that would finally dispose of the case.</w:t>
      </w:r>
    </w:p>
    <w:p>
      <w:pPr>
        <w:pStyle w:val="Subsection"/>
      </w:pPr>
      <w:r>
        <w:tab/>
        <w:t>(2)</w:t>
      </w:r>
      <w:r>
        <w:tab/>
        <w:t>If the plaintiff or defendant in a case on the Inactive Cases List files a request for leave under Order 23 rule 2, the Court may grant leave under that rule even though the case has not been removed from that list.</w:t>
      </w:r>
    </w:p>
    <w:p>
      <w:pPr>
        <w:pStyle w:val="Subsection"/>
      </w:pPr>
      <w:r>
        <w:tab/>
        <w:t>(3)</w:t>
      </w:r>
      <w:r>
        <w:tab/>
        <w:t>If a written consent is filed under Order 43 rule 16 to the making of an order in a case on the Inactive Cases List that would finally dispose of the case, the Court may make the order even though the case has not been removed from that list.</w:t>
      </w:r>
    </w:p>
    <w:p>
      <w:pPr>
        <w:pStyle w:val="Footnotesection"/>
      </w:pPr>
      <w:r>
        <w:lastRenderedPageBreak/>
        <w:tab/>
        <w:t>[Rule 26 inserted: Gazette 12 Jun 2012 p. 2445-6; amended: Gazette 16 Aug 2017 p. 4408</w:t>
      </w:r>
      <w:r>
        <w:noBreakHyphen/>
        <w:t>9.]</w:t>
      </w:r>
    </w:p>
    <w:p>
      <w:pPr>
        <w:pStyle w:val="Heading5"/>
      </w:pPr>
      <w:bookmarkStart w:id="80" w:name="_Toc163120654"/>
      <w:r>
        <w:rPr>
          <w:rStyle w:val="CharSectno"/>
        </w:rPr>
        <w:t>27</w:t>
      </w:r>
      <w:r>
        <w:t>.</w:t>
      </w:r>
      <w:r>
        <w:tab/>
        <w:t>Removing cases from Inactive Cases List</w:t>
      </w:r>
      <w:bookmarkEnd w:id="80"/>
    </w:p>
    <w:p>
      <w:pPr>
        <w:pStyle w:val="Subsection"/>
      </w:pPr>
      <w:r>
        <w:tab/>
        <w:t>(1)</w:t>
      </w:r>
      <w:r>
        <w:tab/>
        <w:t>Any party to a case on the Inactive Cases List may make a request to the Court for an order that the case be taken off the Inactive Cases List.</w:t>
      </w:r>
    </w:p>
    <w:p>
      <w:pPr>
        <w:pStyle w:val="Subsection"/>
      </w:pPr>
      <w:r>
        <w:tab/>
        <w:t>(2)</w:t>
      </w:r>
      <w:r>
        <w:tab/>
        <w:t>The Court may order a case be taken off the Inactive Cases List if satisfied the case will be conducted in a timely way or for any other good reason.</w:t>
      </w:r>
    </w:p>
    <w:p>
      <w:pPr>
        <w:pStyle w:val="Subsection"/>
      </w:pPr>
      <w:r>
        <w:tab/>
        <w:t>(3)</w:t>
      </w:r>
      <w:r>
        <w:tab/>
        <w:t>An order that a case be taken off the Inactive Cases List may include any conditions necessary to ensure the case is conducted in a timely way.</w:t>
      </w:r>
    </w:p>
    <w:p>
      <w:pPr>
        <w:pStyle w:val="Footnotesection"/>
      </w:pPr>
      <w:r>
        <w:tab/>
        <w:t>[Rule 27 inserted: Gazette 28 Jul 2010 p. 3461; amended: Gazette 16 Aug 2017 p. 4409.]</w:t>
      </w:r>
    </w:p>
    <w:p>
      <w:pPr>
        <w:pStyle w:val="Heading5"/>
      </w:pPr>
      <w:bookmarkStart w:id="81" w:name="_Toc163120655"/>
      <w:r>
        <w:rPr>
          <w:rStyle w:val="CharSectno"/>
        </w:rPr>
        <w:t>28</w:t>
      </w:r>
      <w:r>
        <w:t>.</w:t>
      </w:r>
      <w:r>
        <w:tab/>
        <w:t>Certain cases taken to have been dismissed</w:t>
      </w:r>
      <w:bookmarkEnd w:id="81"/>
    </w:p>
    <w:p>
      <w:pPr>
        <w:pStyle w:val="Subsection"/>
      </w:pPr>
      <w:r>
        <w:tab/>
        <w:t>(1)</w:t>
      </w:r>
      <w:r>
        <w:tab/>
        <w:t>If a case is on the Inactive Cases List for 6 continuous months after the date on which notice is given under rule 25(1)(b) to the parties to the case, the case is taken to have been dismissed for want of prosecution.</w:t>
      </w:r>
    </w:p>
    <w:p>
      <w:pPr>
        <w:pStyle w:val="Subsection"/>
      </w:pPr>
      <w:r>
        <w:tab/>
        <w:t>(1A)</w:t>
      </w:r>
      <w:r>
        <w:tab/>
        <w:t>If notice is given under rule 25(1)(b) to different parties to the case on different dates, then, for the purposes of subrule (1), notice is taken to have been given on the last of those dates.</w:t>
      </w:r>
    </w:p>
    <w:p>
      <w:pPr>
        <w:pStyle w:val="Subsection"/>
      </w:pPr>
      <w:r>
        <w:tab/>
        <w:t>(2)</w:t>
      </w:r>
      <w:r>
        <w:tab/>
        <w:t>If no procedural step (except an application to dismiss the case for want of prosecution) is taken in the 6 months after the date on which a case is ordered to be taken off the Inactive Cases List, the case is taken to have been dismissed for want of prosecution.</w:t>
      </w:r>
    </w:p>
    <w:p>
      <w:pPr>
        <w:pStyle w:val="Subsection"/>
      </w:pPr>
      <w:r>
        <w:tab/>
        <w:t>(3)</w:t>
      </w:r>
      <w:r>
        <w:tab/>
        <w:t>If under subrule (1) or (2) a case is dismissed, the Principal Registrar must give all parties to the case written notice of the fact.</w:t>
      </w:r>
    </w:p>
    <w:p>
      <w:pPr>
        <w:pStyle w:val="Subsection"/>
      </w:pPr>
      <w:r>
        <w:lastRenderedPageBreak/>
        <w:tab/>
        <w:t>(4)</w:t>
      </w:r>
      <w:r>
        <w:tab/>
        <w:t>Notwithstanding a case is dismissed under subrule (1) or (2) —</w:t>
      </w:r>
    </w:p>
    <w:p>
      <w:pPr>
        <w:pStyle w:val="Indenta"/>
      </w:pPr>
      <w:r>
        <w:tab/>
        <w:t>(a)</w:t>
      </w:r>
      <w:r>
        <w:tab/>
        <w:t>any party to the case may apply for an order for costs; and</w:t>
      </w:r>
    </w:p>
    <w:p>
      <w:pPr>
        <w:pStyle w:val="Indenta"/>
      </w:pPr>
      <w:r>
        <w:tab/>
        <w:t>(b)</w:t>
      </w:r>
      <w:r>
        <w:tab/>
        <w:t>the Court may make an order as to costs.</w:t>
      </w:r>
    </w:p>
    <w:p>
      <w:pPr>
        <w:pStyle w:val="Footnotesection"/>
      </w:pPr>
      <w:r>
        <w:tab/>
        <w:t>[Rule 28 inserted: Gazette 28 Jul 2010 p. 3461; amended: Gazette 12 Jun 2012 p. 2446; 16 Aug 2017 p. 4409.]</w:t>
      </w:r>
    </w:p>
    <w:p>
      <w:pPr>
        <w:pStyle w:val="Heading2"/>
        <w:rPr>
          <w:b w:val="0"/>
        </w:rPr>
      </w:pPr>
      <w:bookmarkStart w:id="82" w:name="_Toc162940208"/>
      <w:bookmarkStart w:id="83" w:name="_Toc162952983"/>
      <w:bookmarkStart w:id="84" w:name="_Toc163120656"/>
      <w:r>
        <w:rPr>
          <w:rStyle w:val="CharPartNo"/>
        </w:rPr>
        <w:lastRenderedPageBreak/>
        <w:t>Order 4</w:t>
      </w:r>
      <w:r>
        <w:rPr>
          <w:rStyle w:val="CharDivNo"/>
        </w:rPr>
        <w:t> </w:t>
      </w:r>
      <w:r>
        <w:t>—</w:t>
      </w:r>
      <w:r>
        <w:rPr>
          <w:rStyle w:val="CharDivText"/>
        </w:rPr>
        <w:t> </w:t>
      </w:r>
      <w:r>
        <w:rPr>
          <w:rStyle w:val="CharPartText"/>
        </w:rPr>
        <w:t>Mode of commencing proceedings: applications in pending proceedings</w:t>
      </w:r>
      <w:bookmarkEnd w:id="82"/>
      <w:bookmarkEnd w:id="83"/>
      <w:bookmarkEnd w:id="84"/>
    </w:p>
    <w:p>
      <w:pPr>
        <w:pStyle w:val="Heading5"/>
        <w:rPr>
          <w:snapToGrid w:val="0"/>
        </w:rPr>
      </w:pPr>
      <w:bookmarkStart w:id="85" w:name="_Toc163120657"/>
      <w:r>
        <w:rPr>
          <w:rStyle w:val="CharSectno"/>
        </w:rPr>
        <w:t>1</w:t>
      </w:r>
      <w:r>
        <w:rPr>
          <w:snapToGrid w:val="0"/>
        </w:rPr>
        <w:t>.</w:t>
      </w:r>
      <w:r>
        <w:rPr>
          <w:snapToGrid w:val="0"/>
        </w:rPr>
        <w:tab/>
        <w:t>Commencing civil proceedings</w:t>
      </w:r>
      <w:bookmarkEnd w:id="85"/>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86" w:name="_Toc163120658"/>
      <w:r>
        <w:rPr>
          <w:rStyle w:val="CharSectno"/>
        </w:rPr>
        <w:t>2</w:t>
      </w:r>
      <w:r>
        <w:t>.</w:t>
      </w:r>
      <w:r>
        <w:tab/>
        <w:t>Applications in pending proceedings</w:t>
      </w:r>
      <w:bookmarkEnd w:id="86"/>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Gazette 28 Oct 1996 p. 5674.] </w:t>
      </w:r>
    </w:p>
    <w:p>
      <w:pPr>
        <w:pStyle w:val="Heading5"/>
        <w:rPr>
          <w:snapToGrid w:val="0"/>
        </w:rPr>
      </w:pPr>
      <w:bookmarkStart w:id="87" w:name="_Toc163120659"/>
      <w:r>
        <w:rPr>
          <w:rStyle w:val="CharSectno"/>
        </w:rPr>
        <w:t>3</w:t>
      </w:r>
      <w:r>
        <w:rPr>
          <w:snapToGrid w:val="0"/>
        </w:rPr>
        <w:t>.</w:t>
      </w:r>
      <w:r>
        <w:rPr>
          <w:snapToGrid w:val="0"/>
        </w:rPr>
        <w:tab/>
        <w:t>Individual may act in person or by solicitor; body corporate must act by solicitor</w:t>
      </w:r>
      <w:bookmarkEnd w:id="87"/>
    </w:p>
    <w:p>
      <w:pPr>
        <w:pStyle w:val="Subsection"/>
      </w:pPr>
      <w:r>
        <w:tab/>
        <w:t>(1)</w:t>
      </w:r>
      <w:r>
        <w:tab/>
        <w:t>Subject to subrule (2) and to Order 18 rule 12, Order 18A rule 2 and Order 70 rule 2, any person (whether or not the person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Footnotesection"/>
      </w:pPr>
      <w:r>
        <w:tab/>
        <w:t>[Rule 3 amended: Gazette 28 Jun 2011 p. 2552; SL 2023/16 r. 4.]</w:t>
      </w:r>
    </w:p>
    <w:p>
      <w:pPr>
        <w:pStyle w:val="Heading2"/>
      </w:pPr>
      <w:bookmarkStart w:id="88" w:name="_Toc162940212"/>
      <w:bookmarkStart w:id="89" w:name="_Toc162952987"/>
      <w:bookmarkStart w:id="90" w:name="_Toc163120660"/>
      <w:r>
        <w:rPr>
          <w:rStyle w:val="CharPartNo"/>
        </w:rPr>
        <w:lastRenderedPageBreak/>
        <w:t>Order 4AA</w:t>
      </w:r>
      <w:r>
        <w:rPr>
          <w:rStyle w:val="CharDivNo"/>
        </w:rPr>
        <w:t> </w:t>
      </w:r>
      <w:r>
        <w:t>—</w:t>
      </w:r>
      <w:r>
        <w:rPr>
          <w:rStyle w:val="CharDivText"/>
        </w:rPr>
        <w:t> </w:t>
      </w:r>
      <w:r>
        <w:rPr>
          <w:rStyle w:val="CharPartText"/>
        </w:rPr>
        <w:t>Mortgage actions</w:t>
      </w:r>
      <w:bookmarkEnd w:id="88"/>
      <w:bookmarkEnd w:id="89"/>
      <w:bookmarkEnd w:id="90"/>
    </w:p>
    <w:p>
      <w:pPr>
        <w:pStyle w:val="Footnoteheading"/>
      </w:pPr>
      <w:r>
        <w:tab/>
        <w:t>[Heading inserted: Gazette 16 Nov 2016 p. 5186.]</w:t>
      </w:r>
    </w:p>
    <w:p>
      <w:pPr>
        <w:pStyle w:val="Heading5"/>
      </w:pPr>
      <w:bookmarkStart w:id="91" w:name="_Toc163120661"/>
      <w:r>
        <w:rPr>
          <w:rStyle w:val="CharSectno"/>
        </w:rPr>
        <w:t>1</w:t>
      </w:r>
      <w:r>
        <w:t>.</w:t>
      </w:r>
      <w:r>
        <w:tab/>
        <w:t>Terms used</w:t>
      </w:r>
      <w:bookmarkEnd w:id="91"/>
    </w:p>
    <w:p>
      <w:pPr>
        <w:pStyle w:val="Subsection"/>
      </w:pPr>
      <w:r>
        <w:tab/>
        <w:t>(1)</w:t>
      </w:r>
      <w:r>
        <w:tab/>
        <w:t xml:space="preserve">In this Order — </w:t>
      </w:r>
    </w:p>
    <w:p>
      <w:pPr>
        <w:pStyle w:val="Defstart"/>
      </w:pPr>
      <w:r>
        <w:tab/>
      </w:r>
      <w:r>
        <w:rPr>
          <w:rStyle w:val="CharDefText"/>
        </w:rPr>
        <w:t>mortgage</w:t>
      </w:r>
      <w:r>
        <w:t xml:space="preserve"> includes a legal and an equitable mortgage and a legal and an equitable charge, whether or not the mortgage or charge is registered under the </w:t>
      </w:r>
      <w:r>
        <w:rPr>
          <w:i/>
        </w:rPr>
        <w:t>Transfer of Land Act 1893</w:t>
      </w:r>
      <w:r>
        <w:t>;</w:t>
      </w:r>
    </w:p>
    <w:p>
      <w:pPr>
        <w:pStyle w:val="Defstart"/>
      </w:pPr>
      <w:r>
        <w:tab/>
      </w:r>
      <w:r>
        <w:rPr>
          <w:rStyle w:val="CharDefText"/>
        </w:rPr>
        <w:t>mortgage action</w:t>
      </w:r>
      <w:r>
        <w:t xml:space="preserve"> means proceedings to which this Order applies.</w:t>
      </w:r>
    </w:p>
    <w:p>
      <w:pPr>
        <w:pStyle w:val="Subsection"/>
      </w:pPr>
      <w:r>
        <w:tab/>
        <w:t>(2)</w:t>
      </w:r>
      <w:r>
        <w:tab/>
        <w:t xml:space="preserve">In this Order, </w:t>
      </w:r>
      <w:r>
        <w:rPr>
          <w:rStyle w:val="CharDefText"/>
        </w:rPr>
        <w:t>mortgagee</w:t>
      </w:r>
      <w:r>
        <w:t xml:space="preserve"> and </w:t>
      </w:r>
      <w:r>
        <w:rPr>
          <w:rStyle w:val="CharDefText"/>
        </w:rPr>
        <w:t>mortgagor</w:t>
      </w:r>
      <w:r>
        <w:t xml:space="preserve"> have meanings that correspond to the meaning of </w:t>
      </w:r>
      <w:r>
        <w:rPr>
          <w:b/>
          <w:i/>
        </w:rPr>
        <w:t>mortgage</w:t>
      </w:r>
      <w:r>
        <w:t>.</w:t>
      </w:r>
    </w:p>
    <w:p>
      <w:pPr>
        <w:pStyle w:val="Footnotesection"/>
      </w:pPr>
      <w:r>
        <w:tab/>
        <w:t>[Rule 1 inserted: Gazette 16 Nov 2016 p. 5186.]</w:t>
      </w:r>
    </w:p>
    <w:p>
      <w:pPr>
        <w:pStyle w:val="Heading5"/>
      </w:pPr>
      <w:bookmarkStart w:id="92" w:name="_Toc163120662"/>
      <w:r>
        <w:rPr>
          <w:rStyle w:val="CharSectno"/>
        </w:rPr>
        <w:t>2</w:t>
      </w:r>
      <w:r>
        <w:t>.</w:t>
      </w:r>
      <w:r>
        <w:tab/>
        <w:t>Application</w:t>
      </w:r>
      <w:bookmarkEnd w:id="92"/>
    </w:p>
    <w:p>
      <w:pPr>
        <w:pStyle w:val="Subsection"/>
      </w:pPr>
      <w:r>
        <w:tab/>
        <w:t>(1)</w:t>
      </w:r>
      <w:r>
        <w:tab/>
        <w:t xml:space="preserve">This Order applies to any proceedings by a mortgagee or mortgagor, or by any person who has the right to foreclose or redeem any mortgage, if in the proceedings there is a claim for relief of any of the following kinds — </w:t>
      </w:r>
    </w:p>
    <w:p>
      <w:pPr>
        <w:pStyle w:val="Indenta"/>
      </w:pPr>
      <w:r>
        <w:tab/>
        <w:t>(a)</w:t>
      </w:r>
      <w:r>
        <w:tab/>
        <w:t xml:space="preserve">delivery of possession (whether before or after foreclosure or without foreclosure) to the mortgagee by — </w:t>
      </w:r>
    </w:p>
    <w:p>
      <w:pPr>
        <w:pStyle w:val="Indenti"/>
      </w:pPr>
      <w:r>
        <w:tab/>
        <w:t>(i)</w:t>
      </w:r>
      <w:r>
        <w:tab/>
        <w:t>the mortgagor; or</w:t>
      </w:r>
    </w:p>
    <w:p>
      <w:pPr>
        <w:pStyle w:val="Indenti"/>
      </w:pPr>
      <w:r>
        <w:tab/>
        <w:t>(ii)</w:t>
      </w:r>
      <w:r>
        <w:tab/>
        <w:t>any other person who is, or is alleged to be, in possession of the property;</w:t>
      </w:r>
    </w:p>
    <w:p>
      <w:pPr>
        <w:pStyle w:val="Indenta"/>
      </w:pPr>
      <w:r>
        <w:tab/>
        <w:t>(b)</w:t>
      </w:r>
      <w:r>
        <w:tab/>
        <w:t>foreclosure;</w:t>
      </w:r>
    </w:p>
    <w:p>
      <w:pPr>
        <w:pStyle w:val="Indenta"/>
      </w:pPr>
      <w:r>
        <w:tab/>
        <w:t>(c)</w:t>
      </w:r>
      <w:r>
        <w:tab/>
        <w:t>sale of the mortgaged property;</w:t>
      </w:r>
    </w:p>
    <w:p>
      <w:pPr>
        <w:pStyle w:val="Indenta"/>
      </w:pPr>
      <w:r>
        <w:tab/>
        <w:t>(d)</w:t>
      </w:r>
      <w:r>
        <w:tab/>
        <w:t>redemption;</w:t>
      </w:r>
    </w:p>
    <w:p>
      <w:pPr>
        <w:pStyle w:val="Indenta"/>
      </w:pPr>
      <w:r>
        <w:tab/>
        <w:t>(e)</w:t>
      </w:r>
      <w:r>
        <w:tab/>
        <w:t>reconveyance of the property or its release from the security;</w:t>
      </w:r>
    </w:p>
    <w:p>
      <w:pPr>
        <w:pStyle w:val="Indenta"/>
      </w:pPr>
      <w:r>
        <w:tab/>
        <w:t>(f)</w:t>
      </w:r>
      <w:r>
        <w:tab/>
        <w:t>delivery of possession by the mortgagee.</w:t>
      </w:r>
    </w:p>
    <w:p>
      <w:pPr>
        <w:pStyle w:val="Subsection"/>
      </w:pPr>
      <w:r>
        <w:lastRenderedPageBreak/>
        <w:tab/>
        <w:t>(2)</w:t>
      </w:r>
      <w:r>
        <w:tab/>
        <w:t xml:space="preserve">Nothing in this Order extends or affects the powers of sale or foreclosure conferred by the </w:t>
      </w:r>
      <w:r>
        <w:rPr>
          <w:i/>
        </w:rPr>
        <w:t>Transfer of Land Act 1893</w:t>
      </w:r>
      <w:r>
        <w:t xml:space="preserve"> Part IV Division 3.</w:t>
      </w:r>
    </w:p>
    <w:p>
      <w:pPr>
        <w:pStyle w:val="Footnotesection"/>
      </w:pPr>
      <w:r>
        <w:tab/>
        <w:t>[Rule 2 inserted: Gazette 16 Nov 2016 p. 5186</w:t>
      </w:r>
      <w:r>
        <w:noBreakHyphen/>
        <w:t>7.]</w:t>
      </w:r>
    </w:p>
    <w:p>
      <w:pPr>
        <w:pStyle w:val="Heading5"/>
      </w:pPr>
      <w:bookmarkStart w:id="93" w:name="_Toc163120663"/>
      <w:r>
        <w:rPr>
          <w:rStyle w:val="CharSectno"/>
        </w:rPr>
        <w:t>3</w:t>
      </w:r>
      <w:r>
        <w:t>.</w:t>
      </w:r>
      <w:r>
        <w:tab/>
        <w:t>Commencing mortgage actions</w:t>
      </w:r>
      <w:bookmarkEnd w:id="93"/>
    </w:p>
    <w:p>
      <w:pPr>
        <w:pStyle w:val="Subsection"/>
      </w:pPr>
      <w:r>
        <w:tab/>
        <w:t>(1)</w:t>
      </w:r>
      <w:r>
        <w:tab/>
        <w:t>A mortgage action must be begun by writ unless the mortgage action is a defendant’s application for an order for delivery of possession referred to in subrule (3).</w:t>
      </w:r>
    </w:p>
    <w:p>
      <w:pPr>
        <w:pStyle w:val="Subsection"/>
      </w:pPr>
      <w:r>
        <w:tab/>
        <w:t>(2)</w:t>
      </w:r>
      <w:r>
        <w:tab/>
        <w:t>If the writ is indorsed with a claim for relief of a kind referred to in rule 2(1)(a), (b) or (c), a notice in Form 4 must be attached to the front of the writ when the writ is served.</w:t>
      </w:r>
    </w:p>
    <w:p>
      <w:pPr>
        <w:pStyle w:val="Subsection"/>
      </w:pPr>
      <w:r>
        <w:tab/>
        <w:t>(3)</w:t>
      </w:r>
      <w:r>
        <w:tab/>
        <w:t xml:space="preserve">A defendant in a mortgage action for redemption may apply by motion or summons for an order for delivery to the defendant of possession of the mortgaged property if — </w:t>
      </w:r>
    </w:p>
    <w:p>
      <w:pPr>
        <w:pStyle w:val="Indenta"/>
      </w:pPr>
      <w:r>
        <w:tab/>
        <w:t>(a)</w:t>
      </w:r>
      <w:r>
        <w:tab/>
        <w:t>the plaintiff has failed to redeem; and</w:t>
      </w:r>
    </w:p>
    <w:p>
      <w:pPr>
        <w:pStyle w:val="Indenta"/>
      </w:pPr>
      <w:r>
        <w:tab/>
        <w:t>(b)</w:t>
      </w:r>
      <w:r>
        <w:tab/>
        <w:t>foreclosure has taken place.</w:t>
      </w:r>
    </w:p>
    <w:p>
      <w:pPr>
        <w:pStyle w:val="Subsection"/>
      </w:pPr>
      <w:r>
        <w:tab/>
        <w:t>(4)</w:t>
      </w:r>
      <w:r>
        <w:tab/>
        <w:t>On an application made under subrule (3) the Court may make whatever order it thinks fit.</w:t>
      </w:r>
    </w:p>
    <w:p>
      <w:pPr>
        <w:pStyle w:val="Footnotesection"/>
      </w:pPr>
      <w:r>
        <w:tab/>
        <w:t>[Rule 3 inserted: Gazette 16 Nov 2016 p. 5187.]</w:t>
      </w:r>
    </w:p>
    <w:p>
      <w:pPr>
        <w:pStyle w:val="Heading5"/>
      </w:pPr>
      <w:bookmarkStart w:id="94" w:name="_Toc163120664"/>
      <w:r>
        <w:rPr>
          <w:rStyle w:val="CharSectno"/>
        </w:rPr>
        <w:t>4</w:t>
      </w:r>
      <w:r>
        <w:t>.</w:t>
      </w:r>
      <w:r>
        <w:tab/>
        <w:t>Transitional provision for former Order 62A</w:t>
      </w:r>
      <w:bookmarkEnd w:id="94"/>
    </w:p>
    <w:p>
      <w:pPr>
        <w:pStyle w:val="Subsection"/>
      </w:pPr>
      <w:r>
        <w:tab/>
        <w:t>(1)</w:t>
      </w:r>
      <w:r>
        <w:tab/>
        <w:t xml:space="preserve">In this rule — </w:t>
      </w:r>
    </w:p>
    <w:p>
      <w:pPr>
        <w:pStyle w:val="Defstart"/>
      </w:pPr>
      <w:r>
        <w:tab/>
      </w:r>
      <w:r>
        <w:rPr>
          <w:rStyle w:val="CharDefText"/>
        </w:rPr>
        <w:t>commencement day</w:t>
      </w:r>
      <w:r>
        <w:t xml:space="preserve"> means the day on which the </w:t>
      </w:r>
      <w:r>
        <w:rPr>
          <w:i/>
        </w:rPr>
        <w:t>Supreme Court Amendment Rules 2016</w:t>
      </w:r>
      <w:r>
        <w:t xml:space="preserve"> rule 13 comes into operation;</w:t>
      </w:r>
    </w:p>
    <w:p>
      <w:pPr>
        <w:pStyle w:val="Defstart"/>
      </w:pPr>
      <w:r>
        <w:tab/>
      </w:r>
      <w:r>
        <w:rPr>
          <w:rStyle w:val="CharDefText"/>
        </w:rPr>
        <w:t>former Order 62A</w:t>
      </w:r>
      <w:r>
        <w:t xml:space="preserve"> means Order 62A as in effect immediately before it was deleted by the </w:t>
      </w:r>
      <w:r>
        <w:rPr>
          <w:i/>
        </w:rPr>
        <w:t>Supreme Court Amendment Rules 2016</w:t>
      </w:r>
      <w:r>
        <w:t xml:space="preserve"> rule 13;</w:t>
      </w:r>
    </w:p>
    <w:p>
      <w:pPr>
        <w:pStyle w:val="Defstart"/>
      </w:pPr>
      <w:r>
        <w:tab/>
      </w:r>
      <w:r>
        <w:rPr>
          <w:rStyle w:val="CharDefText"/>
        </w:rPr>
        <w:t>transitional proceedings</w:t>
      </w:r>
      <w:r>
        <w:t xml:space="preserve"> means proceedings to which former Order 62A applied immediately before commencement day.</w:t>
      </w:r>
    </w:p>
    <w:p>
      <w:pPr>
        <w:pStyle w:val="Subsection"/>
        <w:keepNext/>
      </w:pPr>
      <w:r>
        <w:lastRenderedPageBreak/>
        <w:tab/>
        <w:t>(2)</w:t>
      </w:r>
      <w:r>
        <w:tab/>
        <w:t xml:space="preserve">Former Order 62A applies to and in relation to the following as if former Order 62A had not been deleted — </w:t>
      </w:r>
    </w:p>
    <w:p>
      <w:pPr>
        <w:pStyle w:val="Indenta"/>
      </w:pPr>
      <w:r>
        <w:tab/>
        <w:t>(a)</w:t>
      </w:r>
      <w:r>
        <w:tab/>
        <w:t>transitional proceedings begun by originating summons before commencement day;</w:t>
      </w:r>
    </w:p>
    <w:p>
      <w:pPr>
        <w:pStyle w:val="Indenta"/>
      </w:pPr>
      <w:r>
        <w:tab/>
        <w:t>(b)</w:t>
      </w:r>
      <w:r>
        <w:tab/>
        <w:t>transitional proceedings begun by writ if the writ was served before commencement day.</w:t>
      </w:r>
    </w:p>
    <w:p>
      <w:pPr>
        <w:pStyle w:val="Footnotesection"/>
      </w:pPr>
      <w:r>
        <w:tab/>
        <w:t>[Rule 4 inserted: Gazette 16 Nov 2016 p. 5187</w:t>
      </w:r>
      <w:r>
        <w:noBreakHyphen/>
        <w:t>8.]</w:t>
      </w:r>
    </w:p>
    <w:p>
      <w:pPr>
        <w:pStyle w:val="Heading2"/>
        <w:rPr>
          <w:b w:val="0"/>
        </w:rPr>
      </w:pPr>
      <w:bookmarkStart w:id="95" w:name="_Toc162940217"/>
      <w:bookmarkStart w:id="96" w:name="_Toc162952992"/>
      <w:bookmarkStart w:id="97" w:name="_Toc163120665"/>
      <w:r>
        <w:rPr>
          <w:rStyle w:val="CharPartNo"/>
        </w:rPr>
        <w:lastRenderedPageBreak/>
        <w:t>Order 5</w:t>
      </w:r>
      <w:r>
        <w:t> — </w:t>
      </w:r>
      <w:r>
        <w:rPr>
          <w:rStyle w:val="CharPartText"/>
        </w:rPr>
        <w:t>Writs of summons</w:t>
      </w:r>
      <w:bookmarkEnd w:id="95"/>
      <w:bookmarkEnd w:id="96"/>
      <w:bookmarkEnd w:id="97"/>
    </w:p>
    <w:p>
      <w:pPr>
        <w:pStyle w:val="Heading5"/>
        <w:rPr>
          <w:snapToGrid w:val="0"/>
        </w:rPr>
      </w:pPr>
      <w:bookmarkStart w:id="98" w:name="_Toc163120666"/>
      <w:r>
        <w:rPr>
          <w:rStyle w:val="CharSectno"/>
        </w:rPr>
        <w:t>1</w:t>
      </w:r>
      <w:r>
        <w:rPr>
          <w:snapToGrid w:val="0"/>
        </w:rPr>
        <w:t>.</w:t>
      </w:r>
      <w:r>
        <w:rPr>
          <w:snapToGrid w:val="0"/>
        </w:rPr>
        <w:tab/>
        <w:t>Form of writ</w:t>
      </w:r>
      <w:bookmarkEnd w:id="98"/>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pPr>
      <w:bookmarkStart w:id="99" w:name="_Toc163120667"/>
      <w:r>
        <w:rPr>
          <w:rStyle w:val="CharSectno"/>
        </w:rPr>
        <w:t>2</w:t>
      </w:r>
      <w:r>
        <w:t>.</w:t>
      </w:r>
      <w:r>
        <w:tab/>
        <w:t>Writ for service outside WA, form of</w:t>
      </w:r>
      <w:bookmarkEnd w:id="99"/>
    </w:p>
    <w:p>
      <w:pPr>
        <w:pStyle w:val="Subsection"/>
      </w:pPr>
      <w:r>
        <w:tab/>
      </w:r>
      <w:r>
        <w:tab/>
        <w:t>A writ to be served outside the State shall be in the form of Form 3.</w:t>
      </w:r>
    </w:p>
    <w:p>
      <w:pPr>
        <w:pStyle w:val="Footnotesection"/>
      </w:pPr>
      <w:r>
        <w:tab/>
        <w:t>[Rule 2 inserted: Gazette 12 Jun 2012 p. 2446.]</w:t>
      </w:r>
    </w:p>
    <w:p>
      <w:pPr>
        <w:pStyle w:val="Heading5"/>
        <w:rPr>
          <w:snapToGrid w:val="0"/>
        </w:rPr>
      </w:pPr>
      <w:bookmarkStart w:id="100" w:name="_Toc163120668"/>
      <w:r>
        <w:rPr>
          <w:rStyle w:val="CharSectno"/>
        </w:rPr>
        <w:t>3</w:t>
      </w:r>
      <w:r>
        <w:rPr>
          <w:snapToGrid w:val="0"/>
        </w:rPr>
        <w:t>.</w:t>
      </w:r>
      <w:r>
        <w:rPr>
          <w:snapToGrid w:val="0"/>
        </w:rPr>
        <w:tab/>
        <w:t>Place of trial to be shown</w:t>
      </w:r>
      <w:bookmarkEnd w:id="100"/>
    </w:p>
    <w:p>
      <w:pPr>
        <w:pStyle w:val="Subsection"/>
      </w:pPr>
      <w:r>
        <w:tab/>
      </w:r>
      <w:r>
        <w:tab/>
        <w:t>In all cases in which it is proposed that the trial shall be elsewhere than in Perth, the writ must show the proposed place of trial.</w:t>
      </w:r>
    </w:p>
    <w:p>
      <w:pPr>
        <w:pStyle w:val="Heading5"/>
        <w:rPr>
          <w:snapToGrid w:val="0"/>
        </w:rPr>
      </w:pPr>
      <w:bookmarkStart w:id="101" w:name="_Toc163120669"/>
      <w:r>
        <w:rPr>
          <w:rStyle w:val="CharSectno"/>
        </w:rPr>
        <w:t>4</w:t>
      </w:r>
      <w:r>
        <w:rPr>
          <w:snapToGrid w:val="0"/>
        </w:rPr>
        <w:t>.</w:t>
      </w:r>
      <w:r>
        <w:rPr>
          <w:snapToGrid w:val="0"/>
        </w:rPr>
        <w:tab/>
        <w:t>Place of issue</w:t>
      </w:r>
      <w:bookmarkEnd w:id="101"/>
      <w:r>
        <w:rPr>
          <w:snapToGrid w:val="0"/>
        </w:rPr>
        <w:t xml:space="preserve"> </w:t>
      </w:r>
    </w:p>
    <w:p>
      <w:pPr>
        <w:pStyle w:val="Subsection"/>
      </w:pPr>
      <w:r>
        <w:tab/>
      </w:r>
      <w:r>
        <w:tab/>
        <w:t>Every writ shall be issued out of the Central Office.</w:t>
      </w:r>
    </w:p>
    <w:p>
      <w:pPr>
        <w:pStyle w:val="Heading5"/>
        <w:rPr>
          <w:snapToGrid w:val="0"/>
        </w:rPr>
      </w:pPr>
      <w:bookmarkStart w:id="102" w:name="_Toc163120670"/>
      <w:r>
        <w:rPr>
          <w:rStyle w:val="CharSectno"/>
        </w:rPr>
        <w:t>5</w:t>
      </w:r>
      <w:r>
        <w:rPr>
          <w:snapToGrid w:val="0"/>
        </w:rPr>
        <w:t>.</w:t>
      </w:r>
      <w:r>
        <w:rPr>
          <w:snapToGrid w:val="0"/>
        </w:rPr>
        <w:tab/>
        <w:t>Preparation of writ</w:t>
      </w:r>
      <w:bookmarkEnd w:id="102"/>
    </w:p>
    <w:p>
      <w:pPr>
        <w:pStyle w:val="Subsection"/>
      </w:pPr>
      <w:r>
        <w:tab/>
      </w:r>
      <w:r>
        <w:tab/>
        <w:t>Writs shall be prepared by the plaintiff or his solicitor.</w:t>
      </w:r>
    </w:p>
    <w:p>
      <w:pPr>
        <w:pStyle w:val="Heading5"/>
        <w:rPr>
          <w:snapToGrid w:val="0"/>
        </w:rPr>
      </w:pPr>
      <w:bookmarkStart w:id="103" w:name="_Toc163120671"/>
      <w:r>
        <w:rPr>
          <w:rStyle w:val="CharSectno"/>
        </w:rPr>
        <w:t>6</w:t>
      </w:r>
      <w:r>
        <w:rPr>
          <w:snapToGrid w:val="0"/>
        </w:rPr>
        <w:t>.</w:t>
      </w:r>
      <w:r>
        <w:rPr>
          <w:snapToGrid w:val="0"/>
        </w:rPr>
        <w:tab/>
        <w:t>Sealing of writ</w:t>
      </w:r>
      <w:bookmarkEnd w:id="103"/>
    </w:p>
    <w:p>
      <w:pPr>
        <w:pStyle w:val="Subsection"/>
      </w:pPr>
      <w:r>
        <w:tab/>
      </w:r>
      <w:r>
        <w:tab/>
        <w:t>Issue of a writ takes place upon its being sealed by the proper officer.</w:t>
      </w:r>
    </w:p>
    <w:p>
      <w:pPr>
        <w:pStyle w:val="Heading5"/>
        <w:rPr>
          <w:snapToGrid w:val="0"/>
        </w:rPr>
      </w:pPr>
      <w:bookmarkStart w:id="104" w:name="_Toc163120672"/>
      <w:r>
        <w:rPr>
          <w:rStyle w:val="CharSectno"/>
        </w:rPr>
        <w:t>7</w:t>
      </w:r>
      <w:r>
        <w:rPr>
          <w:snapToGrid w:val="0"/>
        </w:rPr>
        <w:t>.</w:t>
      </w:r>
      <w:r>
        <w:rPr>
          <w:snapToGrid w:val="0"/>
        </w:rPr>
        <w:tab/>
        <w:t>Copy to be left with officer</w:t>
      </w:r>
      <w:bookmarkEnd w:id="104"/>
    </w:p>
    <w:p>
      <w:pPr>
        <w:pStyle w:val="Subsection"/>
      </w:pPr>
      <w:r>
        <w:tab/>
        <w:t>(1)</w:t>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Subsection"/>
        <w:keepNext/>
      </w:pPr>
      <w:r>
        <w:lastRenderedPageBreak/>
        <w:tab/>
        <w:t>(2)</w:t>
      </w:r>
      <w:r>
        <w:tab/>
        <w:t>Subrule (1) does not apply if the writ is filed electronically.</w:t>
      </w:r>
    </w:p>
    <w:p>
      <w:pPr>
        <w:pStyle w:val="Footnotesection"/>
      </w:pPr>
      <w:r>
        <w:tab/>
        <w:t>[Rule 7 amended: Gazette 27 Feb 2018 p. 554.]</w:t>
      </w:r>
    </w:p>
    <w:p>
      <w:pPr>
        <w:pStyle w:val="Heading5"/>
      </w:pPr>
      <w:bookmarkStart w:id="105" w:name="_Toc163120673"/>
      <w:r>
        <w:rPr>
          <w:rStyle w:val="CharSectno"/>
        </w:rPr>
        <w:t>8</w:t>
      </w:r>
      <w:r>
        <w:t>.</w:t>
      </w:r>
      <w:r>
        <w:tab/>
        <w:t>Writ to be recorded when issued</w:t>
      </w:r>
      <w:bookmarkEnd w:id="105"/>
    </w:p>
    <w:p>
      <w:pPr>
        <w:pStyle w:val="Subsection"/>
      </w:pPr>
      <w:r>
        <w:tab/>
      </w:r>
      <w:r>
        <w:tab/>
        <w:t>The proper officer must record, in the manner directed by the Chief Justice from time to time, a writ when it is issued.</w:t>
      </w:r>
    </w:p>
    <w:p>
      <w:pPr>
        <w:pStyle w:val="Footnotesection"/>
      </w:pPr>
      <w:r>
        <w:tab/>
        <w:t>[Rule 8 inserted: Gazette 27 Feb 2018 p. 554.]</w:t>
      </w:r>
    </w:p>
    <w:p>
      <w:pPr>
        <w:pStyle w:val="Heading5"/>
        <w:spacing w:before="180"/>
      </w:pPr>
      <w:bookmarkStart w:id="106" w:name="_Toc163120674"/>
      <w:r>
        <w:rPr>
          <w:rStyle w:val="CharSectno"/>
        </w:rPr>
        <w:t>9</w:t>
      </w:r>
      <w:r>
        <w:t>.</w:t>
      </w:r>
      <w:r>
        <w:tab/>
        <w:t>Writ for service outside Australia, leave to issue needed</w:t>
      </w:r>
      <w:bookmarkEnd w:id="106"/>
    </w:p>
    <w:p>
      <w:pPr>
        <w:pStyle w:val="Subsection"/>
      </w:pPr>
      <w:r>
        <w:tab/>
      </w:r>
      <w:r>
        <w:tab/>
        <w:t>A writ for service outside Australia shall not be issued without the leave of the Court.</w:t>
      </w:r>
    </w:p>
    <w:p>
      <w:pPr>
        <w:pStyle w:val="Footnotesection"/>
      </w:pPr>
      <w:r>
        <w:tab/>
        <w:t>[Rule 9 inserted: Gazette 12 Jun 2012 p. 2446.]</w:t>
      </w:r>
    </w:p>
    <w:p>
      <w:pPr>
        <w:pStyle w:val="Heading5"/>
        <w:spacing w:before="180"/>
        <w:rPr>
          <w:snapToGrid w:val="0"/>
        </w:rPr>
      </w:pPr>
      <w:bookmarkStart w:id="107" w:name="_Toc163120675"/>
      <w:r>
        <w:rPr>
          <w:rStyle w:val="CharSectno"/>
        </w:rPr>
        <w:t>10</w:t>
      </w:r>
      <w:r>
        <w:rPr>
          <w:snapToGrid w:val="0"/>
        </w:rPr>
        <w:t>.</w:t>
      </w:r>
      <w:r>
        <w:rPr>
          <w:snapToGrid w:val="0"/>
        </w:rPr>
        <w:tab/>
        <w:t>All writs to be in name of Chief Justice or Senior Puisne Judge</w:t>
      </w:r>
      <w:bookmarkEnd w:id="107"/>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spacing w:before="180"/>
        <w:rPr>
          <w:snapToGrid w:val="0"/>
        </w:rPr>
      </w:pPr>
      <w:bookmarkStart w:id="108" w:name="_Toc163120676"/>
      <w:r>
        <w:rPr>
          <w:rStyle w:val="CharSectno"/>
        </w:rPr>
        <w:t>11</w:t>
      </w:r>
      <w:r>
        <w:rPr>
          <w:snapToGrid w:val="0"/>
        </w:rPr>
        <w:t>.</w:t>
      </w:r>
      <w:r>
        <w:rPr>
          <w:snapToGrid w:val="0"/>
        </w:rPr>
        <w:tab/>
        <w:t>Time for appearance to be stated in writ</w:t>
      </w:r>
      <w:bookmarkEnd w:id="108"/>
    </w:p>
    <w:p>
      <w:pPr>
        <w:pStyle w:val="Subsection"/>
        <w:spacing w:after="200"/>
      </w:pPr>
      <w:r>
        <w:tab/>
        <w:t>(1)</w:t>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NAm"/>
              <w:spacing w:before="60"/>
              <w:jc w:val="center"/>
              <w:rPr>
                <w:b/>
                <w:bCs/>
              </w:rPr>
            </w:pPr>
            <w:r>
              <w:rPr>
                <w:b/>
                <w:bCs/>
              </w:rPr>
              <w:t>Where the place for service is</w:t>
            </w:r>
          </w:p>
        </w:tc>
        <w:tc>
          <w:tcPr>
            <w:tcW w:w="1688" w:type="dxa"/>
            <w:tcBorders>
              <w:top w:val="single" w:sz="4" w:space="0" w:color="auto"/>
              <w:left w:val="single" w:sz="4" w:space="0" w:color="auto"/>
              <w:bottom w:val="single" w:sz="4" w:space="0" w:color="auto"/>
            </w:tcBorders>
          </w:tcPr>
          <w:p>
            <w:pPr>
              <w:pStyle w:val="TableNAm"/>
              <w:spacing w:before="60"/>
              <w:jc w:val="center"/>
              <w:rPr>
                <w:b/>
                <w:bCs/>
              </w:rPr>
            </w:pPr>
            <w:r>
              <w:rPr>
                <w:b/>
                <w:bCs/>
              </w:rPr>
              <w:t>Time</w:t>
            </w:r>
          </w:p>
        </w:tc>
      </w:tr>
      <w:tr>
        <w:tc>
          <w:tcPr>
            <w:tcW w:w="4549" w:type="dxa"/>
          </w:tcPr>
          <w:p>
            <w:pPr>
              <w:pStyle w:val="TableNAm"/>
              <w:ind w:left="568" w:hanging="568"/>
            </w:pPr>
            <w:r>
              <w:t>(1)</w:t>
            </w:r>
            <w:r>
              <w:tab/>
              <w:t>In the State of Western Australia — </w:t>
            </w:r>
          </w:p>
        </w:tc>
        <w:tc>
          <w:tcPr>
            <w:tcW w:w="1688" w:type="dxa"/>
            <w:tcBorders>
              <w:left w:val="single" w:sz="4" w:space="0" w:color="auto"/>
            </w:tcBorders>
          </w:tcPr>
          <w:p>
            <w:pPr>
              <w:pStyle w:val="TableNAm"/>
            </w:pPr>
          </w:p>
        </w:tc>
      </w:tr>
      <w:tr>
        <w:tc>
          <w:tcPr>
            <w:tcW w:w="4549" w:type="dxa"/>
          </w:tcPr>
          <w:p>
            <w:pPr>
              <w:pStyle w:val="TableNAm"/>
              <w:tabs>
                <w:tab w:val="clear" w:pos="567"/>
                <w:tab w:val="left" w:pos="808"/>
              </w:tabs>
              <w:spacing w:before="20"/>
              <w:ind w:left="808" w:hanging="808"/>
            </w:pPr>
            <w:r>
              <w:tab/>
              <w:t>Less than 300 km from Perth ..........</w:t>
            </w:r>
          </w:p>
        </w:tc>
        <w:tc>
          <w:tcPr>
            <w:tcW w:w="1688" w:type="dxa"/>
            <w:tcBorders>
              <w:left w:val="single" w:sz="4" w:space="0" w:color="auto"/>
            </w:tcBorders>
          </w:tcPr>
          <w:p>
            <w:pPr>
              <w:pStyle w:val="TableNAm"/>
              <w:spacing w:before="20"/>
            </w:pPr>
            <w:r>
              <w:t>10 days.</w:t>
            </w:r>
          </w:p>
        </w:tc>
      </w:tr>
      <w:tr>
        <w:tc>
          <w:tcPr>
            <w:tcW w:w="4549" w:type="dxa"/>
          </w:tcPr>
          <w:p>
            <w:pPr>
              <w:pStyle w:val="TableNAm"/>
              <w:tabs>
                <w:tab w:val="clear" w:pos="567"/>
                <w:tab w:val="left" w:pos="808"/>
              </w:tabs>
              <w:spacing w:before="20"/>
              <w:ind w:left="808" w:hanging="808"/>
            </w:pPr>
            <w:r>
              <w:tab/>
              <w:t>300 km but less than 600 km from Perth ................................................</w:t>
            </w:r>
          </w:p>
        </w:tc>
        <w:tc>
          <w:tcPr>
            <w:tcW w:w="1688" w:type="dxa"/>
            <w:tcBorders>
              <w:left w:val="single" w:sz="4" w:space="0" w:color="auto"/>
            </w:tcBorders>
          </w:tcPr>
          <w:p>
            <w:pPr>
              <w:pStyle w:val="TableNAm"/>
              <w:spacing w:before="20"/>
            </w:pPr>
            <w:r>
              <w:br/>
              <w:t>16 days.</w:t>
            </w:r>
          </w:p>
        </w:tc>
      </w:tr>
      <w:tr>
        <w:tc>
          <w:tcPr>
            <w:tcW w:w="4549" w:type="dxa"/>
          </w:tcPr>
          <w:p>
            <w:pPr>
              <w:pStyle w:val="TableNAm"/>
              <w:tabs>
                <w:tab w:val="clear" w:pos="567"/>
                <w:tab w:val="left" w:pos="808"/>
              </w:tabs>
              <w:spacing w:before="20"/>
              <w:ind w:left="808" w:hanging="808"/>
            </w:pPr>
            <w:r>
              <w:tab/>
              <w:t>600 km and above 600 km ..............</w:t>
            </w:r>
          </w:p>
        </w:tc>
        <w:tc>
          <w:tcPr>
            <w:tcW w:w="1688" w:type="dxa"/>
            <w:tcBorders>
              <w:left w:val="single" w:sz="4" w:space="0" w:color="auto"/>
            </w:tcBorders>
          </w:tcPr>
          <w:p>
            <w:pPr>
              <w:pStyle w:val="TableNAm"/>
              <w:spacing w:before="20"/>
            </w:pPr>
            <w:r>
              <w:t>21 days.</w:t>
            </w:r>
          </w:p>
        </w:tc>
      </w:tr>
      <w:tr>
        <w:trPr>
          <w:cantSplit/>
        </w:trPr>
        <w:tc>
          <w:tcPr>
            <w:tcW w:w="4549" w:type="dxa"/>
          </w:tcPr>
          <w:p>
            <w:pPr>
              <w:pStyle w:val="TableNAm"/>
              <w:ind w:left="568" w:hanging="568"/>
            </w:pPr>
            <w:r>
              <w:lastRenderedPageBreak/>
              <w:t>(2)</w:t>
            </w:r>
            <w:r>
              <w:tab/>
              <w:t xml:space="preserve">Outside the State but within Australia </w:t>
            </w:r>
          </w:p>
        </w:tc>
        <w:tc>
          <w:tcPr>
            <w:tcW w:w="1688" w:type="dxa"/>
            <w:tcBorders>
              <w:left w:val="single" w:sz="4" w:space="0" w:color="auto"/>
            </w:tcBorders>
          </w:tcPr>
          <w:p>
            <w:pPr>
              <w:pStyle w:val="TableNAm"/>
              <w:ind w:right="-133"/>
            </w:pPr>
            <w:r>
              <w:t>See subrule (2).</w:t>
            </w:r>
          </w:p>
        </w:tc>
      </w:tr>
      <w:tr>
        <w:tc>
          <w:tcPr>
            <w:tcW w:w="4549" w:type="dxa"/>
            <w:tcBorders>
              <w:bottom w:val="single" w:sz="4" w:space="0" w:color="auto"/>
            </w:tcBorders>
          </w:tcPr>
          <w:p>
            <w:pPr>
              <w:pStyle w:val="TableNAm"/>
              <w:ind w:left="568" w:hanging="568"/>
            </w:pPr>
            <w:r>
              <w:t>(3)</w:t>
            </w:r>
            <w:r>
              <w:tab/>
              <w:t>Outside Australia ................................</w:t>
            </w:r>
          </w:p>
        </w:tc>
        <w:tc>
          <w:tcPr>
            <w:tcW w:w="1688" w:type="dxa"/>
            <w:tcBorders>
              <w:left w:val="single" w:sz="4" w:space="0" w:color="auto"/>
              <w:bottom w:val="single" w:sz="4" w:space="0" w:color="auto"/>
            </w:tcBorders>
          </w:tcPr>
          <w:p>
            <w:pPr>
              <w:pStyle w:val="TableNAm"/>
              <w:ind w:right="-133"/>
            </w:pPr>
            <w:r>
              <w:t>See subrule (3).</w:t>
            </w:r>
          </w:p>
        </w:tc>
      </w:tr>
    </w:tbl>
    <w:p>
      <w:pPr>
        <w:pStyle w:val="Subsection"/>
      </w:pPr>
      <w:r>
        <w:tab/>
        <w:t>(2)</w:t>
      </w:r>
      <w:r>
        <w:tab/>
        <w:t xml:space="preserve">In respect of a writ to be served outside the State but within Australia, the time must accord with the </w:t>
      </w:r>
      <w:r>
        <w:rPr>
          <w:i/>
          <w:iCs/>
        </w:rPr>
        <w:t>Service and Execution of Process Act 1992</w:t>
      </w:r>
      <w:r>
        <w:t xml:space="preserve"> (Commonwealth).</w:t>
      </w:r>
    </w:p>
    <w:p>
      <w:pPr>
        <w:pStyle w:val="Subsection"/>
      </w:pPr>
      <w:r>
        <w:tab/>
        <w:t>(3)</w:t>
      </w:r>
      <w:r>
        <w:tab/>
        <w:t>In respect of a writ to be served outside Australia, the time is 42 days from the date of service unless the Court otherwise orders under Order 10 rule 9.</w:t>
      </w:r>
    </w:p>
    <w:p>
      <w:pPr>
        <w:pStyle w:val="Subsection"/>
      </w:pPr>
      <w:r>
        <w:tab/>
        <w:t>(4)</w:t>
      </w:r>
      <w:r>
        <w:tab/>
        <w:t>In the computation of the times prescribed by this rule, the day of service shall be excluded.</w:t>
      </w:r>
    </w:p>
    <w:p>
      <w:pPr>
        <w:pStyle w:val="Footnotesection"/>
      </w:pPr>
      <w:r>
        <w:tab/>
        <w:t xml:space="preserve">[Rule 11 amended: Gazette 7 Dec 1973 p. 4488; 14 Dec 1979 p. 3869; 3 Jul 2009 p. 2683; 12 Jun 2012 p. 2453; SL 2024/38 r. 5.] </w:t>
      </w:r>
    </w:p>
    <w:p>
      <w:pPr>
        <w:pStyle w:val="Heading2"/>
        <w:rPr>
          <w:b w:val="0"/>
        </w:rPr>
      </w:pPr>
      <w:bookmarkStart w:id="109" w:name="_Toc162940229"/>
      <w:bookmarkStart w:id="110" w:name="_Toc162953004"/>
      <w:bookmarkStart w:id="111" w:name="_Toc163120677"/>
      <w:r>
        <w:rPr>
          <w:rStyle w:val="CharPartNo"/>
        </w:rPr>
        <w:lastRenderedPageBreak/>
        <w:t>Order 6</w:t>
      </w:r>
      <w:r>
        <w:t> — </w:t>
      </w:r>
      <w:r>
        <w:rPr>
          <w:rStyle w:val="CharPartText"/>
        </w:rPr>
        <w:t>Indorsement of claim: other indorsements</w:t>
      </w:r>
      <w:bookmarkEnd w:id="109"/>
      <w:bookmarkEnd w:id="110"/>
      <w:bookmarkEnd w:id="111"/>
    </w:p>
    <w:p>
      <w:pPr>
        <w:pStyle w:val="Heading5"/>
        <w:rPr>
          <w:snapToGrid w:val="0"/>
        </w:rPr>
      </w:pPr>
      <w:bookmarkStart w:id="112" w:name="_Toc163120678"/>
      <w:r>
        <w:rPr>
          <w:rStyle w:val="CharSectno"/>
        </w:rPr>
        <w:t>1</w:t>
      </w:r>
      <w:r>
        <w:rPr>
          <w:snapToGrid w:val="0"/>
        </w:rPr>
        <w:t>.</w:t>
      </w:r>
      <w:r>
        <w:rPr>
          <w:snapToGrid w:val="0"/>
        </w:rPr>
        <w:tab/>
        <w:t>Nature of claim etc. to be indorsed on writ</w:t>
      </w:r>
      <w:bookmarkEnd w:id="112"/>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subrule (1) the defendant may apply before appearance to set aside or amend the writ or for particulars.</w:t>
      </w:r>
    </w:p>
    <w:p>
      <w:pPr>
        <w:pStyle w:val="Footnotesection"/>
      </w:pPr>
      <w:r>
        <w:tab/>
        <w:t>[Rule 1 amended: Gazette 28 Jun 2011 p. 2552.]</w:t>
      </w:r>
    </w:p>
    <w:p>
      <w:pPr>
        <w:pStyle w:val="Heading5"/>
        <w:rPr>
          <w:snapToGrid w:val="0"/>
        </w:rPr>
      </w:pPr>
      <w:bookmarkStart w:id="113" w:name="_Toc163120679"/>
      <w:r>
        <w:rPr>
          <w:rStyle w:val="CharSectno"/>
        </w:rPr>
        <w:t>2</w:t>
      </w:r>
      <w:r>
        <w:rPr>
          <w:snapToGrid w:val="0"/>
        </w:rPr>
        <w:t>.</w:t>
      </w:r>
      <w:r>
        <w:rPr>
          <w:snapToGrid w:val="0"/>
        </w:rPr>
        <w:tab/>
        <w:t>Action for defamation by publication</w:t>
      </w:r>
      <w:bookmarkEnd w:id="113"/>
    </w:p>
    <w:p>
      <w:pPr>
        <w:pStyle w:val="Subsection"/>
      </w:pPr>
      <w:r>
        <w:tab/>
      </w:r>
      <w:r>
        <w:tab/>
        <w:t>In actions for defamation by publication the indorsement must state sufficient particulars to enable the publications in respect of which the action is brought to be identified.</w:t>
      </w:r>
    </w:p>
    <w:p>
      <w:pPr>
        <w:pStyle w:val="Footnotesection"/>
      </w:pPr>
      <w:r>
        <w:tab/>
        <w:t>[Rule 2 amended: Gazette 16 Aug 2017 p. 4409.]</w:t>
      </w:r>
    </w:p>
    <w:p>
      <w:pPr>
        <w:pStyle w:val="Heading5"/>
        <w:rPr>
          <w:snapToGrid w:val="0"/>
        </w:rPr>
      </w:pPr>
      <w:bookmarkStart w:id="114" w:name="_Toc163120680"/>
      <w:r>
        <w:rPr>
          <w:rStyle w:val="CharSectno"/>
        </w:rPr>
        <w:t>3</w:t>
      </w:r>
      <w:r>
        <w:rPr>
          <w:snapToGrid w:val="0"/>
        </w:rPr>
        <w:t>.</w:t>
      </w:r>
      <w:r>
        <w:rPr>
          <w:snapToGrid w:val="0"/>
        </w:rPr>
        <w:tab/>
        <w:t>Statement of claim may be indorsed on writ in some actions</w:t>
      </w:r>
      <w:bookmarkEnd w:id="114"/>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defamation, malicious prosecution, false imprisonment, seduction or breach of promise of marriage,</w:t>
      </w:r>
    </w:p>
    <w:p>
      <w:pPr>
        <w:pStyle w:val="Subsection"/>
      </w:pPr>
      <w:r>
        <w:tab/>
      </w:r>
      <w:r>
        <w:tab/>
        <w:t>a statement of claim may, at the option of the plaintiff, be indorsed on the writ.</w:t>
      </w:r>
    </w:p>
    <w:p>
      <w:pPr>
        <w:pStyle w:val="Footnotesection"/>
      </w:pPr>
      <w:r>
        <w:tab/>
        <w:t>[Rule 3 amended: Gazette 16 Aug 2017 p. 4410.]</w:t>
      </w:r>
    </w:p>
    <w:p>
      <w:pPr>
        <w:pStyle w:val="Heading5"/>
        <w:rPr>
          <w:snapToGrid w:val="0"/>
        </w:rPr>
      </w:pPr>
      <w:bookmarkStart w:id="115" w:name="_Toc163120681"/>
      <w:r>
        <w:rPr>
          <w:rStyle w:val="CharSectno"/>
        </w:rPr>
        <w:t>4</w:t>
      </w:r>
      <w:r>
        <w:rPr>
          <w:snapToGrid w:val="0"/>
        </w:rPr>
        <w:t>.</w:t>
      </w:r>
      <w:r>
        <w:rPr>
          <w:snapToGrid w:val="0"/>
        </w:rPr>
        <w:tab/>
        <w:t>Claim for liquidated demand, indorsements required for, costs etc.</w:t>
      </w:r>
      <w:bookmarkEnd w:id="115"/>
    </w:p>
    <w:p>
      <w:pPr>
        <w:pStyle w:val="Subsection"/>
      </w:pPr>
      <w:r>
        <w:tab/>
      </w:r>
      <w:r>
        <w:tab/>
        <w:t xml:space="preserve">Where the plaintiff’s claim is for a debt or liquidated demand only, the writ before it is issued must be indorsed with a </w:t>
      </w:r>
      <w:r>
        <w:lastRenderedPageBreak/>
        <w:t>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116" w:name="_Toc163120682"/>
      <w:r>
        <w:rPr>
          <w:rStyle w:val="CharSectno"/>
        </w:rPr>
        <w:t>5</w:t>
      </w:r>
      <w:r>
        <w:rPr>
          <w:snapToGrid w:val="0"/>
        </w:rPr>
        <w:t>.</w:t>
      </w:r>
      <w:r>
        <w:rPr>
          <w:snapToGrid w:val="0"/>
        </w:rPr>
        <w:tab/>
        <w:t>Representative character</w:t>
      </w:r>
      <w:bookmarkEnd w:id="116"/>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117" w:name="_Toc163120683"/>
      <w:r>
        <w:rPr>
          <w:rStyle w:val="CharSectno"/>
        </w:rPr>
        <w:t>6</w:t>
      </w:r>
      <w:r>
        <w:rPr>
          <w:snapToGrid w:val="0"/>
        </w:rPr>
        <w:t>.</w:t>
      </w:r>
      <w:r>
        <w:rPr>
          <w:snapToGrid w:val="0"/>
        </w:rPr>
        <w:tab/>
        <w:t>Claim for account</w:t>
      </w:r>
      <w:bookmarkEnd w:id="117"/>
    </w:p>
    <w:p>
      <w:pPr>
        <w:pStyle w:val="Subsection"/>
      </w:pPr>
      <w:r>
        <w:tab/>
      </w:r>
      <w:r>
        <w:tab/>
        <w:t>In all cases in which the plaintiff, in the first instance, desires to have an account taken, the writ shall be indorsed with a claim that such account be taken.</w:t>
      </w:r>
    </w:p>
    <w:p>
      <w:pPr>
        <w:pStyle w:val="Heading5"/>
      </w:pPr>
      <w:bookmarkStart w:id="118" w:name="_Toc163120684"/>
      <w:r>
        <w:rPr>
          <w:rStyle w:val="CharSectno"/>
        </w:rPr>
        <w:t>7</w:t>
      </w:r>
      <w:r>
        <w:t>.</w:t>
      </w:r>
      <w:r>
        <w:tab/>
        <w:t>Writ etc. to state contact details</w:t>
      </w:r>
      <w:bookmarkEnd w:id="118"/>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Gazette 21 Feb 2007 p. 534.]</w:t>
      </w:r>
    </w:p>
    <w:p>
      <w:pPr>
        <w:pStyle w:val="Ednotesection"/>
      </w:pPr>
      <w:r>
        <w:t>[</w:t>
      </w:r>
      <w:r>
        <w:rPr>
          <w:b/>
        </w:rPr>
        <w:t>8</w:t>
      </w:r>
      <w:r>
        <w:rPr>
          <w:b/>
        </w:rPr>
        <w:noBreakHyphen/>
        <w:t>11.</w:t>
      </w:r>
      <w:r>
        <w:tab/>
        <w:t>Deleted: Gazette 21 Feb 2007 p. 534.]</w:t>
      </w:r>
    </w:p>
    <w:p>
      <w:pPr>
        <w:pStyle w:val="Heading2"/>
        <w:rPr>
          <w:b w:val="0"/>
        </w:rPr>
      </w:pPr>
      <w:bookmarkStart w:id="119" w:name="_Toc162940237"/>
      <w:bookmarkStart w:id="120" w:name="_Toc162953012"/>
      <w:bookmarkStart w:id="121" w:name="_Toc163120685"/>
      <w:r>
        <w:rPr>
          <w:rStyle w:val="CharPartNo"/>
        </w:rPr>
        <w:lastRenderedPageBreak/>
        <w:t>Order 7</w:t>
      </w:r>
      <w:r>
        <w:t> — </w:t>
      </w:r>
      <w:r>
        <w:rPr>
          <w:rStyle w:val="CharPartText"/>
        </w:rPr>
        <w:t>Duration and renewal of writ: concurrent writs</w:t>
      </w:r>
      <w:bookmarkEnd w:id="119"/>
      <w:bookmarkEnd w:id="120"/>
      <w:bookmarkEnd w:id="121"/>
    </w:p>
    <w:p>
      <w:pPr>
        <w:pStyle w:val="Heading5"/>
        <w:rPr>
          <w:snapToGrid w:val="0"/>
        </w:rPr>
      </w:pPr>
      <w:bookmarkStart w:id="122" w:name="_Toc163120686"/>
      <w:r>
        <w:rPr>
          <w:rStyle w:val="CharSectno"/>
        </w:rPr>
        <w:t>1</w:t>
      </w:r>
      <w:r>
        <w:rPr>
          <w:snapToGrid w:val="0"/>
        </w:rPr>
        <w:t>.</w:t>
      </w:r>
      <w:r>
        <w:rPr>
          <w:snapToGrid w:val="0"/>
        </w:rPr>
        <w:tab/>
        <w:t>Duration and renewal of writ</w:t>
      </w:r>
      <w:bookmarkEnd w:id="122"/>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123" w:name="_Toc163120687"/>
      <w:r>
        <w:rPr>
          <w:rStyle w:val="CharSectno"/>
        </w:rPr>
        <w:t>2</w:t>
      </w:r>
      <w:r>
        <w:rPr>
          <w:snapToGrid w:val="0"/>
        </w:rPr>
        <w:t>.</w:t>
      </w:r>
      <w:r>
        <w:rPr>
          <w:snapToGrid w:val="0"/>
        </w:rPr>
        <w:tab/>
        <w:t>Proof of extension of validity of writ</w:t>
      </w:r>
      <w:bookmarkEnd w:id="123"/>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124" w:name="_Toc163120688"/>
      <w:r>
        <w:rPr>
          <w:rStyle w:val="CharSectno"/>
        </w:rPr>
        <w:lastRenderedPageBreak/>
        <w:t>3</w:t>
      </w:r>
      <w:r>
        <w:rPr>
          <w:snapToGrid w:val="0"/>
        </w:rPr>
        <w:t>.</w:t>
      </w:r>
      <w:r>
        <w:rPr>
          <w:snapToGrid w:val="0"/>
        </w:rPr>
        <w:tab/>
        <w:t>Concurrent writs</w:t>
      </w:r>
      <w:bookmarkEnd w:id="124"/>
    </w:p>
    <w:p>
      <w:pPr>
        <w:pStyle w:val="Subsection"/>
        <w:spacing w:before="180"/>
      </w:pPr>
      <w:r>
        <w:tab/>
        <w:t>(1)</w:t>
      </w:r>
      <w:r>
        <w:tab/>
        <w:t>One or more concurrent writs may, at the request of the plaintiff, be issued at the time when the original writ is issued or at any time thereafter before the original writ ceases to be valid.</w:t>
      </w:r>
    </w:p>
    <w:p>
      <w:pPr>
        <w:pStyle w:val="Subsection"/>
        <w:spacing w:before="180"/>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spacing w:before="180"/>
      </w:pPr>
      <w:r>
        <w:tab/>
        <w:t>(3)</w:t>
      </w:r>
      <w:r>
        <w:tab/>
        <w:t>Without affecting the generality of subrule (1) —</w:t>
      </w:r>
    </w:p>
    <w:p>
      <w:pPr>
        <w:pStyle w:val="Indenta"/>
      </w:pPr>
      <w:r>
        <w:tab/>
        <w:t>(a)</w:t>
      </w:r>
      <w:r>
        <w:tab/>
        <w:t>a writ to be served within the jurisdiction may be issued as a concurrent writ with one to be served out of the jurisdiction; and</w:t>
      </w:r>
    </w:p>
    <w:p>
      <w:pPr>
        <w:pStyle w:val="Indenta"/>
      </w:pPr>
      <w:r>
        <w:tab/>
        <w:t>(b)</w:t>
      </w:r>
      <w:r>
        <w:tab/>
        <w:t>a writ to be served out of the jurisdiction may be issued as a concurrent writ with one to be served within the jurisdiction.</w:t>
      </w:r>
    </w:p>
    <w:p>
      <w:pPr>
        <w:pStyle w:val="Subsection"/>
        <w:spacing w:before="180"/>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Subsection"/>
      </w:pPr>
      <w:r>
        <w:tab/>
        <w:t>(5)</w:t>
      </w:r>
      <w:r>
        <w:tab/>
        <w:t xml:space="preserve">Subrule (6) applies if — </w:t>
      </w:r>
    </w:p>
    <w:p>
      <w:pPr>
        <w:pStyle w:val="Indenta"/>
      </w:pPr>
      <w:r>
        <w:tab/>
        <w:t>(a)</w:t>
      </w:r>
      <w:r>
        <w:tab/>
        <w:t>an original writ is sealed and issued to the plaintiff by means of the ECMS; or</w:t>
      </w:r>
    </w:p>
    <w:p>
      <w:pPr>
        <w:pStyle w:val="Indenta"/>
      </w:pPr>
      <w:r>
        <w:tab/>
        <w:t>(b)</w:t>
      </w:r>
      <w:r>
        <w:tab/>
        <w:t>the plaintiff has lawful access to an original writ in the ECMS.</w:t>
      </w:r>
    </w:p>
    <w:p>
      <w:pPr>
        <w:pStyle w:val="Subsection"/>
      </w:pPr>
      <w:r>
        <w:tab/>
        <w:t>(6)</w:t>
      </w:r>
      <w:r>
        <w:tab/>
        <w:t xml:space="preserve">If this subrule applies — </w:t>
      </w:r>
    </w:p>
    <w:p>
      <w:pPr>
        <w:pStyle w:val="Indenta"/>
      </w:pPr>
      <w:r>
        <w:tab/>
        <w:t>(a)</w:t>
      </w:r>
      <w:r>
        <w:tab/>
        <w:t>the plaintiff may print from the ECMS 1 or more copies of the original writ; and</w:t>
      </w:r>
    </w:p>
    <w:p>
      <w:pPr>
        <w:pStyle w:val="Indenta"/>
      </w:pPr>
      <w:r>
        <w:tab/>
        <w:t>(b)</w:t>
      </w:r>
      <w:r>
        <w:tab/>
        <w:t>a printed copy may be treated as a concurrent writ despite subrule (2) not having been complied with.</w:t>
      </w:r>
    </w:p>
    <w:p>
      <w:pPr>
        <w:pStyle w:val="Footnotesection"/>
      </w:pPr>
      <w:r>
        <w:tab/>
        <w:t>[Rule 3 amended: Gazette 28 Jun 2011 p. 2552; 12 Jun 2012 p. 2447; 27 Feb 2018 p. 555; 31 Dec 2019 p 4677.]</w:t>
      </w:r>
    </w:p>
    <w:p>
      <w:pPr>
        <w:pStyle w:val="Heading5"/>
        <w:rPr>
          <w:snapToGrid w:val="0"/>
        </w:rPr>
      </w:pPr>
      <w:bookmarkStart w:id="125" w:name="_Toc163120689"/>
      <w:r>
        <w:rPr>
          <w:rStyle w:val="CharSectno"/>
        </w:rPr>
        <w:lastRenderedPageBreak/>
        <w:t>4</w:t>
      </w:r>
      <w:r>
        <w:rPr>
          <w:snapToGrid w:val="0"/>
        </w:rPr>
        <w:t>.</w:t>
      </w:r>
      <w:r>
        <w:rPr>
          <w:snapToGrid w:val="0"/>
        </w:rPr>
        <w:tab/>
        <w:t>Unserved writs may be struck out</w:t>
      </w:r>
      <w:bookmarkEnd w:id="125"/>
      <w:r>
        <w:rPr>
          <w:snapToGrid w:val="0"/>
        </w:rPr>
        <w:t xml:space="preserve"> </w:t>
      </w:r>
    </w:p>
    <w:p>
      <w:pPr>
        <w:pStyle w:val="Subsection"/>
        <w:spacing w:before="180"/>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spacing w:before="180"/>
        <w:rPr>
          <w:snapToGrid w:val="0"/>
        </w:rPr>
      </w:pPr>
      <w:r>
        <w:rPr>
          <w:snapToGrid w:val="0"/>
        </w:rPr>
        <w:tab/>
      </w:r>
      <w:r>
        <w:rPr>
          <w:snapToGrid w:val="0"/>
        </w:rPr>
        <w:tab/>
        <w:t xml:space="preserve">the Court </w:t>
      </w:r>
      <w:r>
        <w:t>may, by notice, direct that a hearing be held, at least 7 days after the direction is made, where the plaintiff must show cause why the writ should not be struck out.</w:t>
      </w:r>
    </w:p>
    <w:p>
      <w:pPr>
        <w:pStyle w:val="Subsection"/>
        <w:keepNext/>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Gazette 28 Oct 1996 p. 5674</w:t>
      </w:r>
      <w:r>
        <w:noBreakHyphen/>
        <w:t xml:space="preserve">5; amended: Gazette 16 Aug 2017 p. 4410.] </w:t>
      </w:r>
    </w:p>
    <w:p>
      <w:pPr>
        <w:pStyle w:val="Heading2"/>
        <w:spacing w:before="240"/>
        <w:rPr>
          <w:b w:val="0"/>
        </w:rPr>
      </w:pPr>
      <w:bookmarkStart w:id="126" w:name="_Toc162940242"/>
      <w:bookmarkStart w:id="127" w:name="_Toc162953017"/>
      <w:bookmarkStart w:id="128" w:name="_Toc163120690"/>
      <w:r>
        <w:rPr>
          <w:rStyle w:val="CharPartNo"/>
        </w:rPr>
        <w:lastRenderedPageBreak/>
        <w:t>Order 8</w:t>
      </w:r>
      <w:r>
        <w:t> — </w:t>
      </w:r>
      <w:r>
        <w:rPr>
          <w:rStyle w:val="CharPartText"/>
        </w:rPr>
        <w:t>Disclosure by solicitors: change of solicitors</w:t>
      </w:r>
      <w:bookmarkEnd w:id="126"/>
      <w:bookmarkEnd w:id="127"/>
      <w:bookmarkEnd w:id="128"/>
    </w:p>
    <w:p>
      <w:pPr>
        <w:pStyle w:val="Heading5"/>
        <w:rPr>
          <w:snapToGrid w:val="0"/>
        </w:rPr>
      </w:pPr>
      <w:bookmarkStart w:id="129" w:name="_Toc163120691"/>
      <w:r>
        <w:rPr>
          <w:rStyle w:val="CharSectno"/>
        </w:rPr>
        <w:t>1</w:t>
      </w:r>
      <w:r>
        <w:rPr>
          <w:snapToGrid w:val="0"/>
        </w:rPr>
        <w:t>.</w:t>
      </w:r>
      <w:r>
        <w:rPr>
          <w:snapToGrid w:val="0"/>
        </w:rPr>
        <w:tab/>
        <w:t>Solicitor to declare, if required to, whether writ issued by him</w:t>
      </w:r>
      <w:bookmarkEnd w:id="129"/>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130" w:name="_Toc163120692"/>
      <w:r>
        <w:rPr>
          <w:rStyle w:val="CharSectno"/>
        </w:rPr>
        <w:t>2</w:t>
      </w:r>
      <w:r>
        <w:rPr>
          <w:snapToGrid w:val="0"/>
        </w:rPr>
        <w:t>.</w:t>
      </w:r>
      <w:r>
        <w:rPr>
          <w:snapToGrid w:val="0"/>
        </w:rPr>
        <w:tab/>
        <w:t>Change of solicitor</w:t>
      </w:r>
      <w:bookmarkEnd w:id="130"/>
    </w:p>
    <w:p>
      <w:pPr>
        <w:pStyle w:val="Subsection"/>
        <w:rPr>
          <w:snapToGrid w:val="0"/>
        </w:rPr>
      </w:pPr>
      <w:r>
        <w:rPr>
          <w:snapToGrid w:val="0"/>
        </w:rPr>
        <w:tab/>
        <w:t>(1)</w:t>
      </w:r>
      <w:r>
        <w:rPr>
          <w:snapToGrid w:val="0"/>
        </w:rPr>
        <w:tab/>
        <w:t xml:space="preserve">A party suing or defending by a solicitor may change his solicitor without an order for that purpose, upon notice of such change being </w:t>
      </w:r>
      <w:r>
        <w:t xml:space="preserve">filed, </w:t>
      </w:r>
      <w:r>
        <w:rPr>
          <w:snapToGrid w:val="0"/>
        </w:rPr>
        <w:t>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Footnotesection"/>
      </w:pPr>
      <w:r>
        <w:tab/>
        <w:t>[Rule 2 amended: Gazette 27 Feb 2018 p. 555.]</w:t>
      </w:r>
    </w:p>
    <w:p>
      <w:pPr>
        <w:pStyle w:val="Ednotesection"/>
      </w:pPr>
      <w:r>
        <w:lastRenderedPageBreak/>
        <w:t>[</w:t>
      </w:r>
      <w:r>
        <w:rPr>
          <w:b/>
        </w:rPr>
        <w:t>3.</w:t>
      </w:r>
      <w:r>
        <w:tab/>
        <w:t>Deleted: Gazette 27 Feb 2018 p. 555.]</w:t>
      </w:r>
    </w:p>
    <w:p>
      <w:pPr>
        <w:pStyle w:val="Heading5"/>
        <w:rPr>
          <w:snapToGrid w:val="0"/>
        </w:rPr>
      </w:pPr>
      <w:bookmarkStart w:id="131" w:name="_Toc163120693"/>
      <w:r>
        <w:rPr>
          <w:rStyle w:val="CharSectno"/>
        </w:rPr>
        <w:t>4</w:t>
      </w:r>
      <w:r>
        <w:rPr>
          <w:snapToGrid w:val="0"/>
        </w:rPr>
        <w:t>.</w:t>
      </w:r>
      <w:r>
        <w:rPr>
          <w:snapToGrid w:val="0"/>
        </w:rPr>
        <w:tab/>
        <w:t>Appointment of solicitor by self-represented person</w:t>
      </w:r>
      <w:bookmarkEnd w:id="131"/>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a notice of appointment of a solicitor and rule 2(2) shall with the necessary modifications, apply in relation to a notice of appointment of a solicitor as it applies in relation to a notice of change of solicitor.</w:t>
      </w:r>
    </w:p>
    <w:p>
      <w:pPr>
        <w:pStyle w:val="Footnotesection"/>
      </w:pPr>
      <w:r>
        <w:tab/>
        <w:t>[Rule 4 amended: Gazette 27 Feb 2018 p. 555.]</w:t>
      </w:r>
    </w:p>
    <w:p>
      <w:pPr>
        <w:pStyle w:val="Heading5"/>
        <w:rPr>
          <w:snapToGrid w:val="0"/>
        </w:rPr>
      </w:pPr>
      <w:bookmarkStart w:id="132" w:name="_Toc163120694"/>
      <w:r>
        <w:rPr>
          <w:rStyle w:val="CharSectno"/>
        </w:rPr>
        <w:t>5</w:t>
      </w:r>
      <w:r>
        <w:rPr>
          <w:snapToGrid w:val="0"/>
        </w:rPr>
        <w:t>.</w:t>
      </w:r>
      <w:r>
        <w:rPr>
          <w:snapToGrid w:val="0"/>
        </w:rPr>
        <w:tab/>
        <w:t>Intention to act in person, notice of</w:t>
      </w:r>
      <w:bookmarkEnd w:id="132"/>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Gazette 21 Feb 2007 p. 534.]</w:t>
      </w:r>
    </w:p>
    <w:p>
      <w:pPr>
        <w:pStyle w:val="Heading5"/>
      </w:pPr>
      <w:bookmarkStart w:id="133" w:name="_Toc163120695"/>
      <w:r>
        <w:rPr>
          <w:rStyle w:val="CharSectno"/>
        </w:rPr>
        <w:t>5A</w:t>
      </w:r>
      <w:r>
        <w:t>.</w:t>
      </w:r>
      <w:r>
        <w:tab/>
        <w:t>Form and content of notices</w:t>
      </w:r>
      <w:bookmarkEnd w:id="133"/>
    </w:p>
    <w:p>
      <w:pPr>
        <w:pStyle w:val="Subsection"/>
      </w:pPr>
      <w:r>
        <w:tab/>
      </w:r>
      <w:r>
        <w:tab/>
        <w:t xml:space="preserve">A notice filed under rule 2, 3, 4 or 5 — </w:t>
      </w:r>
    </w:p>
    <w:p>
      <w:pPr>
        <w:pStyle w:val="Indenta"/>
      </w:pPr>
      <w:r>
        <w:tab/>
        <w:t>(a)</w:t>
      </w:r>
      <w:r>
        <w:tab/>
        <w:t>must be in Form 5AA; and</w:t>
      </w:r>
    </w:p>
    <w:p>
      <w:pPr>
        <w:pStyle w:val="Indenta"/>
      </w:pPr>
      <w:r>
        <w:tab/>
        <w:t>(b)</w:t>
      </w:r>
      <w:r>
        <w:tab/>
        <w:t xml:space="preserve">must state, in accordance with Order 71A — </w:t>
      </w:r>
    </w:p>
    <w:p>
      <w:pPr>
        <w:pStyle w:val="Indenti"/>
      </w:pPr>
      <w:r>
        <w:tab/>
        <w:t>(i)</w:t>
      </w:r>
      <w:r>
        <w:tab/>
        <w:t>the party’s geographical address; and</w:t>
      </w:r>
    </w:p>
    <w:p>
      <w:pPr>
        <w:pStyle w:val="Indenti"/>
      </w:pPr>
      <w:r>
        <w:tab/>
        <w:t>(ii)</w:t>
      </w:r>
      <w:r>
        <w:tab/>
        <w:t>the party’s service details.</w:t>
      </w:r>
    </w:p>
    <w:p>
      <w:pPr>
        <w:pStyle w:val="Footnotesection"/>
        <w:ind w:left="890" w:hanging="890"/>
      </w:pPr>
      <w:r>
        <w:tab/>
        <w:t>[Rule 5A inserted: Gazette 13 Nov 2015 p. 4645.]</w:t>
      </w:r>
    </w:p>
    <w:p>
      <w:pPr>
        <w:pStyle w:val="Heading5"/>
        <w:spacing w:before="240"/>
        <w:rPr>
          <w:snapToGrid w:val="0"/>
        </w:rPr>
      </w:pPr>
      <w:bookmarkStart w:id="134" w:name="_Toc163120696"/>
      <w:r>
        <w:rPr>
          <w:rStyle w:val="CharSectno"/>
        </w:rPr>
        <w:t>6</w:t>
      </w:r>
      <w:r>
        <w:rPr>
          <w:snapToGrid w:val="0"/>
        </w:rPr>
        <w:t>.</w:t>
      </w:r>
      <w:r>
        <w:rPr>
          <w:snapToGrid w:val="0"/>
        </w:rPr>
        <w:tab/>
        <w:t>Removal of solicitor from record</w:t>
      </w:r>
      <w:bookmarkEnd w:id="134"/>
    </w:p>
    <w:p>
      <w:pPr>
        <w:pStyle w:val="Subsection"/>
        <w:spacing w:before="180"/>
        <w:rPr>
          <w:snapToGrid w:val="0"/>
        </w:rPr>
      </w:pPr>
      <w:r>
        <w:rPr>
          <w:snapToGrid w:val="0"/>
        </w:rPr>
        <w:tab/>
        <w:t>(1)</w:t>
      </w:r>
      <w:r>
        <w:rPr>
          <w:snapToGrid w:val="0"/>
        </w:rPr>
        <w:tab/>
        <w:t xml:space="preserve">Where a solicitor who has acted for a party in a cause or matter has died or become bankrupt, or cannot be found or has ceased to have the right of practising in the Court, or for any other </w:t>
      </w:r>
      <w:r>
        <w:rPr>
          <w:snapToGrid w:val="0"/>
        </w:rPr>
        <w:lastRenderedPageBreak/>
        <w:t>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a certificate signed by him or his solicitor that the order has been duly served as aforesaid.</w:t>
      </w:r>
    </w:p>
    <w:p>
      <w:pPr>
        <w:pStyle w:val="Footnotesection"/>
      </w:pPr>
      <w:r>
        <w:tab/>
        <w:t>[Rule 6 amended: Gazette 27 Feb 2018 p. 555.]</w:t>
      </w:r>
    </w:p>
    <w:p>
      <w:pPr>
        <w:pStyle w:val="Heading5"/>
        <w:spacing w:before="240"/>
        <w:rPr>
          <w:snapToGrid w:val="0"/>
        </w:rPr>
      </w:pPr>
      <w:bookmarkStart w:id="135" w:name="_Toc163120697"/>
      <w:r>
        <w:rPr>
          <w:rStyle w:val="CharSectno"/>
        </w:rPr>
        <w:t>7</w:t>
      </w:r>
      <w:r>
        <w:rPr>
          <w:snapToGrid w:val="0"/>
        </w:rPr>
        <w:t>.</w:t>
      </w:r>
      <w:r>
        <w:rPr>
          <w:snapToGrid w:val="0"/>
        </w:rPr>
        <w:tab/>
        <w:t>Withdrawal of solicitor who has ceased to act for party</w:t>
      </w:r>
      <w:bookmarkEnd w:id="135"/>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a certificate signed by him that the order has been duly served as aforesaid,</w:t>
      </w:r>
    </w:p>
    <w:p>
      <w:pPr>
        <w:pStyle w:val="Subsection"/>
        <w:spacing w:before="120"/>
        <w:rPr>
          <w:snapToGrid w:val="0"/>
        </w:rPr>
      </w:pPr>
      <w:r>
        <w:rPr>
          <w:snapToGrid w:val="0"/>
        </w:rPr>
        <w:lastRenderedPageBreak/>
        <w:tab/>
      </w:r>
      <w:r>
        <w:rPr>
          <w:snapToGrid w:val="0"/>
        </w:rPr>
        <w:tab/>
        <w:t xml:space="preserve">he shall, subject to </w:t>
      </w:r>
      <w:r>
        <w:t xml:space="preserve">rules 1 to 6, </w:t>
      </w:r>
      <w:r>
        <w:rPr>
          <w:snapToGrid w:val="0"/>
        </w:rPr>
        <w:t>be considered the solicitor of the party until the final conclusion of the cause or matter including any appeal therein.</w:t>
      </w:r>
    </w:p>
    <w:p>
      <w:pPr>
        <w:pStyle w:val="Subsection"/>
        <w:spacing w:before="120"/>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spacing w:before="120"/>
        <w:rPr>
          <w:snapToGrid w:val="0"/>
        </w:rPr>
      </w:pPr>
      <w:r>
        <w:rPr>
          <w:snapToGrid w:val="0"/>
        </w:rPr>
        <w:tab/>
        <w:t>(3)</w:t>
      </w:r>
      <w:r>
        <w:rPr>
          <w:snapToGrid w:val="0"/>
        </w:rPr>
        <w:tab/>
        <w:t xml:space="preserve">The Court may dispense with the necessity of serving a party to a cause or matter with an order of the kind mentioned in </w:t>
      </w:r>
      <w:r>
        <w:t>subrule</w:t>
      </w:r>
      <w:r>
        <w:rPr>
          <w:snapToGrid w:val="0"/>
        </w:rPr>
        <w:t> (1).</w:t>
      </w:r>
    </w:p>
    <w:p>
      <w:pPr>
        <w:pStyle w:val="Footnotesection"/>
        <w:spacing w:before="80"/>
        <w:ind w:left="890" w:hanging="890"/>
      </w:pPr>
      <w:r>
        <w:tab/>
        <w:t xml:space="preserve">[Rule 7 amended: Gazette 15 Jun 1973 p. 2247; 23 May 1975 p. 1404; 28 Jun 2011 p. 2552 and 2553; 27 Feb 2018 p. 555.] </w:t>
      </w:r>
    </w:p>
    <w:p>
      <w:pPr>
        <w:pStyle w:val="Heading5"/>
        <w:spacing w:before="180"/>
        <w:rPr>
          <w:snapToGrid w:val="0"/>
        </w:rPr>
      </w:pPr>
      <w:bookmarkStart w:id="136" w:name="_Toc163120698"/>
      <w:r>
        <w:rPr>
          <w:rStyle w:val="CharSectno"/>
        </w:rPr>
        <w:t>8</w:t>
      </w:r>
      <w:r>
        <w:rPr>
          <w:snapToGrid w:val="0"/>
        </w:rPr>
        <w:t>.</w:t>
      </w:r>
      <w:r>
        <w:rPr>
          <w:snapToGrid w:val="0"/>
        </w:rPr>
        <w:tab/>
        <w:t>Effect of order made under this Order</w:t>
      </w:r>
      <w:bookmarkEnd w:id="136"/>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137" w:name="_Toc163120699"/>
      <w:r>
        <w:rPr>
          <w:rStyle w:val="CharSectno"/>
        </w:rPr>
        <w:t>9</w:t>
      </w:r>
      <w:r>
        <w:t>.</w:t>
      </w:r>
      <w:r>
        <w:tab/>
        <w:t>Service details of party whose solicitor is removed</w:t>
      </w:r>
      <w:bookmarkEnd w:id="137"/>
    </w:p>
    <w:p>
      <w:pPr>
        <w:pStyle w:val="Subsection"/>
        <w:spacing w:before="120"/>
      </w:pPr>
      <w:r>
        <w:tab/>
      </w:r>
      <w:r>
        <w:tab/>
        <w:t xml:space="preserve">If — </w:t>
      </w:r>
    </w:p>
    <w:p>
      <w:pPr>
        <w:pStyle w:val="Indenta"/>
        <w:spacing w:before="60"/>
      </w:pPr>
      <w:r>
        <w:tab/>
        <w:t>(a)</w:t>
      </w:r>
      <w:r>
        <w:tab/>
        <w:t>an order is made under rule 6 in respect of the solicitor of a party; or</w:t>
      </w:r>
    </w:p>
    <w:p>
      <w:pPr>
        <w:pStyle w:val="Indenta"/>
        <w:keepLines/>
        <w:spacing w:before="60"/>
      </w:pPr>
      <w:r>
        <w:tab/>
        <w:t>(b)</w:t>
      </w:r>
      <w:r>
        <w:tab/>
        <w:t>an order is made under rule 7 in respect of the solicitor of a party, and the solicitor has complied with rule 7(1),</w:t>
      </w:r>
    </w:p>
    <w:p>
      <w:pPr>
        <w:pStyle w:val="Subsection"/>
        <w:keepLines/>
        <w:widowControl w:val="0"/>
        <w:spacing w:before="120"/>
      </w:pPr>
      <w:r>
        <w:tab/>
      </w:r>
      <w:r>
        <w:tab/>
        <w:t xml:space="preserve">the party’s service details are to be taken to be the party’s geographical address stated on the most recently filed document until — </w:t>
      </w:r>
    </w:p>
    <w:p>
      <w:pPr>
        <w:pStyle w:val="Indenta"/>
        <w:keepLines/>
        <w:spacing w:before="60"/>
      </w:pPr>
      <w:r>
        <w:tab/>
        <w:t>(c)</w:t>
      </w:r>
      <w:r>
        <w:tab/>
        <w:t>a notice is filed under rule 4 or 5; or</w:t>
      </w:r>
    </w:p>
    <w:p>
      <w:pPr>
        <w:pStyle w:val="Indenta"/>
      </w:pPr>
      <w:r>
        <w:tab/>
        <w:t>(d)</w:t>
      </w:r>
      <w:r>
        <w:tab/>
        <w:t xml:space="preserve">the Court orders otherwise on an </w:t>
      </w:r>
      <w:r>
        <w:rPr>
          <w:i/>
        </w:rPr>
        <w:t>ex parte</w:t>
      </w:r>
      <w:r>
        <w:t xml:space="preserv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Gazette 21 Feb 2007 p. 534</w:t>
      </w:r>
      <w:r>
        <w:noBreakHyphen/>
        <w:t>5.]</w:t>
      </w:r>
    </w:p>
    <w:p>
      <w:pPr>
        <w:pStyle w:val="Ednotesection"/>
      </w:pPr>
      <w:r>
        <w:lastRenderedPageBreak/>
        <w:t>[</w:t>
      </w:r>
      <w:r>
        <w:rPr>
          <w:b/>
        </w:rPr>
        <w:t>10.</w:t>
      </w:r>
      <w:r>
        <w:tab/>
        <w:t>Deleted: Gazette 21 Feb 2007 p. 534.]</w:t>
      </w:r>
    </w:p>
    <w:p>
      <w:pPr>
        <w:pStyle w:val="Heading5"/>
        <w:rPr>
          <w:snapToGrid w:val="0"/>
        </w:rPr>
      </w:pPr>
      <w:bookmarkStart w:id="138" w:name="_Toc163120700"/>
      <w:r>
        <w:rPr>
          <w:rStyle w:val="CharSectno"/>
        </w:rPr>
        <w:t>11</w:t>
      </w:r>
      <w:r>
        <w:rPr>
          <w:snapToGrid w:val="0"/>
        </w:rPr>
        <w:t>.</w:t>
      </w:r>
      <w:r>
        <w:rPr>
          <w:snapToGrid w:val="0"/>
        </w:rPr>
        <w:tab/>
        <w:t>Solicitor not to act for adverse parties</w:t>
      </w:r>
      <w:bookmarkEnd w:id="138"/>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139" w:name="_Toc163120701"/>
      <w:r>
        <w:rPr>
          <w:rStyle w:val="CharSectno"/>
        </w:rPr>
        <w:t>12</w:t>
      </w:r>
      <w:r>
        <w:rPr>
          <w:snapToGrid w:val="0"/>
        </w:rPr>
        <w:t>.</w:t>
      </w:r>
      <w:r>
        <w:rPr>
          <w:snapToGrid w:val="0"/>
        </w:rPr>
        <w:tab/>
        <w:t>Legal practitioner or clerk not to be security</w:t>
      </w:r>
      <w:bookmarkEnd w:id="139"/>
    </w:p>
    <w:p>
      <w:pPr>
        <w:pStyle w:val="Subsection"/>
        <w:rPr>
          <w:snapToGrid w:val="0"/>
        </w:rPr>
      </w:pPr>
      <w:r>
        <w:rPr>
          <w:snapToGrid w:val="0"/>
        </w:rPr>
        <w:tab/>
      </w:r>
      <w:r>
        <w:rPr>
          <w:snapToGrid w:val="0"/>
        </w:rPr>
        <w:tab/>
        <w:t xml:space="preserve">No </w:t>
      </w:r>
      <w:r>
        <w:t>legal practitioner</w:t>
      </w:r>
      <w:r>
        <w:rPr>
          <w:snapToGrid w:val="0"/>
        </w:rPr>
        <w:t xml:space="preserve"> or articled or other clerk to a </w:t>
      </w:r>
      <w:r>
        <w:t>legal practitioner</w:t>
      </w:r>
      <w:r>
        <w:rPr>
          <w:snapToGrid w:val="0"/>
        </w:rPr>
        <w:t xml:space="preserve"> shall be security for any party in any court without the leave of a judge.</w:t>
      </w:r>
    </w:p>
    <w:p>
      <w:pPr>
        <w:pStyle w:val="Footnotesection"/>
      </w:pPr>
      <w:r>
        <w:tab/>
        <w:t>[Rule 12 amended: SL 2022/74 r. 15.]</w:t>
      </w:r>
    </w:p>
    <w:p>
      <w:pPr>
        <w:pStyle w:val="Heading2"/>
      </w:pPr>
      <w:bookmarkStart w:id="140" w:name="_Toc162940254"/>
      <w:bookmarkStart w:id="141" w:name="_Toc162953029"/>
      <w:bookmarkStart w:id="142" w:name="_Toc163120702"/>
      <w:r>
        <w:rPr>
          <w:rStyle w:val="CharPartNo"/>
        </w:rPr>
        <w:lastRenderedPageBreak/>
        <w:t>Order 9A</w:t>
      </w:r>
      <w:r>
        <w:rPr>
          <w:rStyle w:val="CharDivNo"/>
        </w:rPr>
        <w:t> </w:t>
      </w:r>
      <w:r>
        <w:t>—</w:t>
      </w:r>
      <w:r>
        <w:rPr>
          <w:rStyle w:val="CharDivText"/>
        </w:rPr>
        <w:t> </w:t>
      </w:r>
      <w:r>
        <w:rPr>
          <w:rStyle w:val="CharPartText"/>
        </w:rPr>
        <w:t>Interested non</w:t>
      </w:r>
      <w:r>
        <w:rPr>
          <w:rStyle w:val="CharPartText"/>
        </w:rPr>
        <w:noBreakHyphen/>
        <w:t>parties</w:t>
      </w:r>
      <w:bookmarkEnd w:id="140"/>
      <w:bookmarkEnd w:id="141"/>
      <w:bookmarkEnd w:id="142"/>
    </w:p>
    <w:p>
      <w:pPr>
        <w:pStyle w:val="Footnoteheading"/>
      </w:pPr>
      <w:r>
        <w:tab/>
        <w:t>[Heading inserted: Gazette 12 Jun 2012 p. 2447.]</w:t>
      </w:r>
    </w:p>
    <w:p>
      <w:pPr>
        <w:pStyle w:val="Heading5"/>
      </w:pPr>
      <w:bookmarkStart w:id="143" w:name="_Toc163120703"/>
      <w:r>
        <w:rPr>
          <w:rStyle w:val="CharSectno"/>
        </w:rPr>
        <w:t>1</w:t>
      </w:r>
      <w:r>
        <w:t>.</w:t>
      </w:r>
      <w:r>
        <w:tab/>
        <w:t>Terms used</w:t>
      </w:r>
      <w:bookmarkEnd w:id="143"/>
    </w:p>
    <w:p>
      <w:pPr>
        <w:pStyle w:val="Subsection"/>
      </w:pPr>
      <w:r>
        <w:tab/>
      </w:r>
      <w:r>
        <w:tab/>
        <w:t xml:space="preserve">In this Order — </w:t>
      </w:r>
    </w:p>
    <w:p>
      <w:pPr>
        <w:pStyle w:val="Defstart"/>
      </w:pPr>
      <w:r>
        <w:tab/>
      </w:r>
      <w:r>
        <w:rPr>
          <w:rStyle w:val="CharDefText"/>
        </w:rPr>
        <w:t>case</w:t>
      </w:r>
      <w:r>
        <w:t xml:space="preserve"> has the meaning given in Order 4A rule 1;</w:t>
      </w:r>
    </w:p>
    <w:p>
      <w:pPr>
        <w:pStyle w:val="Defstart"/>
      </w:pPr>
      <w:r>
        <w:tab/>
      </w:r>
      <w:r>
        <w:rPr>
          <w:rStyle w:val="CharDefText"/>
        </w:rPr>
        <w:t>interested non</w:t>
      </w:r>
      <w:r>
        <w:rPr>
          <w:rStyle w:val="CharDefText"/>
        </w:rPr>
        <w:noBreakHyphen/>
        <w:t>party</w:t>
      </w:r>
      <w:r>
        <w:t xml:space="preserve">, in relation to a party to a case, means a person, other than a legal practitioner for the party, who — </w:t>
      </w:r>
    </w:p>
    <w:p>
      <w:pPr>
        <w:pStyle w:val="Defpara"/>
      </w:pPr>
      <w:r>
        <w:tab/>
        <w:t>(a)</w:t>
      </w:r>
      <w:r>
        <w:tab/>
        <w:t>provides funding or other financial assistance to the party for the purposes of conducting the case; and</w:t>
      </w:r>
    </w:p>
    <w:p>
      <w:pPr>
        <w:pStyle w:val="Defpara"/>
      </w:pPr>
      <w:r>
        <w:tab/>
        <w:t>(b)</w:t>
      </w:r>
      <w:r>
        <w:tab/>
        <w:t>exercises direct or indirect control or influence over the way in which the party conducts the case.</w:t>
      </w:r>
    </w:p>
    <w:p>
      <w:pPr>
        <w:pStyle w:val="Footnotesection"/>
      </w:pPr>
      <w:r>
        <w:tab/>
        <w:t>[Rule 1 inserted: Gazette 12 Jun 2012 p. 2447; amended: SL 2022/74 r. 15; SL 2023/16 r. 5.]</w:t>
      </w:r>
    </w:p>
    <w:p>
      <w:pPr>
        <w:pStyle w:val="Heading5"/>
      </w:pPr>
      <w:bookmarkStart w:id="144" w:name="_Toc163120704"/>
      <w:r>
        <w:rPr>
          <w:rStyle w:val="CharSectno"/>
        </w:rPr>
        <w:t>2</w:t>
      </w:r>
      <w:r>
        <w:t>.</w:t>
      </w:r>
      <w:r>
        <w:tab/>
        <w:t>Parties to advise identity of interested non</w:t>
      </w:r>
      <w:r>
        <w:noBreakHyphen/>
        <w:t>parties</w:t>
      </w:r>
      <w:bookmarkEnd w:id="144"/>
    </w:p>
    <w:p>
      <w:pPr>
        <w:pStyle w:val="Subsection"/>
      </w:pPr>
      <w:r>
        <w:tab/>
        <w:t>(1)</w:t>
      </w:r>
      <w:r>
        <w:tab/>
        <w:t>A party to a case must notify the Principal Registrar and each other party to the case of the identity of any person who is an interested non</w:t>
      </w:r>
      <w:r>
        <w:noBreakHyphen/>
        <w:t>party in relation to the party to the case.</w:t>
      </w:r>
    </w:p>
    <w:p>
      <w:pPr>
        <w:pStyle w:val="Subsection"/>
      </w:pPr>
      <w:r>
        <w:tab/>
        <w:t>(2)</w:t>
      </w:r>
      <w:r>
        <w:tab/>
        <w:t>The notice is to be given in writing as soon as is reasonably practicable after the person becomes an interested non</w:t>
      </w:r>
      <w:r>
        <w:noBreakHyphen/>
        <w:t>party in relation to the party to the case.</w:t>
      </w:r>
    </w:p>
    <w:p>
      <w:pPr>
        <w:pStyle w:val="Footnotesection"/>
      </w:pPr>
      <w:r>
        <w:tab/>
        <w:t>[Rule 2 inserted: Gazette 12 Jun 2012 p. 2447.]</w:t>
      </w:r>
    </w:p>
    <w:p>
      <w:pPr>
        <w:pStyle w:val="Heading5"/>
      </w:pPr>
      <w:bookmarkStart w:id="145" w:name="_Toc163120705"/>
      <w:r>
        <w:rPr>
          <w:rStyle w:val="CharSectno"/>
        </w:rPr>
        <w:t>3</w:t>
      </w:r>
      <w:r>
        <w:t>.</w:t>
      </w:r>
      <w:r>
        <w:tab/>
        <w:t>Duties of interested non</w:t>
      </w:r>
      <w:r>
        <w:noBreakHyphen/>
        <w:t>party</w:t>
      </w:r>
      <w:bookmarkEnd w:id="145"/>
    </w:p>
    <w:p>
      <w:pPr>
        <w:pStyle w:val="Subsection"/>
      </w:pPr>
      <w:r>
        <w:tab/>
      </w:r>
      <w:r>
        <w:tab/>
        <w:t>The duties to the Court of an interested non</w:t>
      </w:r>
      <w:r>
        <w:noBreakHyphen/>
        <w:t xml:space="preserve">party in relation to a party to a case are the following — </w:t>
      </w:r>
    </w:p>
    <w:p>
      <w:pPr>
        <w:pStyle w:val="Indenta"/>
      </w:pPr>
      <w:r>
        <w:tab/>
        <w:t>(a)</w:t>
      </w:r>
      <w:r>
        <w:tab/>
        <w:t>not to engage in conduct which is misleading or deceptive, or to aid, abet or induce such conduct, in connection with the conduct of the case;</w:t>
      </w:r>
    </w:p>
    <w:p>
      <w:pPr>
        <w:pStyle w:val="Indenta"/>
      </w:pPr>
      <w:r>
        <w:tab/>
        <w:t>(b)</w:t>
      </w:r>
      <w:r>
        <w:tab/>
        <w:t>to cooperate with the parties and the Court in connection with the conduct of the case;</w:t>
      </w:r>
    </w:p>
    <w:p>
      <w:pPr>
        <w:pStyle w:val="Indenta"/>
      </w:pPr>
      <w:r>
        <w:lastRenderedPageBreak/>
        <w:tab/>
        <w:t>(c)</w:t>
      </w:r>
      <w:r>
        <w:tab/>
        <w:t xml:space="preserve">to use reasonable endeavours to ensure that the goal in Order 1 rule 4A and the objects in Order 1 rule 4B are attained. </w:t>
      </w:r>
    </w:p>
    <w:p>
      <w:pPr>
        <w:pStyle w:val="Footnotesection"/>
      </w:pPr>
      <w:r>
        <w:tab/>
        <w:t>[Rule 3 inserted: Gazette 12 Jun 2012 p. 2447-8.]</w:t>
      </w:r>
    </w:p>
    <w:p>
      <w:pPr>
        <w:pStyle w:val="Heading5"/>
      </w:pPr>
      <w:bookmarkStart w:id="146" w:name="_Toc163120706"/>
      <w:r>
        <w:rPr>
          <w:rStyle w:val="CharSectno"/>
        </w:rPr>
        <w:t>4</w:t>
      </w:r>
      <w:r>
        <w:t>.</w:t>
      </w:r>
      <w:r>
        <w:tab/>
        <w:t>Disclosure of agreements relating to litigation funding</w:t>
      </w:r>
      <w:bookmarkEnd w:id="146"/>
    </w:p>
    <w:p>
      <w:pPr>
        <w:pStyle w:val="Subsection"/>
      </w:pPr>
      <w:r>
        <w:tab/>
        <w:t>(1)</w:t>
      </w:r>
      <w:r>
        <w:tab/>
        <w:t>This rule applies if a party to a case represents 1 or more persons who are not parties to the case, or the interests of those persons, in the case.</w:t>
      </w:r>
    </w:p>
    <w:p>
      <w:pPr>
        <w:pStyle w:val="Subsection"/>
      </w:pPr>
      <w:r>
        <w:tab/>
        <w:t>(2)</w:t>
      </w:r>
      <w:r>
        <w:tab/>
        <w:t>The case manager for the case may, at any time, order the party to give the case manager a copy of any agreement relating to funding or other financial assistance an interested non</w:t>
      </w:r>
      <w:r>
        <w:noBreakHyphen/>
        <w:t>party provides to the party for the purposes of conducting the case.</w:t>
      </w:r>
    </w:p>
    <w:p>
      <w:pPr>
        <w:pStyle w:val="Footnotesection"/>
      </w:pPr>
      <w:r>
        <w:tab/>
        <w:t>[Rule 4 inserted: SL 2023/16 r. 6.]</w:t>
      </w:r>
    </w:p>
    <w:p>
      <w:pPr>
        <w:pStyle w:val="Heading2"/>
        <w:rPr>
          <w:b w:val="0"/>
        </w:rPr>
      </w:pPr>
      <w:bookmarkStart w:id="147" w:name="_Toc162940259"/>
      <w:bookmarkStart w:id="148" w:name="_Toc162953034"/>
      <w:bookmarkStart w:id="149" w:name="_Toc163120707"/>
      <w:r>
        <w:rPr>
          <w:rStyle w:val="CharPartNo"/>
        </w:rPr>
        <w:lastRenderedPageBreak/>
        <w:t>Order 9</w:t>
      </w:r>
      <w:r>
        <w:t> — </w:t>
      </w:r>
      <w:r>
        <w:rPr>
          <w:rStyle w:val="CharPartText"/>
        </w:rPr>
        <w:t>Service of originating process: general provisions</w:t>
      </w:r>
      <w:bookmarkEnd w:id="147"/>
      <w:bookmarkEnd w:id="148"/>
      <w:bookmarkEnd w:id="149"/>
    </w:p>
    <w:p>
      <w:pPr>
        <w:pStyle w:val="Heading5"/>
        <w:rPr>
          <w:snapToGrid w:val="0"/>
        </w:rPr>
      </w:pPr>
      <w:bookmarkStart w:id="150" w:name="_Toc163120708"/>
      <w:r>
        <w:rPr>
          <w:rStyle w:val="CharSectno"/>
        </w:rPr>
        <w:t>1</w:t>
      </w:r>
      <w:r>
        <w:rPr>
          <w:snapToGrid w:val="0"/>
        </w:rPr>
        <w:t>.</w:t>
      </w:r>
      <w:r>
        <w:rPr>
          <w:snapToGrid w:val="0"/>
        </w:rPr>
        <w:tab/>
      </w:r>
      <w:r>
        <w:t>Service of writ: general provisions</w:t>
      </w:r>
      <w:bookmarkEnd w:id="150"/>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pPr>
      <w:r>
        <w:tab/>
        <w:t>(4)</w:t>
      </w:r>
      <w:r>
        <w:tab/>
        <w:t xml:space="preserve">Where a writ is served on a defendant otherwise than by virtue of subrule (2) or (3) or Order 10 Division 4, the plaintiff in the action begun by the writ is not entitled to enter judgment against the defendant in default of appearance or in default of defence unless, within 3 days after service, the person serving it indorses on the sealed copy of the writ the following particulars — </w:t>
      </w:r>
    </w:p>
    <w:p>
      <w:pPr>
        <w:pStyle w:val="Indenta"/>
      </w:pPr>
      <w:r>
        <w:tab/>
        <w:t>(a)</w:t>
      </w:r>
      <w:r>
        <w:tab/>
        <w:t>the day of the week and date on which it was served;</w:t>
      </w:r>
    </w:p>
    <w:p>
      <w:pPr>
        <w:pStyle w:val="Indenta"/>
      </w:pPr>
      <w:r>
        <w:tab/>
        <w:t>(b)</w:t>
      </w:r>
      <w:r>
        <w:tab/>
        <w:t>where it was served;</w:t>
      </w:r>
    </w:p>
    <w:p>
      <w:pPr>
        <w:pStyle w:val="Indenta"/>
      </w:pPr>
      <w:r>
        <w:tab/>
        <w:t>(c)</w:t>
      </w:r>
      <w:r>
        <w:tab/>
        <w:t>the person on whom it was served;</w:t>
      </w:r>
    </w:p>
    <w:p>
      <w:pPr>
        <w:pStyle w:val="Indenta"/>
      </w:pPr>
      <w:r>
        <w:tab/>
        <w:t>(d)</w:t>
      </w:r>
      <w:r>
        <w:tab/>
        <w:t>if the person on whom it was served is not the defendant — the capacity in which the person was served;</w:t>
      </w:r>
    </w:p>
    <w:p>
      <w:pPr>
        <w:pStyle w:val="Indenta"/>
        <w:keepNext/>
      </w:pPr>
      <w:r>
        <w:tab/>
        <w:t>(e)</w:t>
      </w:r>
      <w:r>
        <w:tab/>
        <w:t xml:space="preserve">if under Order 4AA rule 3(2) a Form 4 must be attached to the writ when it is served — a statement that the </w:t>
      </w:r>
      <w:r>
        <w:lastRenderedPageBreak/>
        <w:t>Form 4 was attached to the front of the writ when it was served.</w:t>
      </w:r>
    </w:p>
    <w:p>
      <w:pPr>
        <w:pStyle w:val="Footnotesection"/>
      </w:pPr>
      <w:r>
        <w:tab/>
        <w:t>[Rule 1 amended: Gazette 28 Jun 2011 p. 2552; 16 Nov 2016 p. 5188</w:t>
      </w:r>
      <w:r>
        <w:noBreakHyphen/>
        <w:t>9; SL 2024/38 r. 6.]</w:t>
      </w:r>
    </w:p>
    <w:p>
      <w:pPr>
        <w:pStyle w:val="Heading5"/>
        <w:rPr>
          <w:snapToGrid w:val="0"/>
        </w:rPr>
      </w:pPr>
      <w:bookmarkStart w:id="151" w:name="_Toc163120709"/>
      <w:r>
        <w:rPr>
          <w:rStyle w:val="CharSectno"/>
        </w:rPr>
        <w:t>2</w:t>
      </w:r>
      <w:r>
        <w:rPr>
          <w:snapToGrid w:val="0"/>
        </w:rPr>
        <w:t>.</w:t>
      </w:r>
      <w:r>
        <w:rPr>
          <w:snapToGrid w:val="0"/>
        </w:rPr>
        <w:tab/>
        <w:t>Service of writ as to contract on agent of principal who is outside WA</w:t>
      </w:r>
      <w:bookmarkEnd w:id="151"/>
    </w:p>
    <w:p>
      <w:pPr>
        <w:pStyle w:val="Subsection"/>
        <w:keepNext/>
        <w:rPr>
          <w:snapToGrid w:val="0"/>
        </w:rPr>
      </w:pPr>
      <w:r>
        <w:rPr>
          <w:snapToGrid w:val="0"/>
        </w:rPr>
        <w:tab/>
        <w:t>(1)</w:t>
      </w:r>
      <w:r>
        <w:rPr>
          <w:snapToGrid w:val="0"/>
        </w:rPr>
        <w:tab/>
        <w:t xml:space="preserve">Where the Court is satisfied on an </w:t>
      </w:r>
      <w:r>
        <w:rPr>
          <w:i/>
          <w:snapToGrid w:val="0"/>
        </w:rPr>
        <w:t>ex parte</w:t>
      </w:r>
      <w:r>
        <w:rPr>
          <w:snapToGrid w:val="0"/>
        </w:rPr>
        <w:t xml:space="preserve"> application that — </w:t>
      </w:r>
    </w:p>
    <w:p>
      <w:pPr>
        <w:pStyle w:val="Indenta"/>
        <w:spacing w:before="100"/>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spacing w:before="100"/>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spacing w:before="100"/>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spacing w:before="180"/>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spacing w:before="180"/>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spacing w:before="180"/>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spacing w:before="240"/>
        <w:rPr>
          <w:snapToGrid w:val="0"/>
        </w:rPr>
      </w:pPr>
      <w:bookmarkStart w:id="152" w:name="_Toc163120710"/>
      <w:r>
        <w:rPr>
          <w:rStyle w:val="CharSectno"/>
        </w:rPr>
        <w:lastRenderedPageBreak/>
        <w:t>3</w:t>
      </w:r>
      <w:r>
        <w:rPr>
          <w:snapToGrid w:val="0"/>
        </w:rPr>
        <w:t>.</w:t>
      </w:r>
      <w:r>
        <w:rPr>
          <w:snapToGrid w:val="0"/>
        </w:rPr>
        <w:tab/>
      </w:r>
      <w:r>
        <w:t>Effect of serving writ in accordance with contract</w:t>
      </w:r>
      <w:bookmarkEnd w:id="152"/>
    </w:p>
    <w:p>
      <w:pPr>
        <w:pStyle w:val="Subsection"/>
        <w:spacing w:before="180"/>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spacing w:before="180"/>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w:t>
      </w:r>
      <w:r>
        <w:t xml:space="preserve"> subrule</w:t>
      </w:r>
      <w:r>
        <w:rPr>
          <w:snapToGrid w:val="0"/>
        </w:rPr>
        <w:t> (2), be deemed to have been duly served on the defendant.</w:t>
      </w:r>
    </w:p>
    <w:p>
      <w:pPr>
        <w:pStyle w:val="Ednotesubsection"/>
      </w:pPr>
      <w:r>
        <w:tab/>
        <w:t>[(2)</w:t>
      </w:r>
      <w:r>
        <w:tab/>
        <w:t>deleted]</w:t>
      </w:r>
    </w:p>
    <w:p>
      <w:pPr>
        <w:pStyle w:val="Footnotesection"/>
      </w:pPr>
      <w:r>
        <w:tab/>
        <w:t>[Rule 3 amended: Gazette 28 Jun 2011 p. 2552; 12 Jun 2012 p. 2448; SL 2024/38 r. 7.]</w:t>
      </w:r>
    </w:p>
    <w:p>
      <w:pPr>
        <w:pStyle w:val="Heading5"/>
        <w:spacing w:before="240"/>
        <w:rPr>
          <w:snapToGrid w:val="0"/>
        </w:rPr>
      </w:pPr>
      <w:bookmarkStart w:id="153" w:name="_Toc163120711"/>
      <w:r>
        <w:rPr>
          <w:rStyle w:val="CharSectno"/>
        </w:rPr>
        <w:t>4</w:t>
      </w:r>
      <w:r>
        <w:rPr>
          <w:snapToGrid w:val="0"/>
        </w:rPr>
        <w:t>.</w:t>
      </w:r>
      <w:r>
        <w:rPr>
          <w:snapToGrid w:val="0"/>
        </w:rPr>
        <w:tab/>
        <w:t>Writ for possession of land where no person in possession, service of</w:t>
      </w:r>
      <w:bookmarkEnd w:id="153"/>
    </w:p>
    <w:p>
      <w:pPr>
        <w:pStyle w:val="Subsection"/>
        <w:spacing w:before="180"/>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 xml:space="preserve">if satisfied on an </w:t>
      </w:r>
      <w:r>
        <w:rPr>
          <w:i/>
          <w:snapToGrid w:val="0"/>
        </w:rPr>
        <w:t>ex parte</w:t>
      </w:r>
      <w:r>
        <w:rPr>
          <w:snapToGrid w:val="0"/>
        </w:rPr>
        <w:t xml:space="preserv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 xml:space="preserve">if satisfied on an </w:t>
      </w:r>
      <w:r>
        <w:rPr>
          <w:i/>
          <w:snapToGrid w:val="0"/>
        </w:rPr>
        <w:t>ex parte</w:t>
      </w:r>
      <w:r>
        <w:rPr>
          <w:snapToGrid w:val="0"/>
        </w:rPr>
        <w:t xml:space="preserve"> application that no person appears to be in possession of the land and that service </w:t>
      </w:r>
      <w:r>
        <w:rPr>
          <w:snapToGrid w:val="0"/>
        </w:rPr>
        <w:lastRenderedPageBreak/>
        <w:t>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154" w:name="_Toc163120712"/>
      <w:r>
        <w:rPr>
          <w:rStyle w:val="CharSectno"/>
        </w:rPr>
        <w:t>5</w:t>
      </w:r>
      <w:r>
        <w:rPr>
          <w:snapToGrid w:val="0"/>
        </w:rPr>
        <w:t>.</w:t>
      </w:r>
      <w:r>
        <w:rPr>
          <w:snapToGrid w:val="0"/>
        </w:rPr>
        <w:tab/>
        <w:t>Service of other originating process</w:t>
      </w:r>
      <w:bookmarkEnd w:id="154"/>
    </w:p>
    <w:p>
      <w:pPr>
        <w:pStyle w:val="Subsection"/>
        <w:keepNext/>
        <w:keepLines/>
        <w:rPr>
          <w:snapToGrid w:val="0"/>
        </w:rPr>
      </w:pPr>
      <w:r>
        <w:rPr>
          <w:snapToGrid w:val="0"/>
        </w:rPr>
        <w:tab/>
      </w:r>
      <w:r>
        <w:rPr>
          <w:snapToGrid w:val="0"/>
        </w:rPr>
        <w:tab/>
      </w:r>
      <w:r>
        <w:t xml:space="preserve">Rules 1 to 4 </w:t>
      </w:r>
      <w:r>
        <w:rPr>
          <w:snapToGrid w:val="0"/>
        </w:rPr>
        <w:t>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Footnotesection"/>
      </w:pPr>
      <w:r>
        <w:tab/>
        <w:t>[Rule 5 amended: Gazette 28 Jun 2011 p. 2553.]</w:t>
      </w:r>
    </w:p>
    <w:p>
      <w:pPr>
        <w:pStyle w:val="Heading2"/>
      </w:pPr>
      <w:bookmarkStart w:id="155" w:name="_Toc161821897"/>
      <w:bookmarkStart w:id="156" w:name="_Toc161821965"/>
      <w:bookmarkStart w:id="157" w:name="_Toc161822305"/>
      <w:bookmarkStart w:id="158" w:name="_Toc162953040"/>
      <w:bookmarkStart w:id="159" w:name="_Toc163120713"/>
      <w:bookmarkStart w:id="160" w:name="_Toc162940265"/>
      <w:r>
        <w:rPr>
          <w:rStyle w:val="CharPartNo"/>
        </w:rPr>
        <w:lastRenderedPageBreak/>
        <w:t>Order 10</w:t>
      </w:r>
      <w:r>
        <w:t> — </w:t>
      </w:r>
      <w:r>
        <w:rPr>
          <w:rStyle w:val="CharPartText"/>
        </w:rPr>
        <w:t>Service outside jurisdiction</w:t>
      </w:r>
      <w:bookmarkEnd w:id="155"/>
      <w:bookmarkEnd w:id="156"/>
      <w:bookmarkEnd w:id="157"/>
      <w:bookmarkEnd w:id="158"/>
      <w:bookmarkEnd w:id="159"/>
    </w:p>
    <w:p>
      <w:pPr>
        <w:pStyle w:val="Footnoteheading"/>
      </w:pPr>
      <w:r>
        <w:tab/>
        <w:t>[Heading inserted: SL 2024/38 r. 8]</w:t>
      </w:r>
    </w:p>
    <w:p>
      <w:pPr>
        <w:pStyle w:val="Heading3"/>
      </w:pPr>
      <w:bookmarkStart w:id="161" w:name="_Toc161821898"/>
      <w:bookmarkStart w:id="162" w:name="_Toc161821966"/>
      <w:bookmarkStart w:id="163" w:name="_Toc161822306"/>
      <w:bookmarkStart w:id="164" w:name="_Toc162953041"/>
      <w:bookmarkStart w:id="165" w:name="_Toc163120714"/>
      <w:r>
        <w:rPr>
          <w:rStyle w:val="CharDivNo"/>
        </w:rPr>
        <w:t>Division 1</w:t>
      </w:r>
      <w:r>
        <w:t> — </w:t>
      </w:r>
      <w:r>
        <w:rPr>
          <w:rStyle w:val="CharDivText"/>
        </w:rPr>
        <w:t>Preliminary</w:t>
      </w:r>
      <w:bookmarkEnd w:id="161"/>
      <w:bookmarkEnd w:id="162"/>
      <w:bookmarkEnd w:id="163"/>
      <w:bookmarkEnd w:id="164"/>
      <w:bookmarkEnd w:id="165"/>
    </w:p>
    <w:p>
      <w:pPr>
        <w:pStyle w:val="Footnoteheading"/>
      </w:pPr>
      <w:bookmarkStart w:id="166" w:name="_Toc161821899"/>
      <w:bookmarkStart w:id="167" w:name="_Toc161822307"/>
      <w:r>
        <w:tab/>
        <w:t>[Heading inserted: SL 2024/38 r. 8.]</w:t>
      </w:r>
    </w:p>
    <w:p>
      <w:pPr>
        <w:pStyle w:val="Heading5"/>
      </w:pPr>
      <w:bookmarkStart w:id="168" w:name="_Toc163120715"/>
      <w:r>
        <w:rPr>
          <w:rStyle w:val="CharSectno"/>
        </w:rPr>
        <w:t>1</w:t>
      </w:r>
      <w:r>
        <w:t>.</w:t>
      </w:r>
      <w:r>
        <w:tab/>
        <w:t>Term used: originating process</w:t>
      </w:r>
      <w:bookmarkEnd w:id="166"/>
      <w:bookmarkEnd w:id="167"/>
      <w:bookmarkEnd w:id="168"/>
    </w:p>
    <w:p>
      <w:pPr>
        <w:pStyle w:val="Subsection"/>
      </w:pPr>
      <w:r>
        <w:tab/>
      </w:r>
      <w:r>
        <w:tab/>
        <w:t xml:space="preserve">In this Order — </w:t>
      </w:r>
    </w:p>
    <w:p>
      <w:pPr>
        <w:pStyle w:val="Defstart"/>
      </w:pPr>
      <w:r>
        <w:tab/>
      </w:r>
      <w:r>
        <w:rPr>
          <w:rStyle w:val="CharDefText"/>
        </w:rPr>
        <w:t>originating process</w:t>
      </w:r>
      <w:r>
        <w:t xml:space="preserve"> means a document by which a proceeding is commenced or a counterclaim or third party claim is made.</w:t>
      </w:r>
    </w:p>
    <w:p>
      <w:pPr>
        <w:pStyle w:val="Footnotesection"/>
      </w:pPr>
      <w:r>
        <w:tab/>
        <w:t>[Rule 1 inserted: SL 2024/38 r. 8.]</w:t>
      </w:r>
    </w:p>
    <w:p>
      <w:pPr>
        <w:pStyle w:val="Heading5"/>
      </w:pPr>
      <w:bookmarkStart w:id="169" w:name="_Toc161821900"/>
      <w:bookmarkStart w:id="170" w:name="_Toc161822308"/>
      <w:bookmarkStart w:id="171" w:name="_Toc163120716"/>
      <w:r>
        <w:rPr>
          <w:rStyle w:val="CharSectno"/>
        </w:rPr>
        <w:t>2</w:t>
      </w:r>
      <w:r>
        <w:t>.</w:t>
      </w:r>
      <w:r>
        <w:tab/>
        <w:t>Application of this Order</w:t>
      </w:r>
      <w:bookmarkEnd w:id="169"/>
      <w:bookmarkEnd w:id="170"/>
      <w:bookmarkEnd w:id="171"/>
    </w:p>
    <w:p>
      <w:pPr>
        <w:pStyle w:val="Subsection"/>
      </w:pPr>
      <w:r>
        <w:tab/>
      </w:r>
      <w:r>
        <w:tab/>
        <w:t xml:space="preserve">This Order applies to service — </w:t>
      </w:r>
    </w:p>
    <w:p>
      <w:pPr>
        <w:pStyle w:val="Indenta"/>
      </w:pPr>
      <w:r>
        <w:tab/>
        <w:t>(a)</w:t>
      </w:r>
      <w:r>
        <w:tab/>
        <w:t>outside the State but in Australia; or</w:t>
      </w:r>
    </w:p>
    <w:p>
      <w:pPr>
        <w:pStyle w:val="Indenta"/>
      </w:pPr>
      <w:r>
        <w:tab/>
        <w:t>(b)</w:t>
      </w:r>
      <w:r>
        <w:tab/>
        <w:t>outside Australia, including in Convention countries.</w:t>
      </w:r>
    </w:p>
    <w:p>
      <w:pPr>
        <w:pStyle w:val="PermNoteHeading"/>
      </w:pPr>
      <w:r>
        <w:tab/>
        <w:t>Note for this rule:</w:t>
      </w:r>
    </w:p>
    <w:p>
      <w:pPr>
        <w:pStyle w:val="PermNoteText"/>
      </w:pPr>
      <w:r>
        <w:tab/>
      </w:r>
      <w:r>
        <w:tab/>
        <w:t>See also Order 11A in relation to service in a Convention country and Order 11A rule 2 in relation to the interaction between this Order and that Order.</w:t>
      </w:r>
    </w:p>
    <w:p>
      <w:pPr>
        <w:pStyle w:val="Footnotesection"/>
      </w:pPr>
      <w:r>
        <w:tab/>
        <w:t>[Rule 2 inserted: SL 2024/38 r. 8.]</w:t>
      </w:r>
    </w:p>
    <w:p>
      <w:pPr>
        <w:pStyle w:val="Heading3"/>
      </w:pPr>
      <w:bookmarkStart w:id="172" w:name="_Toc161821901"/>
      <w:bookmarkStart w:id="173" w:name="_Toc161821969"/>
      <w:bookmarkStart w:id="174" w:name="_Toc161822309"/>
      <w:bookmarkStart w:id="175" w:name="_Toc162953044"/>
      <w:bookmarkStart w:id="176" w:name="_Toc163120717"/>
      <w:r>
        <w:rPr>
          <w:rStyle w:val="CharDivNo"/>
        </w:rPr>
        <w:t>Division 2</w:t>
      </w:r>
      <w:r>
        <w:t> — </w:t>
      </w:r>
      <w:r>
        <w:rPr>
          <w:rStyle w:val="CharDivText"/>
        </w:rPr>
        <w:t>Service outside jurisdiction but in Australia</w:t>
      </w:r>
      <w:bookmarkEnd w:id="172"/>
      <w:bookmarkEnd w:id="173"/>
      <w:bookmarkEnd w:id="174"/>
      <w:bookmarkEnd w:id="175"/>
      <w:bookmarkEnd w:id="176"/>
    </w:p>
    <w:p>
      <w:pPr>
        <w:pStyle w:val="Footnoteheading"/>
        <w:rPr>
          <w:rStyle w:val="CharSectno"/>
          <w:sz w:val="26"/>
        </w:rPr>
      </w:pPr>
      <w:bookmarkStart w:id="177" w:name="_Toc161821902"/>
      <w:bookmarkStart w:id="178" w:name="_Toc161822310"/>
      <w:r>
        <w:tab/>
        <w:t>[Heading inserted: SL 2024/38 r. 8.]</w:t>
      </w:r>
    </w:p>
    <w:p>
      <w:pPr>
        <w:pStyle w:val="Heading5"/>
      </w:pPr>
      <w:bookmarkStart w:id="179" w:name="_Toc163120718"/>
      <w:r>
        <w:rPr>
          <w:rStyle w:val="CharSectno"/>
        </w:rPr>
        <w:t>3</w:t>
      </w:r>
      <w:r>
        <w:t>.</w:t>
      </w:r>
      <w:r>
        <w:tab/>
        <w:t>Service outside State but in Australia</w:t>
      </w:r>
      <w:bookmarkEnd w:id="177"/>
      <w:bookmarkEnd w:id="178"/>
      <w:bookmarkEnd w:id="179"/>
    </w:p>
    <w:p>
      <w:pPr>
        <w:pStyle w:val="Subsection"/>
      </w:pPr>
      <w:r>
        <w:tab/>
      </w:r>
      <w:r>
        <w:tab/>
        <w:t xml:space="preserve">An originating process served on a person outside the State but in Australia must be served in accordance with the </w:t>
      </w:r>
      <w:r>
        <w:rPr>
          <w:i/>
          <w:iCs/>
        </w:rPr>
        <w:t>Service and Execution of Process Act 1992</w:t>
      </w:r>
      <w:r>
        <w:t xml:space="preserve"> (Commonwealth).</w:t>
      </w:r>
    </w:p>
    <w:p>
      <w:pPr>
        <w:pStyle w:val="Footnotesection"/>
      </w:pPr>
      <w:r>
        <w:tab/>
        <w:t>[Rule 3 inserted: SL 2024/38 r. 8.]</w:t>
      </w:r>
    </w:p>
    <w:p>
      <w:pPr>
        <w:pStyle w:val="Heading3"/>
      </w:pPr>
      <w:bookmarkStart w:id="180" w:name="_Toc161821903"/>
      <w:bookmarkStart w:id="181" w:name="_Toc161821971"/>
      <w:bookmarkStart w:id="182" w:name="_Toc161822311"/>
      <w:bookmarkStart w:id="183" w:name="_Toc162953046"/>
      <w:bookmarkStart w:id="184" w:name="_Toc163120719"/>
      <w:r>
        <w:rPr>
          <w:rStyle w:val="CharDivNo"/>
        </w:rPr>
        <w:lastRenderedPageBreak/>
        <w:t>Division 3</w:t>
      </w:r>
      <w:r>
        <w:t> — </w:t>
      </w:r>
      <w:r>
        <w:rPr>
          <w:rStyle w:val="CharDivText"/>
        </w:rPr>
        <w:t>Service outside Australia</w:t>
      </w:r>
      <w:bookmarkEnd w:id="180"/>
      <w:bookmarkEnd w:id="181"/>
      <w:bookmarkEnd w:id="182"/>
      <w:bookmarkEnd w:id="183"/>
      <w:bookmarkEnd w:id="184"/>
    </w:p>
    <w:p>
      <w:pPr>
        <w:pStyle w:val="Footnoteheading"/>
      </w:pPr>
      <w:bookmarkStart w:id="185" w:name="_Toc161821904"/>
      <w:bookmarkStart w:id="186" w:name="_Toc161822312"/>
      <w:r>
        <w:tab/>
        <w:t>[Heading inserted: SL 2024/38 r. 8.]</w:t>
      </w:r>
    </w:p>
    <w:p>
      <w:pPr>
        <w:pStyle w:val="Heading5"/>
      </w:pPr>
      <w:bookmarkStart w:id="187" w:name="_Toc163120720"/>
      <w:r>
        <w:rPr>
          <w:rStyle w:val="CharSectno"/>
        </w:rPr>
        <w:t>4</w:t>
      </w:r>
      <w:r>
        <w:t>.</w:t>
      </w:r>
      <w:r>
        <w:tab/>
        <w:t>Service in New Zealand of documents in relation to Trans</w:t>
      </w:r>
      <w:r>
        <w:noBreakHyphen/>
        <w:t>Tasman proceedings</w:t>
      </w:r>
      <w:bookmarkEnd w:id="185"/>
      <w:bookmarkEnd w:id="186"/>
      <w:bookmarkEnd w:id="187"/>
    </w:p>
    <w:p>
      <w:pPr>
        <w:pStyle w:val="Subsection"/>
      </w:pPr>
      <w:r>
        <w:tab/>
        <w:t>(1)</w:t>
      </w:r>
      <w:r>
        <w:tab/>
        <w:t xml:space="preserve">An originating process or other document that may be served on a person in New Zealand under the </w:t>
      </w:r>
      <w:r>
        <w:rPr>
          <w:i/>
        </w:rPr>
        <w:t>Trans</w:t>
      </w:r>
      <w:r>
        <w:rPr>
          <w:i/>
        </w:rPr>
        <w:noBreakHyphen/>
        <w:t>Tasman Proceedings Act 2010</w:t>
      </w:r>
      <w:r>
        <w:t xml:space="preserve"> (Commonwealth) Part 2 Division 2 must be served in accordance with that Act.</w:t>
      </w:r>
    </w:p>
    <w:p>
      <w:pPr>
        <w:pStyle w:val="PermNoteHeading"/>
      </w:pPr>
      <w:r>
        <w:tab/>
        <w:t>Note for this subsection:</w:t>
      </w:r>
    </w:p>
    <w:p>
      <w:pPr>
        <w:pStyle w:val="PermNoteText"/>
      </w:pPr>
      <w:r>
        <w:tab/>
      </w:r>
      <w:r>
        <w:tab/>
        <w:t xml:space="preserve">See Order 39A for rules in relation to proceedings and NZ judgments to which the </w:t>
      </w:r>
      <w:r>
        <w:rPr>
          <w:i/>
          <w:iCs/>
        </w:rPr>
        <w:t>Trans</w:t>
      </w:r>
      <w:r>
        <w:rPr>
          <w:i/>
          <w:iCs/>
        </w:rPr>
        <w:noBreakHyphen/>
        <w:t>Tasman Proceedings Act 2010</w:t>
      </w:r>
      <w:r>
        <w:t xml:space="preserve"> (Commonwealth) applies.</w:t>
      </w:r>
    </w:p>
    <w:p>
      <w:pPr>
        <w:pStyle w:val="Subsection"/>
        <w:rPr>
          <w:bCs/>
          <w:szCs w:val="24"/>
        </w:rPr>
      </w:pPr>
      <w:r>
        <w:tab/>
        <w:t>(2)</w:t>
      </w:r>
      <w:r>
        <w:tab/>
        <w:t xml:space="preserve">Rules 5 to 12 (which contain rules on service outside Australia) do not apply to service in New Zealand of an originating process for, or of any other document to be served in or for, </w:t>
      </w:r>
      <w:r>
        <w:rPr>
          <w:bCs/>
          <w:szCs w:val="24"/>
        </w:rPr>
        <w:t xml:space="preserve">a proceeding an originating process for which may be served in New Zealand under the </w:t>
      </w:r>
      <w:r>
        <w:rPr>
          <w:bCs/>
          <w:i/>
          <w:szCs w:val="24"/>
        </w:rPr>
        <w:t>Trans</w:t>
      </w:r>
      <w:r>
        <w:rPr>
          <w:bCs/>
          <w:i/>
          <w:szCs w:val="24"/>
        </w:rPr>
        <w:noBreakHyphen/>
        <w:t>Tasman Proceedings Act 2010</w:t>
      </w:r>
      <w:r>
        <w:rPr>
          <w:bCs/>
          <w:szCs w:val="24"/>
        </w:rPr>
        <w:t xml:space="preserve"> </w:t>
      </w:r>
      <w:r>
        <w:t>(Commonwealth)</w:t>
      </w:r>
      <w:r>
        <w:rPr>
          <w:bCs/>
          <w:szCs w:val="24"/>
        </w:rPr>
        <w:t xml:space="preserve"> Part 2 Division 2.</w:t>
      </w:r>
    </w:p>
    <w:p>
      <w:pPr>
        <w:pStyle w:val="Footnotesection"/>
      </w:pPr>
      <w:r>
        <w:tab/>
        <w:t>[Rule 4 inserted: SL 2024/38 r. 8.]</w:t>
      </w:r>
    </w:p>
    <w:p>
      <w:pPr>
        <w:pStyle w:val="Heading5"/>
      </w:pPr>
      <w:bookmarkStart w:id="188" w:name="_Toc161821905"/>
      <w:bookmarkStart w:id="189" w:name="_Toc161822313"/>
      <w:bookmarkStart w:id="190" w:name="_Toc163120721"/>
      <w:r>
        <w:rPr>
          <w:rStyle w:val="CharSectno"/>
        </w:rPr>
        <w:t>5</w:t>
      </w:r>
      <w:r>
        <w:t>.</w:t>
      </w:r>
      <w:r>
        <w:tab/>
        <w:t>When allowed without leave under Division</w:t>
      </w:r>
      <w:bookmarkEnd w:id="188"/>
      <w:bookmarkEnd w:id="189"/>
      <w:bookmarkEnd w:id="190"/>
    </w:p>
    <w:p>
      <w:pPr>
        <w:pStyle w:val="Subsection"/>
      </w:pPr>
      <w:r>
        <w:tab/>
      </w:r>
      <w:r>
        <w:tab/>
        <w:t xml:space="preserve">An originating process may be served outside Australia without leave in the following cases — </w:t>
      </w:r>
    </w:p>
    <w:p>
      <w:pPr>
        <w:pStyle w:val="Indenta"/>
      </w:pPr>
      <w:r>
        <w:tab/>
        <w:t>(a)</w:t>
      </w:r>
      <w:r>
        <w:tab/>
        <w:t xml:space="preserve">when the claim is founded on a tortious act or omission — </w:t>
      </w:r>
    </w:p>
    <w:p>
      <w:pPr>
        <w:pStyle w:val="Indenti"/>
      </w:pPr>
      <w:r>
        <w:tab/>
        <w:t>(i)</w:t>
      </w:r>
      <w:r>
        <w:tab/>
        <w:t>which was done or which occurred wholly or partly in Australia; or</w:t>
      </w:r>
    </w:p>
    <w:p>
      <w:pPr>
        <w:pStyle w:val="Indenti"/>
      </w:pPr>
      <w:r>
        <w:tab/>
        <w:t>(ii)</w:t>
      </w:r>
      <w:r>
        <w:tab/>
        <w:t>in respect of which the damage was sustained wholly or partly in Australia;</w:t>
      </w:r>
    </w:p>
    <w:p>
      <w:pPr>
        <w:pStyle w:val="Indenta"/>
      </w:pPr>
      <w:r>
        <w:tab/>
        <w:t>(b)</w:t>
      </w:r>
      <w:r>
        <w:tab/>
        <w:t xml:space="preserve">when the claim is for the enforcement, rescission, dissolution, annulment, cancellation, rectification, </w:t>
      </w:r>
      <w:r>
        <w:lastRenderedPageBreak/>
        <w:t xml:space="preserve">interpretation or other treatment of, or for damages or other relief in respect of a breach of, a contract which — </w:t>
      </w:r>
    </w:p>
    <w:p>
      <w:pPr>
        <w:pStyle w:val="Indenti"/>
      </w:pPr>
      <w:r>
        <w:tab/>
        <w:t>(i)</w:t>
      </w:r>
      <w:r>
        <w:tab/>
        <w:t>was made or entered into in Australia; or</w:t>
      </w:r>
    </w:p>
    <w:p>
      <w:pPr>
        <w:pStyle w:val="Indenti"/>
      </w:pPr>
      <w:r>
        <w:tab/>
        <w:t>(ii)</w:t>
      </w:r>
      <w:r>
        <w:tab/>
        <w:t>was made by or through an agent trading or residing in Australia; or</w:t>
      </w:r>
    </w:p>
    <w:p>
      <w:pPr>
        <w:pStyle w:val="Indenti"/>
      </w:pPr>
      <w:r>
        <w:tab/>
        <w:t>(iii)</w:t>
      </w:r>
      <w:r>
        <w:tab/>
        <w:t>was to be wholly or in part performed in Australia; or</w:t>
      </w:r>
    </w:p>
    <w:p>
      <w:pPr>
        <w:pStyle w:val="Indenti"/>
      </w:pPr>
      <w:r>
        <w:tab/>
        <w:t>(iv)</w:t>
      </w:r>
      <w:r>
        <w:tab/>
        <w:t>was by its terms or by implication to be governed by Australian law or to be enforceable or cognisable in an Australian court;</w:t>
      </w:r>
    </w:p>
    <w:p>
      <w:pPr>
        <w:pStyle w:val="Indenta"/>
      </w:pPr>
      <w:r>
        <w:tab/>
        <w:t>(c)</w:t>
      </w:r>
      <w:r>
        <w:tab/>
        <w:t>when the claim is in respect of a breach in Australia of any contract, wherever made, whether or not that breach was preceded or accompanied by a breach outside Australia that rendered impossible the performance of that part of the contract that ought to have been performed in Australia;</w:t>
      </w:r>
    </w:p>
    <w:p>
      <w:pPr>
        <w:pStyle w:val="Indenta"/>
      </w:pPr>
      <w:r>
        <w:tab/>
        <w:t>(d)</w:t>
      </w:r>
      <w:r>
        <w:tab/>
        <w:t xml:space="preserve">when the claim — </w:t>
      </w:r>
    </w:p>
    <w:p>
      <w:pPr>
        <w:pStyle w:val="Indenti"/>
      </w:pPr>
      <w:r>
        <w:tab/>
        <w:t>(i)</w:t>
      </w:r>
      <w:r>
        <w:tab/>
        <w:t>is for an injunction to compel or restrain the performance of any act in Australia; or</w:t>
      </w:r>
    </w:p>
    <w:p>
      <w:pPr>
        <w:pStyle w:val="Indenti"/>
      </w:pPr>
      <w:r>
        <w:tab/>
        <w:t>(ii)</w:t>
      </w:r>
      <w:r>
        <w:tab/>
        <w:t xml:space="preserve">is for interim or ancillary relief in respect of any matter or thing in or connected with Australia, if that relief is sought in relation to judicial or arbitral proceedings commenced or to be commenced, or an arbitration agreement made, in or outside Australia (including, without limitation, interim or ancillary relief in relation to any proceedings under the </w:t>
      </w:r>
      <w:r>
        <w:rPr>
          <w:i/>
        </w:rPr>
        <w:t>International Arbitration Act 1974</w:t>
      </w:r>
      <w:r>
        <w:t xml:space="preserve"> (Commonwealth) or the </w:t>
      </w:r>
      <w:r>
        <w:rPr>
          <w:i/>
        </w:rPr>
        <w:t>Commercial Arbitration Act 2012</w:t>
      </w:r>
      <w:r>
        <w:t>); or</w:t>
      </w:r>
    </w:p>
    <w:p>
      <w:pPr>
        <w:pStyle w:val="Indenti"/>
      </w:pPr>
      <w:r>
        <w:tab/>
        <w:t>(iii)</w:t>
      </w:r>
      <w:r>
        <w:tab/>
        <w:t>without limiting subparagraph (ii), is an application for a freezing order or ancillary order under Order 52A in respect of any matter or thing in or connected with Australia;</w:t>
      </w:r>
    </w:p>
    <w:p>
      <w:pPr>
        <w:pStyle w:val="Indenta"/>
      </w:pPr>
      <w:r>
        <w:lastRenderedPageBreak/>
        <w:tab/>
        <w:t>(e)</w:t>
      </w:r>
      <w:r>
        <w:tab/>
        <w:t>when the subject matter of the claim is land or other property situated in Australia, or any act, deed, will, instrument, or thing affecting the land or property, or the proceeding is for the perpetuation of testimony relating to the land or property;</w:t>
      </w:r>
    </w:p>
    <w:p>
      <w:pPr>
        <w:pStyle w:val="Indenta"/>
      </w:pPr>
      <w:r>
        <w:tab/>
        <w:t>(f)</w:t>
      </w:r>
      <w:r>
        <w:tab/>
        <w:t>when the claim relates to the carrying out or discharge of the trusts of any written instrument of which the person to be served is a trustee and which ought to be carried out or discharged according to Australian law;</w:t>
      </w:r>
    </w:p>
    <w:p>
      <w:pPr>
        <w:pStyle w:val="Indenta"/>
      </w:pPr>
      <w:r>
        <w:tab/>
        <w:t>(g)</w:t>
      </w:r>
      <w:r>
        <w:tab/>
        <w:t>when any relief is sought against any person domiciled or ordinarily or habitually resident in Australia (whether present in Australia or not);</w:t>
      </w:r>
    </w:p>
    <w:p>
      <w:pPr>
        <w:pStyle w:val="Indenta"/>
      </w:pPr>
      <w:r>
        <w:tab/>
        <w:t>(h)</w:t>
      </w:r>
      <w:r>
        <w:tab/>
        <w:t xml:space="preserve">when any person outside Australia is — </w:t>
      </w:r>
    </w:p>
    <w:p>
      <w:pPr>
        <w:pStyle w:val="Indenti"/>
      </w:pPr>
      <w:r>
        <w:tab/>
        <w:t>(i)</w:t>
      </w:r>
      <w:r>
        <w:tab/>
        <w:t>a necessary or proper party to a proceeding properly brought against another person served or to be served (whether in Australia or outside Australia) under any other provision of these rules; or</w:t>
      </w:r>
    </w:p>
    <w:p>
      <w:pPr>
        <w:pStyle w:val="Indenti"/>
      </w:pPr>
      <w:r>
        <w:tab/>
        <w:t>(ii)</w:t>
      </w:r>
      <w:r>
        <w:tab/>
        <w:t>a defendant to a claim for contribution or indemnity in respect of a liability enforceable by a proceeding in the Court;</w:t>
      </w:r>
    </w:p>
    <w:p>
      <w:pPr>
        <w:pStyle w:val="Indenta"/>
      </w:pPr>
      <w:r>
        <w:tab/>
        <w:t>(i)</w:t>
      </w:r>
      <w:r>
        <w:tab/>
        <w:t>when the claim is for the administration of the estate of any deceased person who at the time of death was domiciled in Australia or is for any relief or remedy which might be obtained in any such proceeding;</w:t>
      </w:r>
    </w:p>
    <w:p>
      <w:pPr>
        <w:pStyle w:val="Indenta"/>
      </w:pPr>
      <w:r>
        <w:tab/>
        <w:t>(j)</w:t>
      </w:r>
      <w:r>
        <w:tab/>
        <w:t xml:space="preserve">when the claim arises under an Australian enactment and — </w:t>
      </w:r>
    </w:p>
    <w:p>
      <w:pPr>
        <w:pStyle w:val="Indenti"/>
      </w:pPr>
      <w:r>
        <w:tab/>
        <w:t>(i)</w:t>
      </w:r>
      <w:r>
        <w:tab/>
        <w:t>any act or omission to which the claim relates was done or occurred in Australia; or</w:t>
      </w:r>
    </w:p>
    <w:p>
      <w:pPr>
        <w:pStyle w:val="Indenti"/>
      </w:pPr>
      <w:r>
        <w:tab/>
        <w:t>(ii)</w:t>
      </w:r>
      <w:r>
        <w:tab/>
        <w:t>any loss or damage to which the claim relates was sustained in Australia; or</w:t>
      </w:r>
    </w:p>
    <w:p>
      <w:pPr>
        <w:pStyle w:val="Indenti"/>
      </w:pPr>
      <w:r>
        <w:tab/>
        <w:t>(iii)</w:t>
      </w:r>
      <w:r>
        <w:tab/>
        <w:t>the enactment applies expressly or by implication to an act or omission that was done or occurred outside Australia in the circumstances alleged; or</w:t>
      </w:r>
    </w:p>
    <w:p>
      <w:pPr>
        <w:pStyle w:val="Indenti"/>
      </w:pPr>
      <w:r>
        <w:lastRenderedPageBreak/>
        <w:tab/>
        <w:t>(iv)</w:t>
      </w:r>
      <w:r>
        <w:tab/>
        <w:t>the enactment expressly or by implication confers jurisdiction on the Court over persons outside Australia (in which case any requirements of the enactment relating to service must be complied with);</w:t>
      </w:r>
    </w:p>
    <w:p>
      <w:pPr>
        <w:pStyle w:val="Indenta"/>
      </w:pPr>
      <w:r>
        <w:tab/>
        <w:t>(k)</w:t>
      </w:r>
      <w:r>
        <w:tab/>
        <w:t>when the person to be served has submitted to the jurisdiction of the Court;</w:t>
      </w:r>
    </w:p>
    <w:p>
      <w:pPr>
        <w:pStyle w:val="Indenta"/>
      </w:pPr>
      <w:r>
        <w:tab/>
        <w:t>(l)</w:t>
      </w:r>
      <w:r>
        <w:tab/>
        <w:t>when a claim is made for restitution or for the remedy of constructive trust and the person to be served’s alleged liability arises out of an act or omission that was done or occurred wholly or partly in Australia;</w:t>
      </w:r>
    </w:p>
    <w:p>
      <w:pPr>
        <w:pStyle w:val="Indenta"/>
      </w:pPr>
      <w:r>
        <w:tab/>
        <w:t>(m)</w:t>
      </w:r>
      <w:r>
        <w:tab/>
        <w:t>when it is sought to recognise or enforce any judgment;</w:t>
      </w:r>
    </w:p>
    <w:p>
      <w:pPr>
        <w:pStyle w:val="Indenta"/>
      </w:pPr>
      <w:r>
        <w:tab/>
        <w:t>(n)</w:t>
      </w:r>
      <w:r>
        <w:tab/>
        <w:t>when the claim is founded on a cause of action arising in Australia;</w:t>
      </w:r>
    </w:p>
    <w:p>
      <w:pPr>
        <w:pStyle w:val="Indenta"/>
      </w:pPr>
      <w:r>
        <w:tab/>
        <w:t>(o)</w:t>
      </w:r>
      <w:r>
        <w:tab/>
        <w:t>when the claim affects the person to be served in respect of the person’s membership of a corporation incorporated in Australia, or of a partnership or an association formed or carrying on any part of its affairs in Australia;</w:t>
      </w:r>
    </w:p>
    <w:p>
      <w:pPr>
        <w:pStyle w:val="Indenta"/>
      </w:pPr>
      <w:r>
        <w:tab/>
        <w:t>(p)</w:t>
      </w:r>
      <w:r>
        <w:tab/>
        <w:t>when the claim concerns the construction, effect or enforcement of an Australian enactment;</w:t>
      </w:r>
    </w:p>
    <w:p>
      <w:pPr>
        <w:pStyle w:val="Indenta"/>
      </w:pPr>
      <w:r>
        <w:tab/>
        <w:t>(q)</w:t>
      </w:r>
      <w:r>
        <w:tab/>
        <w:t xml:space="preserve">when the claim — </w:t>
      </w:r>
    </w:p>
    <w:p>
      <w:pPr>
        <w:pStyle w:val="Indenti"/>
      </w:pPr>
      <w:r>
        <w:tab/>
        <w:t>(i)</w:t>
      </w:r>
      <w:r>
        <w:tab/>
        <w:t>relates to an arbitration held in Australia or governed by Australian law; or</w:t>
      </w:r>
    </w:p>
    <w:p>
      <w:pPr>
        <w:pStyle w:val="Indenti"/>
      </w:pPr>
      <w:r>
        <w:tab/>
        <w:t>(ii)</w:t>
      </w:r>
      <w:r>
        <w:tab/>
        <w:t>is to enforce in Australia an arbitral award wherever made; or</w:t>
      </w:r>
    </w:p>
    <w:p>
      <w:pPr>
        <w:pStyle w:val="Indenti"/>
      </w:pPr>
      <w:r>
        <w:tab/>
        <w:t>(iii)</w:t>
      </w:r>
      <w:r>
        <w:tab/>
        <w:t>is for orders necessary or convenient for carrying into effect in Australia the whole or any part of an arbitral award wherever made;</w:t>
      </w:r>
    </w:p>
    <w:p>
      <w:pPr>
        <w:pStyle w:val="Indenta"/>
      </w:pPr>
      <w:r>
        <w:tab/>
        <w:t>(r)</w:t>
      </w:r>
      <w:r>
        <w:tab/>
        <w:t xml:space="preserve">when the claim is for relief relating to the custody, guardianship, protection or welfare of a minor present in Australia or who is domiciled or ordinarily or habitually </w:t>
      </w:r>
      <w:r>
        <w:lastRenderedPageBreak/>
        <w:t>resident in Australia (whether present in Australia or not);</w:t>
      </w:r>
    </w:p>
    <w:p>
      <w:pPr>
        <w:pStyle w:val="Indenta"/>
      </w:pPr>
      <w:r>
        <w:tab/>
        <w:t>(s)</w:t>
      </w:r>
      <w:r>
        <w:tab/>
        <w:t>when the claim, so far as concerns the person to be served, falls partly within 1 or more of the above paragraphs and, as to the residue, within 1 or more of the others of the above paragraphs.</w:t>
      </w:r>
    </w:p>
    <w:p>
      <w:pPr>
        <w:pStyle w:val="PermNoteHeading"/>
      </w:pPr>
      <w:r>
        <w:tab/>
        <w:t>Note for this rule:</w:t>
      </w:r>
    </w:p>
    <w:p>
      <w:pPr>
        <w:pStyle w:val="PermNoteText"/>
      </w:pPr>
      <w:r>
        <w:tab/>
      </w:r>
      <w:r>
        <w:tab/>
        <w:t xml:space="preserve">If a proceeding is commenced in the Court and originating process is served outside Australia under this rule but the Court later decides that it is more appropriate that the proceeding be determined by a court of another Australian jurisdiction, the Court may transfer the proceeding to that other court under the </w:t>
      </w:r>
      <w:r>
        <w:rPr>
          <w:i/>
        </w:rPr>
        <w:t>Jurisdiction of Courts (Cross</w:t>
      </w:r>
      <w:r>
        <w:rPr>
          <w:i/>
        </w:rPr>
        <w:noBreakHyphen/>
        <w:t>vesting) Act 1987</w:t>
      </w:r>
      <w:r>
        <w:t xml:space="preserve"> and may make an order for costs against the party who commenced the proceeding in the Court rather than in the transferee court.</w:t>
      </w:r>
    </w:p>
    <w:p>
      <w:pPr>
        <w:pStyle w:val="Footnotesection"/>
      </w:pPr>
      <w:r>
        <w:tab/>
        <w:t>[Rule 5 inserted: SL 2024/38 r. 8.]</w:t>
      </w:r>
    </w:p>
    <w:p>
      <w:pPr>
        <w:pStyle w:val="Heading5"/>
      </w:pPr>
      <w:bookmarkStart w:id="191" w:name="_Toc161821906"/>
      <w:bookmarkStart w:id="192" w:name="_Toc161822314"/>
      <w:bookmarkStart w:id="193" w:name="_Toc163120722"/>
      <w:r>
        <w:rPr>
          <w:rStyle w:val="CharSectno"/>
        </w:rPr>
        <w:t>6</w:t>
      </w:r>
      <w:r>
        <w:t>.</w:t>
      </w:r>
      <w:r>
        <w:tab/>
        <w:t>When allowed with leave</w:t>
      </w:r>
      <w:bookmarkEnd w:id="191"/>
      <w:bookmarkEnd w:id="192"/>
      <w:bookmarkEnd w:id="193"/>
    </w:p>
    <w:p>
      <w:pPr>
        <w:pStyle w:val="Subsection"/>
      </w:pPr>
      <w:r>
        <w:tab/>
        <w:t>(1)</w:t>
      </w:r>
      <w:r>
        <w:tab/>
        <w:t>In any proceeding when service is not allowed under rule 5, an originating process may be served outside Australia with the leave of the Court.</w:t>
      </w:r>
    </w:p>
    <w:p>
      <w:pPr>
        <w:pStyle w:val="Subsection"/>
      </w:pPr>
      <w:r>
        <w:tab/>
        <w:t>(2)</w:t>
      </w:r>
      <w:r>
        <w:tab/>
        <w:t>An application for leave under this rule must be made on notice to every party other than the person intended to be served.</w:t>
      </w:r>
    </w:p>
    <w:p>
      <w:pPr>
        <w:pStyle w:val="Subsection"/>
      </w:pPr>
      <w:r>
        <w:tab/>
        <w:t>(3)</w:t>
      </w:r>
      <w:r>
        <w:tab/>
        <w:t>A sealed copy of every order made under this rule must be served with the document to which it relates.</w:t>
      </w:r>
    </w:p>
    <w:p>
      <w:pPr>
        <w:pStyle w:val="Subsection"/>
      </w:pPr>
      <w:r>
        <w:tab/>
        <w:t>(4)</w:t>
      </w:r>
      <w:r>
        <w:tab/>
        <w:t>An application for leave under this rule must be supported by an affidavit stating any facts or matters related to the desirability of the Court assuming jurisdiction, including the place or country in which the person to be served is or possibly may be found, and whether or not the person to be served is an Australian citizen.</w:t>
      </w:r>
    </w:p>
    <w:p>
      <w:pPr>
        <w:pStyle w:val="Subsection"/>
      </w:pPr>
      <w:r>
        <w:tab/>
        <w:t>(5)</w:t>
      </w:r>
      <w:r>
        <w:tab/>
        <w:t xml:space="preserve">The Court may grant an application for leave if satisfied that — </w:t>
      </w:r>
    </w:p>
    <w:p>
      <w:pPr>
        <w:pStyle w:val="Indenta"/>
      </w:pPr>
      <w:r>
        <w:tab/>
        <w:t>(a)</w:t>
      </w:r>
      <w:r>
        <w:tab/>
        <w:t>the claim has a real and substantial connection with Australia; and</w:t>
      </w:r>
    </w:p>
    <w:p>
      <w:pPr>
        <w:pStyle w:val="Indenta"/>
      </w:pPr>
      <w:r>
        <w:lastRenderedPageBreak/>
        <w:tab/>
        <w:t>(b)</w:t>
      </w:r>
      <w:r>
        <w:tab/>
        <w:t>Australia is an appropriate forum for the trial of the proceeding; and</w:t>
      </w:r>
    </w:p>
    <w:p>
      <w:pPr>
        <w:pStyle w:val="Indenta"/>
      </w:pPr>
      <w:r>
        <w:tab/>
        <w:t>(c)</w:t>
      </w:r>
      <w:r>
        <w:tab/>
        <w:t>in all the circumstances the Court should assume jurisdiction.</w:t>
      </w:r>
    </w:p>
    <w:p>
      <w:pPr>
        <w:pStyle w:val="Footnotesection"/>
      </w:pPr>
      <w:r>
        <w:tab/>
        <w:t>[Rule 6 inserted: SL 2024/38 r. 8.]</w:t>
      </w:r>
    </w:p>
    <w:p>
      <w:pPr>
        <w:pStyle w:val="Heading5"/>
      </w:pPr>
      <w:bookmarkStart w:id="194" w:name="_Toc161821907"/>
      <w:bookmarkStart w:id="195" w:name="_Toc161822315"/>
      <w:bookmarkStart w:id="196" w:name="_Toc163120723"/>
      <w:r>
        <w:rPr>
          <w:rStyle w:val="CharSectno"/>
        </w:rPr>
        <w:t>7</w:t>
      </w:r>
      <w:r>
        <w:t>.</w:t>
      </w:r>
      <w:r>
        <w:tab/>
        <w:t>Court’s discretion whether to assume jurisdiction</w:t>
      </w:r>
      <w:bookmarkEnd w:id="194"/>
      <w:bookmarkEnd w:id="195"/>
      <w:bookmarkEnd w:id="196"/>
    </w:p>
    <w:p>
      <w:pPr>
        <w:pStyle w:val="Subsection"/>
      </w:pPr>
      <w:r>
        <w:tab/>
        <w:t>(1)</w:t>
      </w:r>
      <w:r>
        <w:tab/>
        <w:t>On application by a person on whom an originating process has been served outside Australia, the Court may dismiss or stay the proceeding or set aside service of the originating process.</w:t>
      </w:r>
    </w:p>
    <w:p>
      <w:pPr>
        <w:pStyle w:val="Subsection"/>
      </w:pPr>
      <w:r>
        <w:tab/>
        <w:t>(2)</w:t>
      </w:r>
      <w:r>
        <w:tab/>
        <w:t xml:space="preserve">Without limiting subrule (1), the Court may make an order under this rule if satisfied — </w:t>
      </w:r>
    </w:p>
    <w:p>
      <w:pPr>
        <w:pStyle w:val="Indenta"/>
      </w:pPr>
      <w:r>
        <w:tab/>
        <w:t>(a)</w:t>
      </w:r>
      <w:r>
        <w:tab/>
        <w:t>that service outside Australia of the originating process is not authorised by these rules; or</w:t>
      </w:r>
    </w:p>
    <w:p>
      <w:pPr>
        <w:pStyle w:val="Indenta"/>
      </w:pPr>
      <w:r>
        <w:tab/>
        <w:t>(b)</w:t>
      </w:r>
      <w:r>
        <w:tab/>
        <w:t>that the Court is an inappropriate forum for the trial of the proceeding; or</w:t>
      </w:r>
    </w:p>
    <w:p>
      <w:pPr>
        <w:pStyle w:val="Indenta"/>
      </w:pPr>
      <w:r>
        <w:tab/>
        <w:t>(c)</w:t>
      </w:r>
      <w:r>
        <w:tab/>
        <w:t>that the claim has insufficient prospects of success to warrant putting the person served outside Australia to the time, expense and trouble of defending the claim.</w:t>
      </w:r>
    </w:p>
    <w:p>
      <w:pPr>
        <w:pStyle w:val="Footnotesection"/>
      </w:pPr>
      <w:r>
        <w:tab/>
        <w:t>[Rule 7 inserted: SL 2024/38 r. 8.]</w:t>
      </w:r>
    </w:p>
    <w:p>
      <w:pPr>
        <w:pStyle w:val="Heading5"/>
      </w:pPr>
      <w:bookmarkStart w:id="197" w:name="_Toc161821908"/>
      <w:bookmarkStart w:id="198" w:name="_Toc161822316"/>
      <w:bookmarkStart w:id="199" w:name="_Toc163120724"/>
      <w:r>
        <w:rPr>
          <w:rStyle w:val="CharSectno"/>
        </w:rPr>
        <w:t>8</w:t>
      </w:r>
      <w:r>
        <w:t>.</w:t>
      </w:r>
      <w:r>
        <w:tab/>
        <w:t>Notice to person served outside Australia</w:t>
      </w:r>
      <w:bookmarkEnd w:id="197"/>
      <w:bookmarkEnd w:id="198"/>
      <w:bookmarkEnd w:id="199"/>
    </w:p>
    <w:p>
      <w:pPr>
        <w:pStyle w:val="Subsection"/>
      </w:pPr>
      <w:r>
        <w:tab/>
      </w:r>
      <w:r>
        <w:tab/>
        <w:t xml:space="preserve">If a person is to be served outside Australia with an originating process, the person must also be served with a notice in Form 5AB informing the person of — </w:t>
      </w:r>
    </w:p>
    <w:p>
      <w:pPr>
        <w:pStyle w:val="Indenta"/>
      </w:pPr>
      <w:r>
        <w:tab/>
        <w:t>(a)</w:t>
      </w:r>
      <w:r>
        <w:tab/>
        <w:t>the scope of the jurisdiction of the Court in respect of claims against persons who are served outside Australia; and</w:t>
      </w:r>
    </w:p>
    <w:p>
      <w:pPr>
        <w:pStyle w:val="Indenta"/>
      </w:pPr>
      <w:r>
        <w:tab/>
        <w:t>(b)</w:t>
      </w:r>
      <w:r>
        <w:tab/>
        <w:t>the grounds alleged by the plaintiff to found jurisdiction; and</w:t>
      </w:r>
    </w:p>
    <w:p>
      <w:pPr>
        <w:pStyle w:val="Indenta"/>
      </w:pPr>
      <w:r>
        <w:lastRenderedPageBreak/>
        <w:tab/>
        <w:t>(c)</w:t>
      </w:r>
      <w:r>
        <w:tab/>
        <w:t>the person’s right to apply for an order setting aside the originating process or its service on the person or dismissing or staying the proceeding.</w:t>
      </w:r>
    </w:p>
    <w:p>
      <w:pPr>
        <w:pStyle w:val="Footnotesection"/>
      </w:pPr>
      <w:r>
        <w:tab/>
        <w:t>[Rule 8 inserted: SL 2024/38 r. 8.]</w:t>
      </w:r>
    </w:p>
    <w:p>
      <w:pPr>
        <w:pStyle w:val="Heading5"/>
      </w:pPr>
      <w:bookmarkStart w:id="200" w:name="_Toc161821909"/>
      <w:bookmarkStart w:id="201" w:name="_Toc161822317"/>
      <w:bookmarkStart w:id="202" w:name="_Toc163120725"/>
      <w:r>
        <w:rPr>
          <w:rStyle w:val="CharSectno"/>
        </w:rPr>
        <w:t>9</w:t>
      </w:r>
      <w:r>
        <w:t>.</w:t>
      </w:r>
      <w:r>
        <w:tab/>
        <w:t>Time for entering appearance</w:t>
      </w:r>
      <w:bookmarkEnd w:id="200"/>
      <w:bookmarkEnd w:id="201"/>
      <w:bookmarkEnd w:id="202"/>
    </w:p>
    <w:p>
      <w:pPr>
        <w:pStyle w:val="Subsection"/>
      </w:pPr>
      <w:r>
        <w:tab/>
      </w:r>
      <w:r>
        <w:tab/>
        <w:t>Except when the Court otherwise orders, a defendant who has been served outside Australia must enter an appearance within 42 days from the date of service.</w:t>
      </w:r>
    </w:p>
    <w:p>
      <w:pPr>
        <w:pStyle w:val="Footnotesection"/>
      </w:pPr>
      <w:r>
        <w:tab/>
        <w:t>[Rule 9 inserted: SL 2024/38 r. 8.]</w:t>
      </w:r>
    </w:p>
    <w:p>
      <w:pPr>
        <w:pStyle w:val="Heading5"/>
      </w:pPr>
      <w:bookmarkStart w:id="203" w:name="_Toc161821910"/>
      <w:bookmarkStart w:id="204" w:name="_Toc161822318"/>
      <w:bookmarkStart w:id="205" w:name="_Toc163120726"/>
      <w:r>
        <w:rPr>
          <w:rStyle w:val="CharSectno"/>
        </w:rPr>
        <w:t>10</w:t>
      </w:r>
      <w:r>
        <w:t>.</w:t>
      </w:r>
      <w:r>
        <w:tab/>
        <w:t>Leave to proceed where no appearance by person</w:t>
      </w:r>
      <w:bookmarkEnd w:id="203"/>
      <w:bookmarkEnd w:id="204"/>
      <w:bookmarkEnd w:id="205"/>
    </w:p>
    <w:p>
      <w:pPr>
        <w:pStyle w:val="Subsection"/>
      </w:pPr>
      <w:r>
        <w:tab/>
        <w:t>(1)</w:t>
      </w:r>
      <w:r>
        <w:tab/>
        <w:t>If an originating process is served on a person outside Australia and the person does not enter an appearance, the party serving the document may not proceed against the person served except by leave of the Court.</w:t>
      </w:r>
    </w:p>
    <w:p>
      <w:pPr>
        <w:pStyle w:val="Subsection"/>
      </w:pPr>
      <w:r>
        <w:tab/>
        <w:t>(2)</w:t>
      </w:r>
      <w:r>
        <w:tab/>
        <w:t>An application for leave under subrule (1) may be made without serving notice of the application on the person served with the originating process.</w:t>
      </w:r>
    </w:p>
    <w:p>
      <w:pPr>
        <w:pStyle w:val="Footnotesection"/>
      </w:pPr>
      <w:r>
        <w:tab/>
        <w:t>[Rule 10 inserted: SL 2024/38 r. 8.]</w:t>
      </w:r>
    </w:p>
    <w:p>
      <w:pPr>
        <w:pStyle w:val="Heading5"/>
      </w:pPr>
      <w:bookmarkStart w:id="206" w:name="_Toc161821911"/>
      <w:bookmarkStart w:id="207" w:name="_Toc161822319"/>
      <w:bookmarkStart w:id="208" w:name="_Toc163120727"/>
      <w:r>
        <w:rPr>
          <w:rStyle w:val="CharSectno"/>
        </w:rPr>
        <w:t>11</w:t>
      </w:r>
      <w:r>
        <w:t>.</w:t>
      </w:r>
      <w:r>
        <w:tab/>
        <w:t>Service of other documents outside Australia</w:t>
      </w:r>
      <w:bookmarkEnd w:id="206"/>
      <w:bookmarkEnd w:id="207"/>
      <w:bookmarkEnd w:id="208"/>
    </w:p>
    <w:p>
      <w:pPr>
        <w:pStyle w:val="Subsection"/>
      </w:pPr>
      <w:r>
        <w:tab/>
      </w:r>
      <w:r>
        <w:tab/>
        <w:t>Any document other than an originating process may be served outside Australia with the leave of the Court, which may be given with any directions that the Court thinks fit.</w:t>
      </w:r>
    </w:p>
    <w:p>
      <w:pPr>
        <w:pStyle w:val="Footnotesection"/>
      </w:pPr>
      <w:r>
        <w:tab/>
        <w:t>[Rule 11 inserted: SL 2024/38 r. 8.]</w:t>
      </w:r>
    </w:p>
    <w:p>
      <w:pPr>
        <w:pStyle w:val="Heading5"/>
      </w:pPr>
      <w:bookmarkStart w:id="209" w:name="_Toc161821912"/>
      <w:bookmarkStart w:id="210" w:name="_Toc161822320"/>
      <w:bookmarkStart w:id="211" w:name="_Toc163120728"/>
      <w:r>
        <w:rPr>
          <w:rStyle w:val="CharSectno"/>
        </w:rPr>
        <w:t>12</w:t>
      </w:r>
      <w:r>
        <w:t>.</w:t>
      </w:r>
      <w:r>
        <w:tab/>
        <w:t>Mode of service</w:t>
      </w:r>
      <w:bookmarkEnd w:id="209"/>
      <w:bookmarkEnd w:id="210"/>
      <w:bookmarkEnd w:id="211"/>
    </w:p>
    <w:p>
      <w:pPr>
        <w:pStyle w:val="Subsection"/>
        <w:keepNext/>
      </w:pPr>
      <w:r>
        <w:tab/>
      </w:r>
      <w:r>
        <w:tab/>
        <w:t xml:space="preserve">A document to be served outside Australia need not be personally served on a person so long as it is served on the </w:t>
      </w:r>
      <w:r>
        <w:lastRenderedPageBreak/>
        <w:t>person in accordance with the law of the country in which service is effected.</w:t>
      </w:r>
    </w:p>
    <w:p>
      <w:pPr>
        <w:pStyle w:val="Footnotesection"/>
      </w:pPr>
      <w:r>
        <w:tab/>
        <w:t>[Rule 12 inserted: SL 2024/38 r. 8.]</w:t>
      </w:r>
    </w:p>
    <w:p>
      <w:pPr>
        <w:pStyle w:val="Heading3"/>
      </w:pPr>
      <w:bookmarkStart w:id="212" w:name="_Toc161821913"/>
      <w:bookmarkStart w:id="213" w:name="_Toc161821981"/>
      <w:bookmarkStart w:id="214" w:name="_Toc161822321"/>
      <w:bookmarkStart w:id="215" w:name="_Toc162953056"/>
      <w:bookmarkStart w:id="216" w:name="_Toc163120729"/>
      <w:r>
        <w:rPr>
          <w:rStyle w:val="CharDivNo"/>
        </w:rPr>
        <w:t>Division 4</w:t>
      </w:r>
      <w:r>
        <w:t> — </w:t>
      </w:r>
      <w:r>
        <w:rPr>
          <w:rStyle w:val="CharDivText"/>
        </w:rPr>
        <w:t>Service through foreign or diplomatic officials outside Australia in non</w:t>
      </w:r>
      <w:r>
        <w:rPr>
          <w:rStyle w:val="CharDivText"/>
        </w:rPr>
        <w:noBreakHyphen/>
        <w:t>Convention countries</w:t>
      </w:r>
      <w:bookmarkEnd w:id="212"/>
      <w:bookmarkEnd w:id="213"/>
      <w:bookmarkEnd w:id="214"/>
      <w:bookmarkEnd w:id="215"/>
      <w:bookmarkEnd w:id="216"/>
    </w:p>
    <w:p>
      <w:pPr>
        <w:pStyle w:val="Footnoteheading"/>
      </w:pPr>
      <w:bookmarkStart w:id="217" w:name="_Toc161821914"/>
      <w:bookmarkStart w:id="218" w:name="_Toc161822322"/>
      <w:r>
        <w:tab/>
        <w:t>[Heading inserted: SL 2024/38 r. 8.]</w:t>
      </w:r>
    </w:p>
    <w:p>
      <w:pPr>
        <w:pStyle w:val="Heading5"/>
      </w:pPr>
      <w:bookmarkStart w:id="219" w:name="_Toc163120730"/>
      <w:r>
        <w:rPr>
          <w:rStyle w:val="CharSectno"/>
        </w:rPr>
        <w:t>13</w:t>
      </w:r>
      <w:r>
        <w:t>.</w:t>
      </w:r>
      <w:r>
        <w:tab/>
        <w:t>Application of Division</w:t>
      </w:r>
      <w:bookmarkEnd w:id="217"/>
      <w:bookmarkEnd w:id="218"/>
      <w:bookmarkEnd w:id="219"/>
    </w:p>
    <w:p>
      <w:pPr>
        <w:pStyle w:val="Subsection"/>
      </w:pPr>
      <w:r>
        <w:tab/>
      </w:r>
      <w:r>
        <w:tab/>
      </w:r>
      <w:r>
        <w:rPr>
          <w:snapToGrid w:val="0"/>
        </w:rPr>
        <w:t xml:space="preserve">This Division applies to service outside Australia in </w:t>
      </w:r>
      <w:r>
        <w:t>a non</w:t>
      </w:r>
      <w:r>
        <w:noBreakHyphen/>
        <w:t>Convention country.</w:t>
      </w:r>
    </w:p>
    <w:p>
      <w:pPr>
        <w:pStyle w:val="Footnotesection"/>
      </w:pPr>
      <w:r>
        <w:tab/>
        <w:t>[Rule 13 inserted: SL 2024/38 r. 8.]</w:t>
      </w:r>
    </w:p>
    <w:p>
      <w:pPr>
        <w:pStyle w:val="Heading5"/>
      </w:pPr>
      <w:bookmarkStart w:id="220" w:name="_Toc161821915"/>
      <w:bookmarkStart w:id="221" w:name="_Toc161822323"/>
      <w:bookmarkStart w:id="222" w:name="_Toc163120731"/>
      <w:r>
        <w:rPr>
          <w:rStyle w:val="CharSectno"/>
        </w:rPr>
        <w:t>14</w:t>
      </w:r>
      <w:r>
        <w:t>.</w:t>
      </w:r>
      <w:r>
        <w:tab/>
        <w:t>Method of service of originating process and Form 5AB</w:t>
      </w:r>
      <w:bookmarkEnd w:id="220"/>
      <w:bookmarkEnd w:id="221"/>
      <w:bookmarkEnd w:id="222"/>
    </w:p>
    <w:p>
      <w:pPr>
        <w:pStyle w:val="Subsection"/>
      </w:pPr>
      <w:r>
        <w:tab/>
      </w:r>
      <w:r>
        <w:tab/>
        <w:t>A person may serve an originating process and notice in Form 5AB in a non</w:t>
      </w:r>
      <w:r>
        <w:noBreakHyphen/>
        <w:t xml:space="preserve">Convention country through — </w:t>
      </w:r>
    </w:p>
    <w:p>
      <w:pPr>
        <w:pStyle w:val="Indenta"/>
      </w:pPr>
      <w:r>
        <w:tab/>
        <w:t>(a)</w:t>
      </w:r>
      <w:r>
        <w:tab/>
        <w:t xml:space="preserve">if a Convention about foreign service applies to the country and to Australia or the State — </w:t>
      </w:r>
    </w:p>
    <w:p>
      <w:pPr>
        <w:pStyle w:val="Indenti"/>
      </w:pPr>
      <w:r>
        <w:tab/>
        <w:t>(i)</w:t>
      </w:r>
      <w:r>
        <w:tab/>
        <w:t>the judicial authorities of that country; or</w:t>
      </w:r>
    </w:p>
    <w:p>
      <w:pPr>
        <w:pStyle w:val="Indenti"/>
      </w:pPr>
      <w:r>
        <w:tab/>
        <w:t>(ii)</w:t>
      </w:r>
      <w:r>
        <w:tab/>
        <w:t>an Australian diplomatic or consular agent in that country, subject to a provision of the Convention as to the nationality of persons who may be so served;</w:t>
      </w:r>
    </w:p>
    <w:p>
      <w:pPr>
        <w:pStyle w:val="Indenta"/>
      </w:pPr>
      <w:r>
        <w:tab/>
      </w:r>
      <w:r>
        <w:tab/>
        <w:t>or</w:t>
      </w:r>
    </w:p>
    <w:p>
      <w:pPr>
        <w:pStyle w:val="Indenta"/>
      </w:pPr>
      <w:r>
        <w:tab/>
        <w:t>(b)</w:t>
      </w:r>
      <w:r>
        <w:tab/>
        <w:t xml:space="preserve">in any other case — </w:t>
      </w:r>
    </w:p>
    <w:p>
      <w:pPr>
        <w:pStyle w:val="Indenti"/>
      </w:pPr>
      <w:r>
        <w:tab/>
        <w:t>(i)</w:t>
      </w:r>
      <w:r>
        <w:tab/>
        <w:t>if the government of that country is willing to effect service — the government; or</w:t>
      </w:r>
    </w:p>
    <w:p>
      <w:pPr>
        <w:pStyle w:val="Indenti"/>
      </w:pPr>
      <w:r>
        <w:tab/>
        <w:t>(ii)</w:t>
      </w:r>
      <w:r>
        <w:tab/>
        <w:t>an Australian diplomatic or consular agent in that country, unless service through such an authority is contrary to the law of that country.</w:t>
      </w:r>
    </w:p>
    <w:p>
      <w:pPr>
        <w:pStyle w:val="Footnotesection"/>
      </w:pPr>
      <w:r>
        <w:tab/>
        <w:t>[Rule 14 inserted: SL 2024/38 r. 8.]</w:t>
      </w:r>
    </w:p>
    <w:p>
      <w:pPr>
        <w:pStyle w:val="Heading5"/>
      </w:pPr>
      <w:bookmarkStart w:id="223" w:name="_Toc161821916"/>
      <w:bookmarkStart w:id="224" w:name="_Toc161822324"/>
      <w:bookmarkStart w:id="225" w:name="_Toc163120732"/>
      <w:r>
        <w:rPr>
          <w:rStyle w:val="CharSectno"/>
        </w:rPr>
        <w:lastRenderedPageBreak/>
        <w:t>15</w:t>
      </w:r>
      <w:r>
        <w:t>.</w:t>
      </w:r>
      <w:r>
        <w:tab/>
        <w:t>Request for service of originating process</w:t>
      </w:r>
      <w:bookmarkEnd w:id="223"/>
      <w:bookmarkEnd w:id="224"/>
      <w:bookmarkEnd w:id="225"/>
    </w:p>
    <w:p>
      <w:pPr>
        <w:pStyle w:val="Subsection"/>
      </w:pPr>
      <w:r>
        <w:tab/>
        <w:t>(1)</w:t>
      </w:r>
      <w:r>
        <w:tab/>
        <w:t xml:space="preserve">A person who wishes to serve an originating process under this Division must file — </w:t>
      </w:r>
    </w:p>
    <w:p>
      <w:pPr>
        <w:pStyle w:val="Indenta"/>
      </w:pPr>
      <w:r>
        <w:tab/>
        <w:t>(a)</w:t>
      </w:r>
      <w:r>
        <w:tab/>
        <w:t>a letter of request for service under this Division of the originating process; and</w:t>
      </w:r>
    </w:p>
    <w:p>
      <w:pPr>
        <w:pStyle w:val="Indenta"/>
      </w:pPr>
      <w:r>
        <w:tab/>
        <w:t>(b)</w:t>
      </w:r>
      <w:r>
        <w:tab/>
        <w:t>a copy of the originating process and the Form 5AB to be served under rule 8; and</w:t>
      </w:r>
    </w:p>
    <w:p>
      <w:pPr>
        <w:pStyle w:val="Indenta"/>
      </w:pPr>
      <w:r>
        <w:tab/>
        <w:t>(c)</w:t>
      </w:r>
      <w:r>
        <w:tab/>
        <w:t>if the request and the copy of the originating process are not filed electronically — an additional copy of the originating process, and each other document to be served, for each person to be served; and</w:t>
      </w:r>
    </w:p>
    <w:p>
      <w:pPr>
        <w:pStyle w:val="Indenta"/>
      </w:pPr>
      <w:r>
        <w:tab/>
        <w:t>(d)</w:t>
      </w:r>
      <w:r>
        <w:tab/>
        <w:t xml:space="preserve">an undertaking by the person making the request </w:t>
      </w:r>
      <w:r>
        <w:rPr>
          <w:snapToGrid w:val="0"/>
        </w:rPr>
        <w:t>to be personally responsible for all expenses incurred in respect of the service requested</w:t>
      </w:r>
      <w:r>
        <w:t>.</w:t>
      </w:r>
    </w:p>
    <w:p>
      <w:pPr>
        <w:pStyle w:val="Subsection"/>
      </w:pPr>
      <w:r>
        <w:tab/>
        <w:t>(2)</w:t>
      </w:r>
      <w:r>
        <w:tab/>
        <w:t>If leave is not required to serve the originating process under rule 5, the letter of request for service filed under subrule (1)(a) must state the paragraph in rule 5 under which leave is not required.</w:t>
      </w:r>
    </w:p>
    <w:p>
      <w:pPr>
        <w:pStyle w:val="Subsection"/>
      </w:pPr>
      <w:r>
        <w:tab/>
        <w:t>(3)</w:t>
      </w:r>
      <w:r>
        <w:tab/>
        <w:t>If English is not an official language of the country where the originating process will be served under this Division, a person who wishes to serve the originating process must also file —</w:t>
      </w:r>
    </w:p>
    <w:p>
      <w:pPr>
        <w:pStyle w:val="Indenta"/>
      </w:pPr>
      <w:r>
        <w:tab/>
        <w:t>(a)</w:t>
      </w:r>
      <w:r>
        <w:tab/>
        <w:t>a translation of the originating process and Form 5AB in an official language of the country; and</w:t>
      </w:r>
    </w:p>
    <w:p>
      <w:pPr>
        <w:pStyle w:val="Indenta"/>
      </w:pPr>
      <w:r>
        <w:tab/>
        <w:t>(b)</w:t>
      </w:r>
      <w:r>
        <w:tab/>
        <w:t xml:space="preserve">a certificate (both in English and the official language) by the person (the </w:t>
      </w:r>
      <w:r>
        <w:rPr>
          <w:rStyle w:val="CharDefText"/>
        </w:rPr>
        <w:t>translator</w:t>
      </w:r>
      <w:r>
        <w:t xml:space="preserve">) who translated the originating process that — </w:t>
      </w:r>
    </w:p>
    <w:p>
      <w:pPr>
        <w:pStyle w:val="Indenti"/>
      </w:pPr>
      <w:r>
        <w:tab/>
        <w:t>(i)</w:t>
      </w:r>
      <w:r>
        <w:tab/>
        <w:t>states the translator’s name and address; and</w:t>
      </w:r>
    </w:p>
    <w:p>
      <w:pPr>
        <w:pStyle w:val="Indenti"/>
      </w:pPr>
      <w:r>
        <w:tab/>
        <w:t>(ii)</w:t>
      </w:r>
      <w:r>
        <w:tab/>
        <w:t>states the translator’s qualifications to translate the originating process and Form 5AB; and</w:t>
      </w:r>
    </w:p>
    <w:p>
      <w:pPr>
        <w:pStyle w:val="Indenti"/>
      </w:pPr>
      <w:r>
        <w:tab/>
        <w:t>(iii)</w:t>
      </w:r>
      <w:r>
        <w:tab/>
        <w:t>certifies that the translation of the originating process and Form 5AB is a correct translation.</w:t>
      </w:r>
    </w:p>
    <w:p>
      <w:pPr>
        <w:pStyle w:val="Footnotesection"/>
      </w:pPr>
      <w:r>
        <w:tab/>
        <w:t>[Rule 15 inserted: SL 2024/38 r. 8.]</w:t>
      </w:r>
    </w:p>
    <w:p>
      <w:pPr>
        <w:pStyle w:val="Heading5"/>
      </w:pPr>
      <w:bookmarkStart w:id="226" w:name="_Toc161821917"/>
      <w:bookmarkStart w:id="227" w:name="_Toc161822325"/>
      <w:bookmarkStart w:id="228" w:name="_Toc163120733"/>
      <w:r>
        <w:rPr>
          <w:rStyle w:val="CharSectno"/>
        </w:rPr>
        <w:lastRenderedPageBreak/>
        <w:t>16</w:t>
      </w:r>
      <w:r>
        <w:t>.</w:t>
      </w:r>
      <w:r>
        <w:tab/>
        <w:t>Serving documents under Division</w:t>
      </w:r>
      <w:bookmarkEnd w:id="226"/>
      <w:bookmarkEnd w:id="227"/>
      <w:bookmarkEnd w:id="228"/>
      <w:r>
        <w:t xml:space="preserve"> </w:t>
      </w:r>
    </w:p>
    <w:p>
      <w:pPr>
        <w:pStyle w:val="Subsection"/>
      </w:pPr>
      <w:r>
        <w:tab/>
      </w:r>
      <w:r>
        <w:tab/>
        <w:t xml:space="preserve">The documents filed under rule 15 that are to be served on a person outside Australia must be — </w:t>
      </w:r>
    </w:p>
    <w:p>
      <w:pPr>
        <w:pStyle w:val="Indenta"/>
      </w:pPr>
      <w:r>
        <w:tab/>
        <w:t>(a)</w:t>
      </w:r>
      <w:r>
        <w:tab/>
        <w:t>sealed with the seal of the Supreme Court; and</w:t>
      </w:r>
    </w:p>
    <w:p>
      <w:pPr>
        <w:pStyle w:val="Indenta"/>
        <w:rPr>
          <w:snapToGrid w:val="0"/>
        </w:rPr>
      </w:pPr>
      <w:r>
        <w:tab/>
        <w:t>(b)</w:t>
      </w:r>
      <w:r>
        <w:tab/>
        <w:t xml:space="preserve">forwarded by the Principal Registrar to the Attorney General of Western Australia </w:t>
      </w:r>
      <w:r>
        <w:rPr>
          <w:snapToGrid w:val="0"/>
        </w:rPr>
        <w:t>for transmission through the diplomatic channel to the country where the documents are to be served.</w:t>
      </w:r>
    </w:p>
    <w:p>
      <w:pPr>
        <w:pStyle w:val="Footnotesection"/>
      </w:pPr>
      <w:r>
        <w:tab/>
        <w:t>[Rule 16 inserted: SL 2024/38 r. 8.]</w:t>
      </w:r>
    </w:p>
    <w:p>
      <w:pPr>
        <w:pStyle w:val="Heading5"/>
      </w:pPr>
      <w:bookmarkStart w:id="229" w:name="_Toc161821918"/>
      <w:bookmarkStart w:id="230" w:name="_Toc161822326"/>
      <w:bookmarkStart w:id="231" w:name="_Toc163120734"/>
      <w:r>
        <w:rPr>
          <w:rStyle w:val="CharSectno"/>
        </w:rPr>
        <w:t>17</w:t>
      </w:r>
      <w:r>
        <w:t>.</w:t>
      </w:r>
      <w:r>
        <w:tab/>
        <w:t>Certification of service taken to be proof of service</w:t>
      </w:r>
      <w:bookmarkEnd w:id="229"/>
      <w:bookmarkEnd w:id="230"/>
      <w:bookmarkEnd w:id="231"/>
    </w:p>
    <w:p>
      <w:pPr>
        <w:pStyle w:val="Subsection"/>
        <w:rPr>
          <w:snapToGrid w:val="0"/>
        </w:rPr>
      </w:pPr>
      <w:r>
        <w:tab/>
        <w:t>(1)</w:t>
      </w:r>
      <w:r>
        <w:tab/>
        <w:t xml:space="preserve">This rule applies if an official certificate </w:t>
      </w:r>
      <w:r>
        <w:rPr>
          <w:snapToGrid w:val="0"/>
        </w:rPr>
        <w:t xml:space="preserve">establishing that documents have been served, and when they have been served, under this Division </w:t>
      </w:r>
      <w:r>
        <w:t>is transmitted to the Court </w:t>
      </w:r>
      <w:r>
        <w:rPr>
          <w:snapToGrid w:val="0"/>
        </w:rPr>
        <w:t xml:space="preserve">— </w:t>
      </w:r>
    </w:p>
    <w:p>
      <w:pPr>
        <w:pStyle w:val="Indenta"/>
        <w:rPr>
          <w:snapToGrid w:val="0"/>
        </w:rPr>
      </w:pPr>
      <w:r>
        <w:tab/>
        <w:t>(a)</w:t>
      </w:r>
      <w:r>
        <w:tab/>
      </w:r>
      <w:r>
        <w:rPr>
          <w:snapToGrid w:val="0"/>
        </w:rPr>
        <w:t>through the diplomatic channel by an Australian diplomatic or consular agent; or</w:t>
      </w:r>
    </w:p>
    <w:p>
      <w:pPr>
        <w:pStyle w:val="Indenta"/>
        <w:rPr>
          <w:snapToGrid w:val="0"/>
        </w:rPr>
      </w:pPr>
      <w:r>
        <w:tab/>
        <w:t>(b)</w:t>
      </w:r>
      <w:r>
        <w:tab/>
        <w:t xml:space="preserve">by </w:t>
      </w:r>
      <w:r>
        <w:rPr>
          <w:snapToGrid w:val="0"/>
        </w:rPr>
        <w:t>a foreign government or judicial authority responsible for serving the documents.</w:t>
      </w:r>
    </w:p>
    <w:p>
      <w:pPr>
        <w:pStyle w:val="Subsection"/>
      </w:pPr>
      <w:r>
        <w:tab/>
        <w:t>(2)</w:t>
      </w:r>
      <w:r>
        <w:tab/>
        <w:t xml:space="preserve">The official certificate — </w:t>
      </w:r>
    </w:p>
    <w:p>
      <w:pPr>
        <w:pStyle w:val="Indenta"/>
        <w:rPr>
          <w:snapToGrid w:val="0"/>
        </w:rPr>
      </w:pPr>
      <w:r>
        <w:rPr>
          <w:snapToGrid w:val="0"/>
        </w:rPr>
        <w:tab/>
        <w:t>(a)</w:t>
      </w:r>
      <w:r>
        <w:rPr>
          <w:snapToGrid w:val="0"/>
        </w:rPr>
        <w:tab/>
      </w:r>
      <w:r>
        <w:t>must be</w:t>
      </w:r>
      <w:r>
        <w:rPr>
          <w:snapToGrid w:val="0"/>
        </w:rPr>
        <w:t xml:space="preserve"> placed on the file; and</w:t>
      </w:r>
    </w:p>
    <w:p>
      <w:pPr>
        <w:pStyle w:val="Indenta"/>
      </w:pPr>
      <w:r>
        <w:tab/>
        <w:t>(b)</w:t>
      </w:r>
      <w:r>
        <w:tab/>
        <w:t xml:space="preserve">is taken to be an </w:t>
      </w:r>
      <w:r>
        <w:rPr>
          <w:snapToGrid w:val="0"/>
        </w:rPr>
        <w:t>affidavit</w:t>
      </w:r>
      <w:r>
        <w:t xml:space="preserve"> of service for the purposes of these rules.</w:t>
      </w:r>
    </w:p>
    <w:p>
      <w:pPr>
        <w:pStyle w:val="Subsection"/>
      </w:pPr>
      <w:r>
        <w:tab/>
        <w:t>(3)</w:t>
      </w:r>
      <w:r>
        <w:tab/>
        <w:t>A document purporting to be an official certificate is taken to be a certificate unless the contrary is proved.</w:t>
      </w:r>
    </w:p>
    <w:p>
      <w:pPr>
        <w:pStyle w:val="Footnotesection"/>
      </w:pPr>
      <w:r>
        <w:tab/>
        <w:t>[Rule 17 inserted: SL 2024/38 r. 8.]</w:t>
      </w:r>
    </w:p>
    <w:p>
      <w:pPr>
        <w:pStyle w:val="Heading5"/>
        <w:rPr>
          <w:snapToGrid w:val="0"/>
        </w:rPr>
      </w:pPr>
      <w:bookmarkStart w:id="232" w:name="_Toc161821919"/>
      <w:bookmarkStart w:id="233" w:name="_Toc161822327"/>
      <w:bookmarkStart w:id="234" w:name="_Toc163120735"/>
      <w:r>
        <w:rPr>
          <w:rStyle w:val="CharSectno"/>
        </w:rPr>
        <w:lastRenderedPageBreak/>
        <w:t>18</w:t>
      </w:r>
      <w:r>
        <w:t>.</w:t>
      </w:r>
      <w:r>
        <w:tab/>
      </w:r>
      <w:r>
        <w:rPr>
          <w:snapToGrid w:val="0"/>
        </w:rPr>
        <w:t>Paying expenses</w:t>
      </w:r>
      <w:bookmarkEnd w:id="232"/>
      <w:bookmarkEnd w:id="233"/>
      <w:bookmarkEnd w:id="234"/>
    </w:p>
    <w:p>
      <w:pPr>
        <w:pStyle w:val="Subsection"/>
        <w:keepNext/>
      </w:pPr>
      <w:r>
        <w:tab/>
        <w:t>(1)</w:t>
      </w:r>
      <w:r>
        <w:tab/>
        <w:t xml:space="preserve">The Principal Registrar may give the person who gave an undertaking as to expenses under rule 15(1)(d) a written notice stating — </w:t>
      </w:r>
    </w:p>
    <w:p>
      <w:pPr>
        <w:pStyle w:val="Indenta"/>
      </w:pPr>
      <w:r>
        <w:tab/>
        <w:t>(a)</w:t>
      </w:r>
      <w:r>
        <w:tab/>
        <w:t>the expenses incurred in respect of the service of the documents outside Australia; and</w:t>
      </w:r>
    </w:p>
    <w:p>
      <w:pPr>
        <w:pStyle w:val="Indenta"/>
      </w:pPr>
      <w:r>
        <w:tab/>
        <w:t>(b)</w:t>
      </w:r>
      <w:r>
        <w:tab/>
        <w:t xml:space="preserve">if the Principal Registrar directs the manner in which the payment is to be made under subrule (2) — </w:t>
      </w:r>
    </w:p>
    <w:p>
      <w:pPr>
        <w:pStyle w:val="Indenti"/>
      </w:pPr>
      <w:r>
        <w:tab/>
        <w:t>(i)</w:t>
      </w:r>
      <w:r>
        <w:tab/>
        <w:t>that the person must pay those expenses consistently with the person’s undertaking in accordance with the direction; and</w:t>
      </w:r>
    </w:p>
    <w:p>
      <w:pPr>
        <w:pStyle w:val="Indenti"/>
      </w:pPr>
      <w:r>
        <w:tab/>
        <w:t>(ii)</w:t>
      </w:r>
      <w:r>
        <w:tab/>
        <w:t>the person must provide evidence, such as a receipt, to the Principal Registrar showing that the payment was made in accordance with the direction;</w:t>
      </w:r>
    </w:p>
    <w:p>
      <w:pPr>
        <w:pStyle w:val="Indenta"/>
      </w:pPr>
      <w:r>
        <w:tab/>
      </w:r>
      <w:r>
        <w:tab/>
        <w:t>and</w:t>
      </w:r>
    </w:p>
    <w:p>
      <w:pPr>
        <w:pStyle w:val="Indenta"/>
      </w:pPr>
      <w:r>
        <w:tab/>
        <w:t>(c)</w:t>
      </w:r>
      <w:r>
        <w:tab/>
        <w:t>if paragraph (b) does not apply — that the person must pay those expenses consistently with the person’s undertaking within the period of 14 days after the day on which the person receives the written notice to the Central Office; and</w:t>
      </w:r>
    </w:p>
    <w:p>
      <w:pPr>
        <w:pStyle w:val="Indenta"/>
      </w:pPr>
      <w:r>
        <w:tab/>
        <w:t>(d)</w:t>
      </w:r>
      <w:r>
        <w:tab/>
        <w:t>that, if the person fails to pay those expenses in accordance with the notice, the Court may make an order for the payment of the expenses or to stay proceedings under this rule.</w:t>
      </w:r>
    </w:p>
    <w:p>
      <w:pPr>
        <w:pStyle w:val="Subsection"/>
      </w:pPr>
      <w:r>
        <w:tab/>
        <w:t>(2)</w:t>
      </w:r>
      <w:r>
        <w:tab/>
        <w:t>The Principal Registrar may direct that the payment of expenses referred to in rule 15(1)(d) must be paid to a particular person, or in a particular manner.</w:t>
      </w:r>
    </w:p>
    <w:p>
      <w:pPr>
        <w:pStyle w:val="Subsection"/>
      </w:pPr>
      <w:r>
        <w:tab/>
        <w:t>(3)</w:t>
      </w:r>
      <w:r>
        <w:tab/>
        <w:t xml:space="preserve">If the person does not pay the expenses in accordance with the notice, the Court may — </w:t>
      </w:r>
    </w:p>
    <w:p>
      <w:pPr>
        <w:pStyle w:val="Indenta"/>
      </w:pPr>
      <w:r>
        <w:tab/>
        <w:t>(a)</w:t>
      </w:r>
      <w:r>
        <w:tab/>
        <w:t>stay proceedings until the expenses are paid to the Central Office; or</w:t>
      </w:r>
    </w:p>
    <w:p>
      <w:pPr>
        <w:pStyle w:val="Indenta"/>
      </w:pPr>
      <w:r>
        <w:lastRenderedPageBreak/>
        <w:tab/>
        <w:t>(b)</w:t>
      </w:r>
      <w:r>
        <w:tab/>
        <w:t>make an order requiring the person to pay the expenses.</w:t>
      </w:r>
    </w:p>
    <w:p>
      <w:pPr>
        <w:pStyle w:val="Footnotesection"/>
      </w:pPr>
      <w:r>
        <w:tab/>
        <w:t>[Rule 18 inserted: SL 2024/38 r. 8.]</w:t>
      </w:r>
    </w:p>
    <w:p>
      <w:pPr>
        <w:pStyle w:val="Heading5"/>
      </w:pPr>
      <w:bookmarkStart w:id="235" w:name="_Toc161821920"/>
      <w:bookmarkStart w:id="236" w:name="_Toc161822328"/>
      <w:bookmarkStart w:id="237" w:name="_Toc163120736"/>
      <w:r>
        <w:rPr>
          <w:rStyle w:val="CharSectno"/>
        </w:rPr>
        <w:t>19</w:t>
      </w:r>
      <w:r>
        <w:t>.</w:t>
      </w:r>
      <w:r>
        <w:tab/>
        <w:t>Other methods of service outside Australia not excluded by Division</w:t>
      </w:r>
      <w:bookmarkEnd w:id="235"/>
      <w:bookmarkEnd w:id="236"/>
      <w:bookmarkEnd w:id="237"/>
    </w:p>
    <w:p>
      <w:pPr>
        <w:pStyle w:val="Subsection"/>
      </w:pPr>
      <w:r>
        <w:tab/>
      </w:r>
      <w:r>
        <w:tab/>
        <w:t xml:space="preserve">Despite another provision of this Division, a document may be served outside Australia if — </w:t>
      </w:r>
    </w:p>
    <w:p>
      <w:pPr>
        <w:pStyle w:val="Indenta"/>
      </w:pPr>
      <w:r>
        <w:tab/>
        <w:t>(a)</w:t>
      </w:r>
      <w:r>
        <w:tab/>
        <w:t>the document is served in a non</w:t>
      </w:r>
      <w:r>
        <w:noBreakHyphen/>
        <w:t>Convention country where a convention about foreign service applies to the country and to Australia or the State; and</w:t>
      </w:r>
    </w:p>
    <w:p>
      <w:pPr>
        <w:pStyle w:val="Indenta"/>
      </w:pPr>
      <w:r>
        <w:tab/>
        <w:t>(b)</w:t>
      </w:r>
      <w:r>
        <w:tab/>
        <w:t xml:space="preserve">the manner in which the document is served is — </w:t>
      </w:r>
    </w:p>
    <w:p>
      <w:pPr>
        <w:pStyle w:val="Indenti"/>
        <w:rPr>
          <w:snapToGrid w:val="0"/>
        </w:rPr>
      </w:pPr>
      <w:r>
        <w:tab/>
        <w:t>(i)</w:t>
      </w:r>
      <w:r>
        <w:tab/>
        <w:t xml:space="preserve">not </w:t>
      </w:r>
      <w:r>
        <w:rPr>
          <w:snapToGrid w:val="0"/>
        </w:rPr>
        <w:t>expressly excluded by the convention; and</w:t>
      </w:r>
    </w:p>
    <w:p>
      <w:pPr>
        <w:pStyle w:val="Indenti"/>
        <w:rPr>
          <w:snapToGrid w:val="0"/>
        </w:rPr>
      </w:pPr>
      <w:r>
        <w:tab/>
        <w:t>(ii)</w:t>
      </w:r>
      <w:r>
        <w:tab/>
      </w:r>
      <w:r>
        <w:rPr>
          <w:snapToGrid w:val="0"/>
        </w:rPr>
        <w:t>otherwise valid or sufficient according to the procedure of the Supreme Court.</w:t>
      </w:r>
    </w:p>
    <w:p>
      <w:pPr>
        <w:pStyle w:val="Footnotesection"/>
      </w:pPr>
      <w:r>
        <w:tab/>
        <w:t>[Rule 19 inserted: SL 2024/38 r. 8.]</w:t>
      </w:r>
    </w:p>
    <w:p>
      <w:pPr>
        <w:pStyle w:val="Heading2"/>
        <w:rPr>
          <w:b w:val="0"/>
        </w:rPr>
      </w:pPr>
      <w:bookmarkStart w:id="238" w:name="_Toc162940276"/>
      <w:bookmarkStart w:id="239" w:name="_Toc162953064"/>
      <w:bookmarkStart w:id="240" w:name="_Toc163120737"/>
      <w:bookmarkEnd w:id="160"/>
      <w:r>
        <w:rPr>
          <w:rStyle w:val="CharPartNo"/>
        </w:rPr>
        <w:lastRenderedPageBreak/>
        <w:t>Order 11</w:t>
      </w:r>
      <w:r>
        <w:rPr>
          <w:rStyle w:val="CharDivNo"/>
        </w:rPr>
        <w:t> </w:t>
      </w:r>
      <w:r>
        <w:t>—</w:t>
      </w:r>
      <w:r>
        <w:rPr>
          <w:rStyle w:val="CharDivText"/>
        </w:rPr>
        <w:t> </w:t>
      </w:r>
      <w:r>
        <w:rPr>
          <w:rStyle w:val="CharPartText"/>
        </w:rPr>
        <w:t>Service of foreign process</w:t>
      </w:r>
      <w:bookmarkEnd w:id="238"/>
      <w:bookmarkEnd w:id="239"/>
      <w:bookmarkEnd w:id="240"/>
    </w:p>
    <w:p>
      <w:pPr>
        <w:pStyle w:val="Ednotesection"/>
      </w:pPr>
      <w:r>
        <w:t>[</w:t>
      </w:r>
      <w:r>
        <w:rPr>
          <w:b/>
        </w:rPr>
        <w:t>1A.</w:t>
      </w:r>
      <w:r>
        <w:tab/>
        <w:t>Deleted: Gazette 3 Jul 2009 p. 2685.]</w:t>
      </w:r>
    </w:p>
    <w:p>
      <w:pPr>
        <w:pStyle w:val="Heading5"/>
        <w:rPr>
          <w:snapToGrid w:val="0"/>
        </w:rPr>
      </w:pPr>
      <w:bookmarkStart w:id="241" w:name="_Toc163120738"/>
      <w:r>
        <w:rPr>
          <w:rStyle w:val="CharSectno"/>
        </w:rPr>
        <w:t>1</w:t>
      </w:r>
      <w:r>
        <w:rPr>
          <w:snapToGrid w:val="0"/>
        </w:rPr>
        <w:t>.</w:t>
      </w:r>
      <w:r>
        <w:rPr>
          <w:snapToGrid w:val="0"/>
        </w:rPr>
        <w:tab/>
        <w:t>Terms used</w:t>
      </w:r>
      <w:bookmarkEnd w:id="241"/>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pPr>
      <w:bookmarkStart w:id="242" w:name="_Toc163120739"/>
      <w:r>
        <w:rPr>
          <w:rStyle w:val="CharSectno"/>
        </w:rPr>
        <w:t>2A</w:t>
      </w:r>
      <w:r>
        <w:t>.</w:t>
      </w:r>
      <w:r>
        <w:tab/>
        <w:t>Application of this Order</w:t>
      </w:r>
      <w:bookmarkEnd w:id="242"/>
    </w:p>
    <w:p>
      <w:pPr>
        <w:pStyle w:val="Subsection"/>
      </w:pPr>
      <w:r>
        <w:tab/>
        <w:t>(1)</w:t>
      </w:r>
      <w:r>
        <w:tab/>
        <w:t xml:space="preserve">If the Court receives a letter of request for service of process on a person in this State from — </w:t>
      </w:r>
    </w:p>
    <w:p>
      <w:pPr>
        <w:pStyle w:val="Indenta"/>
      </w:pPr>
      <w:r>
        <w:tab/>
        <w:t>(a)</w:t>
      </w:r>
      <w:r>
        <w:tab/>
        <w:t>a court or tribunal; or</w:t>
      </w:r>
    </w:p>
    <w:p>
      <w:pPr>
        <w:pStyle w:val="Indenta"/>
      </w:pPr>
      <w:r>
        <w:tab/>
        <w:t>(b)</w:t>
      </w:r>
      <w:r>
        <w:tab/>
        <w:t>a consular or other authority,</w:t>
      </w:r>
    </w:p>
    <w:p>
      <w:pPr>
        <w:pStyle w:val="Subsection"/>
      </w:pPr>
      <w:r>
        <w:tab/>
      </w:r>
      <w:r>
        <w:tab/>
        <w:t>of a Convention country, then, unless Order 11A Division 4 applies, rule 2 or 3, as the case requires, and rules 4 and 5 apply and Order 11A Division 4 does not.</w:t>
      </w:r>
    </w:p>
    <w:p>
      <w:pPr>
        <w:pStyle w:val="Subsection"/>
      </w:pPr>
      <w:r>
        <w:tab/>
        <w:t>(2)</w:t>
      </w:r>
      <w:r>
        <w:tab/>
        <w:t>If Order 11A Division 4 applies to a request referred to in subrule (1), rules 2 to 5 do not apply.</w:t>
      </w:r>
    </w:p>
    <w:p>
      <w:pPr>
        <w:pStyle w:val="Subsection"/>
      </w:pPr>
      <w:r>
        <w:tab/>
        <w:t>(3)</w:t>
      </w:r>
      <w:r>
        <w:tab/>
        <w:t>A letter of request referred to in subrule (1), any document that accompanies the letter of request and any other document to be filed for the purposes of this Order cannot be filed electronically.</w:t>
      </w:r>
    </w:p>
    <w:p>
      <w:pPr>
        <w:pStyle w:val="Footnotesection"/>
      </w:pPr>
      <w:r>
        <w:tab/>
        <w:t xml:space="preserve">[Rule 2A inserted: Gazette 3 Jul 2009 p. 2685; amended: Gazette 27 Feb 2018 p. 556; SL 2024/38 r. 9.] </w:t>
      </w:r>
    </w:p>
    <w:p>
      <w:pPr>
        <w:pStyle w:val="Heading5"/>
        <w:rPr>
          <w:snapToGrid w:val="0"/>
        </w:rPr>
      </w:pPr>
      <w:bookmarkStart w:id="243" w:name="_Toc163120740"/>
      <w:r>
        <w:rPr>
          <w:rStyle w:val="CharSectno"/>
        </w:rPr>
        <w:t>2</w:t>
      </w:r>
      <w:r>
        <w:rPr>
          <w:snapToGrid w:val="0"/>
        </w:rPr>
        <w:t>.</w:t>
      </w:r>
      <w:r>
        <w:rPr>
          <w:snapToGrid w:val="0"/>
        </w:rPr>
        <w:tab/>
        <w:t>Service pursuant to letter of request for service</w:t>
      </w:r>
      <w:bookmarkEnd w:id="243"/>
    </w:p>
    <w:p>
      <w:pPr>
        <w:pStyle w:val="Subsection"/>
        <w:rPr>
          <w:snapToGrid w:val="0"/>
        </w:rPr>
      </w:pPr>
      <w:r>
        <w:rPr>
          <w:snapToGrid w:val="0"/>
        </w:rPr>
        <w:tab/>
        <w:t>(1)</w:t>
      </w:r>
      <w:r>
        <w:rPr>
          <w:snapToGrid w:val="0"/>
        </w:rPr>
        <w:tab/>
        <w:t xml:space="preserve">This rule applies to the service of any process required to be served in any civil or commercial proceedings pending before a court or other tribunal of a foreign country where a letter of request from such a tribunal for service on a person in Western </w:t>
      </w:r>
      <w:r>
        <w:rPr>
          <w:snapToGrid w:val="0"/>
        </w:rPr>
        <w:lastRenderedPageBreak/>
        <w:t>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w:t>
      </w:r>
      <w:r>
        <w:t xml:space="preserve"> Court.</w:t>
      </w:r>
    </w:p>
    <w:p>
      <w:pPr>
        <w:pStyle w:val="Footnotesection"/>
      </w:pPr>
      <w:r>
        <w:tab/>
        <w:t xml:space="preserve">[Rule 2 amended: Gazette 14 Dec 1979 p. 3869; 12 Jun 2012 p. 2450.] </w:t>
      </w:r>
    </w:p>
    <w:p>
      <w:pPr>
        <w:pStyle w:val="Heading5"/>
        <w:rPr>
          <w:snapToGrid w:val="0"/>
        </w:rPr>
      </w:pPr>
      <w:bookmarkStart w:id="244" w:name="_Toc163120741"/>
      <w:r>
        <w:rPr>
          <w:rStyle w:val="CharSectno"/>
        </w:rPr>
        <w:t>3</w:t>
      </w:r>
      <w:r>
        <w:rPr>
          <w:snapToGrid w:val="0"/>
        </w:rPr>
        <w:t>.</w:t>
      </w:r>
      <w:r>
        <w:rPr>
          <w:snapToGrid w:val="0"/>
        </w:rPr>
        <w:tab/>
        <w:t>Service under Convention</w:t>
      </w:r>
      <w:bookmarkEnd w:id="244"/>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keepNext/>
        <w:rPr>
          <w:snapToGrid w:val="0"/>
        </w:rPr>
      </w:pPr>
      <w:r>
        <w:rPr>
          <w:snapToGrid w:val="0"/>
        </w:rPr>
        <w:lastRenderedPageBreak/>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w:t>
      </w:r>
      <w:r>
        <w:t xml:space="preserve"> Court.</w:t>
      </w:r>
    </w:p>
    <w:p>
      <w:pPr>
        <w:pStyle w:val="Footnotesection"/>
      </w:pPr>
      <w:r>
        <w:tab/>
        <w:t xml:space="preserve">[Rule 3 amended: Gazette 14 Dec 1979 p. 3869; 12 Jun 2012 p. 2450 and 2453.] </w:t>
      </w:r>
    </w:p>
    <w:p>
      <w:pPr>
        <w:pStyle w:val="Heading5"/>
        <w:rPr>
          <w:snapToGrid w:val="0"/>
        </w:rPr>
      </w:pPr>
      <w:bookmarkStart w:id="245" w:name="_Toc163120742"/>
      <w:r>
        <w:rPr>
          <w:rStyle w:val="CharSectno"/>
        </w:rPr>
        <w:t>4</w:t>
      </w:r>
      <w:r>
        <w:rPr>
          <w:snapToGrid w:val="0"/>
        </w:rPr>
        <w:t>.</w:t>
      </w:r>
      <w:r>
        <w:rPr>
          <w:snapToGrid w:val="0"/>
        </w:rPr>
        <w:tab/>
        <w:t>Service to be through sheriff</w:t>
      </w:r>
      <w:bookmarkEnd w:id="245"/>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246" w:name="_Toc163120743"/>
      <w:r>
        <w:rPr>
          <w:rStyle w:val="CharSectno"/>
        </w:rPr>
        <w:lastRenderedPageBreak/>
        <w:t>5</w:t>
      </w:r>
      <w:r>
        <w:rPr>
          <w:snapToGrid w:val="0"/>
        </w:rPr>
        <w:t>.</w:t>
      </w:r>
      <w:r>
        <w:rPr>
          <w:snapToGrid w:val="0"/>
        </w:rPr>
        <w:tab/>
        <w:t>Consequential orders</w:t>
      </w:r>
      <w:bookmarkEnd w:id="246"/>
    </w:p>
    <w:p>
      <w:pPr>
        <w:pStyle w:val="Subsection"/>
        <w:keepNext/>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Gazette 19 Apr 2005 p. 1298.]</w:t>
      </w:r>
    </w:p>
    <w:p>
      <w:pPr>
        <w:pStyle w:val="Heading2"/>
      </w:pPr>
      <w:bookmarkStart w:id="247" w:name="_Toc162940283"/>
      <w:bookmarkStart w:id="248" w:name="_Toc162953071"/>
      <w:bookmarkStart w:id="249" w:name="_Toc163120744"/>
      <w:r>
        <w:rPr>
          <w:rStyle w:val="CharPartNo"/>
        </w:rPr>
        <w:lastRenderedPageBreak/>
        <w:t>Order 11A</w:t>
      </w:r>
      <w:r>
        <w:rPr>
          <w:b w:val="0"/>
        </w:rPr>
        <w:t> </w:t>
      </w:r>
      <w:r>
        <w:t>—</w:t>
      </w:r>
      <w:r>
        <w:rPr>
          <w:b w:val="0"/>
        </w:rPr>
        <w:t> </w:t>
      </w:r>
      <w:r>
        <w:rPr>
          <w:rStyle w:val="CharPartText"/>
        </w:rPr>
        <w:t>Service under the Hague Convention</w:t>
      </w:r>
      <w:bookmarkEnd w:id="247"/>
      <w:bookmarkEnd w:id="248"/>
      <w:bookmarkEnd w:id="249"/>
    </w:p>
    <w:p>
      <w:pPr>
        <w:pStyle w:val="Footnoteheading"/>
      </w:pPr>
      <w:r>
        <w:tab/>
        <w:t xml:space="preserve">[Heading inserted: Gazette 3 Jul 2009 p. 2685.] </w:t>
      </w:r>
    </w:p>
    <w:p>
      <w:pPr>
        <w:pStyle w:val="Heading3"/>
      </w:pPr>
      <w:bookmarkStart w:id="250" w:name="_Toc162940284"/>
      <w:bookmarkStart w:id="251" w:name="_Toc162953072"/>
      <w:bookmarkStart w:id="252" w:name="_Toc163120745"/>
      <w:r>
        <w:rPr>
          <w:rStyle w:val="CharDivNo"/>
        </w:rPr>
        <w:t>Division 1</w:t>
      </w:r>
      <w:r>
        <w:t> — </w:t>
      </w:r>
      <w:r>
        <w:rPr>
          <w:rStyle w:val="CharDivText"/>
        </w:rPr>
        <w:t>Preliminary</w:t>
      </w:r>
      <w:bookmarkEnd w:id="250"/>
      <w:bookmarkEnd w:id="251"/>
      <w:bookmarkEnd w:id="252"/>
    </w:p>
    <w:p>
      <w:pPr>
        <w:pStyle w:val="Footnoteheading"/>
      </w:pPr>
      <w:r>
        <w:tab/>
        <w:t xml:space="preserve">[Heading inserted: Gazette 3 Jul 2009 p. 2685.] </w:t>
      </w:r>
    </w:p>
    <w:p>
      <w:pPr>
        <w:pStyle w:val="PermNoteHeading"/>
      </w:pPr>
      <w:r>
        <w:tab/>
        <w:t>Note:</w:t>
      </w:r>
    </w:p>
    <w:p>
      <w:pPr>
        <w:pStyle w:val="PermNoteText"/>
      </w:pPr>
      <w:r>
        <w:tab/>
        <w:t>1.</w:t>
      </w:r>
      <w:r>
        <w:tab/>
        <w:t xml:space="preserve">This Order forms part of a scheme to implement Australia’s obligations under the </w:t>
      </w:r>
      <w:r>
        <w:rPr>
          <w:i/>
          <w:iCs/>
        </w:rPr>
        <w:t>Hague Convention on the Service Abroad of Judicial and Extrajudicial Documents in Civil or Commercial Matters</w:t>
      </w:r>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pPr>
        <w:pStyle w:val="PermNoteText"/>
      </w:pPr>
      <w:r>
        <w:tab/>
        <w:t>2.</w:t>
      </w:r>
      <w:r>
        <w:tab/>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pPr>
        <w:pStyle w:val="PermNoteText"/>
      </w:pPr>
      <w:r>
        <w:tab/>
        <w:t>3.</w:t>
      </w:r>
      <w:r>
        <w:tab/>
        <w:t>Information about the Hague Convention, including a copy of the Hague Convention, a list of all Contracting States, details of declarations and reservations made under the Hague Convention by each of those States and the names and addresses of the central and other authorities of each of those States can be found at the website of the Hague Conference on Private International Law.</w:t>
      </w:r>
    </w:p>
    <w:p>
      <w:pPr>
        <w:pStyle w:val="Footnotesection"/>
      </w:pPr>
      <w:r>
        <w:tab/>
        <w:t>[Note amended: SL 2020/242 r. 4.]</w:t>
      </w:r>
    </w:p>
    <w:p>
      <w:pPr>
        <w:pStyle w:val="Heading5"/>
      </w:pPr>
      <w:bookmarkStart w:id="253" w:name="_Toc163120746"/>
      <w:r>
        <w:rPr>
          <w:rStyle w:val="CharSectno"/>
        </w:rPr>
        <w:t>1</w:t>
      </w:r>
      <w:r>
        <w:t>.</w:t>
      </w:r>
      <w:r>
        <w:tab/>
        <w:t>Terms used</w:t>
      </w:r>
      <w:bookmarkEnd w:id="253"/>
    </w:p>
    <w:p>
      <w:pPr>
        <w:pStyle w:val="Subsection"/>
      </w:pPr>
      <w:r>
        <w:tab/>
      </w:r>
      <w:r>
        <w:tab/>
        <w:t>In this Order —</w:t>
      </w:r>
    </w:p>
    <w:p>
      <w:pPr>
        <w:pStyle w:val="Defstart"/>
      </w:pPr>
      <w:r>
        <w:tab/>
      </w:r>
      <w:r>
        <w:rPr>
          <w:rStyle w:val="CharDefText"/>
        </w:rPr>
        <w:t>additional authority</w:t>
      </w:r>
      <w:r>
        <w:t xml:space="preserve">, for a Convention country, means an authority that is — </w:t>
      </w:r>
    </w:p>
    <w:p>
      <w:pPr>
        <w:pStyle w:val="Defpara"/>
      </w:pPr>
      <w:r>
        <w:tab/>
        <w:t>(a)</w:t>
      </w:r>
      <w:r>
        <w:tab/>
        <w:t>for the time being designated by that country, under Article 18 of the Hague Convention, to be an authority (other than the Central Authority) for that country; and</w:t>
      </w:r>
    </w:p>
    <w:p>
      <w:pPr>
        <w:pStyle w:val="Defpara"/>
      </w:pPr>
      <w:r>
        <w:tab/>
        <w:t>(b)</w:t>
      </w:r>
      <w:r>
        <w:tab/>
        <w:t>competent to receive requests for service abroad emanating from Australia;</w:t>
      </w:r>
    </w:p>
    <w:p>
      <w:pPr>
        <w:pStyle w:val="Defstart"/>
      </w:pPr>
      <w:r>
        <w:lastRenderedPageBreak/>
        <w:tab/>
      </w:r>
      <w:r>
        <w:rPr>
          <w:rStyle w:val="CharDefText"/>
        </w:rPr>
        <w:t>applicant</w:t>
      </w:r>
      <w:r>
        <w:t>, for a request for service abroad or a request for service in this jurisdiction, means the person on whose behalf service is requested;</w:t>
      </w:r>
    </w:p>
    <w:p>
      <w:pPr>
        <w:pStyle w:val="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pPr>
        <w:pStyle w:val="Defstart"/>
      </w:pPr>
      <w:r>
        <w:tab/>
      </w:r>
      <w:r>
        <w:rPr>
          <w:rStyle w:val="CharDefText"/>
        </w:rPr>
        <w:t>certificate of service</w:t>
      </w:r>
      <w:r>
        <w:t xml:space="preserve"> means a certificate of service that has been completed for the purposes of Article 6 of the Hague Convention;</w:t>
      </w:r>
    </w:p>
    <w:p>
      <w:pPr>
        <w:pStyle w:val="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pPr>
        <w:pStyle w:val="Defstart"/>
      </w:pPr>
      <w:r>
        <w:tab/>
      </w:r>
      <w:r>
        <w:rPr>
          <w:rStyle w:val="CharDefText"/>
        </w:rPr>
        <w:t>civil proceedings</w:t>
      </w:r>
      <w:r>
        <w:t xml:space="preserve"> means any judicial proceedings in relation to civil or commercial matters;</w:t>
      </w:r>
    </w:p>
    <w:p>
      <w:pPr>
        <w:pStyle w:val="Defstart"/>
      </w:pPr>
      <w:r>
        <w:tab/>
      </w:r>
      <w:r>
        <w:rPr>
          <w:rStyle w:val="CharDefText"/>
        </w:rPr>
        <w:t>defendant</w:t>
      </w:r>
      <w:r>
        <w:t>, for a request for service abroad of an initiating process, means the person on whom the initiating process is requested to be served;</w:t>
      </w:r>
    </w:p>
    <w:p>
      <w:pPr>
        <w:pStyle w:val="Defstart"/>
      </w:pPr>
      <w:r>
        <w:tab/>
      </w:r>
      <w:r>
        <w:rPr>
          <w:rStyle w:val="CharDefText"/>
        </w:rPr>
        <w:t>foreign judicial document</w:t>
      </w:r>
      <w:r>
        <w:t xml:space="preserve"> means a judicial document that originates in a Convention country and that relates to civil proceedings in a court of that country;</w:t>
      </w:r>
    </w:p>
    <w:p>
      <w:pPr>
        <w:pStyle w:val="Defstart"/>
      </w:pPr>
      <w:r>
        <w:tab/>
      </w:r>
      <w:r>
        <w:rPr>
          <w:rStyle w:val="CharDefText"/>
        </w:rPr>
        <w:t>forwarding authority</w:t>
      </w:r>
      <w:r>
        <w:t xml:space="preserve"> — </w:t>
      </w:r>
    </w:p>
    <w:p>
      <w:pPr>
        <w:pStyle w:val="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pPr>
        <w:pStyle w:val="Defpara"/>
      </w:pPr>
      <w:r>
        <w:tab/>
        <w:t>(b)</w:t>
      </w:r>
      <w:r>
        <w:tab/>
        <w:t>for a request for service of a local judicial document in a Convention country — the registrar;</w:t>
      </w:r>
    </w:p>
    <w:p>
      <w:pPr>
        <w:pStyle w:val="Defstart"/>
      </w:pPr>
      <w:r>
        <w:lastRenderedPageBreak/>
        <w:tab/>
      </w:r>
      <w:r>
        <w:rPr>
          <w:rStyle w:val="CharDefText"/>
        </w:rPr>
        <w:t>initiating process</w:t>
      </w:r>
      <w:r>
        <w:t xml:space="preserve"> means any document by which proceedings (including proceedings on any cross</w:t>
      </w:r>
      <w:r>
        <w:noBreakHyphen/>
        <w:t>claim or third party notice) are commenced;</w:t>
      </w:r>
    </w:p>
    <w:p>
      <w:pPr>
        <w:pStyle w:val="Defstart"/>
      </w:pPr>
      <w:r>
        <w:tab/>
      </w:r>
      <w:r>
        <w:rPr>
          <w:rStyle w:val="CharDefText"/>
        </w:rPr>
        <w:t>local judicial document</w:t>
      </w:r>
      <w:r>
        <w:t xml:space="preserve"> means a judicial document that relates to civil proceedings in the Court;</w:t>
      </w:r>
    </w:p>
    <w:p>
      <w:pPr>
        <w:pStyle w:val="Defstart"/>
      </w:pPr>
      <w:r>
        <w:tab/>
      </w:r>
      <w:r>
        <w:rPr>
          <w:rStyle w:val="CharDefText"/>
        </w:rPr>
        <w:t>request for service abroad</w:t>
      </w:r>
      <w:r>
        <w:t xml:space="preserve"> means a request for service in a Convention country of a local judicial document mentioned in rule 4(1);</w:t>
      </w:r>
    </w:p>
    <w:p>
      <w:pPr>
        <w:pStyle w:val="Defstart"/>
      </w:pPr>
      <w:r>
        <w:tab/>
      </w:r>
      <w:r>
        <w:rPr>
          <w:rStyle w:val="CharDefText"/>
        </w:rPr>
        <w:t>request for service in this jurisdiction</w:t>
      </w:r>
      <w:r>
        <w:t xml:space="preserve"> means a request for service in this jurisdiction of a foreign judicial document mentioned in rule 13(1);</w:t>
      </w:r>
    </w:p>
    <w:p>
      <w:pPr>
        <w:pStyle w:val="Defstart"/>
      </w:pPr>
      <w:r>
        <w:tab/>
      </w:r>
      <w:r>
        <w:rPr>
          <w:rStyle w:val="CharDefText"/>
        </w:rPr>
        <w:t>this jurisdiction</w:t>
      </w:r>
      <w:r>
        <w:t xml:space="preserve"> means Western Australia.</w:t>
      </w:r>
    </w:p>
    <w:p>
      <w:pPr>
        <w:pStyle w:val="Footnotesection"/>
      </w:pPr>
      <w:r>
        <w:tab/>
        <w:t>[Rule 1 inserted: Gazette 3 Jul 2009 p. 2686</w:t>
      </w:r>
      <w:r>
        <w:noBreakHyphen/>
        <w:t xml:space="preserve">7; amended: SL 2024/38 r. 10.] </w:t>
      </w:r>
    </w:p>
    <w:p>
      <w:pPr>
        <w:pStyle w:val="Heading5"/>
      </w:pPr>
      <w:bookmarkStart w:id="254" w:name="_Toc163120747"/>
      <w:r>
        <w:rPr>
          <w:rStyle w:val="CharSectno"/>
        </w:rPr>
        <w:t>2</w:t>
      </w:r>
      <w:r>
        <w:t>.</w:t>
      </w:r>
      <w:r>
        <w:tab/>
        <w:t>Provisions of this Order to prevail</w:t>
      </w:r>
      <w:bookmarkEnd w:id="254"/>
    </w:p>
    <w:p>
      <w:pPr>
        <w:pStyle w:val="Subsection"/>
      </w:pPr>
      <w:r>
        <w:tab/>
      </w:r>
      <w:r>
        <w:tab/>
        <w:t>The provisions of this Order prevail to the extent of any inconsistency between those provisions and any other provisions of these rules.</w:t>
      </w:r>
    </w:p>
    <w:p>
      <w:pPr>
        <w:pStyle w:val="Footnotesection"/>
      </w:pPr>
      <w:r>
        <w:tab/>
        <w:t xml:space="preserve">[Rule 2 inserted: Gazette 3 Jul 2009 p. 2687.] </w:t>
      </w:r>
    </w:p>
    <w:p>
      <w:pPr>
        <w:pStyle w:val="Heading3"/>
      </w:pPr>
      <w:bookmarkStart w:id="255" w:name="_Toc162940287"/>
      <w:bookmarkStart w:id="256" w:name="_Toc162953075"/>
      <w:bookmarkStart w:id="257" w:name="_Toc163120748"/>
      <w:r>
        <w:rPr>
          <w:rStyle w:val="CharDivNo"/>
        </w:rPr>
        <w:t>Division 2</w:t>
      </w:r>
      <w:r>
        <w:t> — </w:t>
      </w:r>
      <w:r>
        <w:rPr>
          <w:rStyle w:val="CharDivText"/>
        </w:rPr>
        <w:t>Service abroad of local judicial documents</w:t>
      </w:r>
      <w:bookmarkEnd w:id="255"/>
      <w:bookmarkEnd w:id="256"/>
      <w:bookmarkEnd w:id="257"/>
    </w:p>
    <w:p>
      <w:pPr>
        <w:pStyle w:val="Footnoteheading"/>
      </w:pPr>
      <w:r>
        <w:tab/>
        <w:t xml:space="preserve">[Heading inserted: Gazette 3 Jul 2009 p. 2687.] </w:t>
      </w:r>
    </w:p>
    <w:p>
      <w:pPr>
        <w:pStyle w:val="Heading5"/>
      </w:pPr>
      <w:bookmarkStart w:id="258" w:name="_Toc163120749"/>
      <w:r>
        <w:rPr>
          <w:rStyle w:val="CharSectno"/>
        </w:rPr>
        <w:t>3</w:t>
      </w:r>
      <w:r>
        <w:t>.</w:t>
      </w:r>
      <w:r>
        <w:tab/>
        <w:t>Application of this Division</w:t>
      </w:r>
      <w:bookmarkEnd w:id="258"/>
    </w:p>
    <w:p>
      <w:pPr>
        <w:pStyle w:val="Subsection"/>
      </w:pPr>
      <w:r>
        <w:tab/>
        <w:t>(1)</w:t>
      </w:r>
      <w:r>
        <w:tab/>
        <w:t>Subject to subrule (2), this Division applies to service in a Convention country of a local judicial document.</w:t>
      </w:r>
    </w:p>
    <w:p>
      <w:pPr>
        <w:pStyle w:val="Subsection"/>
        <w:keepLines/>
      </w:pPr>
      <w:r>
        <w:tab/>
        <w:t>(2)</w:t>
      </w:r>
      <w:r>
        <w:tab/>
        <w:t>This Division does not apply if service of the document is effected, without application of any compulsion, by an Australian diplomatic or consular agent mentioned in Article 8 of the Hague Convention.</w:t>
      </w:r>
    </w:p>
    <w:p>
      <w:pPr>
        <w:pStyle w:val="Footnotesection"/>
      </w:pPr>
      <w:r>
        <w:tab/>
        <w:t xml:space="preserve">[Rule 3 inserted: Gazette 3 Jul 2009 p. 2687.] </w:t>
      </w:r>
    </w:p>
    <w:p>
      <w:pPr>
        <w:pStyle w:val="Heading5"/>
      </w:pPr>
      <w:bookmarkStart w:id="259" w:name="_Toc163120750"/>
      <w:r>
        <w:rPr>
          <w:rStyle w:val="CharSectno"/>
        </w:rPr>
        <w:lastRenderedPageBreak/>
        <w:t>4</w:t>
      </w:r>
      <w:r>
        <w:t>.</w:t>
      </w:r>
      <w:r>
        <w:tab/>
        <w:t>Application for request for service abroad</w:t>
      </w:r>
      <w:bookmarkEnd w:id="259"/>
    </w:p>
    <w:p>
      <w:pPr>
        <w:pStyle w:val="Subsection"/>
      </w:pPr>
      <w:r>
        <w:tab/>
        <w:t>(1)</w:t>
      </w:r>
      <w:r>
        <w:tab/>
        <w:t>A person may apply to the registrar, in the registrar’s capacity as a forwarding authority, for a request for service in a Convention country of a local judicial document.</w:t>
      </w:r>
    </w:p>
    <w:p>
      <w:pPr>
        <w:pStyle w:val="Subsection"/>
      </w:pPr>
      <w:r>
        <w:tab/>
        <w:t>(1A)</w:t>
      </w:r>
      <w:r>
        <w:tab/>
        <w:t>If the local judicial document is a document of the Court, the application, and any other document to be filed for the purposes of this rule, must be filed electronically.</w:t>
      </w:r>
    </w:p>
    <w:p>
      <w:pPr>
        <w:pStyle w:val="Subsection"/>
      </w:pPr>
      <w:r>
        <w:tab/>
        <w:t>(1B)</w:t>
      </w:r>
      <w:r>
        <w:tab/>
        <w:t>If the local judicial document is not a document of the Court, the application, and any other document to be filed for the purposes of this rule, cannot be filed electronically.</w:t>
      </w:r>
    </w:p>
    <w:p>
      <w:pPr>
        <w:pStyle w:val="Subsection"/>
      </w:pPr>
      <w:r>
        <w:tab/>
        <w:t>(2)</w:t>
      </w:r>
      <w:r>
        <w:tab/>
        <w:t>The application must be accompanied by each of the following documents (if the application is filed electronically) or 3 copies of each of those documents (if the application is not filed electronically) —</w:t>
      </w:r>
    </w:p>
    <w:p>
      <w:pPr>
        <w:pStyle w:val="Indenta"/>
      </w:pPr>
      <w:r>
        <w:tab/>
        <w:t>(a)</w:t>
      </w:r>
      <w:r>
        <w:tab/>
        <w:t>a draft request for service abroad, which must be in the form of Form 5A Part 1;</w:t>
      </w:r>
    </w:p>
    <w:p>
      <w:pPr>
        <w:pStyle w:val="Indenta"/>
      </w:pPr>
      <w:r>
        <w:tab/>
        <w:t>(b)</w:t>
      </w:r>
      <w:r>
        <w:tab/>
        <w:t>the document to be served;</w:t>
      </w:r>
    </w:p>
    <w:p>
      <w:pPr>
        <w:pStyle w:val="Indenta"/>
      </w:pPr>
      <w:r>
        <w:tab/>
        <w:t>(c)</w:t>
      </w:r>
      <w:r>
        <w:tab/>
        <w:t>a summary of the document to be served, which must be in the form of Form 5B;</w:t>
      </w:r>
    </w:p>
    <w:p>
      <w:pPr>
        <w:pStyle w:val="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pPr>
        <w:pStyle w:val="Subsection"/>
        <w:keepNext/>
      </w:pPr>
      <w:r>
        <w:tab/>
        <w:t>(3)</w:t>
      </w:r>
      <w:r>
        <w:tab/>
        <w:t xml:space="preserve">The application must contain a written undertaking to the Court, signed by the legal practitioner on the record for the applicant in the proceedings to which the local judicial document relates or, </w:t>
      </w:r>
      <w:r>
        <w:lastRenderedPageBreak/>
        <w:t>if there is no legal practitioner on the record for the applicant in those proceedings, by the applicant —</w:t>
      </w:r>
    </w:p>
    <w:p>
      <w:pPr>
        <w:pStyle w:val="Indenta"/>
      </w:pPr>
      <w:r>
        <w:tab/>
        <w:t>(a)</w:t>
      </w:r>
      <w:r>
        <w:tab/>
        <w:t>to be personally liable for all costs that are incurred —</w:t>
      </w:r>
    </w:p>
    <w:p>
      <w:pPr>
        <w:pStyle w:val="Indenti"/>
      </w:pPr>
      <w:r>
        <w:tab/>
        <w:t>(i)</w:t>
      </w:r>
      <w:r>
        <w:tab/>
        <w:t>by the employment of a person to serve the documents to be served, being a person who is qualified to do so under the law of the Convention country in which the documents are to be served; or</w:t>
      </w:r>
    </w:p>
    <w:p>
      <w:pPr>
        <w:pStyle w:val="Indenti"/>
      </w:pPr>
      <w:r>
        <w:tab/>
        <w:t>(ii)</w:t>
      </w:r>
      <w:r>
        <w:tab/>
        <w:t>by the use of any particular method of service that has been requested by the applicant for the service of the documents to be served;</w:t>
      </w:r>
    </w:p>
    <w:p>
      <w:pPr>
        <w:pStyle w:val="Indenta"/>
      </w:pPr>
      <w:r>
        <w:tab/>
      </w:r>
      <w:r>
        <w:tab/>
        <w:t>and</w:t>
      </w:r>
    </w:p>
    <w:p>
      <w:pPr>
        <w:pStyle w:val="Indenta"/>
      </w:pPr>
      <w:r>
        <w:tab/>
        <w:t>(b)</w:t>
      </w:r>
      <w:r>
        <w:tab/>
        <w:t>to pay the amount of those costs to the registrar within 28 days after receipt from the registrar of a notice specifying the amount of those costs under rule 6(3), or another period as directed; and</w:t>
      </w:r>
    </w:p>
    <w:p>
      <w:pPr>
        <w:pStyle w:val="Indenta"/>
      </w:pPr>
      <w:r>
        <w:tab/>
        <w:t>(c)</w:t>
      </w:r>
      <w:r>
        <w:tab/>
        <w:t>to give such security for those costs as the registrar may require.</w:t>
      </w:r>
    </w:p>
    <w:p>
      <w:pPr>
        <w:pStyle w:val="Subsection"/>
      </w:pPr>
      <w:r>
        <w:tab/>
        <w:t>(4)</w:t>
      </w:r>
      <w:r>
        <w:tab/>
        <w:t>The draft request for service abroad —</w:t>
      </w:r>
    </w:p>
    <w:p>
      <w:pPr>
        <w:pStyle w:val="Indenta"/>
      </w:pPr>
      <w:r>
        <w:tab/>
        <w:t>(a)</w:t>
      </w:r>
      <w:r>
        <w:tab/>
        <w:t>must be completed (except for signature) by the applicant; and</w:t>
      </w:r>
    </w:p>
    <w:p>
      <w:pPr>
        <w:pStyle w:val="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pPr>
        <w:pStyle w:val="Indenta"/>
      </w:pPr>
      <w:r>
        <w:tab/>
        <w:t>(c)</w:t>
      </w:r>
      <w:r>
        <w:tab/>
        <w:t>must be addressed to the Central Authority, or to an additional authority, for the Convention country in which the person is to be served; and</w:t>
      </w:r>
    </w:p>
    <w:p>
      <w:pPr>
        <w:pStyle w:val="Indenta"/>
      </w:pPr>
      <w:r>
        <w:tab/>
        <w:t>(d)</w:t>
      </w:r>
      <w:r>
        <w:tab/>
        <w:t>may state that the applicant requires a certificate of service that is completed by an additional authority to be countersigned by the Central Authority.</w:t>
      </w:r>
    </w:p>
    <w:p>
      <w:pPr>
        <w:pStyle w:val="Subsection"/>
      </w:pPr>
      <w:r>
        <w:lastRenderedPageBreak/>
        <w:tab/>
        <w:t>(5)</w:t>
      </w:r>
      <w:r>
        <w:tab/>
        <w:t>Any translation required under subrule (2)(d) must bear a certificate (in both English and the language used in the translation) signed by the translator stating —</w:t>
      </w:r>
    </w:p>
    <w:p>
      <w:pPr>
        <w:pStyle w:val="Indenta"/>
      </w:pPr>
      <w:r>
        <w:tab/>
        <w:t>(a)</w:t>
      </w:r>
      <w:r>
        <w:tab/>
        <w:t>that the translation is an accurate translation of the documents to be served; and</w:t>
      </w:r>
    </w:p>
    <w:p>
      <w:pPr>
        <w:pStyle w:val="Indenta"/>
        <w:keepNext/>
      </w:pPr>
      <w:r>
        <w:tab/>
        <w:t>(b)</w:t>
      </w:r>
      <w:r>
        <w:tab/>
        <w:t>the translator’s full name and address and his or her qualifications for making the translation.</w:t>
      </w:r>
    </w:p>
    <w:p>
      <w:pPr>
        <w:pStyle w:val="Footnotesection"/>
      </w:pPr>
      <w:r>
        <w:tab/>
        <w:t>[Rule 4 inserted: Gazette 3 Jul 2009 p. 2687</w:t>
      </w:r>
      <w:r>
        <w:noBreakHyphen/>
        <w:t xml:space="preserve">9; amended: Gazette 27 Feb 2018 p. 557; SL 2022/74 r. 15; SL 2024/38 r. 11.] </w:t>
      </w:r>
    </w:p>
    <w:p>
      <w:pPr>
        <w:pStyle w:val="Heading5"/>
      </w:pPr>
      <w:bookmarkStart w:id="260" w:name="_Toc163120751"/>
      <w:r>
        <w:rPr>
          <w:rStyle w:val="CharSectno"/>
        </w:rPr>
        <w:t>5</w:t>
      </w:r>
      <w:r>
        <w:t>.</w:t>
      </w:r>
      <w:r>
        <w:tab/>
        <w:t>How application to be dealt with</w:t>
      </w:r>
      <w:bookmarkEnd w:id="260"/>
    </w:p>
    <w:p>
      <w:pPr>
        <w:pStyle w:val="Subsection"/>
      </w:pPr>
      <w:r>
        <w:tab/>
        <w:t>(1)</w:t>
      </w:r>
      <w:r>
        <w:tab/>
        <w:t>If satisfied that the application and its accompanying documents comply with rule 4, the registrar —</w:t>
      </w:r>
    </w:p>
    <w:p>
      <w:pPr>
        <w:pStyle w:val="Indenta"/>
      </w:pPr>
      <w:r>
        <w:tab/>
        <w:t>(a)</w:t>
      </w:r>
      <w:r>
        <w:tab/>
        <w:t>must sign the request for service abroad; and</w:t>
      </w:r>
    </w:p>
    <w:p>
      <w:pPr>
        <w:pStyle w:val="Indenta"/>
      </w:pPr>
      <w:r>
        <w:tab/>
        <w:t>(b)</w:t>
      </w:r>
      <w:r>
        <w:tab/>
        <w:t xml:space="preserve">must forward 2 copies of the relevant documents — </w:t>
      </w:r>
    </w:p>
    <w:p>
      <w:pPr>
        <w:pStyle w:val="Indenti"/>
      </w:pPr>
      <w:r>
        <w:tab/>
        <w:t>(i)</w:t>
      </w:r>
      <w:r>
        <w:tab/>
        <w:t>if the applicant has asked for the request to be forwarded to a nominated additional authority for the Convention country in which service of the document is to be effected — to the nominated additional authority; or</w:t>
      </w:r>
    </w:p>
    <w:p>
      <w:pPr>
        <w:pStyle w:val="Indenti"/>
      </w:pPr>
      <w:r>
        <w:tab/>
        <w:t>(ii)</w:t>
      </w:r>
      <w:r>
        <w:tab/>
        <w:t>in any other case — to the Central Authority for the Convention country in which service of the document is to be effected.</w:t>
      </w:r>
    </w:p>
    <w:p>
      <w:pPr>
        <w:pStyle w:val="Subsection"/>
      </w:pPr>
      <w:r>
        <w:tab/>
        <w:t>(2)</w:t>
      </w:r>
      <w:r>
        <w:tab/>
        <w:t xml:space="preserve">The relevant documents mentioned in subrule (1)(b) are the following — </w:t>
      </w:r>
    </w:p>
    <w:p>
      <w:pPr>
        <w:pStyle w:val="Indenta"/>
      </w:pPr>
      <w:r>
        <w:tab/>
        <w:t>(a)</w:t>
      </w:r>
      <w:r>
        <w:tab/>
        <w:t>the request for service abroad (duly signed);</w:t>
      </w:r>
    </w:p>
    <w:p>
      <w:pPr>
        <w:pStyle w:val="Indenta"/>
      </w:pPr>
      <w:r>
        <w:tab/>
        <w:t>(b)</w:t>
      </w:r>
      <w:r>
        <w:tab/>
        <w:t>the document to be served;</w:t>
      </w:r>
    </w:p>
    <w:p>
      <w:pPr>
        <w:pStyle w:val="Indenta"/>
      </w:pPr>
      <w:r>
        <w:tab/>
        <w:t>(c)</w:t>
      </w:r>
      <w:r>
        <w:tab/>
        <w:t>the summary of the document to be served;</w:t>
      </w:r>
    </w:p>
    <w:p>
      <w:pPr>
        <w:pStyle w:val="Indenta"/>
      </w:pPr>
      <w:r>
        <w:tab/>
        <w:t>(d)</w:t>
      </w:r>
      <w:r>
        <w:tab/>
        <w:t>if required under rule 4(2)(d), a translation into the relevant language of each of the documents mentioned in paragraphs (b) and (c).</w:t>
      </w:r>
    </w:p>
    <w:p>
      <w:pPr>
        <w:pStyle w:val="Subsection"/>
      </w:pPr>
      <w:r>
        <w:lastRenderedPageBreak/>
        <w:tab/>
        <w:t>(3)</w:t>
      </w:r>
      <w:r>
        <w:tab/>
        <w:t>If not satisfied that the application or any of its accompanying documents complies with rule 4, the registrar must inform the applicant of the respects in which the application or document fails to comply.</w:t>
      </w:r>
    </w:p>
    <w:p>
      <w:pPr>
        <w:pStyle w:val="Footnotesection"/>
        <w:ind w:left="890" w:hanging="890"/>
      </w:pPr>
      <w:r>
        <w:tab/>
        <w:t xml:space="preserve">[Rule 5 inserted: Gazette 3 Jul 2009 p. 2689.] </w:t>
      </w:r>
    </w:p>
    <w:p>
      <w:pPr>
        <w:pStyle w:val="Heading5"/>
      </w:pPr>
      <w:bookmarkStart w:id="261" w:name="_Toc163120752"/>
      <w:r>
        <w:rPr>
          <w:rStyle w:val="CharSectno"/>
        </w:rPr>
        <w:t>6</w:t>
      </w:r>
      <w:r>
        <w:t>.</w:t>
      </w:r>
      <w:r>
        <w:tab/>
        <w:t>Procedure on receipt of certificate of service</w:t>
      </w:r>
      <w:bookmarkEnd w:id="261"/>
    </w:p>
    <w:p>
      <w:pPr>
        <w:pStyle w:val="Subsection"/>
      </w:pPr>
      <w:r>
        <w:tab/>
        <w:t>(1)</w:t>
      </w:r>
      <w:r>
        <w:tab/>
        <w:t>Subject to subrule (5), on receipt of a certificate of service in due form in relation to a local judicial document to which a request for service abroad relates, the registrar —</w:t>
      </w:r>
    </w:p>
    <w:p>
      <w:pPr>
        <w:pStyle w:val="Indenta"/>
      </w:pPr>
      <w:r>
        <w:tab/>
        <w:t>(a)</w:t>
      </w:r>
      <w:r>
        <w:tab/>
        <w:t>must arrange for the original certificate to be filed in the proceedings to which the document relates; and</w:t>
      </w:r>
    </w:p>
    <w:p>
      <w:pPr>
        <w:pStyle w:val="Indenta"/>
      </w:pPr>
      <w:r>
        <w:tab/>
        <w:t>(b)</w:t>
      </w:r>
      <w:r>
        <w:tab/>
        <w:t xml:space="preserve">must send a copy of the certificate to — </w:t>
      </w:r>
    </w:p>
    <w:p>
      <w:pPr>
        <w:pStyle w:val="Indenti"/>
        <w:spacing w:before="120"/>
      </w:pPr>
      <w:r>
        <w:tab/>
        <w:t>(i)</w:t>
      </w:r>
      <w:r>
        <w:tab/>
        <w:t>the legal practitioner on the record for the applicant in those proceedings; or</w:t>
      </w:r>
    </w:p>
    <w:p>
      <w:pPr>
        <w:pStyle w:val="Indenti"/>
        <w:spacing w:before="120"/>
      </w:pPr>
      <w:r>
        <w:tab/>
        <w:t>(ii)</w:t>
      </w:r>
      <w:r>
        <w:tab/>
        <w:t>if there is no legal practitioner on the record for the applicant in those proceedings — the applicant.</w:t>
      </w:r>
    </w:p>
    <w:p>
      <w:pPr>
        <w:pStyle w:val="Subsection"/>
        <w:spacing w:before="200"/>
      </w:pPr>
      <w:r>
        <w:tab/>
        <w:t>(2)</w:t>
      </w:r>
      <w:r>
        <w:tab/>
        <w:t>For the purposes of subrule (1), a certificate of service is in due form if —</w:t>
      </w:r>
    </w:p>
    <w:p>
      <w:pPr>
        <w:pStyle w:val="Indenta"/>
        <w:spacing w:before="120"/>
      </w:pPr>
      <w:r>
        <w:tab/>
        <w:t>(a)</w:t>
      </w:r>
      <w:r>
        <w:tab/>
        <w:t>it is in the form of Form 5A Part 2; and</w:t>
      </w:r>
    </w:p>
    <w:p>
      <w:pPr>
        <w:pStyle w:val="Indenta"/>
        <w:spacing w:before="120"/>
      </w:pPr>
      <w:r>
        <w:tab/>
        <w:t>(b)</w:t>
      </w:r>
      <w:r>
        <w:tab/>
        <w:t>it has been completed by a certifying authority for the Convention country in which service was requested; and</w:t>
      </w:r>
    </w:p>
    <w:p>
      <w:pPr>
        <w:pStyle w:val="Indenta"/>
        <w:spacing w:before="120"/>
      </w:pPr>
      <w:r>
        <w:tab/>
        <w:t>(c)</w:t>
      </w:r>
      <w:r>
        <w:tab/>
        <w:t>if the applicant requires a certificate of service that is completed by an additional authority to be countersigned by the Central Authority, it has been so countersigned.</w:t>
      </w:r>
    </w:p>
    <w:p>
      <w:pPr>
        <w:pStyle w:val="Subsection"/>
        <w:spacing w:before="200"/>
      </w:pPr>
      <w:r>
        <w:tab/>
        <w:t>(3)</w:t>
      </w:r>
      <w:r>
        <w:tab/>
        <w:t>On receipt of a statement of costs in due form in relation to the service of a local judicial document mentioned in subrule (1), the registrar must send to the legal practitioner or applicant who gave the undertaking mentioned in rule 4(3) a notice specifying the amount of those costs.</w:t>
      </w:r>
    </w:p>
    <w:p>
      <w:pPr>
        <w:pStyle w:val="Subsection"/>
        <w:spacing w:before="200"/>
      </w:pPr>
      <w:r>
        <w:lastRenderedPageBreak/>
        <w:tab/>
        <w:t>(4)</w:t>
      </w:r>
      <w:r>
        <w:tab/>
        <w:t>For the purposes of subrule (3), a statement of costs is in due form if —</w:t>
      </w:r>
    </w:p>
    <w:p>
      <w:pPr>
        <w:pStyle w:val="Indenta"/>
        <w:spacing w:before="120"/>
      </w:pPr>
      <w:r>
        <w:tab/>
        <w:t>(a)</w:t>
      </w:r>
      <w:r>
        <w:tab/>
        <w:t>it relates only to costs of a kind mentioned in rule 4(3)(a); and</w:t>
      </w:r>
    </w:p>
    <w:p>
      <w:pPr>
        <w:pStyle w:val="Indenta"/>
        <w:spacing w:before="120"/>
      </w:pPr>
      <w:r>
        <w:tab/>
        <w:t>(b)</w:t>
      </w:r>
      <w:r>
        <w:tab/>
        <w:t>it has been completed by a certifying authority for the Convention country in which service was requested.</w:t>
      </w:r>
    </w:p>
    <w:p>
      <w:pPr>
        <w:pStyle w:val="Subsection"/>
        <w:spacing w:before="200"/>
      </w:pPr>
      <w:r>
        <w:tab/>
        <w:t>(5)</w:t>
      </w:r>
      <w:r>
        <w:tab/>
        <w:t>Subrule (1) does not apply unless —</w:t>
      </w:r>
    </w:p>
    <w:p>
      <w:pPr>
        <w:pStyle w:val="Indenta"/>
        <w:spacing w:before="120"/>
      </w:pPr>
      <w:r>
        <w:tab/>
        <w:t>(a)</w:t>
      </w:r>
      <w:r>
        <w:tab/>
        <w:t>adequate security to cover the costs mentioned in subrule (3) has been given under rule 4(3)(c); or</w:t>
      </w:r>
    </w:p>
    <w:p>
      <w:pPr>
        <w:pStyle w:val="Indenta"/>
        <w:spacing w:before="120"/>
      </w:pPr>
      <w:r>
        <w:tab/>
        <w:t>(b)</w:t>
      </w:r>
      <w:r>
        <w:tab/>
        <w:t>to the extent to which the security so given is inadequate to cover those costs, an amount equal to the amount by which those costs exceed the security so given has been paid to the registrar.</w:t>
      </w:r>
    </w:p>
    <w:p>
      <w:pPr>
        <w:pStyle w:val="Footnotesection"/>
      </w:pPr>
      <w:r>
        <w:tab/>
        <w:t>[Rule 6 inserted: Gazette 3 Jul 2009 p. 2689</w:t>
      </w:r>
      <w:r>
        <w:noBreakHyphen/>
        <w:t xml:space="preserve">90; amended: SL 2022/74 r. 15.] </w:t>
      </w:r>
    </w:p>
    <w:p>
      <w:pPr>
        <w:pStyle w:val="Heading5"/>
      </w:pPr>
      <w:bookmarkStart w:id="262" w:name="_Toc163120753"/>
      <w:r>
        <w:rPr>
          <w:rStyle w:val="CharSectno"/>
        </w:rPr>
        <w:t>7</w:t>
      </w:r>
      <w:r>
        <w:t>.</w:t>
      </w:r>
      <w:r>
        <w:tab/>
        <w:t>Payment of costs</w:t>
      </w:r>
      <w:bookmarkEnd w:id="262"/>
    </w:p>
    <w:p>
      <w:pPr>
        <w:pStyle w:val="Subsection"/>
      </w:pPr>
      <w:r>
        <w:tab/>
        <w:t>(1)</w:t>
      </w:r>
      <w:r>
        <w:tab/>
        <w:t>On receipt of a notice under rule 6(3) in relation to the costs of service, the legal practitioner or applicant, as the case may be, must pay into the Central Office, or pay otherwise as directed, the amount specified in the notice as the amount of those costs.</w:t>
      </w:r>
    </w:p>
    <w:p>
      <w:pPr>
        <w:pStyle w:val="Subsection"/>
      </w:pPr>
      <w:r>
        <w:tab/>
        <w:t>(2)</w:t>
      </w:r>
      <w:r>
        <w:tab/>
        <w:t>If the legal practitioner or applicant fails to pay that amount within 28 days after receiving the notice —</w:t>
      </w:r>
    </w:p>
    <w:p>
      <w:pPr>
        <w:pStyle w:val="Indenta"/>
      </w:pPr>
      <w:r>
        <w:tab/>
        <w:t>(a)</w:t>
      </w:r>
      <w:r>
        <w:tab/>
        <w:t>except by leave of the Court, the applicant may not take any further step in the proceedings to which the local judicial document relates until those costs are paid to the registrar; and</w:t>
      </w:r>
    </w:p>
    <w:p>
      <w:pPr>
        <w:pStyle w:val="Indenta"/>
        <w:keepNext/>
      </w:pPr>
      <w:r>
        <w:tab/>
        <w:t>(b)</w:t>
      </w:r>
      <w:r>
        <w:tab/>
        <w:t>the registrar may take such steps as are appropriate to enforce the undertaking for payment of those costs.</w:t>
      </w:r>
    </w:p>
    <w:p>
      <w:pPr>
        <w:pStyle w:val="Footnotesection"/>
      </w:pPr>
      <w:r>
        <w:tab/>
        <w:t>[Rule 7 inserted: Gazette 3 Jul 2009 p. 2690</w:t>
      </w:r>
      <w:r>
        <w:noBreakHyphen/>
        <w:t xml:space="preserve">1; amended: Gazette 27 Feb 2018 p. 557; SL 2022/74 r. 15; SL 2024/38 r. 12.] </w:t>
      </w:r>
    </w:p>
    <w:p>
      <w:pPr>
        <w:pStyle w:val="Heading5"/>
      </w:pPr>
      <w:bookmarkStart w:id="263" w:name="_Toc163120754"/>
      <w:r>
        <w:rPr>
          <w:rStyle w:val="CharSectno"/>
        </w:rPr>
        <w:lastRenderedPageBreak/>
        <w:t>8</w:t>
      </w:r>
      <w:r>
        <w:t>.</w:t>
      </w:r>
      <w:r>
        <w:tab/>
        <w:t>Evidence of service</w:t>
      </w:r>
      <w:bookmarkEnd w:id="263"/>
    </w:p>
    <w:p>
      <w:pPr>
        <w:pStyle w:val="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pPr>
        <w:pStyle w:val="Indenta"/>
      </w:pPr>
      <w:r>
        <w:tab/>
        <w:t>(a)</w:t>
      </w:r>
      <w:r>
        <w:tab/>
        <w:t>service of the document was effected by the method specified in the certificate on that date; and</w:t>
      </w:r>
    </w:p>
    <w:p>
      <w:pPr>
        <w:pStyle w:val="Indenta"/>
      </w:pPr>
      <w:r>
        <w:tab/>
        <w:t>(b)</w:t>
      </w:r>
      <w:r>
        <w:tab/>
        <w:t>if that method of service was requested by the applicant, that method is compatible with the law in force in the Convention country in which service was effected.</w:t>
      </w:r>
    </w:p>
    <w:p>
      <w:pPr>
        <w:pStyle w:val="Footnotesection"/>
      </w:pPr>
      <w:r>
        <w:tab/>
        <w:t xml:space="preserve">[Rule 8 inserted: Gazette 3 Jul 2009 p. 2691.] </w:t>
      </w:r>
    </w:p>
    <w:p>
      <w:pPr>
        <w:pStyle w:val="Heading3"/>
      </w:pPr>
      <w:bookmarkStart w:id="264" w:name="_Toc162940294"/>
      <w:bookmarkStart w:id="265" w:name="_Toc162953082"/>
      <w:bookmarkStart w:id="266" w:name="_Toc163120755"/>
      <w:r>
        <w:rPr>
          <w:rStyle w:val="CharDivNo"/>
        </w:rPr>
        <w:t>Division 3</w:t>
      </w:r>
      <w:r>
        <w:t> — </w:t>
      </w:r>
      <w:r>
        <w:rPr>
          <w:rStyle w:val="CharDivText"/>
        </w:rPr>
        <w:t>Default judgment following service abroad of initiating process</w:t>
      </w:r>
      <w:bookmarkEnd w:id="264"/>
      <w:bookmarkEnd w:id="265"/>
      <w:bookmarkEnd w:id="266"/>
    </w:p>
    <w:p>
      <w:pPr>
        <w:pStyle w:val="Footnoteheading"/>
        <w:keepNext/>
      </w:pPr>
      <w:r>
        <w:tab/>
        <w:t>[Heading inserted: Gazette 3 Jul 2009 p. 2691.]</w:t>
      </w:r>
    </w:p>
    <w:p>
      <w:pPr>
        <w:pStyle w:val="Heading5"/>
      </w:pPr>
      <w:bookmarkStart w:id="267" w:name="_Toc163120756"/>
      <w:r>
        <w:rPr>
          <w:rStyle w:val="CharSectno"/>
        </w:rPr>
        <w:t>9</w:t>
      </w:r>
      <w:r>
        <w:t>.</w:t>
      </w:r>
      <w:r>
        <w:tab/>
        <w:t>Application of this Division</w:t>
      </w:r>
      <w:bookmarkEnd w:id="267"/>
    </w:p>
    <w:p>
      <w:pPr>
        <w:pStyle w:val="Subsection"/>
      </w:pPr>
      <w:r>
        <w:tab/>
      </w:r>
      <w:r>
        <w:tab/>
        <w:t>This Division applies to civil proceedings for which an initiating process has been forwarded following a request for service abroad to the Central Authority (or to an additional authority) for a Convention country.</w:t>
      </w:r>
    </w:p>
    <w:p>
      <w:pPr>
        <w:pStyle w:val="Footnotesection"/>
      </w:pPr>
      <w:r>
        <w:tab/>
        <w:t xml:space="preserve">[Rule 9 inserted: Gazette 3 Jul 2009 p. 2691.] </w:t>
      </w:r>
    </w:p>
    <w:p>
      <w:pPr>
        <w:pStyle w:val="Heading5"/>
      </w:pPr>
      <w:bookmarkStart w:id="268" w:name="_Toc163120757"/>
      <w:r>
        <w:rPr>
          <w:rStyle w:val="CharSectno"/>
        </w:rPr>
        <w:t>10</w:t>
      </w:r>
      <w:r>
        <w:t>.</w:t>
      </w:r>
      <w:r>
        <w:tab/>
        <w:t>Restriction on power to enter default judgment if certificate of service filed</w:t>
      </w:r>
      <w:bookmarkEnd w:id="268"/>
    </w:p>
    <w:p>
      <w:pPr>
        <w:pStyle w:val="Subsection"/>
      </w:pPr>
      <w:r>
        <w:tab/>
        <w:t>(1)</w:t>
      </w:r>
      <w:r>
        <w:tab/>
        <w:t>This rule applies if —</w:t>
      </w:r>
    </w:p>
    <w:p>
      <w:pPr>
        <w:pStyle w:val="Indenta"/>
        <w:spacing w:before="60"/>
      </w:pPr>
      <w:r>
        <w:tab/>
        <w:t>(a)</w:t>
      </w:r>
      <w:r>
        <w:tab/>
        <w:t>a certificate of service of initiating process has been filed in the proceedings (being a certificate in due form within the meaning of rule 6(2)) that states that service has been duly effected; and</w:t>
      </w:r>
    </w:p>
    <w:p>
      <w:pPr>
        <w:pStyle w:val="Indenta"/>
        <w:spacing w:before="60"/>
      </w:pPr>
      <w:r>
        <w:tab/>
        <w:t>(b)</w:t>
      </w:r>
      <w:r>
        <w:tab/>
        <w:t>the defendant has not appeared or filed a notice of address for service.</w:t>
      </w:r>
    </w:p>
    <w:p>
      <w:pPr>
        <w:pStyle w:val="Subsection"/>
      </w:pPr>
      <w:r>
        <w:lastRenderedPageBreak/>
        <w:tab/>
        <w:t>(2)</w:t>
      </w:r>
      <w:r>
        <w:tab/>
        <w:t>In circumstances to which this rule applies, default judgment may not be given against the defendant unless the Court is satisfied that —</w:t>
      </w:r>
    </w:p>
    <w:p>
      <w:pPr>
        <w:pStyle w:val="Indenta"/>
        <w:spacing w:before="70"/>
      </w:pPr>
      <w:r>
        <w:tab/>
        <w:t>(a)</w:t>
      </w:r>
      <w:r>
        <w:tab/>
        <w:t>the initiating process was served on the defendant —</w:t>
      </w:r>
    </w:p>
    <w:p>
      <w:pPr>
        <w:pStyle w:val="Indenti"/>
        <w:spacing w:before="70"/>
      </w:pPr>
      <w:r>
        <w:tab/>
        <w:t>(i)</w:t>
      </w:r>
      <w:r>
        <w:tab/>
        <w:t>by a method of service prescribed by the internal law of the Convention country for the service of documents in domestic proceedings on persons who are within its territory; or</w:t>
      </w:r>
    </w:p>
    <w:p>
      <w:pPr>
        <w:pStyle w:val="Indenti"/>
        <w:spacing w:before="60"/>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pPr>
        <w:pStyle w:val="Indenti"/>
        <w:spacing w:before="60"/>
      </w:pPr>
      <w:r>
        <w:tab/>
        <w:t>(iii)</w:t>
      </w:r>
      <w:r>
        <w:tab/>
        <w:t>if the applicant did not request a particular method of service, in circumstances where the defendant accepted the document voluntarily;</w:t>
      </w:r>
    </w:p>
    <w:p>
      <w:pPr>
        <w:pStyle w:val="Indenta"/>
        <w:spacing w:before="60"/>
      </w:pPr>
      <w:r>
        <w:tab/>
      </w:r>
      <w:r>
        <w:tab/>
        <w:t>and</w:t>
      </w:r>
    </w:p>
    <w:p>
      <w:pPr>
        <w:pStyle w:val="Indenta"/>
      </w:pPr>
      <w:r>
        <w:tab/>
        <w:t>(b)</w:t>
      </w:r>
      <w:r>
        <w:tab/>
        <w:t>the initiating process was served in sufficient time to enable the defendant to enter an appearance in the proceedings.</w:t>
      </w:r>
    </w:p>
    <w:p>
      <w:pPr>
        <w:pStyle w:val="Subsection"/>
        <w:spacing w:before="120"/>
      </w:pPr>
      <w:r>
        <w:tab/>
        <w:t>(3)</w:t>
      </w:r>
      <w:r>
        <w:tab/>
        <w:t xml:space="preserve">In subrule (2)(b) — </w:t>
      </w:r>
    </w:p>
    <w:p>
      <w:pPr>
        <w:pStyle w:val="Defstart"/>
      </w:pPr>
      <w:r>
        <w:tab/>
      </w:r>
      <w:r>
        <w:rPr>
          <w:rStyle w:val="CharDefText"/>
        </w:rPr>
        <w:t>sufficient time</w:t>
      </w:r>
      <w:r>
        <w:t xml:space="preserve"> means —</w:t>
      </w:r>
    </w:p>
    <w:p>
      <w:pPr>
        <w:pStyle w:val="Defpara"/>
      </w:pPr>
      <w:r>
        <w:tab/>
        <w:t>(a)</w:t>
      </w:r>
      <w:r>
        <w:tab/>
        <w:t>42 days from the date specified in the certificate of service in relation to the initiating process as the date on which service of the process was effected; or</w:t>
      </w:r>
    </w:p>
    <w:p>
      <w:pPr>
        <w:pStyle w:val="Defpara"/>
      </w:pPr>
      <w:r>
        <w:tab/>
        <w:t>(b)</w:t>
      </w:r>
      <w:r>
        <w:tab/>
        <w:t>such lesser time as the Court considers, in the circumstances, to be a sufficient time to enable the defendant to enter an appearance in the proceedings.</w:t>
      </w:r>
    </w:p>
    <w:p>
      <w:pPr>
        <w:pStyle w:val="Footnotesection"/>
        <w:spacing w:before="100"/>
        <w:ind w:left="890" w:hanging="890"/>
      </w:pPr>
      <w:r>
        <w:tab/>
        <w:t>[Rule 10 inserted: Gazette 3 Jul 2009 p. 2691</w:t>
      </w:r>
      <w:r>
        <w:noBreakHyphen/>
        <w:t xml:space="preserve">2.] </w:t>
      </w:r>
    </w:p>
    <w:p>
      <w:pPr>
        <w:pStyle w:val="Heading5"/>
        <w:spacing w:before="180"/>
      </w:pPr>
      <w:bookmarkStart w:id="269" w:name="_Toc163120758"/>
      <w:r>
        <w:rPr>
          <w:rStyle w:val="CharSectno"/>
        </w:rPr>
        <w:lastRenderedPageBreak/>
        <w:t>11</w:t>
      </w:r>
      <w:r>
        <w:t>.</w:t>
      </w:r>
      <w:r>
        <w:tab/>
        <w:t>Restriction on power to enter default judgment if certificate of service not filed</w:t>
      </w:r>
      <w:bookmarkEnd w:id="269"/>
    </w:p>
    <w:p>
      <w:pPr>
        <w:pStyle w:val="Subsection"/>
        <w:keepNext/>
        <w:spacing w:before="120"/>
      </w:pPr>
      <w:r>
        <w:tab/>
        <w:t>(1)</w:t>
      </w:r>
      <w:r>
        <w:tab/>
        <w:t>This rule applies if —</w:t>
      </w:r>
    </w:p>
    <w:p>
      <w:pPr>
        <w:pStyle w:val="Indenta"/>
      </w:pPr>
      <w:r>
        <w:tab/>
        <w:t>(a)</w:t>
      </w:r>
      <w:r>
        <w:tab/>
        <w:t>a certificate of service of initiating process has not been filed in the proceedings; or</w:t>
      </w:r>
    </w:p>
    <w:p>
      <w:pPr>
        <w:pStyle w:val="Indenta"/>
      </w:pPr>
      <w:r>
        <w:tab/>
        <w:t>(b)</w:t>
      </w:r>
      <w:r>
        <w:tab/>
        <w:t>a certificate of service of initiating process has been filed in the proceedings (being a certificate in due form within the meaning of rule 6(2)) that states that service has not been effected,</w:t>
      </w:r>
    </w:p>
    <w:p>
      <w:pPr>
        <w:pStyle w:val="Subsection"/>
        <w:spacing w:before="120"/>
      </w:pPr>
      <w:r>
        <w:tab/>
      </w:r>
      <w:r>
        <w:tab/>
        <w:t>and the defendant has not appeared or filed a notice of address for service.</w:t>
      </w:r>
    </w:p>
    <w:p>
      <w:pPr>
        <w:pStyle w:val="Subsection"/>
      </w:pPr>
      <w:r>
        <w:tab/>
        <w:t>(2)</w:t>
      </w:r>
      <w:r>
        <w:tab/>
        <w:t xml:space="preserve">If this rule applies, default judgment may not be given against the defendant unless the Court is satisfied that — </w:t>
      </w:r>
    </w:p>
    <w:p>
      <w:pPr>
        <w:pStyle w:val="Indenta"/>
      </w:pPr>
      <w:r>
        <w:tab/>
        <w:t>(a)</w:t>
      </w:r>
      <w:r>
        <w:tab/>
        <w:t>the initiating process was forwarded to the Central Authority, or to an additional authority, for the Convention country in which service of the initiating process was requested; and</w:t>
      </w:r>
    </w:p>
    <w:p>
      <w:pPr>
        <w:pStyle w:val="Indenta"/>
      </w:pPr>
      <w:r>
        <w:tab/>
        <w:t>(b)</w:t>
      </w:r>
      <w:r>
        <w:tab/>
        <w:t>a period that is adequate in the circumstances (being a period of not less than 6 months) has elapsed since the date on which the initiating process was so forwarded; and</w:t>
      </w:r>
    </w:p>
    <w:p>
      <w:pPr>
        <w:pStyle w:val="Indenta"/>
      </w:pPr>
      <w:r>
        <w:tab/>
        <w:t>(c)</w:t>
      </w:r>
      <w:r>
        <w:tab/>
        <w:t>every reasonable effort has been made —</w:t>
      </w:r>
    </w:p>
    <w:p>
      <w:pPr>
        <w:pStyle w:val="Indenti"/>
      </w:pPr>
      <w:r>
        <w:tab/>
        <w:t>(i)</w:t>
      </w:r>
      <w:r>
        <w:tab/>
        <w:t>to obtain a certificate of service from the relevant certifying authority; or</w:t>
      </w:r>
    </w:p>
    <w:p>
      <w:pPr>
        <w:pStyle w:val="Indenti"/>
      </w:pPr>
      <w:r>
        <w:tab/>
        <w:t>(ii)</w:t>
      </w:r>
      <w:r>
        <w:tab/>
        <w:t>to effect service of the initiating process,</w:t>
      </w:r>
    </w:p>
    <w:p>
      <w:pPr>
        <w:pStyle w:val="Indenta"/>
      </w:pPr>
      <w:r>
        <w:tab/>
      </w:r>
      <w:r>
        <w:tab/>
        <w:t>as the case requires.</w:t>
      </w:r>
    </w:p>
    <w:p>
      <w:pPr>
        <w:pStyle w:val="Footnotesection"/>
      </w:pPr>
      <w:r>
        <w:tab/>
        <w:t>[Rule 11 inserted: Gazette 3 Jul 2009 p. 2692</w:t>
      </w:r>
      <w:r>
        <w:noBreakHyphen/>
        <w:t xml:space="preserve">3.] </w:t>
      </w:r>
    </w:p>
    <w:p>
      <w:pPr>
        <w:pStyle w:val="Heading5"/>
      </w:pPr>
      <w:bookmarkStart w:id="270" w:name="_Toc163120759"/>
      <w:r>
        <w:rPr>
          <w:rStyle w:val="CharSectno"/>
        </w:rPr>
        <w:t>12</w:t>
      </w:r>
      <w:r>
        <w:t>.</w:t>
      </w:r>
      <w:r>
        <w:tab/>
        <w:t>Setting aside judgment in default of appearance</w:t>
      </w:r>
      <w:bookmarkEnd w:id="270"/>
    </w:p>
    <w:p>
      <w:pPr>
        <w:pStyle w:val="Subsection"/>
      </w:pPr>
      <w:r>
        <w:tab/>
        <w:t>(1)</w:t>
      </w:r>
      <w:r>
        <w:tab/>
        <w:t>This rule applies if default judgment has been entered against the defendant in proceedings to which this Division applies.</w:t>
      </w:r>
    </w:p>
    <w:p>
      <w:pPr>
        <w:pStyle w:val="Subsection"/>
      </w:pPr>
      <w:r>
        <w:lastRenderedPageBreak/>
        <w:tab/>
        <w:t>(2)</w:t>
      </w:r>
      <w:r>
        <w:tab/>
        <w:t>If this rule applies, the Court may set aside the judgment on the application of the defendant if it is satisfied that the defendant —</w:t>
      </w:r>
    </w:p>
    <w:p>
      <w:pPr>
        <w:pStyle w:val="Indenta"/>
      </w:pPr>
      <w:r>
        <w:tab/>
        <w:t>(a)</w:t>
      </w:r>
      <w:r>
        <w:tab/>
        <w:t>without any fault on the defendant’s part, did not have knowledge of the initiating process in sufficient time to defend the proceedings; and</w:t>
      </w:r>
    </w:p>
    <w:p>
      <w:pPr>
        <w:pStyle w:val="Indenta"/>
      </w:pPr>
      <w:r>
        <w:tab/>
        <w:t>(b)</w:t>
      </w:r>
      <w:r>
        <w:tab/>
        <w:t>has a prima facie defence to the proceedings on the merits.</w:t>
      </w:r>
    </w:p>
    <w:p>
      <w:pPr>
        <w:pStyle w:val="Subsection"/>
      </w:pPr>
      <w:r>
        <w:tab/>
        <w:t>(3)</w:t>
      </w:r>
      <w:r>
        <w:tab/>
        <w:t>An application to have a judgment set aside under this rule may be filed —</w:t>
      </w:r>
    </w:p>
    <w:p>
      <w:pPr>
        <w:pStyle w:val="Indenta"/>
      </w:pPr>
      <w:r>
        <w:tab/>
        <w:t>(a)</w:t>
      </w:r>
      <w:r>
        <w:tab/>
        <w:t>at any time within 12 months after the date on which the judgment was given; or</w:t>
      </w:r>
    </w:p>
    <w:p>
      <w:pPr>
        <w:pStyle w:val="Indenta"/>
      </w:pPr>
      <w:r>
        <w:tab/>
        <w:t>(b)</w:t>
      </w:r>
      <w:r>
        <w:tab/>
        <w:t>after the expiry of that 12</w:t>
      </w:r>
      <w:r>
        <w:noBreakHyphen/>
        <w:t>month period, within such time after the defendant acquires knowledge of the judgment as the Court considers reasonable in the circumstances.</w:t>
      </w:r>
    </w:p>
    <w:p>
      <w:pPr>
        <w:pStyle w:val="Subsection"/>
      </w:pPr>
      <w:r>
        <w:tab/>
        <w:t>(4)</w:t>
      </w:r>
      <w:r>
        <w:tab/>
        <w:t>Nothing in this rule affects any other power of the Court to set aside or vary a judgment.</w:t>
      </w:r>
    </w:p>
    <w:p>
      <w:pPr>
        <w:pStyle w:val="Footnotesection"/>
      </w:pPr>
      <w:r>
        <w:tab/>
        <w:t xml:space="preserve">[Rule 12 inserted: Gazette 3 Jul 2009 p. 2693.] </w:t>
      </w:r>
    </w:p>
    <w:p>
      <w:pPr>
        <w:pStyle w:val="Heading3"/>
      </w:pPr>
      <w:bookmarkStart w:id="271" w:name="_Toc162940299"/>
      <w:bookmarkStart w:id="272" w:name="_Toc162953087"/>
      <w:bookmarkStart w:id="273" w:name="_Toc163120760"/>
      <w:r>
        <w:rPr>
          <w:rStyle w:val="CharDivNo"/>
        </w:rPr>
        <w:t>Division 4</w:t>
      </w:r>
      <w:r>
        <w:t> — </w:t>
      </w:r>
      <w:r>
        <w:rPr>
          <w:rStyle w:val="CharDivText"/>
        </w:rPr>
        <w:t>Local service of foreign judicial documents</w:t>
      </w:r>
      <w:bookmarkEnd w:id="271"/>
      <w:bookmarkEnd w:id="272"/>
      <w:bookmarkEnd w:id="273"/>
    </w:p>
    <w:p>
      <w:pPr>
        <w:pStyle w:val="Footnoteheading"/>
      </w:pPr>
      <w:r>
        <w:tab/>
        <w:t xml:space="preserve">[Heading inserted: Gazette 3 Jul 2009 p. 2693.] </w:t>
      </w:r>
    </w:p>
    <w:p>
      <w:pPr>
        <w:pStyle w:val="Heading5"/>
      </w:pPr>
      <w:bookmarkStart w:id="274" w:name="_Toc163120761"/>
      <w:r>
        <w:rPr>
          <w:rStyle w:val="CharSectno"/>
        </w:rPr>
        <w:t>13</w:t>
      </w:r>
      <w:r>
        <w:t>.</w:t>
      </w:r>
      <w:r>
        <w:tab/>
        <w:t>Application of this Division</w:t>
      </w:r>
      <w:bookmarkEnd w:id="274"/>
    </w:p>
    <w:p>
      <w:pPr>
        <w:pStyle w:val="Subsection"/>
      </w:pPr>
      <w:r>
        <w:tab/>
        <w:t>(1)</w:t>
      </w:r>
      <w:r>
        <w:tab/>
        <w:t>This Division applies to service in this jurisdiction of a foreign judicial document in relation to which a due form of request for service has been forwarded to the Court —</w:t>
      </w:r>
    </w:p>
    <w:p>
      <w:pPr>
        <w:pStyle w:val="Indenta"/>
      </w:pPr>
      <w:r>
        <w:tab/>
        <w:t>(a)</w:t>
      </w:r>
      <w:r>
        <w:tab/>
        <w:t>by the Attorney</w:t>
      </w:r>
      <w:r>
        <w:noBreakHyphen/>
        <w:t>General’s Department of the Commonwealth, whether in the first instance or following a referral under rule 14; or</w:t>
      </w:r>
    </w:p>
    <w:p>
      <w:pPr>
        <w:pStyle w:val="Indenta"/>
      </w:pPr>
      <w:r>
        <w:tab/>
        <w:t>(b)</w:t>
      </w:r>
      <w:r>
        <w:tab/>
        <w:t>by a forwarding authority.</w:t>
      </w:r>
    </w:p>
    <w:p>
      <w:pPr>
        <w:pStyle w:val="Subsection"/>
      </w:pPr>
      <w:r>
        <w:lastRenderedPageBreak/>
        <w:tab/>
        <w:t>(2)</w:t>
      </w:r>
      <w:r>
        <w:tab/>
        <w:t>Subject to subrule (3), a request for service in this jurisdiction is in due form if it is in the form of Form 5A Part 1 and is accompanied by the following documents —</w:t>
      </w:r>
    </w:p>
    <w:p>
      <w:pPr>
        <w:pStyle w:val="Indenta"/>
      </w:pPr>
      <w:r>
        <w:tab/>
        <w:t>(a)</w:t>
      </w:r>
      <w:r>
        <w:tab/>
        <w:t>the document to be served;</w:t>
      </w:r>
    </w:p>
    <w:p>
      <w:pPr>
        <w:pStyle w:val="Indenta"/>
      </w:pPr>
      <w:r>
        <w:tab/>
        <w:t>(b)</w:t>
      </w:r>
      <w:r>
        <w:tab/>
        <w:t>a summary of the document to be served, which must be in the form of Form 5B;</w:t>
      </w:r>
    </w:p>
    <w:p>
      <w:pPr>
        <w:pStyle w:val="Indenta"/>
      </w:pPr>
      <w:r>
        <w:tab/>
        <w:t>(c)</w:t>
      </w:r>
      <w:r>
        <w:tab/>
        <w:t>a copy of the request and of each of the documents mentioned in paragraphs (a) and (b);</w:t>
      </w:r>
    </w:p>
    <w:p>
      <w:pPr>
        <w:pStyle w:val="Indenta"/>
      </w:pPr>
      <w:r>
        <w:tab/>
        <w:t>(d)</w:t>
      </w:r>
      <w:r>
        <w:tab/>
        <w:t>if either of the documents mentioned in paragraphs (a) and (b) is not in the English language, an English translation of the document.</w:t>
      </w:r>
    </w:p>
    <w:p>
      <w:pPr>
        <w:pStyle w:val="Subsection"/>
        <w:keepNext/>
      </w:pPr>
      <w:r>
        <w:tab/>
        <w:t>(3)</w:t>
      </w:r>
      <w:r>
        <w:tab/>
        <w:t>Any translation required under subrule (2)(d) must bear a certificate (in English) signed by the translator stating —</w:t>
      </w:r>
    </w:p>
    <w:p>
      <w:pPr>
        <w:pStyle w:val="Indenta"/>
      </w:pPr>
      <w:r>
        <w:tab/>
        <w:t>(a)</w:t>
      </w:r>
      <w:r>
        <w:tab/>
        <w:t>that the translation is an accurate translation of the document; and</w:t>
      </w:r>
    </w:p>
    <w:p>
      <w:pPr>
        <w:pStyle w:val="Indenta"/>
        <w:keepNext/>
      </w:pPr>
      <w:r>
        <w:tab/>
        <w:t>(b)</w:t>
      </w:r>
      <w:r>
        <w:tab/>
        <w:t>the translator’s full name and address and his or her qualifications for making the translation.</w:t>
      </w:r>
    </w:p>
    <w:p>
      <w:pPr>
        <w:pStyle w:val="Subsection"/>
      </w:pPr>
      <w:r>
        <w:tab/>
        <w:t>(4)</w:t>
      </w:r>
      <w:r>
        <w:tab/>
        <w:t>A request for service referred to in subrule (2), and any other document to be filed for the purposes of this rule, cannot be filed electronically.</w:t>
      </w:r>
    </w:p>
    <w:p>
      <w:pPr>
        <w:pStyle w:val="Footnotesection"/>
      </w:pPr>
      <w:r>
        <w:tab/>
        <w:t>[Rule 13 inserted: Gazette 3 Jul 2009 p. 2693</w:t>
      </w:r>
      <w:r>
        <w:noBreakHyphen/>
        <w:t xml:space="preserve">4; amended: Gazette 27 Feb 2018 p. 557.] </w:t>
      </w:r>
    </w:p>
    <w:p>
      <w:pPr>
        <w:pStyle w:val="Heading5"/>
      </w:pPr>
      <w:bookmarkStart w:id="275" w:name="_Toc163120762"/>
      <w:r>
        <w:rPr>
          <w:rStyle w:val="CharSectno"/>
        </w:rPr>
        <w:t>14</w:t>
      </w:r>
      <w:r>
        <w:t>.</w:t>
      </w:r>
      <w:r>
        <w:tab/>
        <w:t>Certain documents to be referred back to Attorney</w:t>
      </w:r>
      <w:r>
        <w:noBreakHyphen/>
        <w:t>General’s Department of Commonwealth</w:t>
      </w:r>
      <w:bookmarkEnd w:id="275"/>
    </w:p>
    <w:p>
      <w:pPr>
        <w:pStyle w:val="Subsection"/>
      </w:pPr>
      <w:r>
        <w:tab/>
      </w:r>
      <w:r>
        <w:tab/>
        <w:t>If, after receiving a request for service in this jurisdiction, the registrar is of the opinion —</w:t>
      </w:r>
    </w:p>
    <w:p>
      <w:pPr>
        <w:pStyle w:val="Indenta"/>
      </w:pPr>
      <w:r>
        <w:tab/>
        <w:t>(a)</w:t>
      </w:r>
      <w:r>
        <w:tab/>
        <w:t>that the request does not comply with rule 13; or</w:t>
      </w:r>
    </w:p>
    <w:p>
      <w:pPr>
        <w:pStyle w:val="Indenta"/>
      </w:pPr>
      <w:r>
        <w:tab/>
        <w:t>(b)</w:t>
      </w:r>
      <w:r>
        <w:tab/>
        <w:t>that the document to which the request relates is not a foreign judicial document; or</w:t>
      </w:r>
    </w:p>
    <w:p>
      <w:pPr>
        <w:pStyle w:val="Indenta"/>
      </w:pPr>
      <w:r>
        <w:tab/>
        <w:t>(c)</w:t>
      </w:r>
      <w:r>
        <w:tab/>
        <w:t>that compliance with the request may infringe Australia’s sovereignty or security; or</w:t>
      </w:r>
    </w:p>
    <w:p>
      <w:pPr>
        <w:pStyle w:val="Indenta"/>
      </w:pPr>
      <w:r>
        <w:lastRenderedPageBreak/>
        <w:tab/>
        <w:t>(d)</w:t>
      </w:r>
      <w:r>
        <w:tab/>
        <w:t>that the request seeks service of a document in some other State or Territory of the Commonwealth,</w:t>
      </w:r>
    </w:p>
    <w:p>
      <w:pPr>
        <w:pStyle w:val="Subsection"/>
      </w:pPr>
      <w:r>
        <w:tab/>
      </w:r>
      <w:r>
        <w:tab/>
        <w:t>the registrar must refer the request to the Attorney</w:t>
      </w:r>
      <w:r>
        <w:noBreakHyphen/>
        <w:t>General’s Department of the Commonwealth together with a statement of his or her opinion.</w:t>
      </w:r>
    </w:p>
    <w:p>
      <w:pPr>
        <w:pStyle w:val="PermNoteHeading"/>
      </w:pPr>
      <w:r>
        <w:tab/>
        <w:t>Note:</w:t>
      </w:r>
    </w:p>
    <w:p>
      <w:pPr>
        <w:pStyle w:val="PermNoteText"/>
      </w:pPr>
      <w:r>
        <w:tab/>
      </w:r>
      <w:r>
        <w:tab/>
        <w:t>The Attorney</w:t>
      </w:r>
      <w:r>
        <w:noBreakHyphen/>
        <w:t>General’s Department of the Commonwealth will deal with misdirected and non</w:t>
      </w:r>
      <w:r>
        <w:noBreakHyphen/>
        <w:t>compliant requests, make arrangements for the service of extrajudicial documents and assess and decide questions concerning Australia’s sovereignty and security.</w:t>
      </w:r>
    </w:p>
    <w:p>
      <w:pPr>
        <w:pStyle w:val="Footnotesection"/>
      </w:pPr>
      <w:r>
        <w:tab/>
        <w:t xml:space="preserve">[Rule 14 inserted: Gazette 3 Jul 2009 p. 2694.] </w:t>
      </w:r>
    </w:p>
    <w:p>
      <w:pPr>
        <w:pStyle w:val="Heading5"/>
      </w:pPr>
      <w:bookmarkStart w:id="276" w:name="_Toc163120763"/>
      <w:r>
        <w:rPr>
          <w:rStyle w:val="CharSectno"/>
        </w:rPr>
        <w:t>15</w:t>
      </w:r>
      <w:r>
        <w:t>.</w:t>
      </w:r>
      <w:r>
        <w:tab/>
        <w:t>Service</w:t>
      </w:r>
      <w:bookmarkEnd w:id="276"/>
    </w:p>
    <w:p>
      <w:pPr>
        <w:pStyle w:val="Subsection"/>
      </w:pPr>
      <w:r>
        <w:tab/>
        <w:t>(1)</w:t>
      </w:r>
      <w:r>
        <w:tab/>
        <w:t>Subject to rule 14, on receipt of a request for service in this jurisdiction, the Court must arrange for the service of the relevant documents in accordance with the request.</w:t>
      </w:r>
    </w:p>
    <w:p>
      <w:pPr>
        <w:pStyle w:val="Subsection"/>
      </w:pPr>
      <w:r>
        <w:tab/>
        <w:t>(2)</w:t>
      </w:r>
      <w:r>
        <w:tab/>
        <w:t>The relevant documents mentioned in subrule (1) are the following —</w:t>
      </w:r>
    </w:p>
    <w:p>
      <w:pPr>
        <w:pStyle w:val="Indenta"/>
      </w:pPr>
      <w:r>
        <w:tab/>
        <w:t>(a)</w:t>
      </w:r>
      <w:r>
        <w:tab/>
        <w:t>the document to be served;</w:t>
      </w:r>
    </w:p>
    <w:p>
      <w:pPr>
        <w:pStyle w:val="Indenta"/>
      </w:pPr>
      <w:r>
        <w:tab/>
        <w:t>(b)</w:t>
      </w:r>
      <w:r>
        <w:tab/>
        <w:t>a summary of the document to be served;</w:t>
      </w:r>
    </w:p>
    <w:p>
      <w:pPr>
        <w:pStyle w:val="Indenta"/>
      </w:pPr>
      <w:r>
        <w:tab/>
        <w:t>(c)</w:t>
      </w:r>
      <w:r>
        <w:tab/>
        <w:t>a copy of the request for service in this jurisdiction;</w:t>
      </w:r>
    </w:p>
    <w:p>
      <w:pPr>
        <w:pStyle w:val="Indenta"/>
      </w:pPr>
      <w:r>
        <w:tab/>
        <w:t>(d)</w:t>
      </w:r>
      <w:r>
        <w:tab/>
        <w:t>if either of the documents mentioned in paragraphs (a) and (b) is not in the English language, an English translation of the document.</w:t>
      </w:r>
    </w:p>
    <w:p>
      <w:pPr>
        <w:pStyle w:val="Subsection"/>
      </w:pPr>
      <w:r>
        <w:tab/>
        <w:t>(3)</w:t>
      </w:r>
      <w:r>
        <w:tab/>
        <w:t>Service of the relevant documents may be effected by any of the following methods of service —</w:t>
      </w:r>
    </w:p>
    <w:p>
      <w:pPr>
        <w:pStyle w:val="Indenta"/>
      </w:pPr>
      <w:r>
        <w:tab/>
        <w:t>(a)</w:t>
      </w:r>
      <w:r>
        <w:tab/>
        <w:t>by a method of service prescribed by the law in force in this jurisdiction —</w:t>
      </w:r>
    </w:p>
    <w:p>
      <w:pPr>
        <w:pStyle w:val="Indenti"/>
      </w:pPr>
      <w:r>
        <w:tab/>
        <w:t>(i)</w:t>
      </w:r>
      <w:r>
        <w:tab/>
        <w:t>for the service of a document of a kind corresponding to the document to be served; or</w:t>
      </w:r>
    </w:p>
    <w:p>
      <w:pPr>
        <w:pStyle w:val="Indenti"/>
      </w:pPr>
      <w:r>
        <w:lastRenderedPageBreak/>
        <w:tab/>
        <w:t>(ii)</w:t>
      </w:r>
      <w:r>
        <w:tab/>
        <w:t>if there is no such corresponding kind of document, for the service of initiating process in proceedings in the Court;</w:t>
      </w:r>
    </w:p>
    <w:p>
      <w:pPr>
        <w:pStyle w:val="Indenta"/>
      </w:pPr>
      <w:r>
        <w:tab/>
        <w:t>(b)</w:t>
      </w:r>
      <w:r>
        <w:tab/>
        <w:t>if the applicant has requested a particular method of service and that method is compatible with the law in force in this jurisdiction, by that method;</w:t>
      </w:r>
    </w:p>
    <w:p>
      <w:pPr>
        <w:pStyle w:val="Indenta"/>
      </w:pPr>
      <w:r>
        <w:tab/>
        <w:t>(c)</w:t>
      </w:r>
      <w:r>
        <w:tab/>
        <w:t>if the applicant has not requested a particular method of service and the person requested to be served accepts the document voluntarily, by delivery of the document to the person requested to be served.</w:t>
      </w:r>
    </w:p>
    <w:p>
      <w:pPr>
        <w:pStyle w:val="Footnotesection"/>
      </w:pPr>
      <w:r>
        <w:tab/>
        <w:t>[Rule 15 inserted: Gazette 3 Jul 2009 p. 2694</w:t>
      </w:r>
      <w:r>
        <w:noBreakHyphen/>
        <w:t xml:space="preserve">5.] </w:t>
      </w:r>
    </w:p>
    <w:p>
      <w:pPr>
        <w:pStyle w:val="Heading5"/>
      </w:pPr>
      <w:bookmarkStart w:id="277" w:name="_Toc163120764"/>
      <w:r>
        <w:rPr>
          <w:rStyle w:val="CharSectno"/>
        </w:rPr>
        <w:t>16</w:t>
      </w:r>
      <w:r>
        <w:t>.</w:t>
      </w:r>
      <w:r>
        <w:tab/>
        <w:t>Affidavit as to service</w:t>
      </w:r>
      <w:bookmarkEnd w:id="277"/>
    </w:p>
    <w:p>
      <w:pPr>
        <w:pStyle w:val="Subsection"/>
      </w:pPr>
      <w:r>
        <w:tab/>
        <w:t>(1)</w:t>
      </w:r>
      <w:r>
        <w:tab/>
        <w:t>If service of a document has been effected pursuant to a request for service in this jurisdiction, the person by whom service has been effected must file an affidavit specifying —</w:t>
      </w:r>
    </w:p>
    <w:p>
      <w:pPr>
        <w:pStyle w:val="Indenta"/>
      </w:pPr>
      <w:r>
        <w:tab/>
        <w:t>(a)</w:t>
      </w:r>
      <w:r>
        <w:tab/>
        <w:t>the time, day of the week and date on which the document was served; and</w:t>
      </w:r>
    </w:p>
    <w:p>
      <w:pPr>
        <w:pStyle w:val="Indenta"/>
      </w:pPr>
      <w:r>
        <w:tab/>
        <w:t>(b)</w:t>
      </w:r>
      <w:r>
        <w:tab/>
        <w:t>the place where the document was served; and</w:t>
      </w:r>
    </w:p>
    <w:p>
      <w:pPr>
        <w:pStyle w:val="Indenta"/>
      </w:pPr>
      <w:r>
        <w:tab/>
        <w:t>(c)</w:t>
      </w:r>
      <w:r>
        <w:tab/>
        <w:t>the method of service; and</w:t>
      </w:r>
    </w:p>
    <w:p>
      <w:pPr>
        <w:pStyle w:val="Indenta"/>
      </w:pPr>
      <w:r>
        <w:tab/>
        <w:t>(d)</w:t>
      </w:r>
      <w:r>
        <w:tab/>
        <w:t>the person on whom the document was served; and</w:t>
      </w:r>
    </w:p>
    <w:p>
      <w:pPr>
        <w:pStyle w:val="Indenta"/>
      </w:pPr>
      <w:r>
        <w:tab/>
        <w:t>(e)</w:t>
      </w:r>
      <w:r>
        <w:tab/>
        <w:t>the way in which that person was identified.</w:t>
      </w:r>
    </w:p>
    <w:p>
      <w:pPr>
        <w:pStyle w:val="Subsection"/>
      </w:pPr>
      <w:r>
        <w:tab/>
        <w:t>(2)</w:t>
      </w:r>
      <w:r>
        <w:tab/>
        <w:t>If attempts to serve a document pursuant to a request for service in this jurisdiction have failed, the person by whom service has been attempted must file an affidavit specifying —</w:t>
      </w:r>
    </w:p>
    <w:p>
      <w:pPr>
        <w:pStyle w:val="Indenta"/>
      </w:pPr>
      <w:r>
        <w:tab/>
        <w:t>(a)</w:t>
      </w:r>
      <w:r>
        <w:tab/>
        <w:t>details of the attempts made to serve the document; and</w:t>
      </w:r>
    </w:p>
    <w:p>
      <w:pPr>
        <w:pStyle w:val="Indenta"/>
      </w:pPr>
      <w:r>
        <w:tab/>
        <w:t>(b)</w:t>
      </w:r>
      <w:r>
        <w:tab/>
        <w:t>the reasons that have prevented service.</w:t>
      </w:r>
    </w:p>
    <w:p>
      <w:pPr>
        <w:pStyle w:val="Subsection"/>
      </w:pPr>
      <w:r>
        <w:tab/>
        <w:t>(3)</w:t>
      </w:r>
      <w:r>
        <w:tab/>
        <w:t>When an affidavit as to service of a document has been filed in accordance with this rule, the registrar —</w:t>
      </w:r>
    </w:p>
    <w:p>
      <w:pPr>
        <w:pStyle w:val="Indenta"/>
      </w:pPr>
      <w:r>
        <w:tab/>
        <w:t>(a)</w:t>
      </w:r>
      <w:r>
        <w:tab/>
        <w:t>must complete a certificate of service, sealed with the seal of the Court, on the reverse side of, or attached to, the request for service in this jurisdiction; and</w:t>
      </w:r>
    </w:p>
    <w:p>
      <w:pPr>
        <w:pStyle w:val="Indenta"/>
      </w:pPr>
      <w:r>
        <w:lastRenderedPageBreak/>
        <w:tab/>
        <w:t>(b)</w:t>
      </w:r>
      <w:r>
        <w:tab/>
        <w:t>must forward the certificate of service, together with a statement as to the costs incurred in relation to the service or attempted service of the document, directly to the forwarding authority from which the request was received.</w:t>
      </w:r>
    </w:p>
    <w:p>
      <w:pPr>
        <w:pStyle w:val="Subsection"/>
      </w:pPr>
      <w:r>
        <w:tab/>
        <w:t>(4)</w:t>
      </w:r>
      <w:r>
        <w:tab/>
        <w:t xml:space="preserve">A certificate of service must be — </w:t>
      </w:r>
    </w:p>
    <w:p>
      <w:pPr>
        <w:pStyle w:val="Indenta"/>
      </w:pPr>
      <w:r>
        <w:tab/>
        <w:t>(a)</w:t>
      </w:r>
      <w:r>
        <w:tab/>
        <w:t>in the form of Form 5A Part 2; or</w:t>
      </w:r>
    </w:p>
    <w:p>
      <w:pPr>
        <w:pStyle w:val="Indenta"/>
      </w:pPr>
      <w:r>
        <w:tab/>
        <w:t>(b)</w:t>
      </w:r>
      <w:r>
        <w:tab/>
        <w:t>if a form of certificate of service that substantially corresponds to Form 5A Part 2 accompanies the request for service, in that accompanying form.</w:t>
      </w:r>
    </w:p>
    <w:p>
      <w:pPr>
        <w:pStyle w:val="Subsection"/>
      </w:pPr>
      <w:r>
        <w:tab/>
        <w:t>(5)</w:t>
      </w:r>
      <w:r>
        <w:tab/>
        <w:t>An affidavit as to service to be filed in accordance with this rule cannot be filed electronically.</w:t>
      </w:r>
    </w:p>
    <w:p>
      <w:pPr>
        <w:pStyle w:val="Footnotesection"/>
      </w:pPr>
      <w:r>
        <w:tab/>
        <w:t>[Rule 16 inserted: Gazette 3 Jul 2009 p. 2695</w:t>
      </w:r>
      <w:r>
        <w:noBreakHyphen/>
        <w:t xml:space="preserve">6; amended: Gazette 27 Feb 2018 p. 558.] </w:t>
      </w:r>
    </w:p>
    <w:p>
      <w:pPr>
        <w:pStyle w:val="Ednotepart"/>
      </w:pPr>
      <w:r>
        <w:t>[Orders 11B and 11C deleted: Gazette 3 Jul 2009 p. 2685.]</w:t>
      </w:r>
    </w:p>
    <w:p>
      <w:pPr>
        <w:pStyle w:val="Heading2"/>
        <w:rPr>
          <w:b w:val="0"/>
        </w:rPr>
      </w:pPr>
      <w:bookmarkStart w:id="278" w:name="_Toc162940304"/>
      <w:bookmarkStart w:id="279" w:name="_Toc162953092"/>
      <w:bookmarkStart w:id="280" w:name="_Toc163120765"/>
      <w:r>
        <w:rPr>
          <w:rStyle w:val="CharPartNo"/>
        </w:rPr>
        <w:lastRenderedPageBreak/>
        <w:t>Order 12</w:t>
      </w:r>
      <w:r>
        <w:rPr>
          <w:rStyle w:val="CharDivNo"/>
        </w:rPr>
        <w:t> </w:t>
      </w:r>
      <w:r>
        <w:t>—</w:t>
      </w:r>
      <w:r>
        <w:rPr>
          <w:rStyle w:val="CharDivText"/>
        </w:rPr>
        <w:t> </w:t>
      </w:r>
      <w:r>
        <w:rPr>
          <w:rStyle w:val="CharPartText"/>
        </w:rPr>
        <w:t>Appearance</w:t>
      </w:r>
      <w:bookmarkEnd w:id="278"/>
      <w:bookmarkEnd w:id="279"/>
      <w:bookmarkEnd w:id="280"/>
    </w:p>
    <w:p>
      <w:pPr>
        <w:pStyle w:val="Heading5"/>
        <w:rPr>
          <w:snapToGrid w:val="0"/>
        </w:rPr>
      </w:pPr>
      <w:bookmarkStart w:id="281" w:name="_Toc163120766"/>
      <w:r>
        <w:rPr>
          <w:rStyle w:val="CharSectno"/>
        </w:rPr>
        <w:t>1</w:t>
      </w:r>
      <w:r>
        <w:rPr>
          <w:snapToGrid w:val="0"/>
        </w:rPr>
        <w:t>.</w:t>
      </w:r>
      <w:r>
        <w:rPr>
          <w:snapToGrid w:val="0"/>
        </w:rPr>
        <w:tab/>
        <w:t>Who may enter appearance</w:t>
      </w:r>
      <w:bookmarkEnd w:id="281"/>
    </w:p>
    <w:p>
      <w:pPr>
        <w:pStyle w:val="Subsection"/>
        <w:rPr>
          <w:snapToGrid w:val="0"/>
        </w:rPr>
      </w:pPr>
      <w:r>
        <w:rPr>
          <w:snapToGrid w:val="0"/>
        </w:rPr>
        <w:tab/>
        <w:t>(1)</w:t>
      </w:r>
      <w:r>
        <w:rPr>
          <w:snapToGrid w:val="0"/>
        </w:rPr>
        <w:tab/>
        <w:t xml:space="preserve">Subject to </w:t>
      </w:r>
      <w:r>
        <w:t>subrule</w:t>
      </w:r>
      <w:r>
        <w:rPr>
          <w:snapToGrid w:val="0"/>
        </w:rPr>
        <w:t xml:space="preserve"> (2) and to Order 70 rule 2, a defendant to an action may (whether or not he is sued as a trustee or personal representative or in any other representative capacity) enter an appearance in the action and defend it by a </w:t>
      </w:r>
      <w:r>
        <w:t xml:space="preserve">legal practitioner </w:t>
      </w:r>
      <w:r>
        <w:rPr>
          <w:snapToGrid w:val="0"/>
        </w:rPr>
        <w:t>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legal practitioner.</w:t>
      </w:r>
    </w:p>
    <w:p>
      <w:pPr>
        <w:pStyle w:val="Ednotesubsection"/>
      </w:pPr>
      <w:r>
        <w:tab/>
      </w:r>
      <w:r>
        <w:tab/>
        <w:t xml:space="preserve">[Rule 1 amended: Gazette 7 Oct 1977 p. 3602; 22 Feb 2008 p. 634; 28 Jun 2011 p. 2552; SL 2022/74 r. 15.] </w:t>
      </w:r>
    </w:p>
    <w:p>
      <w:pPr>
        <w:pStyle w:val="Heading5"/>
      </w:pPr>
      <w:bookmarkStart w:id="282" w:name="_Toc163120767"/>
      <w:r>
        <w:rPr>
          <w:rStyle w:val="CharSectno"/>
        </w:rPr>
        <w:t>2</w:t>
      </w:r>
      <w:r>
        <w:t>.</w:t>
      </w:r>
      <w:r>
        <w:tab/>
        <w:t>How to enter an appearance</w:t>
      </w:r>
      <w:bookmarkEnd w:id="282"/>
    </w:p>
    <w:p>
      <w:pPr>
        <w:pStyle w:val="Subsection"/>
      </w:pPr>
      <w:r>
        <w:tab/>
        <w:t>(1)</w:t>
      </w:r>
      <w:r>
        <w:tab/>
        <w:t xml:space="preserve">To enter an appearance, a defendant must file 2 copies of a Form No. 6 signed by — </w:t>
      </w:r>
    </w:p>
    <w:p>
      <w:pPr>
        <w:pStyle w:val="Indenta"/>
      </w:pPr>
      <w:r>
        <w:tab/>
        <w:t>(a)</w:t>
      </w:r>
      <w:r>
        <w:tab/>
        <w:t>the legal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legal practitioner acts for 2 or more defendants in one action, a memorandum of appearance may relate to more than one of those defendants.</w:t>
      </w:r>
    </w:p>
    <w:p>
      <w:pPr>
        <w:pStyle w:val="Footnotesection"/>
      </w:pPr>
      <w:r>
        <w:tab/>
        <w:t xml:space="preserve">[Rule 2 inserted: Gazette 22 Feb 2008 p. 634; amended: SL 2022/74 r. 15.] </w:t>
      </w:r>
    </w:p>
    <w:p>
      <w:pPr>
        <w:pStyle w:val="Heading5"/>
        <w:rPr>
          <w:snapToGrid w:val="0"/>
        </w:rPr>
      </w:pPr>
      <w:bookmarkStart w:id="283" w:name="_Toc163120768"/>
      <w:r>
        <w:rPr>
          <w:rStyle w:val="CharSectno"/>
        </w:rPr>
        <w:lastRenderedPageBreak/>
        <w:t>3</w:t>
      </w:r>
      <w:r>
        <w:rPr>
          <w:snapToGrid w:val="0"/>
        </w:rPr>
        <w:t>.</w:t>
      </w:r>
      <w:r>
        <w:rPr>
          <w:snapToGrid w:val="0"/>
        </w:rPr>
        <w:tab/>
        <w:t>Procedure on receipt of requisite documents</w:t>
      </w:r>
      <w:bookmarkEnd w:id="283"/>
    </w:p>
    <w:p>
      <w:pPr>
        <w:pStyle w:val="Subsection"/>
        <w:rPr>
          <w:snapToGrid w:val="0"/>
        </w:rPr>
      </w:pPr>
      <w:r>
        <w:rPr>
          <w:snapToGrid w:val="0"/>
        </w:rPr>
        <w:tab/>
      </w:r>
      <w:r>
        <w:rPr>
          <w:snapToGrid w:val="0"/>
        </w:rPr>
        <w:tab/>
        <w:t xml:space="preserve">On receiving the requisite documents the proper officer must in all cases affix to the copy of the memorandum of appearance an official stamp showing the date on which he received those documents, </w:t>
      </w:r>
      <w:r>
        <w:t xml:space="preserve">record the entry of appearance, </w:t>
      </w:r>
      <w:r>
        <w:rPr>
          <w:snapToGrid w:val="0"/>
        </w:rPr>
        <w:t>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Gazette 15 Jun 1973 p. 2247; 27 Feb 2018 p. 558.] </w:t>
      </w:r>
    </w:p>
    <w:p>
      <w:pPr>
        <w:pStyle w:val="Heading5"/>
      </w:pPr>
      <w:bookmarkStart w:id="284" w:name="_Toc163120769"/>
      <w:r>
        <w:rPr>
          <w:rStyle w:val="CharSectno"/>
        </w:rPr>
        <w:t>4</w:t>
      </w:r>
      <w:r>
        <w:t>.</w:t>
      </w:r>
      <w:r>
        <w:tab/>
        <w:t>Appearance to be served on plaintiff</w:t>
      </w:r>
      <w:bookmarkEnd w:id="284"/>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Gazette 22 Feb 2008 p. 635.] </w:t>
      </w:r>
    </w:p>
    <w:p>
      <w:pPr>
        <w:pStyle w:val="Heading5"/>
        <w:rPr>
          <w:snapToGrid w:val="0"/>
        </w:rPr>
      </w:pPr>
      <w:bookmarkStart w:id="285" w:name="_Toc163120770"/>
      <w:r>
        <w:rPr>
          <w:rStyle w:val="CharSectno"/>
        </w:rPr>
        <w:t>5</w:t>
      </w:r>
      <w:r>
        <w:rPr>
          <w:snapToGrid w:val="0"/>
        </w:rPr>
        <w:t>.</w:t>
      </w:r>
      <w:r>
        <w:rPr>
          <w:snapToGrid w:val="0"/>
        </w:rPr>
        <w:tab/>
        <w:t>Late appearance</w:t>
      </w:r>
      <w:bookmarkEnd w:id="285"/>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 xml:space="preserve">Except as provided by </w:t>
      </w:r>
      <w:r>
        <w:t>subrule</w:t>
      </w:r>
      <w:r>
        <w:rPr>
          <w:snapToGrid w:val="0"/>
        </w:rPr>
        <w:t>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Footnotesection"/>
      </w:pPr>
      <w:r>
        <w:tab/>
        <w:t>[Rule 5 amended: Gazette 28 Jun 2011 p. 2552.]</w:t>
      </w:r>
    </w:p>
    <w:p>
      <w:pPr>
        <w:pStyle w:val="Heading5"/>
        <w:rPr>
          <w:snapToGrid w:val="0"/>
        </w:rPr>
      </w:pPr>
      <w:bookmarkStart w:id="286" w:name="_Toc163120771"/>
      <w:r>
        <w:rPr>
          <w:rStyle w:val="CharSectno"/>
        </w:rPr>
        <w:lastRenderedPageBreak/>
        <w:t>6</w:t>
      </w:r>
      <w:r>
        <w:rPr>
          <w:snapToGrid w:val="0"/>
        </w:rPr>
        <w:t>.</w:t>
      </w:r>
      <w:r>
        <w:rPr>
          <w:snapToGrid w:val="0"/>
        </w:rPr>
        <w:tab/>
        <w:t>Conditional appearance</w:t>
      </w:r>
      <w:bookmarkEnd w:id="286"/>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pPr>
      <w:bookmarkStart w:id="287" w:name="_Toc163120772"/>
      <w:r>
        <w:rPr>
          <w:rStyle w:val="CharSectno"/>
        </w:rPr>
        <w:t>7</w:t>
      </w:r>
      <w:r>
        <w:t>.</w:t>
      </w:r>
      <w:r>
        <w:tab/>
        <w:t>Setting aside writ etc. before appearance</w:t>
      </w:r>
      <w:bookmarkEnd w:id="287"/>
    </w:p>
    <w:p>
      <w:pPr>
        <w:pStyle w:val="Subsection"/>
      </w:pPr>
      <w:r>
        <w:tab/>
      </w:r>
      <w:r>
        <w:tab/>
        <w:t>A defendant to an action, at any time before entering an appearance in it, may serve notice of motion to —</w:t>
      </w:r>
    </w:p>
    <w:p>
      <w:pPr>
        <w:pStyle w:val="Indenta"/>
      </w:pPr>
      <w:r>
        <w:tab/>
        <w:t>(a)</w:t>
      </w:r>
      <w:r>
        <w:tab/>
        <w:t>set aside the writ or service of the writ on the defendant; or</w:t>
      </w:r>
    </w:p>
    <w:p>
      <w:pPr>
        <w:pStyle w:val="Indenta"/>
      </w:pPr>
      <w:r>
        <w:tab/>
        <w:t>(b)</w:t>
      </w:r>
      <w:r>
        <w:tab/>
        <w:t>discharge any order that granted leave to serve the writ on the defendant outside Australia.</w:t>
      </w:r>
    </w:p>
    <w:p>
      <w:pPr>
        <w:pStyle w:val="Footnotesection"/>
      </w:pPr>
      <w:r>
        <w:tab/>
        <w:t>[Rule 7 inserted: Gazette 12 Jun 2012 p. 2451.]</w:t>
      </w:r>
    </w:p>
    <w:p>
      <w:pPr>
        <w:pStyle w:val="Heading5"/>
        <w:rPr>
          <w:snapToGrid w:val="0"/>
        </w:rPr>
      </w:pPr>
      <w:bookmarkStart w:id="288" w:name="_Toc163120773"/>
      <w:r>
        <w:rPr>
          <w:rStyle w:val="CharSectno"/>
        </w:rPr>
        <w:t>8</w:t>
      </w:r>
      <w:r>
        <w:rPr>
          <w:snapToGrid w:val="0"/>
        </w:rPr>
        <w:t>.</w:t>
      </w:r>
      <w:r>
        <w:rPr>
          <w:snapToGrid w:val="0"/>
        </w:rPr>
        <w:tab/>
        <w:t>Person not named may defend action for possession of land</w:t>
      </w:r>
      <w:bookmarkEnd w:id="288"/>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289" w:name="_Toc163120774"/>
      <w:r>
        <w:rPr>
          <w:rStyle w:val="CharSectno"/>
        </w:rPr>
        <w:lastRenderedPageBreak/>
        <w:t>9</w:t>
      </w:r>
      <w:r>
        <w:rPr>
          <w:snapToGrid w:val="0"/>
        </w:rPr>
        <w:t>.</w:t>
      </w:r>
      <w:r>
        <w:rPr>
          <w:snapToGrid w:val="0"/>
        </w:rPr>
        <w:tab/>
        <w:t>Person appearing under r. 8 to be named as defendant</w:t>
      </w:r>
      <w:bookmarkEnd w:id="289"/>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290" w:name="_Toc163120775"/>
      <w:r>
        <w:rPr>
          <w:rStyle w:val="CharSectno"/>
        </w:rPr>
        <w:t>10</w:t>
      </w:r>
      <w:r>
        <w:rPr>
          <w:snapToGrid w:val="0"/>
        </w:rPr>
        <w:t>.</w:t>
      </w:r>
      <w:r>
        <w:rPr>
          <w:snapToGrid w:val="0"/>
        </w:rPr>
        <w:tab/>
        <w:t>Limiting defence in action for possession of land</w:t>
      </w:r>
      <w:bookmarkEnd w:id="290"/>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 xml:space="preserve">The notice mentioned in </w:t>
      </w:r>
      <w:r>
        <w:t>subrule</w:t>
      </w:r>
      <w:r>
        <w:rPr>
          <w:snapToGrid w:val="0"/>
        </w:rPr>
        <w:t> (1) shall be in accordance with Form No. 7.</w:t>
      </w:r>
    </w:p>
    <w:p>
      <w:pPr>
        <w:pStyle w:val="Footnotesection"/>
      </w:pPr>
      <w:r>
        <w:tab/>
        <w:t>[Rule 10 amended: Gazette 28 Jun 2011 p. 2552.]</w:t>
      </w:r>
    </w:p>
    <w:p>
      <w:pPr>
        <w:pStyle w:val="Heading5"/>
      </w:pPr>
      <w:bookmarkStart w:id="291" w:name="_Toc161821926"/>
      <w:bookmarkStart w:id="292" w:name="_Toc161822334"/>
      <w:bookmarkStart w:id="293" w:name="_Toc163120776"/>
      <w:r>
        <w:rPr>
          <w:rStyle w:val="CharSectno"/>
        </w:rPr>
        <w:t>11</w:t>
      </w:r>
      <w:r>
        <w:t>.</w:t>
      </w:r>
      <w:r>
        <w:tab/>
        <w:t>Defendant who wishes to abide by decision of court to file notice of intention to abide</w:t>
      </w:r>
      <w:bookmarkEnd w:id="291"/>
      <w:bookmarkEnd w:id="292"/>
      <w:bookmarkEnd w:id="293"/>
    </w:p>
    <w:p>
      <w:pPr>
        <w:pStyle w:val="Subsection"/>
      </w:pPr>
      <w:r>
        <w:tab/>
        <w:t>(1)</w:t>
      </w:r>
      <w:r>
        <w:tab/>
        <w:t xml:space="preserve">This rule applies if a defendant to an action — </w:t>
      </w:r>
    </w:p>
    <w:p>
      <w:pPr>
        <w:pStyle w:val="Indenta"/>
      </w:pPr>
      <w:r>
        <w:tab/>
        <w:t>(a)</w:t>
      </w:r>
      <w:r>
        <w:tab/>
        <w:t>does not intend to take part in the action; and</w:t>
      </w:r>
    </w:p>
    <w:p>
      <w:pPr>
        <w:pStyle w:val="Indenta"/>
      </w:pPr>
      <w:r>
        <w:tab/>
        <w:t>(b)</w:t>
      </w:r>
      <w:r>
        <w:tab/>
        <w:t xml:space="preserve">either — </w:t>
      </w:r>
    </w:p>
    <w:p>
      <w:pPr>
        <w:pStyle w:val="Indenti"/>
      </w:pPr>
      <w:r>
        <w:tab/>
        <w:t>(i)</w:t>
      </w:r>
      <w:r>
        <w:tab/>
        <w:t>intends to accept all orders of the Court made in the action; or</w:t>
      </w:r>
    </w:p>
    <w:p>
      <w:pPr>
        <w:pStyle w:val="Indenti"/>
      </w:pPr>
      <w:r>
        <w:tab/>
        <w:t>(ii)</w:t>
      </w:r>
      <w:r>
        <w:tab/>
        <w:t>intends to accept all orders of the Court made in the action, other than an order made as to costs.</w:t>
      </w:r>
    </w:p>
    <w:p>
      <w:pPr>
        <w:pStyle w:val="Subsection"/>
      </w:pPr>
      <w:r>
        <w:tab/>
        <w:t>(2)</w:t>
      </w:r>
      <w:r>
        <w:tab/>
        <w:t xml:space="preserve">The defendant must file and serve 2 copies of a Form 8 that are signed by — </w:t>
      </w:r>
    </w:p>
    <w:p>
      <w:pPr>
        <w:pStyle w:val="Indenta"/>
      </w:pPr>
      <w:r>
        <w:tab/>
        <w:t>(a)</w:t>
      </w:r>
      <w:r>
        <w:tab/>
        <w:t>the legal practitioner who acts for the defendant; or</w:t>
      </w:r>
    </w:p>
    <w:p>
      <w:pPr>
        <w:pStyle w:val="Indenta"/>
      </w:pPr>
      <w:r>
        <w:lastRenderedPageBreak/>
        <w:tab/>
        <w:t>(b)</w:t>
      </w:r>
      <w:r>
        <w:tab/>
        <w:t>if the non</w:t>
      </w:r>
      <w:r>
        <w:noBreakHyphen/>
        <w:t>participating party is self</w:t>
      </w:r>
      <w:r>
        <w:noBreakHyphen/>
        <w:t>represented, the defendant.</w:t>
      </w:r>
    </w:p>
    <w:p>
      <w:pPr>
        <w:pStyle w:val="Footnotesection"/>
      </w:pPr>
      <w:r>
        <w:tab/>
        <w:t>[Rule 11 inserted: SL 2024/38 r. 13.]</w:t>
      </w:r>
    </w:p>
    <w:p>
      <w:pPr>
        <w:pStyle w:val="Heading2"/>
      </w:pPr>
      <w:bookmarkStart w:id="294" w:name="_Toc162940315"/>
      <w:bookmarkStart w:id="295" w:name="_Toc162953104"/>
      <w:bookmarkStart w:id="296" w:name="_Toc163120777"/>
      <w:r>
        <w:rPr>
          <w:rStyle w:val="CharPartNo"/>
        </w:rPr>
        <w:lastRenderedPageBreak/>
        <w:t>Order 13</w:t>
      </w:r>
      <w:r>
        <w:rPr>
          <w:rStyle w:val="CharDivNo"/>
        </w:rPr>
        <w:t> </w:t>
      </w:r>
      <w:r>
        <w:t>—</w:t>
      </w:r>
      <w:r>
        <w:rPr>
          <w:rStyle w:val="CharDivText"/>
        </w:rPr>
        <w:t> </w:t>
      </w:r>
      <w:r>
        <w:rPr>
          <w:rStyle w:val="CharPartText"/>
        </w:rPr>
        <w:t>Judgment in default of appearance to writ</w:t>
      </w:r>
      <w:bookmarkEnd w:id="294"/>
      <w:bookmarkEnd w:id="295"/>
      <w:bookmarkEnd w:id="296"/>
    </w:p>
    <w:p>
      <w:pPr>
        <w:pStyle w:val="Footnoteheading"/>
      </w:pPr>
      <w:r>
        <w:tab/>
        <w:t>[Heading inserted: Gazette 16 Nov 2016 p. 5189.]</w:t>
      </w:r>
    </w:p>
    <w:p>
      <w:pPr>
        <w:pStyle w:val="Heading5"/>
      </w:pPr>
      <w:bookmarkStart w:id="297" w:name="_Toc163120778"/>
      <w:r>
        <w:rPr>
          <w:rStyle w:val="CharSectno"/>
        </w:rPr>
        <w:t>1</w:t>
      </w:r>
      <w:r>
        <w:t>.</w:t>
      </w:r>
      <w:r>
        <w:tab/>
        <w:t>Plaintiff may enter judgment if defendant fails to enter appearance</w:t>
      </w:r>
      <w:bookmarkEnd w:id="297"/>
    </w:p>
    <w:p>
      <w:pPr>
        <w:pStyle w:val="Subsection"/>
      </w:pPr>
      <w:r>
        <w:tab/>
        <w:t>(1)</w:t>
      </w:r>
      <w:r>
        <w:tab/>
        <w:t>This Order applies only to proceedings commenced by writ.</w:t>
      </w:r>
    </w:p>
    <w:p>
      <w:pPr>
        <w:pStyle w:val="Subsection"/>
      </w:pPr>
      <w:r>
        <w:tab/>
        <w:t>(2)</w:t>
      </w:r>
      <w:r>
        <w:tab/>
        <w:t>If a defendant does not enter an appearance within the time limited for appearing, the plaintiff may enter judgment against that defendant in accordance with this Order.</w:t>
      </w:r>
    </w:p>
    <w:p>
      <w:pPr>
        <w:pStyle w:val="Subsection"/>
      </w:pPr>
      <w:r>
        <w:tab/>
        <w:t>(3)</w:t>
      </w:r>
      <w:r>
        <w:tab/>
        <w:t xml:space="preserve">Judgment must not be entered against a defendant under this Order unless — </w:t>
      </w:r>
    </w:p>
    <w:p>
      <w:pPr>
        <w:pStyle w:val="Indenta"/>
      </w:pPr>
      <w:r>
        <w:tab/>
        <w:t>(a)</w:t>
      </w:r>
      <w:r>
        <w:tab/>
        <w:t>an affidavit is filed by or on behalf of the plaintiff proving service of the writ on the defendant and indorsement of service in accordance with Order 9 rule 1(4); or</w:t>
      </w:r>
    </w:p>
    <w:p>
      <w:pPr>
        <w:pStyle w:val="Indenta"/>
      </w:pPr>
      <w:r>
        <w:tab/>
        <w:t>(b)</w:t>
      </w:r>
      <w:r>
        <w:tab/>
        <w:t>the plaintiff produces the writ indorsed by the defendant’s solicitor with a statement that the defendant’s solicitor accepts service of the writ on the defendant’s behalf.</w:t>
      </w:r>
    </w:p>
    <w:p>
      <w:pPr>
        <w:pStyle w:val="Subsection"/>
      </w:pPr>
      <w:r>
        <w:tab/>
        <w:t>(4)</w:t>
      </w:r>
      <w:r>
        <w:tab/>
        <w:t>The Court may require to be satisfied in whatever manner it thinks fit that the defendant has failed to enter an appearance.</w:t>
      </w:r>
    </w:p>
    <w:p>
      <w:pPr>
        <w:pStyle w:val="Footnotesection"/>
      </w:pPr>
      <w:r>
        <w:tab/>
        <w:t>[Rule 1 inserted: Gazette 16 Nov 2016 p. 5189</w:t>
      </w:r>
      <w:r>
        <w:noBreakHyphen/>
        <w:t>90.]</w:t>
      </w:r>
    </w:p>
    <w:p>
      <w:pPr>
        <w:pStyle w:val="Heading5"/>
      </w:pPr>
      <w:bookmarkStart w:id="298" w:name="_Toc163120779"/>
      <w:r>
        <w:rPr>
          <w:rStyle w:val="CharSectno"/>
        </w:rPr>
        <w:t>2</w:t>
      </w:r>
      <w:r>
        <w:t>.</w:t>
      </w:r>
      <w:r>
        <w:tab/>
        <w:t>Claim for liquidated demand</w:t>
      </w:r>
      <w:bookmarkEnd w:id="298"/>
    </w:p>
    <w:p>
      <w:pPr>
        <w:pStyle w:val="Subsection"/>
      </w:pPr>
      <w:r>
        <w:tab/>
        <w:t>(1)</w:t>
      </w:r>
      <w:r>
        <w:tab/>
        <w:t xml:space="preserve">If the writ is indorsed with a claim for a liquidated demand only, then, if a defendant fails to enter an appearance within the time limited for appearing, the plaintiff may — </w:t>
      </w:r>
    </w:p>
    <w:p>
      <w:pPr>
        <w:pStyle w:val="Indenta"/>
      </w:pPr>
      <w:r>
        <w:tab/>
        <w:t>(a)</w:t>
      </w:r>
      <w:r>
        <w:tab/>
        <w:t>enter judgment against the defendant for a sum not exceeding that claimed by the writ in respect of the demand and costs; and</w:t>
      </w:r>
    </w:p>
    <w:p>
      <w:pPr>
        <w:pStyle w:val="Indenta"/>
        <w:keepNext/>
      </w:pPr>
      <w:r>
        <w:lastRenderedPageBreak/>
        <w:tab/>
        <w:t>(b)</w:t>
      </w:r>
      <w:r>
        <w:tab/>
        <w:t>proceed with the action against the other defendants, if any, unless the defendants are sued in the alternative.</w:t>
      </w:r>
    </w:p>
    <w:p>
      <w:pPr>
        <w:pStyle w:val="Subsection"/>
      </w:pPr>
      <w:r>
        <w:tab/>
        <w:t>(2)</w:t>
      </w:r>
      <w:r>
        <w:tab/>
        <w:t>On a judgment under this rule, the plaintiff may issue execution on the judgment.</w:t>
      </w:r>
    </w:p>
    <w:p>
      <w:pPr>
        <w:pStyle w:val="Subsection"/>
      </w:pPr>
      <w:r>
        <w:tab/>
        <w:t>(3)</w:t>
      </w:r>
      <w:r>
        <w:tab/>
        <w:t>A claim is not excluded from this rule just because part of it is for interest under section 32 of the Act at a rate that is not higher than that payable on judgment debts at the date of the writ.</w:t>
      </w:r>
    </w:p>
    <w:p>
      <w:pPr>
        <w:pStyle w:val="Footnotesection"/>
      </w:pPr>
      <w:r>
        <w:tab/>
        <w:t>[Rule 2 inserted: Gazette 16 Nov 2016 p. 5190.]</w:t>
      </w:r>
    </w:p>
    <w:p>
      <w:pPr>
        <w:pStyle w:val="Heading5"/>
      </w:pPr>
      <w:bookmarkStart w:id="299" w:name="_Toc163120780"/>
      <w:r>
        <w:rPr>
          <w:rStyle w:val="CharSectno"/>
        </w:rPr>
        <w:t>3</w:t>
      </w:r>
      <w:r>
        <w:t>.</w:t>
      </w:r>
      <w:r>
        <w:tab/>
        <w:t>Claims for unliquidated damages</w:t>
      </w:r>
      <w:bookmarkEnd w:id="299"/>
    </w:p>
    <w:p>
      <w:pPr>
        <w:pStyle w:val="Subsection"/>
      </w:pPr>
      <w:r>
        <w:tab/>
        <w:t>(1)</w:t>
      </w:r>
      <w:r>
        <w:tab/>
        <w:t xml:space="preserve">If the writ is indorsed with a claim for unliquidated damages only, then, if a defendant fails to enter an appearance within the time limited for appearing, the plaintiff may — </w:t>
      </w:r>
    </w:p>
    <w:p>
      <w:pPr>
        <w:pStyle w:val="Indenta"/>
      </w:pPr>
      <w:r>
        <w:tab/>
        <w:t>(a)</w:t>
      </w:r>
      <w:r>
        <w:tab/>
        <w:t>enter judgment against the defendant and obtain an order for directions for the assessment of damages; and</w:t>
      </w:r>
    </w:p>
    <w:p>
      <w:pPr>
        <w:pStyle w:val="Indenta"/>
      </w:pPr>
      <w:r>
        <w:tab/>
        <w:t>(b)</w:t>
      </w:r>
      <w:r>
        <w:tab/>
        <w:t>proceed with the action against the other defendants, if any, unless the defendants are sued in the alternative.</w:t>
      </w:r>
    </w:p>
    <w:p>
      <w:pPr>
        <w:pStyle w:val="Subsection"/>
      </w:pPr>
      <w:r>
        <w:tab/>
        <w:t>(2)</w:t>
      </w:r>
      <w:r>
        <w:tab/>
        <w:t xml:space="preserve">On a judgment under this rule — </w:t>
      </w:r>
    </w:p>
    <w:p>
      <w:pPr>
        <w:pStyle w:val="Indenta"/>
      </w:pPr>
      <w:r>
        <w:tab/>
        <w:t>(a)</w:t>
      </w:r>
      <w:r>
        <w:tab/>
        <w:t>damages are to be assessed by a master unless the Court orders otherwise; and</w:t>
      </w:r>
    </w:p>
    <w:p>
      <w:pPr>
        <w:pStyle w:val="Indenta"/>
      </w:pPr>
      <w:r>
        <w:tab/>
        <w:t>(b)</w:t>
      </w:r>
      <w:r>
        <w:tab/>
        <w:t>judgment after the assessment of damages is to be entered as a default judgment under this rule; and</w:t>
      </w:r>
    </w:p>
    <w:p>
      <w:pPr>
        <w:pStyle w:val="Indenta"/>
      </w:pPr>
      <w:r>
        <w:tab/>
        <w:t>(c)</w:t>
      </w:r>
      <w:r>
        <w:tab/>
        <w:t>the plaintiff may issue execution on the judgment.</w:t>
      </w:r>
    </w:p>
    <w:p>
      <w:pPr>
        <w:pStyle w:val="Footnotesection"/>
      </w:pPr>
      <w:r>
        <w:tab/>
        <w:t>[Rule 3 inserted: Gazette 16 Nov 2016 p. 5190</w:t>
      </w:r>
      <w:r>
        <w:noBreakHyphen/>
        <w:t>1.]</w:t>
      </w:r>
    </w:p>
    <w:p>
      <w:pPr>
        <w:pStyle w:val="Heading5"/>
      </w:pPr>
      <w:bookmarkStart w:id="300" w:name="_Toc163120781"/>
      <w:r>
        <w:rPr>
          <w:rStyle w:val="CharSectno"/>
        </w:rPr>
        <w:t>4</w:t>
      </w:r>
      <w:r>
        <w:t>.</w:t>
      </w:r>
      <w:r>
        <w:tab/>
        <w:t>Claim relating to detention of goods (excluding mortgage actions)</w:t>
      </w:r>
      <w:bookmarkEnd w:id="300"/>
    </w:p>
    <w:p>
      <w:pPr>
        <w:pStyle w:val="Subsection"/>
        <w:keepNext/>
      </w:pPr>
      <w:r>
        <w:tab/>
        <w:t>(1)</w:t>
      </w:r>
      <w:r>
        <w:tab/>
        <w:t xml:space="preserve">If the writ is indorsed with a claim relating to the detention of goods only and is not a mortgage action, then, if a defendant </w:t>
      </w:r>
      <w:r>
        <w:lastRenderedPageBreak/>
        <w:t xml:space="preserve">fails to enter an appearance within the time limited for appearing, the plaintiff may — </w:t>
      </w:r>
    </w:p>
    <w:p>
      <w:pPr>
        <w:pStyle w:val="Indenta"/>
      </w:pPr>
      <w:r>
        <w:tab/>
        <w:t>(a)</w:t>
      </w:r>
      <w:r>
        <w:tab/>
        <w:t>at the plaintif</w:t>
      </w:r>
      <w:r>
        <w:rPr>
          <w:spacing w:val="20"/>
        </w:rPr>
        <w:t>f</w:t>
      </w:r>
      <w:r>
        <w:t xml:space="preserve">’s option, enter judgment against the defendant either — </w:t>
      </w:r>
    </w:p>
    <w:p>
      <w:pPr>
        <w:pStyle w:val="Indenti"/>
      </w:pPr>
      <w:r>
        <w:tab/>
        <w:t>(i)</w:t>
      </w:r>
      <w:r>
        <w:tab/>
        <w:t>for the delivery of the goods or their value to be assessed and costs; or</w:t>
      </w:r>
    </w:p>
    <w:p>
      <w:pPr>
        <w:pStyle w:val="Indenti"/>
      </w:pPr>
      <w:r>
        <w:tab/>
        <w:t>(ii)</w:t>
      </w:r>
      <w:r>
        <w:tab/>
        <w:t>for the value of the goods to be assessed and costs;</w:t>
      </w:r>
    </w:p>
    <w:p>
      <w:pPr>
        <w:pStyle w:val="Indenta"/>
      </w:pPr>
      <w:r>
        <w:tab/>
      </w:r>
      <w:r>
        <w:tab/>
        <w:t>and</w:t>
      </w:r>
    </w:p>
    <w:p>
      <w:pPr>
        <w:pStyle w:val="Indenta"/>
      </w:pPr>
      <w:r>
        <w:tab/>
        <w:t>(b)</w:t>
      </w:r>
      <w:r>
        <w:tab/>
        <w:t>proceed with the action against the other defendants, if any, unless the defendants are sued in the alternative.</w:t>
      </w:r>
    </w:p>
    <w:p>
      <w:pPr>
        <w:pStyle w:val="Subsection"/>
      </w:pPr>
      <w:r>
        <w:tab/>
        <w:t>(2)</w:t>
      </w:r>
      <w:r>
        <w:tab/>
        <w:t>On a judgment under this rule —</w:t>
      </w:r>
    </w:p>
    <w:p>
      <w:pPr>
        <w:pStyle w:val="Indenta"/>
      </w:pPr>
      <w:r>
        <w:tab/>
        <w:t>(a)</w:t>
      </w:r>
      <w:r>
        <w:tab/>
        <w:t>the value of the goods is to be assessed by a master unless the Court orders otherwise; and</w:t>
      </w:r>
    </w:p>
    <w:p>
      <w:pPr>
        <w:pStyle w:val="Indenta"/>
      </w:pPr>
      <w:r>
        <w:tab/>
        <w:t>(b)</w:t>
      </w:r>
      <w:r>
        <w:tab/>
        <w:t>judgment after the assessment of the value of the goods is to be entered as a default judgment under this rule; and</w:t>
      </w:r>
    </w:p>
    <w:p>
      <w:pPr>
        <w:pStyle w:val="Indenta"/>
      </w:pPr>
      <w:r>
        <w:tab/>
        <w:t>(c)</w:t>
      </w:r>
      <w:r>
        <w:tab/>
        <w:t>the plaintiff may issue execution on the judgment, except as provided in subrule (3).</w:t>
      </w:r>
    </w:p>
    <w:p>
      <w:pPr>
        <w:pStyle w:val="Subsection"/>
      </w:pPr>
      <w:r>
        <w:tab/>
        <w:t>(3)</w:t>
      </w:r>
      <w:r>
        <w:tab/>
        <w:t>If the judgment is for the delivery of goods it cannot be enforced against any defendant unless judgment has been entered or obtained against all other defendants, if any.</w:t>
      </w:r>
    </w:p>
    <w:p>
      <w:pPr>
        <w:pStyle w:val="Footnotesection"/>
      </w:pPr>
      <w:r>
        <w:tab/>
        <w:t>[Rule 4 inserted: Gazette 16 Nov 2016 p. 5191</w:t>
      </w:r>
      <w:r>
        <w:noBreakHyphen/>
        <w:t>2.]</w:t>
      </w:r>
    </w:p>
    <w:p>
      <w:pPr>
        <w:pStyle w:val="Heading5"/>
      </w:pPr>
      <w:bookmarkStart w:id="301" w:name="_Toc163120782"/>
      <w:r>
        <w:rPr>
          <w:rStyle w:val="CharSectno"/>
        </w:rPr>
        <w:t>5</w:t>
      </w:r>
      <w:r>
        <w:t>.</w:t>
      </w:r>
      <w:r>
        <w:tab/>
        <w:t>Claim for possession of land (excluding mortgage actions)</w:t>
      </w:r>
      <w:bookmarkEnd w:id="301"/>
    </w:p>
    <w:p>
      <w:pPr>
        <w:pStyle w:val="Subsection"/>
      </w:pPr>
      <w:r>
        <w:tab/>
        <w:t>(1)</w:t>
      </w:r>
      <w:r>
        <w:tab/>
        <w:t xml:space="preserve">If the writ is indorsed with a claim for possession of land only, then, if a defendant fails to enter an appearance within the time limited for appearing, the plaintiff may, on complying with subrule (2) — </w:t>
      </w:r>
    </w:p>
    <w:p>
      <w:pPr>
        <w:pStyle w:val="Indenta"/>
      </w:pPr>
      <w:r>
        <w:tab/>
        <w:t>(a)</w:t>
      </w:r>
      <w:r>
        <w:tab/>
        <w:t>enter judgment for possession of the land against the defendant and costs; and</w:t>
      </w:r>
    </w:p>
    <w:p>
      <w:pPr>
        <w:pStyle w:val="Indenta"/>
      </w:pPr>
      <w:r>
        <w:lastRenderedPageBreak/>
        <w:tab/>
        <w:t>(b)</w:t>
      </w:r>
      <w:r>
        <w:tab/>
        <w:t>proceed with the action against the other defendants, if any.</w:t>
      </w:r>
    </w:p>
    <w:p>
      <w:pPr>
        <w:pStyle w:val="Subsection"/>
      </w:pPr>
      <w:r>
        <w:tab/>
        <w:t>(2)</w:t>
      </w:r>
      <w:r>
        <w:tab/>
        <w:t>In order to enter judgment under this rule, the plaintiff must file a certificate from the plaintif</w:t>
      </w:r>
      <w:r>
        <w:rPr>
          <w:spacing w:val="20"/>
        </w:rPr>
        <w:t>f</w:t>
      </w:r>
      <w:r>
        <w:t>’s solicitor or, if suing in person, an affidavit stating that the plaintiff is not claiming relief of any of the kinds referred to in Order 4AA rule 2(1).</w:t>
      </w:r>
    </w:p>
    <w:p>
      <w:pPr>
        <w:pStyle w:val="Subsection"/>
      </w:pPr>
      <w:r>
        <w:tab/>
        <w:t>(3)</w:t>
      </w:r>
      <w:r>
        <w:tab/>
        <w:t>On a judgment under this rule, the plaintiff may issue execution of the judgment, except as provided in subrule (4).</w:t>
      </w:r>
    </w:p>
    <w:p>
      <w:pPr>
        <w:pStyle w:val="Subsection"/>
      </w:pPr>
      <w:r>
        <w:tab/>
        <w:t>(4)</w:t>
      </w:r>
      <w:r>
        <w:tab/>
        <w:t>If there is more than one defendant, judgment entered under this rule cannot be enforced against any defendant unless judgment has been entered or obtained against all the defendants.</w:t>
      </w:r>
    </w:p>
    <w:p>
      <w:pPr>
        <w:pStyle w:val="Footnotesection"/>
      </w:pPr>
      <w:r>
        <w:tab/>
        <w:t>[Rule 5 inserted: Gazette 16 Nov 2016 p. 5192.]</w:t>
      </w:r>
    </w:p>
    <w:p>
      <w:pPr>
        <w:pStyle w:val="Heading5"/>
      </w:pPr>
      <w:bookmarkStart w:id="302" w:name="_Toc163120783"/>
      <w:r>
        <w:rPr>
          <w:rStyle w:val="CharSectno"/>
        </w:rPr>
        <w:t>6</w:t>
      </w:r>
      <w:r>
        <w:t>.</w:t>
      </w:r>
      <w:r>
        <w:tab/>
        <w:t>Mortgage actions</w:t>
      </w:r>
      <w:bookmarkEnd w:id="302"/>
    </w:p>
    <w:p>
      <w:pPr>
        <w:pStyle w:val="Subsection"/>
      </w:pPr>
      <w:r>
        <w:tab/>
        <w:t>(1)</w:t>
      </w:r>
      <w:r>
        <w:tab/>
        <w:t xml:space="preserve">If an action begun by writ is a mortgage action, then, if a defendant fails to enter an appearance within the time limited for appearing, the plaintiff may, subject to subrules (2) and (3) — </w:t>
      </w:r>
    </w:p>
    <w:p>
      <w:pPr>
        <w:pStyle w:val="Indenta"/>
      </w:pPr>
      <w:r>
        <w:tab/>
        <w:t>(a)</w:t>
      </w:r>
      <w:r>
        <w:tab/>
        <w:t>enter judgment against the defendant for the relief sought and costs; and</w:t>
      </w:r>
    </w:p>
    <w:p>
      <w:pPr>
        <w:pStyle w:val="Indenta"/>
      </w:pPr>
      <w:r>
        <w:tab/>
        <w:t>(b)</w:t>
      </w:r>
      <w:r>
        <w:tab/>
        <w:t>proceed with the action against the other defendants, if any, unless the defendants are sued in the alternative.</w:t>
      </w:r>
    </w:p>
    <w:p>
      <w:pPr>
        <w:pStyle w:val="Subsection"/>
      </w:pPr>
      <w:r>
        <w:tab/>
        <w:t>(2)</w:t>
      </w:r>
      <w:r>
        <w:tab/>
        <w:t xml:space="preserve">If the writ is indorsed with a claim for relief of a kind referred to in Order 4AA rule 2(1)(a), (b) or (c), in order to enter judgment under this rule, the plaintiff must, after the time limited for appearing has expired — </w:t>
      </w:r>
    </w:p>
    <w:p>
      <w:pPr>
        <w:pStyle w:val="Indenta"/>
      </w:pPr>
      <w:r>
        <w:tab/>
        <w:t>(a)</w:t>
      </w:r>
      <w:r>
        <w:tab/>
        <w:t>serve on the defendant a notice in Form 36A with a copy of the writ and Form 4 attached to it; and</w:t>
      </w:r>
    </w:p>
    <w:p>
      <w:pPr>
        <w:pStyle w:val="Indenta"/>
      </w:pPr>
      <w:r>
        <w:tab/>
        <w:t>(b)</w:t>
      </w:r>
      <w:r>
        <w:tab/>
        <w:t xml:space="preserve">not less than 11 days after serving the notice, file but need not serve — </w:t>
      </w:r>
    </w:p>
    <w:p>
      <w:pPr>
        <w:pStyle w:val="Indenti"/>
      </w:pPr>
      <w:r>
        <w:tab/>
        <w:t>(i)</w:t>
      </w:r>
      <w:r>
        <w:tab/>
        <w:t>a request to enter default judgment in Form 36B; and</w:t>
      </w:r>
    </w:p>
    <w:p>
      <w:pPr>
        <w:pStyle w:val="Indenti"/>
      </w:pPr>
      <w:r>
        <w:lastRenderedPageBreak/>
        <w:tab/>
        <w:t>(ii)</w:t>
      </w:r>
      <w:r>
        <w:tab/>
        <w:t>an affidavit in support that complies with rule 7.</w:t>
      </w:r>
    </w:p>
    <w:p>
      <w:pPr>
        <w:pStyle w:val="Subsection"/>
      </w:pPr>
      <w:r>
        <w:tab/>
        <w:t>(3)</w:t>
      </w:r>
      <w:r>
        <w:tab/>
        <w:t xml:space="preserve">If, in addition to a claim for relief of a kind referred to in Order 4AA rule 2(1)(a), (b) or (c), the writ is also indorsed with a claim for payment of money secured by the mortgage, the Form 36B request to enter default judgment must certify — </w:t>
      </w:r>
    </w:p>
    <w:p>
      <w:pPr>
        <w:pStyle w:val="Indenta"/>
      </w:pPr>
      <w:r>
        <w:tab/>
        <w:t>(a)</w:t>
      </w:r>
      <w:r>
        <w:tab/>
        <w:t>the amount owing to the plaintiff under the mortgage as at the date of the filing of the request; and</w:t>
      </w:r>
    </w:p>
    <w:p>
      <w:pPr>
        <w:pStyle w:val="Indenta"/>
      </w:pPr>
      <w:r>
        <w:tab/>
        <w:t>(b)</w:t>
      </w:r>
      <w:r>
        <w:tab/>
        <w:t>if the claims include a claim for interest after judgment, the amount of a day’s interest.</w:t>
      </w:r>
    </w:p>
    <w:p>
      <w:pPr>
        <w:pStyle w:val="Subsection"/>
      </w:pPr>
      <w:r>
        <w:tab/>
        <w:t>(4)</w:t>
      </w:r>
      <w:r>
        <w:tab/>
        <w:t>On a judgment under this rule, the plaintiff may issue execution on the judgment, except as provided in subrule (5).</w:t>
      </w:r>
    </w:p>
    <w:p>
      <w:pPr>
        <w:pStyle w:val="Subsection"/>
      </w:pPr>
      <w:r>
        <w:tab/>
        <w:t>(5)</w:t>
      </w:r>
      <w:r>
        <w:tab/>
        <w:t>If there is more than one defendant, judgment entered under this rule cannot be enforced against any defendant unless judgment has been entered or obtained against all the defendants.</w:t>
      </w:r>
    </w:p>
    <w:p>
      <w:pPr>
        <w:pStyle w:val="Subsection"/>
      </w:pPr>
      <w:r>
        <w:tab/>
        <w:t>(6)</w:t>
      </w:r>
      <w:r>
        <w:tab/>
        <w:t>Unless the Court orders otherwise, if judgment against a defendant under this rule is for the kind of relief referred to in Order 4AA rule 2(1)(a), within 28 days after service of the judgment the defendant must give the plaintiff possession of the mortgaged property.</w:t>
      </w:r>
    </w:p>
    <w:p>
      <w:pPr>
        <w:pStyle w:val="Footnotesection"/>
      </w:pPr>
      <w:r>
        <w:tab/>
        <w:t>[Rule 6 inserted: Gazette 16 Nov 2016 p. 5192</w:t>
      </w:r>
      <w:r>
        <w:noBreakHyphen/>
        <w:t>4.]</w:t>
      </w:r>
    </w:p>
    <w:p>
      <w:pPr>
        <w:pStyle w:val="Heading5"/>
      </w:pPr>
      <w:bookmarkStart w:id="303" w:name="_Toc163120784"/>
      <w:r>
        <w:rPr>
          <w:rStyle w:val="CharSectno"/>
        </w:rPr>
        <w:t>7</w:t>
      </w:r>
      <w:r>
        <w:t>.</w:t>
      </w:r>
      <w:r>
        <w:tab/>
        <w:t>Content of affidavit required by r. 6(2)(b)(ii)</w:t>
      </w:r>
      <w:bookmarkEnd w:id="303"/>
    </w:p>
    <w:p>
      <w:pPr>
        <w:pStyle w:val="Subsection"/>
      </w:pPr>
      <w:r>
        <w:tab/>
        <w:t>(1)</w:t>
      </w:r>
      <w:r>
        <w:tab/>
        <w:t xml:space="preserve">In this rule — </w:t>
      </w:r>
    </w:p>
    <w:p>
      <w:pPr>
        <w:pStyle w:val="Defstart"/>
      </w:pPr>
      <w:r>
        <w:tab/>
      </w:r>
      <w:r>
        <w:rPr>
          <w:rStyle w:val="CharDefText"/>
        </w:rPr>
        <w:t>mortgage</w:t>
      </w:r>
      <w:r>
        <w:t xml:space="preserve">, </w:t>
      </w:r>
      <w:r>
        <w:rPr>
          <w:rStyle w:val="CharDefText"/>
        </w:rPr>
        <w:t>mortgagee</w:t>
      </w:r>
      <w:r>
        <w:t xml:space="preserve"> and </w:t>
      </w:r>
      <w:r>
        <w:rPr>
          <w:rStyle w:val="CharDefText"/>
        </w:rPr>
        <w:t>mortgagor</w:t>
      </w:r>
      <w:r>
        <w:t xml:space="preserve"> have the meanings given in Order 4AA rule 1.</w:t>
      </w:r>
    </w:p>
    <w:p>
      <w:pPr>
        <w:pStyle w:val="Subsection"/>
      </w:pPr>
      <w:r>
        <w:tab/>
        <w:t>(2)</w:t>
      </w:r>
      <w:r>
        <w:tab/>
        <w:t xml:space="preserve">An affidavit in support filed under rule 6(2)(b)(ii) must — </w:t>
      </w:r>
    </w:p>
    <w:p>
      <w:pPr>
        <w:pStyle w:val="Indenta"/>
      </w:pPr>
      <w:r>
        <w:tab/>
        <w:t>(a)</w:t>
      </w:r>
      <w:r>
        <w:tab/>
        <w:t>specify the property that is mortgaged; and</w:t>
      </w:r>
    </w:p>
    <w:p>
      <w:pPr>
        <w:pStyle w:val="Indenta"/>
      </w:pPr>
      <w:r>
        <w:tab/>
        <w:t>(b)</w:t>
      </w:r>
      <w:r>
        <w:tab/>
        <w:t>specify the person who is the proprietor of the mortgaged property; and</w:t>
      </w:r>
    </w:p>
    <w:p>
      <w:pPr>
        <w:pStyle w:val="Indenta"/>
        <w:keepNext/>
      </w:pPr>
      <w:r>
        <w:lastRenderedPageBreak/>
        <w:tab/>
        <w:t>(c)</w:t>
      </w:r>
      <w:r>
        <w:tab/>
        <w:t xml:space="preserve">have attached to it a copy of — </w:t>
      </w:r>
    </w:p>
    <w:p>
      <w:pPr>
        <w:pStyle w:val="Indenti"/>
      </w:pPr>
      <w:r>
        <w:tab/>
        <w:t>(i)</w:t>
      </w:r>
      <w:r>
        <w:tab/>
        <w:t>the certificate of title or other document that is evidence of title to the mortgaged property; and</w:t>
      </w:r>
    </w:p>
    <w:p>
      <w:pPr>
        <w:pStyle w:val="Indenti"/>
      </w:pPr>
      <w:r>
        <w:tab/>
        <w:t>(ii)</w:t>
      </w:r>
      <w:r>
        <w:tab/>
        <w:t>the mortgage;</w:t>
      </w:r>
    </w:p>
    <w:p>
      <w:pPr>
        <w:pStyle w:val="Indenta"/>
      </w:pPr>
      <w:r>
        <w:tab/>
      </w:r>
      <w:r>
        <w:tab/>
        <w:t>and</w:t>
      </w:r>
    </w:p>
    <w:p>
      <w:pPr>
        <w:pStyle w:val="Indenta"/>
      </w:pPr>
      <w:r>
        <w:tab/>
        <w:t>(d)</w:t>
      </w:r>
      <w:r>
        <w:tab/>
        <w:t xml:space="preserve">give particulars of the default or other circumstances that are put forward as entitling the plaintiff to the relief sought, including — </w:t>
      </w:r>
    </w:p>
    <w:p>
      <w:pPr>
        <w:pStyle w:val="Indenti"/>
      </w:pPr>
      <w:r>
        <w:tab/>
        <w:t>(i)</w:t>
      </w:r>
      <w:r>
        <w:tab/>
        <w:t>a reference to the provision of the mortgage that the defendant is alleged to have breached; and</w:t>
      </w:r>
    </w:p>
    <w:p>
      <w:pPr>
        <w:pStyle w:val="Indenti"/>
      </w:pPr>
      <w:r>
        <w:tab/>
        <w:t>(ii)</w:t>
      </w:r>
      <w:r>
        <w:tab/>
        <w:t>a reference to the provision of the mortgage that entitles the plaintiff to the relief sought; and</w:t>
      </w:r>
    </w:p>
    <w:p>
      <w:pPr>
        <w:pStyle w:val="Indenti"/>
      </w:pPr>
      <w:r>
        <w:tab/>
        <w:t>(iii)</w:t>
      </w:r>
      <w:r>
        <w:tab/>
        <w:t>if the writ is indorsed with a claim for payment of money secured by the mortgage, a reference to any non</w:t>
      </w:r>
      <w:r>
        <w:noBreakHyphen/>
        <w:t>merger provision of the mortgage that allows the recovery of interest at mortgage rates after judgment; and</w:t>
      </w:r>
    </w:p>
    <w:p>
      <w:pPr>
        <w:pStyle w:val="Indenti"/>
      </w:pPr>
      <w:r>
        <w:tab/>
        <w:t>(iv)</w:t>
      </w:r>
      <w:r>
        <w:tab/>
        <w:t>a statement as to whether or not notice of that default or those circumstances is required to be given to the defendant under the mortgage or a written law; and</w:t>
      </w:r>
    </w:p>
    <w:p>
      <w:pPr>
        <w:pStyle w:val="Indenti"/>
      </w:pPr>
      <w:r>
        <w:tab/>
        <w:t>(v)</w:t>
      </w:r>
      <w:r>
        <w:tab/>
        <w:t>if notice is required, details of compliance with that requirement;</w:t>
      </w:r>
    </w:p>
    <w:p>
      <w:pPr>
        <w:pStyle w:val="Indenta"/>
      </w:pPr>
      <w:r>
        <w:tab/>
      </w:r>
      <w:r>
        <w:tab/>
        <w:t>and</w:t>
      </w:r>
    </w:p>
    <w:p>
      <w:pPr>
        <w:pStyle w:val="Indenta"/>
      </w:pPr>
      <w:r>
        <w:tab/>
        <w:t>(e)</w:t>
      </w:r>
      <w:r>
        <w:tab/>
        <w:t xml:space="preserve">if the claim against the defendant is for sale or possession of mortgaged property — </w:t>
      </w:r>
    </w:p>
    <w:p>
      <w:pPr>
        <w:pStyle w:val="Indenti"/>
      </w:pPr>
      <w:r>
        <w:tab/>
        <w:t>(i)</w:t>
      </w:r>
      <w:r>
        <w:tab/>
        <w:t>state that Order 4AA rule 3(2) and Order 13 rule 6(2)(a) have been complied with; and</w:t>
      </w:r>
    </w:p>
    <w:p>
      <w:pPr>
        <w:pStyle w:val="Indenti"/>
        <w:keepLines/>
      </w:pPr>
      <w:r>
        <w:tab/>
        <w:t>(ii)</w:t>
      </w:r>
      <w:r>
        <w:tab/>
        <w:t>give details of every person who, to the best of the plaintif</w:t>
      </w:r>
      <w:r>
        <w:rPr>
          <w:spacing w:val="20"/>
        </w:rPr>
        <w:t>f</w:t>
      </w:r>
      <w:r>
        <w:t>’s knowledge, is in possession of the property and the grounds for concluding that the person is in possession; and</w:t>
      </w:r>
    </w:p>
    <w:p>
      <w:pPr>
        <w:pStyle w:val="Indenti"/>
      </w:pPr>
      <w:r>
        <w:lastRenderedPageBreak/>
        <w:tab/>
        <w:t>(iii)</w:t>
      </w:r>
      <w:r>
        <w:tab/>
        <w:t xml:space="preserve">if one or more of the people who are in possession of the property are tenants of the property, give details of the steps taken by the plaintiff to comply with any applicable requirements of the </w:t>
      </w:r>
      <w:r>
        <w:rPr>
          <w:i/>
        </w:rPr>
        <w:t>Residential Tenancies Act 1987</w:t>
      </w:r>
      <w:r>
        <w:t>;</w:t>
      </w:r>
    </w:p>
    <w:p>
      <w:pPr>
        <w:pStyle w:val="Indenta"/>
      </w:pPr>
      <w:r>
        <w:tab/>
      </w:r>
      <w:r>
        <w:tab/>
        <w:t>and</w:t>
      </w:r>
    </w:p>
    <w:p>
      <w:pPr>
        <w:pStyle w:val="Indenta"/>
      </w:pPr>
      <w:r>
        <w:tab/>
        <w:t>(f)</w:t>
      </w:r>
      <w:r>
        <w:tab/>
        <w:t xml:space="preserve">specify the following as at the date of the affidavit — </w:t>
      </w:r>
    </w:p>
    <w:p>
      <w:pPr>
        <w:pStyle w:val="Indenti"/>
      </w:pPr>
      <w:r>
        <w:tab/>
        <w:t>(i)</w:t>
      </w:r>
      <w:r>
        <w:tab/>
        <w:t>the amount owing to the plaintiff under the mortgage;</w:t>
      </w:r>
    </w:p>
    <w:p>
      <w:pPr>
        <w:pStyle w:val="Indenti"/>
      </w:pPr>
      <w:r>
        <w:tab/>
        <w:t>(ii)</w:t>
      </w:r>
      <w:r>
        <w:tab/>
        <w:t>the interest rate (as a percentage) under the mortgage;</w:t>
      </w:r>
    </w:p>
    <w:p>
      <w:pPr>
        <w:pStyle w:val="Indenti"/>
      </w:pPr>
      <w:r>
        <w:tab/>
        <w:t>(iii)</w:t>
      </w:r>
      <w:r>
        <w:tab/>
        <w:t>if the claim includes a claim for interest to judgment, the amount of a day’s interest;</w:t>
      </w:r>
    </w:p>
    <w:p>
      <w:pPr>
        <w:pStyle w:val="Indenta"/>
      </w:pPr>
      <w:r>
        <w:tab/>
      </w:r>
      <w:r>
        <w:tab/>
        <w:t>and</w:t>
      </w:r>
    </w:p>
    <w:p>
      <w:pPr>
        <w:pStyle w:val="Indenta"/>
      </w:pPr>
      <w:r>
        <w:tab/>
        <w:t>(g)</w:t>
      </w:r>
      <w:r>
        <w:tab/>
        <w:t>if the plaintiff is claiming costs (other than an order that the defendant pay the plaintif</w:t>
      </w:r>
      <w:r>
        <w:rPr>
          <w:spacing w:val="20"/>
        </w:rPr>
        <w:t>f</w:t>
      </w:r>
      <w:r>
        <w:t>’s costs to be taxed if not agreed), state the basis on which the plaintiff claims those costs.</w:t>
      </w:r>
    </w:p>
    <w:p>
      <w:pPr>
        <w:pStyle w:val="PermNoteHeading"/>
      </w:pPr>
      <w:r>
        <w:tab/>
        <w:t>Example for this subrule:</w:t>
      </w:r>
    </w:p>
    <w:p>
      <w:pPr>
        <w:pStyle w:val="PermNoteText"/>
      </w:pPr>
      <w:r>
        <w:tab/>
      </w:r>
      <w:r>
        <w:tab/>
        <w:t>A claim for indemnity costs must refer to the provision in the mortgage that entitles the plaintiff to those costs.</w:t>
      </w:r>
    </w:p>
    <w:p>
      <w:pPr>
        <w:pStyle w:val="Subsection"/>
      </w:pPr>
      <w:r>
        <w:tab/>
        <w:t>(3)</w:t>
      </w:r>
      <w:r>
        <w:tab/>
        <w:t>More than one affidavit may be used to comply with rule 6(2)(b)(ii) and this rule.</w:t>
      </w:r>
    </w:p>
    <w:p>
      <w:pPr>
        <w:pStyle w:val="Footnotesection"/>
      </w:pPr>
      <w:r>
        <w:tab/>
        <w:t>[Rule 7 inserted: Gazette 16 Nov 2016 p. 5194</w:t>
      </w:r>
      <w:r>
        <w:noBreakHyphen/>
        <w:t>6.]</w:t>
      </w:r>
    </w:p>
    <w:p>
      <w:pPr>
        <w:pStyle w:val="Heading5"/>
      </w:pPr>
      <w:bookmarkStart w:id="304" w:name="_Toc163120785"/>
      <w:r>
        <w:rPr>
          <w:rStyle w:val="CharSectno"/>
        </w:rPr>
        <w:t>8</w:t>
      </w:r>
      <w:r>
        <w:t>.</w:t>
      </w:r>
      <w:r>
        <w:tab/>
        <w:t>Writs for 2 or more claims to which r. 2 to 6 apply</w:t>
      </w:r>
      <w:bookmarkEnd w:id="304"/>
    </w:p>
    <w:p>
      <w:pPr>
        <w:pStyle w:val="Subsection"/>
        <w:keepNext/>
      </w:pPr>
      <w:r>
        <w:tab/>
      </w:r>
      <w:r>
        <w:tab/>
        <w:t xml:space="preserve">If the writ is indorsed with 2 or more claims to which rules 2 to 6 apply, and no other claim, then, if a defendant fails to enter an appearance within the time limited for appearing, the plaintiff may — </w:t>
      </w:r>
    </w:p>
    <w:p>
      <w:pPr>
        <w:pStyle w:val="Indenta"/>
      </w:pPr>
      <w:r>
        <w:tab/>
        <w:t>(a)</w:t>
      </w:r>
      <w:r>
        <w:tab/>
        <w:t xml:space="preserve">enter against the defendant, in respect of any claim with which the writ is indorsed, whatever judgment the </w:t>
      </w:r>
      <w:r>
        <w:lastRenderedPageBreak/>
        <w:t>plaintiff would be entitled to enter under those rules as if that were the only claim made by the plaintiff against the defendant; and</w:t>
      </w:r>
    </w:p>
    <w:p>
      <w:pPr>
        <w:pStyle w:val="Indenta"/>
      </w:pPr>
      <w:r>
        <w:tab/>
        <w:t>(b)</w:t>
      </w:r>
      <w:r>
        <w:tab/>
        <w:t>proceed with the action against the other defendants, if any, unless those rules otherwise provide.</w:t>
      </w:r>
    </w:p>
    <w:p>
      <w:pPr>
        <w:pStyle w:val="Footnotesection"/>
      </w:pPr>
      <w:r>
        <w:tab/>
        <w:t>[Rule 8 inserted: Gazette 16 Nov 2016 p. 5196</w:t>
      </w:r>
      <w:r>
        <w:noBreakHyphen/>
        <w:t>7.]</w:t>
      </w:r>
    </w:p>
    <w:p>
      <w:pPr>
        <w:pStyle w:val="Heading5"/>
      </w:pPr>
      <w:bookmarkStart w:id="305" w:name="_Toc163120786"/>
      <w:r>
        <w:rPr>
          <w:rStyle w:val="CharSectno"/>
        </w:rPr>
        <w:t>9</w:t>
      </w:r>
      <w:r>
        <w:t>.</w:t>
      </w:r>
      <w:r>
        <w:tab/>
        <w:t>Writs for other claims</w:t>
      </w:r>
      <w:bookmarkEnd w:id="305"/>
    </w:p>
    <w:p>
      <w:pPr>
        <w:pStyle w:val="Subsection"/>
      </w:pPr>
      <w:r>
        <w:tab/>
        <w:t>(1)</w:t>
      </w:r>
      <w:r>
        <w:tab/>
        <w:t xml:space="preserve">If the writ is indorsed with a claim to which none of rules 2 to 6 apply, then, if a defendant fails to enter an appearance within the time limited for appearing, the plaintiff may, on complying with subrule (2) — </w:t>
      </w:r>
    </w:p>
    <w:p>
      <w:pPr>
        <w:pStyle w:val="Indenta"/>
      </w:pPr>
      <w:r>
        <w:tab/>
        <w:t>(a)</w:t>
      </w:r>
      <w:r>
        <w:tab/>
        <w:t>apply to the Court on motion for judgment against the defendant for the relief sought and costs; and</w:t>
      </w:r>
    </w:p>
    <w:p>
      <w:pPr>
        <w:pStyle w:val="Indenta"/>
      </w:pPr>
      <w:r>
        <w:tab/>
        <w:t>(b)</w:t>
      </w:r>
      <w:r>
        <w:tab/>
        <w:t>proceed with the action against the other defendants, if any, unless the defendants are sued in the alternative.</w:t>
      </w:r>
    </w:p>
    <w:p>
      <w:pPr>
        <w:pStyle w:val="Subsection"/>
      </w:pPr>
      <w:r>
        <w:tab/>
        <w:t>(2)</w:t>
      </w:r>
      <w:r>
        <w:tab/>
        <w:t xml:space="preserve">In order to enter judgment under this rule — </w:t>
      </w:r>
    </w:p>
    <w:p>
      <w:pPr>
        <w:pStyle w:val="Indenta"/>
      </w:pPr>
      <w:r>
        <w:tab/>
        <w:t>(a)</w:t>
      </w:r>
      <w:r>
        <w:tab/>
        <w:t>if the statement of claim was not indorsed on or served with the writ, the plaintiff must serve the statement of claim on the defendant; and</w:t>
      </w:r>
    </w:p>
    <w:p>
      <w:pPr>
        <w:pStyle w:val="Indenta"/>
      </w:pPr>
      <w:r>
        <w:tab/>
        <w:t>(b)</w:t>
      </w:r>
      <w:r>
        <w:tab/>
        <w:t>the plaintiff must produce a certificate issued by the proper officer on the day of the hearing stating that no appearance has been entered by the defendant against whom it is sought to enter judgment.</w:t>
      </w:r>
    </w:p>
    <w:p>
      <w:pPr>
        <w:pStyle w:val="Subsection"/>
      </w:pPr>
      <w:r>
        <w:tab/>
        <w:t>(3)</w:t>
      </w:r>
      <w:r>
        <w:tab/>
        <w:t>On a judgment under this rule, the plaintiff may issue execution on the judgment, except as provided in subrule (4).</w:t>
      </w:r>
    </w:p>
    <w:p>
      <w:pPr>
        <w:pStyle w:val="Subsection"/>
        <w:keepNext/>
      </w:pPr>
      <w:r>
        <w:tab/>
        <w:t>(4)</w:t>
      </w:r>
      <w:r>
        <w:tab/>
        <w:t>If there is more than one defendant, judgment entered under this rule cannot be enforced against any defendant without leave of the Court.</w:t>
      </w:r>
    </w:p>
    <w:p>
      <w:pPr>
        <w:pStyle w:val="Footnotesection"/>
      </w:pPr>
      <w:r>
        <w:tab/>
        <w:t>[Rule 9 inserted: Gazette 16 Nov 2016 p. 5197.]</w:t>
      </w:r>
    </w:p>
    <w:p>
      <w:pPr>
        <w:pStyle w:val="Heading5"/>
      </w:pPr>
      <w:bookmarkStart w:id="306" w:name="_Toc163120787"/>
      <w:r>
        <w:rPr>
          <w:rStyle w:val="CharSectno"/>
        </w:rPr>
        <w:lastRenderedPageBreak/>
        <w:t>10</w:t>
      </w:r>
      <w:r>
        <w:t>.</w:t>
      </w:r>
      <w:r>
        <w:tab/>
        <w:t>Entry of judgment for costs only upon writs for other claims</w:t>
      </w:r>
      <w:bookmarkEnd w:id="306"/>
    </w:p>
    <w:p>
      <w:pPr>
        <w:pStyle w:val="Subsection"/>
      </w:pPr>
      <w:r>
        <w:tab/>
        <w:t>(1)</w:t>
      </w:r>
      <w:r>
        <w:tab/>
        <w:t xml:space="preserve">This rule applies if — </w:t>
      </w:r>
    </w:p>
    <w:p>
      <w:pPr>
        <w:pStyle w:val="Indenta"/>
      </w:pPr>
      <w:r>
        <w:tab/>
        <w:t>(a)</w:t>
      </w:r>
      <w:r>
        <w:tab/>
        <w:t>the writ is indorsed with a claim to which none of rules 2 to 6 apply; but</w:t>
      </w:r>
    </w:p>
    <w:p>
      <w:pPr>
        <w:pStyle w:val="Indenta"/>
      </w:pPr>
      <w:r>
        <w:tab/>
        <w:t>(b)</w:t>
      </w:r>
      <w:r>
        <w:tab/>
        <w:t xml:space="preserve">it has become unnecessary for the plaintiff to proceed with the action — </w:t>
      </w:r>
    </w:p>
    <w:p>
      <w:pPr>
        <w:pStyle w:val="Indenti"/>
      </w:pPr>
      <w:r>
        <w:tab/>
        <w:t>(i)</w:t>
      </w:r>
      <w:r>
        <w:tab/>
        <w:t>because the defendant has satisfied the claim or complied with the demands of the claim; or</w:t>
      </w:r>
    </w:p>
    <w:p>
      <w:pPr>
        <w:pStyle w:val="Indenti"/>
      </w:pPr>
      <w:r>
        <w:tab/>
        <w:t>(ii)</w:t>
      </w:r>
      <w:r>
        <w:tab/>
        <w:t>for any other similar reason.</w:t>
      </w:r>
    </w:p>
    <w:p>
      <w:pPr>
        <w:pStyle w:val="Subsection"/>
      </w:pPr>
      <w:r>
        <w:tab/>
        <w:t>(2)</w:t>
      </w:r>
      <w:r>
        <w:tab/>
        <w:t>If this rule applies, then, if the defendant fails to enter an appearance within the time limited for appearing, the plaintiff may, with the leave of the Court, enter judgment against the defendant for costs.</w:t>
      </w:r>
    </w:p>
    <w:p>
      <w:pPr>
        <w:pStyle w:val="Subsection"/>
      </w:pPr>
      <w:r>
        <w:tab/>
        <w:t>(3)</w:t>
      </w:r>
      <w:r>
        <w:tab/>
        <w:t>The application for the leave must be by summons.</w:t>
      </w:r>
    </w:p>
    <w:p>
      <w:pPr>
        <w:pStyle w:val="Subsection"/>
      </w:pPr>
      <w:r>
        <w:tab/>
        <w:t>(4)</w:t>
      </w:r>
      <w:r>
        <w:tab/>
        <w:t>Unless the Court orders otherwise, and regardless of Order 72 rule 8, the summons must be served on the defendant against whom it is sought to enter judgment.</w:t>
      </w:r>
    </w:p>
    <w:p>
      <w:pPr>
        <w:pStyle w:val="Footnotesection"/>
      </w:pPr>
      <w:r>
        <w:tab/>
        <w:t>[Rule 10 inserted: Gazette 16 Nov 2016 p. 5198.]</w:t>
      </w:r>
    </w:p>
    <w:p>
      <w:pPr>
        <w:pStyle w:val="Heading5"/>
      </w:pPr>
      <w:bookmarkStart w:id="307" w:name="_Toc163120788"/>
      <w:r>
        <w:rPr>
          <w:rStyle w:val="CharSectno"/>
        </w:rPr>
        <w:t>11</w:t>
      </w:r>
      <w:r>
        <w:t>.</w:t>
      </w:r>
      <w:r>
        <w:tab/>
        <w:t>Reference to Court in case of doubt or difficulty</w:t>
      </w:r>
      <w:bookmarkEnd w:id="307"/>
    </w:p>
    <w:p>
      <w:pPr>
        <w:pStyle w:val="Subsection"/>
      </w:pPr>
      <w:r>
        <w:tab/>
      </w:r>
      <w:r>
        <w:tab/>
        <w:t>In any case in which the plaintiff claims to be entitled under this Order to enter judgment in default of the defendant’s appearance, the Court may, if any doubt or difficulty arises in relation to that claim, direct that it be brought before the Court on motion or by summons.</w:t>
      </w:r>
    </w:p>
    <w:p>
      <w:pPr>
        <w:pStyle w:val="Footnotesection"/>
      </w:pPr>
      <w:r>
        <w:tab/>
        <w:t>[Rule 11 inserted: Gazette 16 Nov 2016 p. 5198.]</w:t>
      </w:r>
    </w:p>
    <w:p>
      <w:pPr>
        <w:pStyle w:val="Heading5"/>
      </w:pPr>
      <w:bookmarkStart w:id="308" w:name="_Toc163120789"/>
      <w:r>
        <w:rPr>
          <w:rStyle w:val="CharSectno"/>
        </w:rPr>
        <w:t>12</w:t>
      </w:r>
      <w:r>
        <w:t>.</w:t>
      </w:r>
      <w:r>
        <w:tab/>
        <w:t>Default judgment to inform defendant of certain matters</w:t>
      </w:r>
      <w:bookmarkEnd w:id="308"/>
    </w:p>
    <w:p>
      <w:pPr>
        <w:pStyle w:val="Subsection"/>
      </w:pPr>
      <w:r>
        <w:tab/>
      </w:r>
      <w:r>
        <w:tab/>
        <w:t xml:space="preserve">A default judgment must contain a statement informing the defendant of the defendant’s right — </w:t>
      </w:r>
    </w:p>
    <w:p>
      <w:pPr>
        <w:pStyle w:val="Indenta"/>
      </w:pPr>
      <w:r>
        <w:lastRenderedPageBreak/>
        <w:tab/>
        <w:t>(a)</w:t>
      </w:r>
      <w:r>
        <w:tab/>
        <w:t>to apply to have the default judgment set aside or varied; and</w:t>
      </w:r>
    </w:p>
    <w:p>
      <w:pPr>
        <w:pStyle w:val="Indenta"/>
      </w:pPr>
      <w:r>
        <w:tab/>
        <w:t>(b)</w:t>
      </w:r>
      <w:r>
        <w:tab/>
        <w:t xml:space="preserve">if applicable, to apply under the </w:t>
      </w:r>
      <w:r>
        <w:rPr>
          <w:i/>
        </w:rPr>
        <w:t>Civil Judgments Enforcement Act 2004</w:t>
      </w:r>
      <w:r>
        <w:t xml:space="preserve"> section 15 for an order suspending the enforcement of all or part of the default judgment.</w:t>
      </w:r>
    </w:p>
    <w:p>
      <w:pPr>
        <w:pStyle w:val="Footnotesection"/>
      </w:pPr>
      <w:r>
        <w:tab/>
        <w:t>[Rule 12 inserted: Gazette 16 Nov 2016 p. 5198</w:t>
      </w:r>
      <w:r>
        <w:noBreakHyphen/>
        <w:t>9.]</w:t>
      </w:r>
    </w:p>
    <w:p>
      <w:pPr>
        <w:pStyle w:val="Heading5"/>
      </w:pPr>
      <w:bookmarkStart w:id="309" w:name="_Toc163120790"/>
      <w:r>
        <w:rPr>
          <w:rStyle w:val="CharSectno"/>
        </w:rPr>
        <w:t>13</w:t>
      </w:r>
      <w:r>
        <w:t>.</w:t>
      </w:r>
      <w:r>
        <w:tab/>
        <w:t>Service of default judgment</w:t>
      </w:r>
      <w:bookmarkEnd w:id="309"/>
    </w:p>
    <w:p>
      <w:pPr>
        <w:pStyle w:val="Subsection"/>
      </w:pPr>
      <w:r>
        <w:tab/>
        <w:t>(1)</w:t>
      </w:r>
      <w:r>
        <w:tab/>
        <w:t>A plaintiff who obtains a default judgment must serve the judgment on the defendant as soon as practicable after the judgment is entered.</w:t>
      </w:r>
    </w:p>
    <w:p>
      <w:pPr>
        <w:pStyle w:val="Subsection"/>
      </w:pPr>
      <w:r>
        <w:tab/>
        <w:t>(2)</w:t>
      </w:r>
      <w:r>
        <w:tab/>
        <w:t>The defendant must be served personally with the default judgment.</w:t>
      </w:r>
    </w:p>
    <w:p>
      <w:pPr>
        <w:pStyle w:val="Footnotesection"/>
      </w:pPr>
      <w:r>
        <w:tab/>
        <w:t>[Rule 13 inserted: Gazette 16 Nov 2016 p. 5199.]</w:t>
      </w:r>
    </w:p>
    <w:p>
      <w:pPr>
        <w:pStyle w:val="Heading5"/>
      </w:pPr>
      <w:bookmarkStart w:id="310" w:name="_Toc163120791"/>
      <w:r>
        <w:rPr>
          <w:rStyle w:val="CharSectno"/>
        </w:rPr>
        <w:t>14</w:t>
      </w:r>
      <w:r>
        <w:t>.</w:t>
      </w:r>
      <w:r>
        <w:tab/>
        <w:t>Setting aside or varying default judgment</w:t>
      </w:r>
      <w:bookmarkEnd w:id="310"/>
    </w:p>
    <w:p>
      <w:pPr>
        <w:pStyle w:val="Subsection"/>
      </w:pPr>
      <w:r>
        <w:tab/>
      </w:r>
      <w:r>
        <w:tab/>
        <w:t>The Court may, on whatever terms it thinks just, set aside or vary any default judgment entered under this Order.</w:t>
      </w:r>
    </w:p>
    <w:p>
      <w:pPr>
        <w:pStyle w:val="Footnotesection"/>
      </w:pPr>
      <w:r>
        <w:tab/>
        <w:t>[Rule 14 inserted: Gazette 16 Nov 2016 p. 5199.]</w:t>
      </w:r>
    </w:p>
    <w:p>
      <w:pPr>
        <w:pStyle w:val="Heading2"/>
        <w:rPr>
          <w:b w:val="0"/>
        </w:rPr>
      </w:pPr>
      <w:bookmarkStart w:id="311" w:name="_Toc162940330"/>
      <w:bookmarkStart w:id="312" w:name="_Toc162953119"/>
      <w:bookmarkStart w:id="313" w:name="_Toc163120792"/>
      <w:r>
        <w:rPr>
          <w:rStyle w:val="CharPartNo"/>
        </w:rPr>
        <w:lastRenderedPageBreak/>
        <w:t>Order 14</w:t>
      </w:r>
      <w:r>
        <w:t> — </w:t>
      </w:r>
      <w:r>
        <w:rPr>
          <w:rStyle w:val="CharPartText"/>
        </w:rPr>
        <w:t>Summary judgment</w:t>
      </w:r>
      <w:bookmarkEnd w:id="311"/>
      <w:bookmarkEnd w:id="312"/>
      <w:bookmarkEnd w:id="313"/>
    </w:p>
    <w:p>
      <w:pPr>
        <w:pStyle w:val="Heading5"/>
        <w:rPr>
          <w:snapToGrid w:val="0"/>
        </w:rPr>
      </w:pPr>
      <w:bookmarkStart w:id="314" w:name="_Toc163120793"/>
      <w:r>
        <w:rPr>
          <w:rStyle w:val="CharSectno"/>
        </w:rPr>
        <w:t>1</w:t>
      </w:r>
      <w:r>
        <w:rPr>
          <w:snapToGrid w:val="0"/>
        </w:rPr>
        <w:t>.</w:t>
      </w:r>
      <w:r>
        <w:rPr>
          <w:snapToGrid w:val="0"/>
        </w:rPr>
        <w:tab/>
        <w:t>When plaintiff may apply for summary judgment</w:t>
      </w:r>
      <w:bookmarkEnd w:id="314"/>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Gazette 5 Jun 1992 p. 2279; 28 Oct 1996 p. 5675.] </w:t>
      </w:r>
    </w:p>
    <w:p>
      <w:pPr>
        <w:pStyle w:val="Heading5"/>
        <w:rPr>
          <w:snapToGrid w:val="0"/>
        </w:rPr>
      </w:pPr>
      <w:bookmarkStart w:id="315" w:name="_Toc163120794"/>
      <w:r>
        <w:rPr>
          <w:rStyle w:val="CharSectno"/>
        </w:rPr>
        <w:t>2</w:t>
      </w:r>
      <w:r>
        <w:rPr>
          <w:snapToGrid w:val="0"/>
        </w:rPr>
        <w:t>.</w:t>
      </w:r>
      <w:r>
        <w:rPr>
          <w:snapToGrid w:val="0"/>
        </w:rPr>
        <w:tab/>
        <w:t>Application under r. 1, how to make</w:t>
      </w:r>
      <w:bookmarkEnd w:id="315"/>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Gazette 3 Oct 1975 p. 3769.] </w:t>
      </w:r>
    </w:p>
    <w:p>
      <w:pPr>
        <w:pStyle w:val="Heading5"/>
        <w:rPr>
          <w:snapToGrid w:val="0"/>
        </w:rPr>
      </w:pPr>
      <w:bookmarkStart w:id="316" w:name="_Toc163120795"/>
      <w:r>
        <w:rPr>
          <w:rStyle w:val="CharSectno"/>
        </w:rPr>
        <w:lastRenderedPageBreak/>
        <w:t>3</w:t>
      </w:r>
      <w:r>
        <w:rPr>
          <w:snapToGrid w:val="0"/>
        </w:rPr>
        <w:t>.</w:t>
      </w:r>
      <w:r>
        <w:rPr>
          <w:snapToGrid w:val="0"/>
        </w:rPr>
        <w:tab/>
        <w:t>Judgment may be given for plaintiff</w:t>
      </w:r>
      <w:bookmarkEnd w:id="316"/>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317" w:name="_Toc163120796"/>
      <w:r>
        <w:rPr>
          <w:rStyle w:val="CharSectno"/>
        </w:rPr>
        <w:t>4</w:t>
      </w:r>
      <w:r>
        <w:rPr>
          <w:snapToGrid w:val="0"/>
        </w:rPr>
        <w:t>.</w:t>
      </w:r>
      <w:r>
        <w:rPr>
          <w:snapToGrid w:val="0"/>
        </w:rPr>
        <w:tab/>
        <w:t>Defendant may be given leave to defend</w:t>
      </w:r>
      <w:bookmarkEnd w:id="317"/>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lastRenderedPageBreak/>
        <w:t>[</w:t>
      </w:r>
      <w:r>
        <w:rPr>
          <w:b/>
        </w:rPr>
        <w:t>5.</w:t>
      </w:r>
      <w:r>
        <w:rPr>
          <w:b/>
        </w:rPr>
        <w:tab/>
      </w:r>
      <w:r>
        <w:t xml:space="preserve">Deleted: Gazette 28 Oct 1996 p. 5675.] </w:t>
      </w:r>
    </w:p>
    <w:p>
      <w:pPr>
        <w:pStyle w:val="Heading5"/>
        <w:spacing w:before="260"/>
        <w:rPr>
          <w:snapToGrid w:val="0"/>
        </w:rPr>
      </w:pPr>
      <w:bookmarkStart w:id="318" w:name="_Toc163120797"/>
      <w:r>
        <w:rPr>
          <w:rStyle w:val="CharSectno"/>
        </w:rPr>
        <w:t>6</w:t>
      </w:r>
      <w:r>
        <w:rPr>
          <w:snapToGrid w:val="0"/>
        </w:rPr>
        <w:t>.</w:t>
      </w:r>
      <w:r>
        <w:rPr>
          <w:snapToGrid w:val="0"/>
        </w:rPr>
        <w:tab/>
        <w:t>Summary judgment on counterclaim</w:t>
      </w:r>
      <w:bookmarkEnd w:id="318"/>
    </w:p>
    <w:p>
      <w:pPr>
        <w:pStyle w:val="Subsection"/>
        <w:spacing w:before="200"/>
        <w:rPr>
          <w:snapToGrid w:val="0"/>
        </w:rPr>
      </w:pPr>
      <w:r>
        <w:rPr>
          <w:snapToGrid w:val="0"/>
        </w:rPr>
        <w:tab/>
        <w:t>(1)</w:t>
      </w:r>
      <w:r>
        <w:rPr>
          <w:snapToGrid w:val="0"/>
        </w:rPr>
        <w:tab/>
        <w:t xml:space="preserve">Where a defendant in an action begun by writ has served a counterclaim on the plaintiff, then subject to </w:t>
      </w:r>
      <w:r>
        <w:t>subrule</w:t>
      </w:r>
      <w:r>
        <w:rPr>
          <w:snapToGrid w:val="0"/>
        </w:rPr>
        <w:t> (3) the defendant may, on the ground that the plaintiff has no defence to a claim made in the counterclaim, or to a particular part of such claim, apply to the Court for judgment against the plaintiff on that claim or part.</w:t>
      </w:r>
    </w:p>
    <w:p>
      <w:pPr>
        <w:pStyle w:val="Subsection"/>
        <w:spacing w:before="200"/>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spacing w:before="100"/>
        <w:rPr>
          <w:snapToGrid w:val="0"/>
        </w:rPr>
      </w:pPr>
      <w:r>
        <w:rPr>
          <w:snapToGrid w:val="0"/>
        </w:rPr>
        <w:tab/>
        <w:t>(a)</w:t>
      </w:r>
      <w:r>
        <w:rPr>
          <w:snapToGrid w:val="0"/>
        </w:rPr>
        <w:tab/>
        <w:t>references to the plaintiff and defendant shall be construed as references to defendant and plaintiff respectively; and</w:t>
      </w:r>
    </w:p>
    <w:p>
      <w:pPr>
        <w:pStyle w:val="Indenta"/>
        <w:spacing w:before="100"/>
        <w:rPr>
          <w:snapToGrid w:val="0"/>
        </w:rPr>
      </w:pPr>
      <w:r>
        <w:rPr>
          <w:snapToGrid w:val="0"/>
        </w:rPr>
        <w:tab/>
        <w:t>(b)</w:t>
      </w:r>
      <w:r>
        <w:rPr>
          <w:snapToGrid w:val="0"/>
        </w:rPr>
        <w:tab/>
        <w:t>the words in rule 3(2) “any counterclaim made or raised by the defendant in” shall be omitted; and</w:t>
      </w:r>
    </w:p>
    <w:p>
      <w:pPr>
        <w:pStyle w:val="Indenta"/>
        <w:spacing w:before="100"/>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Footnotesection"/>
      </w:pPr>
      <w:r>
        <w:tab/>
        <w:t>[Rule 6 amended: Gazette 28 Jun 2011 p. 2552.]</w:t>
      </w:r>
    </w:p>
    <w:p>
      <w:pPr>
        <w:pStyle w:val="Heading5"/>
        <w:spacing w:before="260"/>
        <w:rPr>
          <w:snapToGrid w:val="0"/>
        </w:rPr>
      </w:pPr>
      <w:bookmarkStart w:id="319" w:name="_Toc163120798"/>
      <w:r>
        <w:rPr>
          <w:rStyle w:val="CharSectno"/>
        </w:rPr>
        <w:t>7</w:t>
      </w:r>
      <w:r>
        <w:rPr>
          <w:snapToGrid w:val="0"/>
        </w:rPr>
        <w:t>.</w:t>
      </w:r>
      <w:r>
        <w:rPr>
          <w:snapToGrid w:val="0"/>
        </w:rPr>
        <w:tab/>
        <w:t>Court’s powers if leave to defend given etc.</w:t>
      </w:r>
      <w:bookmarkEnd w:id="319"/>
    </w:p>
    <w:p>
      <w:pPr>
        <w:pStyle w:val="Subsection"/>
        <w:spacing w:before="200"/>
        <w:rPr>
          <w:snapToGrid w:val="0"/>
        </w:rPr>
      </w:pPr>
      <w:r>
        <w:rPr>
          <w:snapToGrid w:val="0"/>
        </w:rPr>
        <w:tab/>
      </w:r>
      <w:r>
        <w:rPr>
          <w:snapToGrid w:val="0"/>
        </w:rPr>
        <w:tab/>
        <w:t>Where the Court — </w:t>
      </w:r>
    </w:p>
    <w:p>
      <w:pPr>
        <w:pStyle w:val="Indenta"/>
        <w:spacing w:before="100"/>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spacing w:before="100"/>
        <w:rPr>
          <w:snapToGrid w:val="0"/>
        </w:rPr>
      </w:pPr>
      <w:r>
        <w:rPr>
          <w:snapToGrid w:val="0"/>
        </w:rPr>
        <w:tab/>
        <w:t>(b)</w:t>
      </w:r>
      <w:r>
        <w:rPr>
          <w:snapToGrid w:val="0"/>
        </w:rPr>
        <w:tab/>
        <w:t xml:space="preserve">gives judgment for a plaintiff or a defendant on a claim or a part of a claim, but also orders that execution of the </w:t>
      </w:r>
      <w:r>
        <w:rPr>
          <w:snapToGrid w:val="0"/>
        </w:rPr>
        <w:lastRenderedPageBreak/>
        <w:t>judgment be stayed pending the trial of a counterclaim or of the action, as the case may be,</w:t>
      </w:r>
    </w:p>
    <w:p>
      <w:pPr>
        <w:pStyle w:val="Subsection"/>
        <w:rPr>
          <w:snapToGrid w:val="0"/>
        </w:rPr>
      </w:pPr>
      <w:r>
        <w:rPr>
          <w:snapToGrid w:val="0"/>
        </w:rPr>
        <w:tab/>
      </w:r>
      <w:r>
        <w:rPr>
          <w:snapToGrid w:val="0"/>
        </w:rPr>
        <w:tab/>
        <w:t xml:space="preserve">the Court may give </w:t>
      </w:r>
      <w:r>
        <w:t>directions as to the further conduct of the action</w:t>
      </w:r>
      <w:r>
        <w:rPr>
          <w:snapToGrid w:val="0"/>
        </w:rPr>
        <w:t xml:space="preserve"> and may direct that the affidavit filed by the defendant or the plaintiff, as the case may be, under this Order, shall serve in lieu of defence and may order the action to be forthwith set down for trial, and may define the issues that are to be tried.</w:t>
      </w:r>
    </w:p>
    <w:p>
      <w:pPr>
        <w:pStyle w:val="Footnotesection"/>
      </w:pPr>
      <w:r>
        <w:tab/>
        <w:t xml:space="preserve">[Rule 7 amended: Gazette 16 Aug 2017 p. 4410.] </w:t>
      </w:r>
    </w:p>
    <w:p>
      <w:pPr>
        <w:pStyle w:val="Heading5"/>
        <w:rPr>
          <w:snapToGrid w:val="0"/>
        </w:rPr>
      </w:pPr>
      <w:bookmarkStart w:id="320" w:name="_Toc163120799"/>
      <w:r>
        <w:rPr>
          <w:rStyle w:val="CharSectno"/>
        </w:rPr>
        <w:t>8</w:t>
      </w:r>
      <w:r>
        <w:rPr>
          <w:snapToGrid w:val="0"/>
        </w:rPr>
        <w:t>.</w:t>
      </w:r>
      <w:r>
        <w:rPr>
          <w:snapToGrid w:val="0"/>
        </w:rPr>
        <w:tab/>
        <w:t>Costs</w:t>
      </w:r>
      <w:bookmarkEnd w:id="320"/>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 xml:space="preserve">The Court shall have the same power to dismiss an application under rule 6 as it has under </w:t>
      </w:r>
      <w:r>
        <w:t>subrule</w:t>
      </w:r>
      <w:r>
        <w:rPr>
          <w:snapToGrid w:val="0"/>
        </w:rPr>
        <w:t> (1) to dismiss an application under rule 1, and that subrule shall apply accordingly with the necessary modifications.</w:t>
      </w:r>
    </w:p>
    <w:p>
      <w:pPr>
        <w:pStyle w:val="Footnotesection"/>
      </w:pPr>
      <w:r>
        <w:tab/>
        <w:t xml:space="preserve">[Rule 8 amended: Gazette 15 Jun 1973 p. 2248; 28 Jun 2011 p. 2552.] </w:t>
      </w:r>
    </w:p>
    <w:p>
      <w:pPr>
        <w:pStyle w:val="Heading5"/>
        <w:rPr>
          <w:snapToGrid w:val="0"/>
        </w:rPr>
      </w:pPr>
      <w:bookmarkStart w:id="321" w:name="_Toc163120800"/>
      <w:r>
        <w:rPr>
          <w:rStyle w:val="CharSectno"/>
        </w:rPr>
        <w:t>9</w:t>
      </w:r>
      <w:r>
        <w:rPr>
          <w:snapToGrid w:val="0"/>
        </w:rPr>
        <w:t>.</w:t>
      </w:r>
      <w:r>
        <w:rPr>
          <w:snapToGrid w:val="0"/>
        </w:rPr>
        <w:tab/>
        <w:t>Right to proceed with residue of action or counterclaim</w:t>
      </w:r>
      <w:bookmarkEnd w:id="321"/>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 xml:space="preserve">Where on an application under rule 6 a defendant obtains judgment on a claim or part of a claim made in a counterclaim against the plaintiff, he may proceed with the counterclaim as </w:t>
      </w:r>
      <w:r>
        <w:rPr>
          <w:snapToGrid w:val="0"/>
        </w:rPr>
        <w:lastRenderedPageBreak/>
        <w:t>respects any other claim or as respects the remainder of the claim or against any other defendant to the counterclaim.</w:t>
      </w:r>
    </w:p>
    <w:p>
      <w:pPr>
        <w:pStyle w:val="Heading5"/>
        <w:rPr>
          <w:snapToGrid w:val="0"/>
        </w:rPr>
      </w:pPr>
      <w:bookmarkStart w:id="322" w:name="_Toc163120801"/>
      <w:r>
        <w:rPr>
          <w:rStyle w:val="CharSectno"/>
        </w:rPr>
        <w:t>10</w:t>
      </w:r>
      <w:r>
        <w:rPr>
          <w:snapToGrid w:val="0"/>
        </w:rPr>
        <w:t>.</w:t>
      </w:r>
      <w:r>
        <w:rPr>
          <w:snapToGrid w:val="0"/>
        </w:rPr>
        <w:tab/>
        <w:t>Judgment for delivery of specific chattel</w:t>
      </w:r>
      <w:bookmarkEnd w:id="322"/>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323" w:name="_Toc163120802"/>
      <w:r>
        <w:rPr>
          <w:rStyle w:val="CharSectno"/>
        </w:rPr>
        <w:t>11</w:t>
      </w:r>
      <w:r>
        <w:rPr>
          <w:snapToGrid w:val="0"/>
        </w:rPr>
        <w:t>.</w:t>
      </w:r>
      <w:r>
        <w:rPr>
          <w:snapToGrid w:val="0"/>
        </w:rPr>
        <w:tab/>
        <w:t>Relief from judgment for recovery of land</w:t>
      </w:r>
      <w:bookmarkEnd w:id="323"/>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324" w:name="_Toc163120803"/>
      <w:r>
        <w:rPr>
          <w:rStyle w:val="CharSectno"/>
        </w:rPr>
        <w:t>12</w:t>
      </w:r>
      <w:r>
        <w:rPr>
          <w:snapToGrid w:val="0"/>
        </w:rPr>
        <w:t>.</w:t>
      </w:r>
      <w:r>
        <w:rPr>
          <w:snapToGrid w:val="0"/>
        </w:rPr>
        <w:tab/>
        <w:t>Summary judgment against absent party may be set aside or varied</w:t>
      </w:r>
      <w:bookmarkEnd w:id="324"/>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deleted: Gazette 28 Oct 1996 p. 5675.]</w:t>
      </w:r>
    </w:p>
    <w:p>
      <w:pPr>
        <w:pStyle w:val="Heading2"/>
        <w:rPr>
          <w:b w:val="0"/>
        </w:rPr>
      </w:pPr>
      <w:bookmarkStart w:id="325" w:name="_Toc162940342"/>
      <w:bookmarkStart w:id="326" w:name="_Toc162953131"/>
      <w:bookmarkStart w:id="327" w:name="_Toc163120804"/>
      <w:r>
        <w:rPr>
          <w:rStyle w:val="CharPartNo"/>
        </w:rPr>
        <w:lastRenderedPageBreak/>
        <w:t>Order 16</w:t>
      </w:r>
      <w:r>
        <w:t> — </w:t>
      </w:r>
      <w:r>
        <w:rPr>
          <w:rStyle w:val="CharPartText"/>
        </w:rPr>
        <w:t>Summary judgment on application of defendant</w:t>
      </w:r>
      <w:bookmarkEnd w:id="325"/>
      <w:bookmarkEnd w:id="326"/>
      <w:bookmarkEnd w:id="327"/>
    </w:p>
    <w:p>
      <w:pPr>
        <w:pStyle w:val="Heading5"/>
        <w:spacing w:before="180"/>
        <w:rPr>
          <w:snapToGrid w:val="0"/>
        </w:rPr>
      </w:pPr>
      <w:bookmarkStart w:id="328" w:name="_Toc163120805"/>
      <w:r>
        <w:rPr>
          <w:rStyle w:val="CharSectno"/>
        </w:rPr>
        <w:t>1</w:t>
      </w:r>
      <w:r>
        <w:rPr>
          <w:snapToGrid w:val="0"/>
        </w:rPr>
        <w:t>.</w:t>
      </w:r>
      <w:r>
        <w:rPr>
          <w:snapToGrid w:val="0"/>
        </w:rPr>
        <w:tab/>
        <w:t>Application by defendant for summary judgment</w:t>
      </w:r>
      <w:bookmarkEnd w:id="328"/>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 xml:space="preserve">An application under </w:t>
      </w:r>
      <w:r>
        <w:t>subrule</w:t>
      </w:r>
      <w:r>
        <w:rPr>
          <w:snapToGrid w:val="0"/>
        </w:rPr>
        <w:t>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Gazette 14 Dec 1979 p. 3869; 5 Jun 1992 p. 2279</w:t>
      </w:r>
      <w:r>
        <w:noBreakHyphen/>
        <w:t xml:space="preserve">80; 28 Jun 2011 p. 2552.] </w:t>
      </w:r>
    </w:p>
    <w:p>
      <w:pPr>
        <w:pStyle w:val="Heading5"/>
        <w:spacing w:before="180"/>
        <w:rPr>
          <w:snapToGrid w:val="0"/>
        </w:rPr>
      </w:pPr>
      <w:bookmarkStart w:id="329" w:name="_Toc163120806"/>
      <w:r>
        <w:rPr>
          <w:rStyle w:val="CharSectno"/>
        </w:rPr>
        <w:t>2</w:t>
      </w:r>
      <w:r>
        <w:rPr>
          <w:snapToGrid w:val="0"/>
        </w:rPr>
        <w:t>.</w:t>
      </w:r>
      <w:r>
        <w:rPr>
          <w:snapToGrid w:val="0"/>
        </w:rPr>
        <w:tab/>
        <w:t>Plaintiff may show cause</w:t>
      </w:r>
      <w:bookmarkEnd w:id="329"/>
    </w:p>
    <w:p>
      <w:pPr>
        <w:pStyle w:val="Subsection"/>
        <w:spacing w:before="120"/>
        <w:rPr>
          <w:snapToGrid w:val="0"/>
        </w:rPr>
      </w:pPr>
      <w:r>
        <w:rPr>
          <w:snapToGrid w:val="0"/>
        </w:rPr>
        <w:tab/>
        <w:t>(1)</w:t>
      </w:r>
      <w:r>
        <w:rPr>
          <w:snapToGrid w:val="0"/>
        </w:rPr>
        <w:tab/>
        <w:t>The plaintiff may show cause against such application by affidavit.</w:t>
      </w:r>
    </w:p>
    <w:p>
      <w:pPr>
        <w:pStyle w:val="Subsection"/>
        <w:spacing w:before="120"/>
        <w:rPr>
          <w:snapToGrid w:val="0"/>
        </w:rPr>
      </w:pPr>
      <w:r>
        <w:rPr>
          <w:snapToGrid w:val="0"/>
        </w:rPr>
        <w:lastRenderedPageBreak/>
        <w:tab/>
        <w:t>(1a)</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Gazette 14 Dec 1979 p. 3869; 5 Jun 1992 p. 2280; 28 Jul 2010 p. 3482.] </w:t>
      </w:r>
    </w:p>
    <w:p>
      <w:pPr>
        <w:pStyle w:val="Heading5"/>
        <w:rPr>
          <w:snapToGrid w:val="0"/>
        </w:rPr>
      </w:pPr>
      <w:bookmarkStart w:id="330" w:name="_Toc163120807"/>
      <w:r>
        <w:rPr>
          <w:rStyle w:val="CharSectno"/>
        </w:rPr>
        <w:t>3</w:t>
      </w:r>
      <w:r>
        <w:rPr>
          <w:snapToGrid w:val="0"/>
        </w:rPr>
        <w:t>.</w:t>
      </w:r>
      <w:r>
        <w:rPr>
          <w:snapToGrid w:val="0"/>
        </w:rPr>
        <w:tab/>
        <w:t>Court’s powers if action to go to trial</w:t>
      </w:r>
      <w:bookmarkEnd w:id="330"/>
    </w:p>
    <w:p>
      <w:pPr>
        <w:pStyle w:val="Subsection"/>
        <w:rPr>
          <w:snapToGrid w:val="0"/>
        </w:rPr>
      </w:pPr>
      <w:r>
        <w:rPr>
          <w:snapToGrid w:val="0"/>
        </w:rPr>
        <w:tab/>
      </w:r>
      <w:r>
        <w:rPr>
          <w:snapToGrid w:val="0"/>
        </w:rPr>
        <w:tab/>
        <w:t xml:space="preserve">If the Court directs that the action shall proceed to trial, it may give </w:t>
      </w:r>
      <w:r>
        <w:t>directions as to the further conduct of the action</w:t>
      </w:r>
      <w:r>
        <w:rPr>
          <w:snapToGrid w:val="0"/>
        </w:rPr>
        <w:t xml:space="preserve"> and may order that the action be forthwith set down for trial.</w:t>
      </w:r>
    </w:p>
    <w:p>
      <w:pPr>
        <w:pStyle w:val="Footnotesection"/>
      </w:pPr>
      <w:r>
        <w:tab/>
        <w:t xml:space="preserve">[Rule 3 amended: Gazette 14 Dec 1979 p. 3869; 16 Aug 2017 p. 4410.] </w:t>
      </w:r>
    </w:p>
    <w:p>
      <w:pPr>
        <w:pStyle w:val="Heading5"/>
        <w:rPr>
          <w:snapToGrid w:val="0"/>
        </w:rPr>
      </w:pPr>
      <w:bookmarkStart w:id="331" w:name="_Toc163120808"/>
      <w:r>
        <w:rPr>
          <w:rStyle w:val="CharSectno"/>
        </w:rPr>
        <w:t>4</w:t>
      </w:r>
      <w:r>
        <w:rPr>
          <w:snapToGrid w:val="0"/>
        </w:rPr>
        <w:t>.</w:t>
      </w:r>
      <w:r>
        <w:rPr>
          <w:snapToGrid w:val="0"/>
        </w:rPr>
        <w:tab/>
        <w:t>Summary judgment against absent party may be set aside or varied</w:t>
      </w:r>
      <w:bookmarkEnd w:id="331"/>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Gazette 5 Jun 1992 p. 2280.] </w:t>
      </w:r>
    </w:p>
    <w:p>
      <w:pPr>
        <w:pStyle w:val="Heading2"/>
        <w:rPr>
          <w:b w:val="0"/>
        </w:rPr>
      </w:pPr>
      <w:bookmarkStart w:id="332" w:name="_Toc162940347"/>
      <w:bookmarkStart w:id="333" w:name="_Toc162953136"/>
      <w:bookmarkStart w:id="334" w:name="_Toc163120809"/>
      <w:r>
        <w:rPr>
          <w:rStyle w:val="CharPartNo"/>
        </w:rPr>
        <w:lastRenderedPageBreak/>
        <w:t>Order 17</w:t>
      </w:r>
      <w:r>
        <w:t> — </w:t>
      </w:r>
      <w:r>
        <w:rPr>
          <w:rStyle w:val="CharPartText"/>
        </w:rPr>
        <w:t>Interpleader</w:t>
      </w:r>
      <w:bookmarkEnd w:id="332"/>
      <w:bookmarkEnd w:id="333"/>
      <w:bookmarkEnd w:id="334"/>
    </w:p>
    <w:p>
      <w:pPr>
        <w:pStyle w:val="Heading5"/>
        <w:spacing w:before="240"/>
        <w:rPr>
          <w:snapToGrid w:val="0"/>
        </w:rPr>
      </w:pPr>
      <w:bookmarkStart w:id="335" w:name="_Toc163120810"/>
      <w:r>
        <w:rPr>
          <w:rStyle w:val="CharSectno"/>
        </w:rPr>
        <w:t>1</w:t>
      </w:r>
      <w:r>
        <w:rPr>
          <w:snapToGrid w:val="0"/>
        </w:rPr>
        <w:t>.</w:t>
      </w:r>
      <w:r>
        <w:rPr>
          <w:snapToGrid w:val="0"/>
        </w:rPr>
        <w:tab/>
        <w:t>When interpleader relief may be granted</w:t>
      </w:r>
      <w:bookmarkEnd w:id="335"/>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Gazette 21 Feb 2007 p. 536.]</w:t>
      </w:r>
    </w:p>
    <w:p>
      <w:pPr>
        <w:pStyle w:val="Heading5"/>
        <w:spacing w:before="240"/>
        <w:rPr>
          <w:snapToGrid w:val="0"/>
        </w:rPr>
      </w:pPr>
      <w:bookmarkStart w:id="336" w:name="_Toc163120811"/>
      <w:r>
        <w:rPr>
          <w:rStyle w:val="CharSectno"/>
        </w:rPr>
        <w:t>2</w:t>
      </w:r>
      <w:r>
        <w:rPr>
          <w:snapToGrid w:val="0"/>
        </w:rPr>
        <w:t>.</w:t>
      </w:r>
      <w:r>
        <w:rPr>
          <w:snapToGrid w:val="0"/>
        </w:rPr>
        <w:tab/>
        <w:t>How to apply for interpleader relief</w:t>
      </w:r>
      <w:bookmarkEnd w:id="336"/>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r>
      <w:r>
        <w:t>A summons</w:t>
      </w:r>
      <w:r>
        <w:rPr>
          <w:snapToGrid w:val="0"/>
        </w:rPr>
        <w:t xml:space="preserve">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 and</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keepNext/>
        <w:rPr>
          <w:snapToGrid w:val="0"/>
        </w:rPr>
      </w:pPr>
      <w:r>
        <w:rPr>
          <w:snapToGrid w:val="0"/>
        </w:rPr>
        <w:lastRenderedPageBreak/>
        <w:tab/>
        <w:t>(c)</w:t>
      </w:r>
      <w:r>
        <w:rPr>
          <w:snapToGrid w:val="0"/>
        </w:rPr>
        <w:tab/>
        <w:t>is willing to dispose of any property involved in such manner as the Court or a judge may direct.</w:t>
      </w:r>
    </w:p>
    <w:p>
      <w:pPr>
        <w:pStyle w:val="Footnotesection"/>
        <w:keepLines w:val="0"/>
        <w:ind w:left="890" w:hanging="890"/>
      </w:pPr>
      <w:r>
        <w:tab/>
        <w:t>[Rule 2 amended: Gazette 21 Feb 2007 p. 536; 28 Jun 2011 p. 2552; 24 May 2017 p. 2607.]</w:t>
      </w:r>
    </w:p>
    <w:p>
      <w:pPr>
        <w:pStyle w:val="Heading5"/>
        <w:rPr>
          <w:snapToGrid w:val="0"/>
        </w:rPr>
      </w:pPr>
      <w:bookmarkStart w:id="337" w:name="_Toc163120812"/>
      <w:r>
        <w:rPr>
          <w:rStyle w:val="CharSectno"/>
        </w:rPr>
        <w:t>3</w:t>
      </w:r>
      <w:r>
        <w:rPr>
          <w:snapToGrid w:val="0"/>
        </w:rPr>
        <w:t>.</w:t>
      </w:r>
      <w:r>
        <w:rPr>
          <w:snapToGrid w:val="0"/>
        </w:rPr>
        <w:tab/>
        <w:t>Time for application by defendant</w:t>
      </w:r>
      <w:bookmarkEnd w:id="337"/>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338" w:name="_Toc163120813"/>
      <w:r>
        <w:rPr>
          <w:rStyle w:val="CharSectno"/>
        </w:rPr>
        <w:t>4</w:t>
      </w:r>
      <w:r>
        <w:rPr>
          <w:snapToGrid w:val="0"/>
        </w:rPr>
        <w:t>.</w:t>
      </w:r>
      <w:r>
        <w:rPr>
          <w:snapToGrid w:val="0"/>
        </w:rPr>
        <w:tab/>
        <w:t>Stay of proceedings</w:t>
      </w:r>
      <w:bookmarkEnd w:id="338"/>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339" w:name="_Toc163120814"/>
      <w:r>
        <w:rPr>
          <w:rStyle w:val="CharSectno"/>
        </w:rPr>
        <w:t>5</w:t>
      </w:r>
      <w:r>
        <w:rPr>
          <w:snapToGrid w:val="0"/>
        </w:rPr>
        <w:t>.</w:t>
      </w:r>
      <w:r>
        <w:rPr>
          <w:snapToGrid w:val="0"/>
        </w:rPr>
        <w:tab/>
        <w:t>Court’s powers on application</w:t>
      </w:r>
      <w:bookmarkEnd w:id="339"/>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340" w:name="_Toc163120815"/>
      <w:r>
        <w:rPr>
          <w:rStyle w:val="CharSectno"/>
        </w:rPr>
        <w:t>6</w:t>
      </w:r>
      <w:r>
        <w:rPr>
          <w:snapToGrid w:val="0"/>
        </w:rPr>
        <w:t>.</w:t>
      </w:r>
      <w:r>
        <w:rPr>
          <w:snapToGrid w:val="0"/>
        </w:rPr>
        <w:tab/>
        <w:t>Summary determination</w:t>
      </w:r>
      <w:bookmarkEnd w:id="340"/>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Gazette 21 Feb 2007 p. 536.]</w:t>
      </w:r>
    </w:p>
    <w:p>
      <w:pPr>
        <w:pStyle w:val="Heading5"/>
        <w:rPr>
          <w:snapToGrid w:val="0"/>
        </w:rPr>
      </w:pPr>
      <w:bookmarkStart w:id="341" w:name="_Toc163120816"/>
      <w:r>
        <w:rPr>
          <w:rStyle w:val="CharSectno"/>
        </w:rPr>
        <w:t>7</w:t>
      </w:r>
      <w:r>
        <w:rPr>
          <w:snapToGrid w:val="0"/>
        </w:rPr>
        <w:t>.</w:t>
      </w:r>
      <w:r>
        <w:rPr>
          <w:snapToGrid w:val="0"/>
        </w:rPr>
        <w:tab/>
        <w:t>Where question of law only</w:t>
      </w:r>
      <w:bookmarkEnd w:id="341"/>
    </w:p>
    <w:p>
      <w:pPr>
        <w:pStyle w:val="Subsection"/>
        <w:rPr>
          <w:snapToGrid w:val="0"/>
        </w:rPr>
      </w:pPr>
      <w:r>
        <w:rPr>
          <w:snapToGrid w:val="0"/>
        </w:rPr>
        <w:tab/>
      </w:r>
      <w:r>
        <w:rPr>
          <w:snapToGrid w:val="0"/>
        </w:rPr>
        <w:tab/>
        <w:t xml:space="preserve">Where the question is one of law, and the facts are not in dispute, the Court may either decide the question without directing the trial of an issue, or order that a special case be </w:t>
      </w:r>
      <w:r>
        <w:rPr>
          <w:snapToGrid w:val="0"/>
        </w:rPr>
        <w:lastRenderedPageBreak/>
        <w:t>stated for the opinion of the Court. If a special case is stated Order 31 shall, as far as applicable, apply.</w:t>
      </w:r>
    </w:p>
    <w:p>
      <w:pPr>
        <w:pStyle w:val="Heading5"/>
        <w:rPr>
          <w:snapToGrid w:val="0"/>
        </w:rPr>
      </w:pPr>
      <w:bookmarkStart w:id="342" w:name="_Toc163120817"/>
      <w:r>
        <w:rPr>
          <w:rStyle w:val="CharSectno"/>
        </w:rPr>
        <w:t>8</w:t>
      </w:r>
      <w:r>
        <w:rPr>
          <w:snapToGrid w:val="0"/>
        </w:rPr>
        <w:t>.</w:t>
      </w:r>
      <w:r>
        <w:rPr>
          <w:snapToGrid w:val="0"/>
        </w:rPr>
        <w:tab/>
        <w:t>Claimant failing to appear etc.</w:t>
      </w:r>
      <w:bookmarkEnd w:id="342"/>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343" w:name="_Toc163120818"/>
      <w:r>
        <w:rPr>
          <w:rStyle w:val="CharSectno"/>
        </w:rPr>
        <w:t>9</w:t>
      </w:r>
      <w:r>
        <w:rPr>
          <w:snapToGrid w:val="0"/>
        </w:rPr>
        <w:t>.</w:t>
      </w:r>
      <w:r>
        <w:rPr>
          <w:snapToGrid w:val="0"/>
        </w:rPr>
        <w:tab/>
        <w:t>Power to order sale of goods</w:t>
      </w:r>
      <w:bookmarkEnd w:id="343"/>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344" w:name="_Toc163120819"/>
      <w:r>
        <w:rPr>
          <w:rStyle w:val="CharSectno"/>
        </w:rPr>
        <w:t>10</w:t>
      </w:r>
      <w:r>
        <w:rPr>
          <w:snapToGrid w:val="0"/>
        </w:rPr>
        <w:t>.</w:t>
      </w:r>
      <w:r>
        <w:rPr>
          <w:snapToGrid w:val="0"/>
        </w:rPr>
        <w:tab/>
        <w:t>Discovery etc. and trial</w:t>
      </w:r>
      <w:bookmarkEnd w:id="344"/>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345" w:name="_Toc163120820"/>
      <w:r>
        <w:rPr>
          <w:rStyle w:val="CharSectno"/>
        </w:rPr>
        <w:t>11</w:t>
      </w:r>
      <w:r>
        <w:rPr>
          <w:snapToGrid w:val="0"/>
        </w:rPr>
        <w:t>.</w:t>
      </w:r>
      <w:r>
        <w:rPr>
          <w:snapToGrid w:val="0"/>
        </w:rPr>
        <w:tab/>
        <w:t>One order where several causes pending</w:t>
      </w:r>
      <w:bookmarkEnd w:id="345"/>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Deleted: Gazette 21 Feb 2007 p. 536.]</w:t>
      </w:r>
    </w:p>
    <w:p>
      <w:pPr>
        <w:pStyle w:val="Heading5"/>
        <w:rPr>
          <w:snapToGrid w:val="0"/>
        </w:rPr>
      </w:pPr>
      <w:bookmarkStart w:id="346" w:name="_Toc163120821"/>
      <w:r>
        <w:rPr>
          <w:rStyle w:val="CharSectno"/>
        </w:rPr>
        <w:lastRenderedPageBreak/>
        <w:t>15</w:t>
      </w:r>
      <w:r>
        <w:rPr>
          <w:snapToGrid w:val="0"/>
        </w:rPr>
        <w:t>.</w:t>
      </w:r>
      <w:r>
        <w:rPr>
          <w:snapToGrid w:val="0"/>
        </w:rPr>
        <w:tab/>
        <w:t>Orders as to costs etc.</w:t>
      </w:r>
      <w:bookmarkEnd w:id="346"/>
    </w:p>
    <w:p>
      <w:pPr>
        <w:pStyle w:val="Subsection"/>
        <w:rPr>
          <w:snapToGrid w:val="0"/>
        </w:rPr>
      </w:pPr>
      <w:r>
        <w:rPr>
          <w:snapToGrid w:val="0"/>
        </w:rPr>
        <w:tab/>
      </w:r>
      <w:r>
        <w:rPr>
          <w:snapToGrid w:val="0"/>
        </w:rPr>
        <w:tab/>
        <w:t xml:space="preserve">Subject to </w:t>
      </w:r>
      <w:r>
        <w:t>rules 1 to 11,</w:t>
      </w:r>
      <w:r>
        <w:rPr>
          <w:b/>
        </w:rPr>
        <w:t xml:space="preserve"> </w:t>
      </w:r>
      <w:r>
        <w:rPr>
          <w:snapToGrid w:val="0"/>
        </w:rPr>
        <w:t>the Court may in and for the purposes of any interpleader proceedings make such order as to costs or any other matter as it thinks just.</w:t>
      </w:r>
    </w:p>
    <w:p>
      <w:pPr>
        <w:pStyle w:val="Footnotesection"/>
      </w:pPr>
      <w:r>
        <w:tab/>
        <w:t>[Rule 15 amended: Gazette 28 Jun 2011 p. 2553.]</w:t>
      </w:r>
    </w:p>
    <w:p>
      <w:pPr>
        <w:pStyle w:val="Heading2"/>
        <w:rPr>
          <w:b w:val="0"/>
        </w:rPr>
      </w:pPr>
      <w:bookmarkStart w:id="347" w:name="_Toc162940360"/>
      <w:bookmarkStart w:id="348" w:name="_Toc162953149"/>
      <w:bookmarkStart w:id="349" w:name="_Toc163120822"/>
      <w:r>
        <w:rPr>
          <w:rStyle w:val="CharPartNo"/>
        </w:rPr>
        <w:lastRenderedPageBreak/>
        <w:t>Order 18</w:t>
      </w:r>
      <w:r>
        <w:t> — </w:t>
      </w:r>
      <w:r>
        <w:rPr>
          <w:rStyle w:val="CharPartText"/>
        </w:rPr>
        <w:t>Causes of action, counterclaims and parties</w:t>
      </w:r>
      <w:bookmarkEnd w:id="347"/>
      <w:bookmarkEnd w:id="348"/>
      <w:bookmarkEnd w:id="349"/>
    </w:p>
    <w:p>
      <w:pPr>
        <w:pStyle w:val="Heading5"/>
        <w:spacing w:before="240"/>
        <w:rPr>
          <w:snapToGrid w:val="0"/>
        </w:rPr>
      </w:pPr>
      <w:bookmarkStart w:id="350" w:name="_Toc163120823"/>
      <w:r>
        <w:rPr>
          <w:rStyle w:val="CharSectno"/>
        </w:rPr>
        <w:t>1</w:t>
      </w:r>
      <w:r>
        <w:rPr>
          <w:snapToGrid w:val="0"/>
        </w:rPr>
        <w:t>.</w:t>
      </w:r>
      <w:r>
        <w:rPr>
          <w:snapToGrid w:val="0"/>
        </w:rPr>
        <w:tab/>
        <w:t>Joinder of causes of action</w:t>
      </w:r>
      <w:bookmarkEnd w:id="350"/>
    </w:p>
    <w:p>
      <w:pPr>
        <w:pStyle w:val="Subsection"/>
        <w:spacing w:before="180"/>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rPr>
          <w:snapToGrid w:val="0"/>
        </w:rPr>
      </w:pPr>
      <w:r>
        <w:rPr>
          <w:snapToGrid w:val="0"/>
        </w:rPr>
        <w:tab/>
        <w:t>(2)</w:t>
      </w:r>
      <w:r>
        <w:rPr>
          <w:snapToGrid w:val="0"/>
        </w:rPr>
        <w:tab/>
        <w:t xml:space="preserve">An application for leave under this rule must be made </w:t>
      </w:r>
      <w:r>
        <w:rPr>
          <w:i/>
          <w:snapToGrid w:val="0"/>
        </w:rPr>
        <w:t>ex parte</w:t>
      </w:r>
      <w:r>
        <w:rPr>
          <w:snapToGrid w:val="0"/>
        </w:rPr>
        <w:t xml:space="preserve"> by affidavit before the issue of the writ and the affidavit must state the grounds of the application.</w:t>
      </w:r>
    </w:p>
    <w:p>
      <w:pPr>
        <w:pStyle w:val="Heading5"/>
        <w:spacing w:before="240"/>
        <w:rPr>
          <w:snapToGrid w:val="0"/>
        </w:rPr>
      </w:pPr>
      <w:bookmarkStart w:id="351" w:name="_Toc163120824"/>
      <w:r>
        <w:rPr>
          <w:rStyle w:val="CharSectno"/>
        </w:rPr>
        <w:t>2</w:t>
      </w:r>
      <w:r>
        <w:rPr>
          <w:snapToGrid w:val="0"/>
        </w:rPr>
        <w:t>.</w:t>
      </w:r>
      <w:r>
        <w:rPr>
          <w:snapToGrid w:val="0"/>
        </w:rPr>
        <w:tab/>
        <w:t>Counterclaim against plaintiff</w:t>
      </w:r>
      <w:bookmarkEnd w:id="351"/>
    </w:p>
    <w:p>
      <w:pPr>
        <w:pStyle w:val="Subsection"/>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spacing w:before="120"/>
        <w:rPr>
          <w:snapToGrid w:val="0"/>
        </w:rPr>
      </w:pPr>
      <w:r>
        <w:rPr>
          <w:snapToGrid w:val="0"/>
        </w:rPr>
        <w:lastRenderedPageBreak/>
        <w:tab/>
        <w:t>(3)</w:t>
      </w:r>
      <w:r>
        <w:rPr>
          <w:snapToGrid w:val="0"/>
        </w:rPr>
        <w:tab/>
        <w:t>A counterclaim may be proceeded with notwithstanding that judgment is given for the plaintiff in the action or that the action is stayed, discontinued or dismissed.</w:t>
      </w:r>
    </w:p>
    <w:p>
      <w:pPr>
        <w:pStyle w:val="Subsection"/>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rPr>
          <w:snapToGrid w:val="0"/>
        </w:rPr>
      </w:pPr>
      <w:bookmarkStart w:id="352" w:name="_Toc163120825"/>
      <w:r>
        <w:rPr>
          <w:rStyle w:val="CharSectno"/>
        </w:rPr>
        <w:t>3</w:t>
      </w:r>
      <w:r>
        <w:rPr>
          <w:snapToGrid w:val="0"/>
        </w:rPr>
        <w:t>.</w:t>
      </w:r>
      <w:r>
        <w:rPr>
          <w:snapToGrid w:val="0"/>
        </w:rPr>
        <w:tab/>
        <w:t>Counterclaim against additional parties</w:t>
      </w:r>
      <w:bookmarkEnd w:id="352"/>
    </w:p>
    <w:p>
      <w:pPr>
        <w:pStyle w:val="Subsection"/>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rPr>
          <w:snapToGrid w:val="0"/>
        </w:rPr>
      </w:pPr>
      <w:r>
        <w:rPr>
          <w:snapToGrid w:val="0"/>
        </w:rPr>
        <w:tab/>
        <w:t>(2)</w:t>
      </w:r>
      <w:r>
        <w:rPr>
          <w:snapToGrid w:val="0"/>
        </w:rPr>
        <w:tab/>
        <w:t xml:space="preserve">Where a defendant joins a person as a party against whom he makes a counterclaim, he must add that person’s name to the title of the action and serve on him a copy of the counterclaim; and a person on whom a copy of a counterclaim is served under this </w:t>
      </w:r>
      <w:r>
        <w:t>subrule</w:t>
      </w:r>
      <w:r>
        <w:rPr>
          <w:snapToGrid w:val="0"/>
        </w:rPr>
        <w:t xml:space="preserve">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rPr>
          <w:snapToGrid w:val="0"/>
        </w:rPr>
      </w:pPr>
      <w:r>
        <w:rPr>
          <w:snapToGrid w:val="0"/>
        </w:rPr>
        <w:tab/>
        <w:t>(3)</w:t>
      </w:r>
      <w:r>
        <w:rPr>
          <w:snapToGrid w:val="0"/>
        </w:rPr>
        <w:tab/>
        <w:t xml:space="preserve">A defendant who is required by </w:t>
      </w:r>
      <w:r>
        <w:t>subrule</w:t>
      </w:r>
      <w:r>
        <w:rPr>
          <w:snapToGrid w:val="0"/>
        </w:rPr>
        <w:t>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rPr>
          <w:snapToGrid w:val="0"/>
        </w:rPr>
      </w:pPr>
      <w:r>
        <w:rPr>
          <w:snapToGrid w:val="0"/>
        </w:rPr>
        <w:tab/>
        <w:t>(4)</w:t>
      </w:r>
      <w:r>
        <w:rPr>
          <w:snapToGrid w:val="0"/>
        </w:rPr>
        <w:tab/>
        <w:t xml:space="preserve">Where by virtue of </w:t>
      </w:r>
      <w:r>
        <w:t>subrule</w:t>
      </w:r>
      <w:r>
        <w:rPr>
          <w:snapToGrid w:val="0"/>
        </w:rPr>
        <w:t xml:space="preserve"> (2) a copy of a counterclaim is required to be served on a person who is not already a party to </w:t>
      </w:r>
      <w:r>
        <w:rPr>
          <w:snapToGrid w:val="0"/>
        </w:rPr>
        <w:lastRenderedPageBreak/>
        <w:t xml:space="preserve">the action, the following provisions of these rules, namely, Order 9 except rule 1(4), </w:t>
      </w:r>
      <w:r>
        <w:t xml:space="preserve">Order 10, </w:t>
      </w:r>
      <w:r>
        <w:rPr>
          <w:snapToGrid w:val="0"/>
        </w:rPr>
        <w:t xml:space="preserve">Order 12 and Order 13 shall, subject to </w:t>
      </w:r>
      <w:r>
        <w:t xml:space="preserve">subrule (3), </w:t>
      </w:r>
      <w:r>
        <w:rPr>
          <w:snapToGrid w:val="0"/>
        </w:rPr>
        <w:t>apply in relation to the counterclaim and the proceedings arising from it as if — </w:t>
      </w:r>
    </w:p>
    <w:p>
      <w:pPr>
        <w:pStyle w:val="Indenta"/>
        <w:rPr>
          <w:snapToGrid w:val="0"/>
        </w:rPr>
      </w:pPr>
      <w:r>
        <w:rPr>
          <w:snapToGrid w:val="0"/>
        </w:rPr>
        <w:tab/>
        <w:t>(a)</w:t>
      </w:r>
      <w:r>
        <w:rPr>
          <w:snapToGrid w:val="0"/>
        </w:rPr>
        <w:tab/>
        <w:t>the counterclaim were a writ and the proceedings arising from it an action; and</w:t>
      </w:r>
    </w:p>
    <w:p>
      <w:pPr>
        <w:pStyle w:val="Indenta"/>
        <w:rPr>
          <w:snapToGrid w:val="0"/>
        </w:rPr>
      </w:pPr>
      <w:r>
        <w:rPr>
          <w:snapToGrid w:val="0"/>
        </w:rPr>
        <w:tab/>
        <w:t>(b)</w:t>
      </w:r>
      <w:r>
        <w:rPr>
          <w:snapToGrid w:val="0"/>
        </w:rPr>
        <w:tab/>
        <w:t>the party making the counterclaim were a plaintiff and the party against who it is made a defendant in that action.</w:t>
      </w:r>
    </w:p>
    <w:p>
      <w:pPr>
        <w:pStyle w:val="Subsection"/>
      </w:pPr>
      <w:r>
        <w:tab/>
        <w:t>(5)</w:t>
      </w:r>
      <w:r>
        <w:tab/>
        <w:t>A copy of a counterclaim required to be served on a person who is not already a party to the action must be indorsed with a notice, in Form No. 10, addressed to that person.</w:t>
      </w:r>
    </w:p>
    <w:p>
      <w:pPr>
        <w:pStyle w:val="Footnotesection"/>
        <w:spacing w:before="100"/>
        <w:ind w:left="890" w:hanging="890"/>
      </w:pPr>
      <w:r>
        <w:tab/>
        <w:t>[Rule 3 amended: Gazette 22 Feb 2008 p. 635; 28 Jun 2011 p. 2552 and 2553; 12 Jun 2012 p. 2451.]</w:t>
      </w:r>
    </w:p>
    <w:p>
      <w:pPr>
        <w:pStyle w:val="Heading5"/>
        <w:rPr>
          <w:snapToGrid w:val="0"/>
        </w:rPr>
      </w:pPr>
      <w:bookmarkStart w:id="353" w:name="_Toc163120826"/>
      <w:r>
        <w:rPr>
          <w:rStyle w:val="CharSectno"/>
        </w:rPr>
        <w:t>4</w:t>
      </w:r>
      <w:r>
        <w:rPr>
          <w:snapToGrid w:val="0"/>
        </w:rPr>
        <w:t>.</w:t>
      </w:r>
      <w:r>
        <w:rPr>
          <w:snapToGrid w:val="0"/>
        </w:rPr>
        <w:tab/>
        <w:t>Joinder of parties</w:t>
      </w:r>
      <w:bookmarkEnd w:id="353"/>
    </w:p>
    <w:p>
      <w:pPr>
        <w:pStyle w:val="Subsection"/>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spacing w:before="60"/>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spacing w:before="60"/>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rPr>
          <w:snapToGrid w:val="0"/>
        </w:rPr>
      </w:pPr>
      <w:r>
        <w:rPr>
          <w:snapToGrid w:val="0"/>
        </w:rPr>
        <w:tab/>
        <w:t>(2)</w:t>
      </w:r>
      <w:r>
        <w:rPr>
          <w:snapToGrid w:val="0"/>
        </w:rPr>
        <w:tab/>
        <w:t xml:space="preserve">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w:t>
      </w:r>
      <w:r>
        <w:t>subrule</w:t>
      </w:r>
      <w:r>
        <w:rPr>
          <w:snapToGrid w:val="0"/>
        </w:rPr>
        <w:t>, be made a defendant.</w:t>
      </w:r>
    </w:p>
    <w:p>
      <w:pPr>
        <w:pStyle w:val="Subsection"/>
        <w:rPr>
          <w:snapToGrid w:val="0"/>
        </w:rPr>
      </w:pPr>
      <w:r>
        <w:rPr>
          <w:snapToGrid w:val="0"/>
        </w:rPr>
        <w:tab/>
      </w:r>
      <w:r>
        <w:rPr>
          <w:snapToGrid w:val="0"/>
        </w:rPr>
        <w:tab/>
        <w:t xml:space="preserve">This </w:t>
      </w:r>
      <w:r>
        <w:t>subrule</w:t>
      </w:r>
      <w:r>
        <w:rPr>
          <w:snapToGrid w:val="0"/>
        </w:rPr>
        <w:t xml:space="preserve"> shall not apply to a probate action.</w:t>
      </w:r>
    </w:p>
    <w:p>
      <w:pPr>
        <w:pStyle w:val="Subsection"/>
        <w:rPr>
          <w:snapToGrid w:val="0"/>
        </w:rPr>
      </w:pPr>
      <w:r>
        <w:rPr>
          <w:snapToGrid w:val="0"/>
        </w:rPr>
        <w:lastRenderedPageBreak/>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Footnotesection"/>
        <w:ind w:left="890" w:hanging="890"/>
      </w:pPr>
      <w:r>
        <w:tab/>
        <w:t>[Rule 4 amended: Gazette 28 Jun 2011 p. 2552.]</w:t>
      </w:r>
    </w:p>
    <w:p>
      <w:pPr>
        <w:pStyle w:val="Heading5"/>
        <w:spacing w:before="240"/>
        <w:rPr>
          <w:snapToGrid w:val="0"/>
        </w:rPr>
      </w:pPr>
      <w:bookmarkStart w:id="354" w:name="_Toc163120827"/>
      <w:r>
        <w:rPr>
          <w:rStyle w:val="CharSectno"/>
        </w:rPr>
        <w:t>5</w:t>
      </w:r>
      <w:r>
        <w:rPr>
          <w:snapToGrid w:val="0"/>
        </w:rPr>
        <w:t>.</w:t>
      </w:r>
      <w:r>
        <w:rPr>
          <w:snapToGrid w:val="0"/>
        </w:rPr>
        <w:tab/>
        <w:t>Court may order separate trials etc.</w:t>
      </w:r>
      <w:bookmarkEnd w:id="354"/>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spacing w:before="240"/>
        <w:rPr>
          <w:snapToGrid w:val="0"/>
        </w:rPr>
      </w:pPr>
      <w:bookmarkStart w:id="355" w:name="_Toc163120828"/>
      <w:r>
        <w:rPr>
          <w:rStyle w:val="CharSectno"/>
        </w:rPr>
        <w:t>6</w:t>
      </w:r>
      <w:r>
        <w:rPr>
          <w:snapToGrid w:val="0"/>
        </w:rPr>
        <w:t>.</w:t>
      </w:r>
      <w:r>
        <w:rPr>
          <w:snapToGrid w:val="0"/>
        </w:rPr>
        <w:tab/>
        <w:t>Misjoinder and nonjoinder of parties</w:t>
      </w:r>
      <w:bookmarkEnd w:id="355"/>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lastRenderedPageBreak/>
        <w:tab/>
        <w:t>(2)</w:t>
      </w:r>
      <w:r>
        <w:rPr>
          <w:snapToGrid w:val="0"/>
        </w:rPr>
        <w:tab/>
        <w:t>At any stage of the proceedings in any cause or matter the Court may on such terms as it thinks just and either of its own motion or on application — </w:t>
      </w:r>
    </w:p>
    <w:p>
      <w:pPr>
        <w:pStyle w:val="Indenta"/>
        <w:spacing w:before="60"/>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spacing w:before="60"/>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spacing w:before="120"/>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spacing w:before="120"/>
        <w:rPr>
          <w:snapToGrid w:val="0"/>
        </w:rPr>
      </w:pPr>
      <w:r>
        <w:rPr>
          <w:snapToGrid w:val="0"/>
        </w:rPr>
        <w:tab/>
        <w:t>(3)</w:t>
      </w:r>
      <w:r>
        <w:rPr>
          <w:snapToGrid w:val="0"/>
        </w:rPr>
        <w:tab/>
        <w:t xml:space="preserve">An application by any person for an order under </w:t>
      </w:r>
      <w:r>
        <w:t>subrule</w:t>
      </w:r>
      <w:r>
        <w:rPr>
          <w:snapToGrid w:val="0"/>
        </w:rPr>
        <w:t> (2) adding him as a defendant must, except with the leave of the Court, be supported by an affidavit showing his interest in the matters in dispute in the cause or matter.</w:t>
      </w:r>
    </w:p>
    <w:p>
      <w:pPr>
        <w:pStyle w:val="Footnotesection"/>
        <w:spacing w:before="80"/>
        <w:ind w:left="890" w:hanging="890"/>
      </w:pPr>
      <w:r>
        <w:tab/>
        <w:t>[Rule 6 amended: Gazette 28 Jun 2011 p. 2552.]</w:t>
      </w:r>
    </w:p>
    <w:p>
      <w:pPr>
        <w:pStyle w:val="Heading5"/>
        <w:spacing w:before="180"/>
        <w:rPr>
          <w:snapToGrid w:val="0"/>
        </w:rPr>
      </w:pPr>
      <w:bookmarkStart w:id="356" w:name="_Toc163120829"/>
      <w:r>
        <w:rPr>
          <w:rStyle w:val="CharSectno"/>
        </w:rPr>
        <w:t>7</w:t>
      </w:r>
      <w:r>
        <w:rPr>
          <w:snapToGrid w:val="0"/>
        </w:rPr>
        <w:t>.</w:t>
      </w:r>
      <w:r>
        <w:rPr>
          <w:snapToGrid w:val="0"/>
        </w:rPr>
        <w:tab/>
        <w:t>Change of parties by reason of death etc.</w:t>
      </w:r>
      <w:bookmarkEnd w:id="356"/>
    </w:p>
    <w:p>
      <w:pPr>
        <w:pStyle w:val="Subsection"/>
        <w:spacing w:before="120"/>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spacing w:before="120"/>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widowControl w:val="0"/>
        <w:spacing w:before="120"/>
        <w:rPr>
          <w:snapToGrid w:val="0"/>
        </w:rPr>
      </w:pPr>
      <w:r>
        <w:rPr>
          <w:snapToGrid w:val="0"/>
        </w:rPr>
        <w:tab/>
      </w:r>
      <w:r>
        <w:rPr>
          <w:snapToGrid w:val="0"/>
        </w:rPr>
        <w:tab/>
        <w:t xml:space="preserve">An application for an order under this </w:t>
      </w:r>
      <w:r>
        <w:t>subrule</w:t>
      </w:r>
      <w:r>
        <w:rPr>
          <w:snapToGrid w:val="0"/>
        </w:rPr>
        <w:t xml:space="preserve"> may be made </w:t>
      </w:r>
      <w:r>
        <w:rPr>
          <w:i/>
          <w:snapToGrid w:val="0"/>
        </w:rPr>
        <w:lastRenderedPageBreak/>
        <w:t>ex parte</w:t>
      </w:r>
      <w:r>
        <w:rPr>
          <w:snapToGrid w:val="0"/>
        </w:rPr>
        <w:t>.</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 xml:space="preserve">Any application to the Court by a person served with an order made </w:t>
      </w:r>
      <w:r>
        <w:rPr>
          <w:i/>
          <w:snapToGrid w:val="0"/>
        </w:rPr>
        <w:t>ex parte</w:t>
      </w:r>
      <w:r>
        <w:rPr>
          <w:snapToGrid w:val="0"/>
        </w:rPr>
        <w:t xml:space="preserve"> under this rule for the discharge or variation of the order must be made within 14 days after the service of the order on that person.</w:t>
      </w:r>
    </w:p>
    <w:p>
      <w:pPr>
        <w:pStyle w:val="Footnotesection"/>
      </w:pPr>
      <w:r>
        <w:tab/>
        <w:t>[Rule 7 amended: Gazette 28 Jun 2011 p. 2552.]</w:t>
      </w:r>
    </w:p>
    <w:p>
      <w:pPr>
        <w:pStyle w:val="Heading5"/>
        <w:rPr>
          <w:snapToGrid w:val="0"/>
        </w:rPr>
      </w:pPr>
      <w:bookmarkStart w:id="357" w:name="_Toc163120830"/>
      <w:r>
        <w:rPr>
          <w:rStyle w:val="CharSectno"/>
        </w:rPr>
        <w:t>8</w:t>
      </w:r>
      <w:r>
        <w:rPr>
          <w:snapToGrid w:val="0"/>
        </w:rPr>
        <w:t>.</w:t>
      </w:r>
      <w:r>
        <w:rPr>
          <w:snapToGrid w:val="0"/>
        </w:rPr>
        <w:tab/>
        <w:t>Order made under r. 6 or 7, consequences of</w:t>
      </w:r>
      <w:bookmarkEnd w:id="357"/>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rPr>
          <w:snapToGrid w:val="0"/>
        </w:rPr>
      </w:pPr>
      <w:r>
        <w:rPr>
          <w:snapToGrid w:val="0"/>
        </w:rPr>
        <w:tab/>
        <w:t>(b)</w:t>
      </w:r>
      <w:r>
        <w:rPr>
          <w:snapToGrid w:val="0"/>
        </w:rPr>
        <w:tab/>
        <w:t>the date on which the amendment is made,</w:t>
      </w:r>
    </w:p>
    <w:p>
      <w:pPr>
        <w:pStyle w:val="Subsection"/>
        <w:spacing w:before="120"/>
        <w:rPr>
          <w:snapToGrid w:val="0"/>
        </w:rPr>
      </w:pPr>
      <w:r>
        <w:rPr>
          <w:snapToGrid w:val="0"/>
        </w:rPr>
        <w:lastRenderedPageBreak/>
        <w:tab/>
      </w:r>
      <w:r>
        <w:rPr>
          <w:snapToGrid w:val="0"/>
        </w:rPr>
        <w:tab/>
        <w:t>and the amendment must be made within such period as may be specified in the order or, if no period is so specified, within 14 days after the making of the order.</w:t>
      </w:r>
    </w:p>
    <w:p>
      <w:pPr>
        <w:pStyle w:val="Subsection"/>
        <w:spacing w:before="120"/>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spacing w:before="120"/>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spacing w:before="120"/>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spacing w:before="120"/>
        <w:rPr>
          <w:snapToGrid w:val="0"/>
        </w:rPr>
      </w:pPr>
      <w:r>
        <w:rPr>
          <w:snapToGrid w:val="0"/>
        </w:rPr>
        <w:tab/>
      </w:r>
      <w:r>
        <w:rPr>
          <w:snapToGrid w:val="0"/>
        </w:rPr>
        <w:tab/>
        <w:t xml:space="preserve">and where by virtue of </w:t>
      </w:r>
      <w:r>
        <w:t>such an order</w:t>
      </w:r>
      <w:r>
        <w:rPr>
          <w:snapToGrid w:val="0"/>
        </w:rPr>
        <w:t xml:space="preserve">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Footnotesection"/>
      </w:pPr>
      <w:r>
        <w:tab/>
        <w:t>[Rule 8 amended: Gazette 28 Jun 2011 p. 2553.]</w:t>
      </w:r>
    </w:p>
    <w:p>
      <w:pPr>
        <w:pStyle w:val="Heading5"/>
        <w:keepNext w:val="0"/>
        <w:keepLines w:val="0"/>
        <w:spacing w:before="180"/>
        <w:rPr>
          <w:snapToGrid w:val="0"/>
        </w:rPr>
      </w:pPr>
      <w:bookmarkStart w:id="358" w:name="_Toc163120831"/>
      <w:r>
        <w:rPr>
          <w:rStyle w:val="CharSectno"/>
        </w:rPr>
        <w:lastRenderedPageBreak/>
        <w:t>9</w:t>
      </w:r>
      <w:r>
        <w:rPr>
          <w:snapToGrid w:val="0"/>
        </w:rPr>
        <w:t>.</w:t>
      </w:r>
      <w:r>
        <w:rPr>
          <w:snapToGrid w:val="0"/>
        </w:rPr>
        <w:tab/>
        <w:t>Failure to proceed after death of party</w:t>
      </w:r>
      <w:bookmarkEnd w:id="358"/>
    </w:p>
    <w:p>
      <w:pPr>
        <w:pStyle w:val="Subsection"/>
        <w:spacing w:before="120"/>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spacing w:before="180"/>
        <w:rPr>
          <w:snapToGrid w:val="0"/>
        </w:rPr>
      </w:pPr>
      <w:bookmarkStart w:id="359" w:name="_Toc163120832"/>
      <w:r>
        <w:rPr>
          <w:rStyle w:val="CharSectno"/>
        </w:rPr>
        <w:t>10</w:t>
      </w:r>
      <w:r>
        <w:rPr>
          <w:snapToGrid w:val="0"/>
        </w:rPr>
        <w:t>.</w:t>
      </w:r>
      <w:r>
        <w:rPr>
          <w:snapToGrid w:val="0"/>
        </w:rPr>
        <w:tab/>
        <w:t>Action for possession of land, joining non-party who is in possession</w:t>
      </w:r>
      <w:bookmarkEnd w:id="359"/>
    </w:p>
    <w:p>
      <w:pPr>
        <w:pStyle w:val="Subsection"/>
        <w:spacing w:before="120"/>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spacing w:before="120"/>
        <w:rPr>
          <w:snapToGrid w:val="0"/>
        </w:rPr>
      </w:pPr>
      <w:r>
        <w:rPr>
          <w:snapToGrid w:val="0"/>
        </w:rPr>
        <w:tab/>
        <w:t>(2)</w:t>
      </w:r>
      <w:r>
        <w:rPr>
          <w:snapToGrid w:val="0"/>
        </w:rPr>
        <w:tab/>
        <w:t xml:space="preserve">An application by any person for an order under this rule may be made </w:t>
      </w:r>
      <w:r>
        <w:rPr>
          <w:i/>
          <w:snapToGrid w:val="0"/>
        </w:rPr>
        <w:t>ex parte</w:t>
      </w:r>
      <w:r>
        <w:rPr>
          <w:snapToGrid w:val="0"/>
        </w:rPr>
        <w:t>, supported by an affidavit showing that he is in possession of the land in question and if by a tenant, naming him.</w:t>
      </w:r>
    </w:p>
    <w:p>
      <w:pPr>
        <w:pStyle w:val="Subsection"/>
        <w:spacing w:before="120"/>
        <w:rPr>
          <w:snapToGrid w:val="0"/>
        </w:rPr>
      </w:pPr>
      <w:r>
        <w:rPr>
          <w:snapToGrid w:val="0"/>
        </w:rPr>
        <w:tab/>
        <w:t>(3)</w:t>
      </w:r>
      <w:r>
        <w:rPr>
          <w:snapToGrid w:val="0"/>
        </w:rPr>
        <w:tab/>
        <w:t xml:space="preserve">A person added as a defendant by an order under this rule must serve a copy of the order on the plaintiff and must enter an appearance in the action within such period, if any, as may be </w:t>
      </w:r>
      <w:r>
        <w:rPr>
          <w:snapToGrid w:val="0"/>
        </w:rPr>
        <w:lastRenderedPageBreak/>
        <w:t>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360" w:name="_Toc163120833"/>
      <w:r>
        <w:rPr>
          <w:rStyle w:val="CharSectno"/>
        </w:rPr>
        <w:t>11</w:t>
      </w:r>
      <w:r>
        <w:rPr>
          <w:snapToGrid w:val="0"/>
        </w:rPr>
        <w:t>.</w:t>
      </w:r>
      <w:r>
        <w:rPr>
          <w:snapToGrid w:val="0"/>
        </w:rPr>
        <w:tab/>
        <w:t>Relator actions</w:t>
      </w:r>
      <w:bookmarkEnd w:id="360"/>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361" w:name="_Toc163120834"/>
      <w:r>
        <w:rPr>
          <w:rStyle w:val="CharSectno"/>
        </w:rPr>
        <w:t>12</w:t>
      </w:r>
      <w:r>
        <w:rPr>
          <w:snapToGrid w:val="0"/>
        </w:rPr>
        <w:t>.</w:t>
      </w:r>
      <w:r>
        <w:rPr>
          <w:snapToGrid w:val="0"/>
        </w:rPr>
        <w:tab/>
      </w:r>
      <w:r>
        <w:t>Representation of persons with same interest in proceedings</w:t>
      </w:r>
      <w:bookmarkEnd w:id="361"/>
    </w:p>
    <w:p>
      <w:pPr>
        <w:pStyle w:val="Subsection"/>
        <w:rPr>
          <w:snapToGrid w:val="0"/>
        </w:rPr>
      </w:pPr>
      <w:r>
        <w:rPr>
          <w:snapToGrid w:val="0"/>
        </w:rPr>
        <w:tab/>
        <w:t>(1)</w:t>
      </w:r>
      <w:r>
        <w:rPr>
          <w:snapToGrid w:val="0"/>
        </w:rPr>
        <w:tab/>
        <w:t xml:space="preserve">Where numerous persons have the same interest in any proceedings, not being such proceedings as are mentioned in </w:t>
      </w:r>
      <w:r>
        <w:t>rule 13 or Order 18A,</w:t>
      </w:r>
      <w:r>
        <w:rPr>
          <w:snapToGrid w:val="0"/>
        </w:rPr>
        <w:t xml:space="preserve">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 xml:space="preserve">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w:t>
      </w:r>
      <w:r>
        <w:t>subrule</w:t>
      </w:r>
      <w:r>
        <w:rPr>
          <w:snapToGrid w:val="0"/>
        </w:rPr>
        <w:t>,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lastRenderedPageBreak/>
        <w:tab/>
        <w:t>(4)</w:t>
      </w:r>
      <w:r>
        <w:rPr>
          <w:snapToGrid w:val="0"/>
        </w:rPr>
        <w:tab/>
        <w:t xml:space="preserve">An application for the grant of leave under </w:t>
      </w:r>
      <w:r>
        <w:t>subrule</w:t>
      </w:r>
      <w:r>
        <w:rPr>
          <w:snapToGrid w:val="0"/>
        </w:rPr>
        <w:t>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 xml:space="preserve">Notwithstanding that a judgment or order to which any such application relates is binding on the person against whom the application is made, </w:t>
      </w:r>
      <w:r>
        <w:t>the</w:t>
      </w:r>
      <w:r>
        <w:rPr>
          <w:snapToGrid w:val="0"/>
        </w:rPr>
        <w:t xml:space="preserve"> person may dispute liability to have the judgment or order enforced against </w:t>
      </w:r>
      <w:r>
        <w:t>them</w:t>
      </w:r>
      <w:r>
        <w:rPr>
          <w:snapToGrid w:val="0"/>
        </w:rPr>
        <w:t xml:space="preserve"> on the ground that by reason of facts and matters particular to </w:t>
      </w:r>
      <w:r>
        <w:t>their case the person</w:t>
      </w:r>
      <w:r>
        <w:rPr>
          <w:snapToGrid w:val="0"/>
        </w:rPr>
        <w:t xml:space="preserve"> is entitled to be exempted from such liability.</w:t>
      </w:r>
    </w:p>
    <w:p>
      <w:pPr>
        <w:pStyle w:val="Subsection"/>
        <w:rPr>
          <w:snapToGrid w:val="0"/>
        </w:rPr>
      </w:pPr>
      <w:r>
        <w:rPr>
          <w:snapToGrid w:val="0"/>
        </w:rPr>
        <w:tab/>
        <w:t>(6)</w:t>
      </w:r>
      <w:r>
        <w:rPr>
          <w:snapToGrid w:val="0"/>
        </w:rPr>
        <w:tab/>
        <w:t xml:space="preserve">The Court hearing an application for the grant of leave under </w:t>
      </w:r>
      <w:r>
        <w:t>subrule</w:t>
      </w:r>
      <w:r>
        <w:rPr>
          <w:snapToGrid w:val="0"/>
        </w:rPr>
        <w:t> (3) may order the question whether the judgment or order is enforceable against the person against whom the application is made to be tried and determined in any manner in which any issue or question in an action may be tried and determined.</w:t>
      </w:r>
    </w:p>
    <w:p>
      <w:pPr>
        <w:pStyle w:val="Subsection"/>
      </w:pPr>
      <w:r>
        <w:tab/>
        <w:t>(7)</w:t>
      </w:r>
      <w:r>
        <w:tab/>
        <w:t>A person cannot begin or carry on a proceeding under this rule except by a legal practitioner.</w:t>
      </w:r>
    </w:p>
    <w:p>
      <w:pPr>
        <w:pStyle w:val="Footnotesection"/>
      </w:pPr>
      <w:r>
        <w:tab/>
        <w:t>[Rule 12 amended: Gazette 28 Jun 2011 p. 2552; SL 2023/16 r. 7.]</w:t>
      </w:r>
    </w:p>
    <w:p>
      <w:pPr>
        <w:pStyle w:val="Heading5"/>
        <w:rPr>
          <w:snapToGrid w:val="0"/>
        </w:rPr>
      </w:pPr>
      <w:bookmarkStart w:id="362" w:name="_Toc163120835"/>
      <w:r>
        <w:rPr>
          <w:rStyle w:val="CharSectno"/>
        </w:rPr>
        <w:t>13</w:t>
      </w:r>
      <w:r>
        <w:rPr>
          <w:snapToGrid w:val="0"/>
        </w:rPr>
        <w:t>.</w:t>
      </w:r>
      <w:r>
        <w:rPr>
          <w:snapToGrid w:val="0"/>
        </w:rPr>
        <w:tab/>
        <w:t>Representation of interested persons who cannot be ascertained etc.</w:t>
      </w:r>
      <w:bookmarkEnd w:id="362"/>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 xml:space="preserve">the Court, if satisfied that it is expedient so to do, and that one or more of the conditions specified in </w:t>
      </w:r>
      <w:r>
        <w:t>subrule</w:t>
      </w:r>
      <w:r>
        <w:rPr>
          <w:snapToGrid w:val="0"/>
        </w:rPr>
        <w:t xml:space="preserve"> (2) are satisfied, may appoint one or more persons to represent any person (including an unborn person) or class who is or may be </w:t>
      </w:r>
      <w:r>
        <w:rPr>
          <w:snapToGrid w:val="0"/>
        </w:rPr>
        <w:lastRenderedPageBreak/>
        <w:t>interested (whether presently or for any future, contingent or unascertained interest) in or affected by the proceedings.</w:t>
      </w:r>
    </w:p>
    <w:p>
      <w:pPr>
        <w:pStyle w:val="Subsection"/>
        <w:keepNext/>
        <w:rPr>
          <w:snapToGrid w:val="0"/>
        </w:rPr>
      </w:pPr>
      <w:r>
        <w:rPr>
          <w:snapToGrid w:val="0"/>
        </w:rPr>
        <w:tab/>
        <w:t>(2)</w:t>
      </w:r>
      <w:r>
        <w:rPr>
          <w:snapToGrid w:val="0"/>
        </w:rPr>
        <w:tab/>
        <w:t xml:space="preserve">The conditions for the exercise of the power conferred by </w:t>
      </w:r>
      <w:r>
        <w:t>subrule</w:t>
      </w:r>
      <w:r>
        <w:rPr>
          <w:snapToGrid w:val="0"/>
        </w:rPr>
        <w:t> (1) are as follows — </w:t>
      </w:r>
    </w:p>
    <w:p>
      <w:pPr>
        <w:pStyle w:val="Indenta"/>
        <w:spacing w:before="70"/>
        <w:rPr>
          <w:snapToGrid w:val="0"/>
        </w:rPr>
      </w:pPr>
      <w:r>
        <w:rPr>
          <w:snapToGrid w:val="0"/>
        </w:rPr>
        <w:tab/>
        <w:t>(a)</w:t>
      </w:r>
      <w:r>
        <w:rPr>
          <w:snapToGrid w:val="0"/>
        </w:rPr>
        <w:tab/>
        <w:t>that the person, the class or some member of the class, cannot be ascertained or cannot readily be ascertained;</w:t>
      </w:r>
    </w:p>
    <w:p>
      <w:pPr>
        <w:pStyle w:val="Indenta"/>
        <w:spacing w:before="70"/>
        <w:rPr>
          <w:snapToGrid w:val="0"/>
        </w:rPr>
      </w:pPr>
      <w:r>
        <w:rPr>
          <w:snapToGrid w:val="0"/>
        </w:rPr>
        <w:tab/>
        <w:t>(b)</w:t>
      </w:r>
      <w:r>
        <w:rPr>
          <w:snapToGrid w:val="0"/>
        </w:rPr>
        <w:tab/>
        <w:t>that the person, class or some member of the class, though ascertained, cannot be found;</w:t>
      </w:r>
    </w:p>
    <w:p>
      <w:pPr>
        <w:pStyle w:val="Indenta"/>
        <w:spacing w:before="70"/>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 xml:space="preserve">Where in any proceedings to which </w:t>
      </w:r>
      <w:r>
        <w:t>subrule</w:t>
      </w:r>
      <w:r>
        <w:rPr>
          <w:snapToGrid w:val="0"/>
        </w:rPr>
        <w:t xml:space="preserve"> (1) applies, the Court exercises the power conferred by that </w:t>
      </w:r>
      <w:r>
        <w:t>subrule</w:t>
      </w:r>
      <w:r>
        <w:rPr>
          <w:snapToGrid w:val="0"/>
        </w:rPr>
        <w:t>,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 xml:space="preserve">the absent persons are represented by a person appointed under </w:t>
      </w:r>
      <w:r>
        <w:t>subrule</w:t>
      </w:r>
      <w:r>
        <w:rPr>
          <w:snapToGrid w:val="0"/>
        </w:rPr>
        <w:t> (1) who so assents,</w:t>
      </w:r>
    </w:p>
    <w:p>
      <w:pPr>
        <w:pStyle w:val="Subsection"/>
        <w:rPr>
          <w:snapToGrid w:val="0"/>
        </w:rPr>
      </w:pPr>
      <w:r>
        <w:rPr>
          <w:snapToGrid w:val="0"/>
        </w:rPr>
        <w:tab/>
      </w:r>
      <w:r>
        <w:rPr>
          <w:snapToGrid w:val="0"/>
        </w:rPr>
        <w:tab/>
        <w:t xml:space="preserve">the Court, if satisfied that the compromise will be for the benefit of the absent persons and that it is expedient to exercise this power, may approve the compromise and order that it shall be binding on the absent persons, and they shall be bound </w:t>
      </w:r>
      <w:r>
        <w:rPr>
          <w:snapToGrid w:val="0"/>
        </w:rPr>
        <w:lastRenderedPageBreak/>
        <w:t>accordingly except where the order has been obtained by fraud or non</w:t>
      </w:r>
      <w:r>
        <w:rPr>
          <w:snapToGrid w:val="0"/>
        </w:rPr>
        <w:noBreakHyphen/>
        <w:t>disclosure of material facts.</w:t>
      </w:r>
    </w:p>
    <w:p>
      <w:pPr>
        <w:pStyle w:val="Footnotesection"/>
      </w:pPr>
      <w:r>
        <w:tab/>
        <w:t>[Rule 13 amended: Gazette 28 Jun 2011 p. 2552.]</w:t>
      </w:r>
    </w:p>
    <w:p>
      <w:pPr>
        <w:pStyle w:val="Heading5"/>
        <w:rPr>
          <w:snapToGrid w:val="0"/>
        </w:rPr>
      </w:pPr>
      <w:bookmarkStart w:id="363" w:name="_Toc163120836"/>
      <w:r>
        <w:rPr>
          <w:rStyle w:val="CharSectno"/>
        </w:rPr>
        <w:t>14</w:t>
      </w:r>
      <w:r>
        <w:rPr>
          <w:snapToGrid w:val="0"/>
        </w:rPr>
        <w:t>.</w:t>
      </w:r>
      <w:r>
        <w:rPr>
          <w:snapToGrid w:val="0"/>
        </w:rPr>
        <w:tab/>
        <w:t>Representation of beneficiaries by trustees etc.</w:t>
      </w:r>
      <w:bookmarkEnd w:id="363"/>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r>
      <w:r>
        <w:t>Subrule</w:t>
      </w:r>
      <w:r>
        <w:rPr>
          <w:snapToGrid w:val="0"/>
        </w:rPr>
        <w:t> (1) is without prejudice to the power of the Court to order any person having such an interest as aforesaid to be made a party to the proceedings or to make an order under rule 13.</w:t>
      </w:r>
    </w:p>
    <w:p>
      <w:pPr>
        <w:pStyle w:val="Footnotesection"/>
      </w:pPr>
      <w:r>
        <w:tab/>
        <w:t>[Rule 14 amended: Gazette 28 Jun 2011 p. 2552.]</w:t>
      </w:r>
    </w:p>
    <w:p>
      <w:pPr>
        <w:pStyle w:val="Heading5"/>
        <w:rPr>
          <w:snapToGrid w:val="0"/>
        </w:rPr>
      </w:pPr>
      <w:bookmarkStart w:id="364" w:name="_Toc163120837"/>
      <w:r>
        <w:rPr>
          <w:rStyle w:val="CharSectno"/>
        </w:rPr>
        <w:t>15</w:t>
      </w:r>
      <w:r>
        <w:rPr>
          <w:snapToGrid w:val="0"/>
        </w:rPr>
        <w:t>.</w:t>
      </w:r>
      <w:r>
        <w:rPr>
          <w:snapToGrid w:val="0"/>
        </w:rPr>
        <w:tab/>
        <w:t>Representation of deceased person interested in proceedings</w:t>
      </w:r>
      <w:bookmarkEnd w:id="364"/>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lastRenderedPageBreak/>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365" w:name="_Toc163120838"/>
      <w:r>
        <w:rPr>
          <w:rStyle w:val="CharSectno"/>
        </w:rPr>
        <w:t>16</w:t>
      </w:r>
      <w:r>
        <w:rPr>
          <w:snapToGrid w:val="0"/>
        </w:rPr>
        <w:t>.</w:t>
      </w:r>
      <w:r>
        <w:rPr>
          <w:snapToGrid w:val="0"/>
        </w:rPr>
        <w:tab/>
        <w:t>Declaratory judgment</w:t>
      </w:r>
      <w:bookmarkEnd w:id="365"/>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366" w:name="_Toc163120839"/>
      <w:r>
        <w:rPr>
          <w:rStyle w:val="CharSectno"/>
        </w:rPr>
        <w:t>17</w:t>
      </w:r>
      <w:r>
        <w:rPr>
          <w:snapToGrid w:val="0"/>
        </w:rPr>
        <w:t>.</w:t>
      </w:r>
      <w:r>
        <w:rPr>
          <w:snapToGrid w:val="0"/>
        </w:rPr>
        <w:tab/>
        <w:t>Conduct of proceedings</w:t>
      </w:r>
      <w:bookmarkEnd w:id="366"/>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pPr>
      <w:bookmarkStart w:id="367" w:name="_Toc162940378"/>
      <w:bookmarkStart w:id="368" w:name="_Toc162953167"/>
      <w:bookmarkStart w:id="369" w:name="_Toc163120840"/>
      <w:r>
        <w:rPr>
          <w:rStyle w:val="CharPartNo"/>
        </w:rPr>
        <w:lastRenderedPageBreak/>
        <w:t>Order 18A</w:t>
      </w:r>
      <w:r>
        <w:t> — </w:t>
      </w:r>
      <w:r>
        <w:rPr>
          <w:rStyle w:val="CharPartText"/>
        </w:rPr>
        <w:t xml:space="preserve">Representative proceedings under the </w:t>
      </w:r>
      <w:r>
        <w:rPr>
          <w:rStyle w:val="CharPartText"/>
          <w:i/>
        </w:rPr>
        <w:t>Civil Procedure (Representative Proceedings) Act 2022</w:t>
      </w:r>
      <w:bookmarkEnd w:id="367"/>
      <w:bookmarkEnd w:id="368"/>
      <w:bookmarkEnd w:id="369"/>
    </w:p>
    <w:p>
      <w:pPr>
        <w:pStyle w:val="Footnoteheading"/>
      </w:pPr>
      <w:r>
        <w:tab/>
        <w:t>[Heading inserted: SL 2023/16 r. 8.]</w:t>
      </w:r>
    </w:p>
    <w:p>
      <w:pPr>
        <w:pStyle w:val="Heading5"/>
      </w:pPr>
      <w:bookmarkStart w:id="370" w:name="_Toc163120841"/>
      <w:r>
        <w:rPr>
          <w:rStyle w:val="CharSectno"/>
        </w:rPr>
        <w:t>1</w:t>
      </w:r>
      <w:r>
        <w:t>.</w:t>
      </w:r>
      <w:r>
        <w:tab/>
        <w:t>Terms used</w:t>
      </w:r>
      <w:bookmarkEnd w:id="370"/>
    </w:p>
    <w:p>
      <w:pPr>
        <w:pStyle w:val="Subsection"/>
      </w:pPr>
      <w:r>
        <w:tab/>
      </w:r>
      <w:r>
        <w:tab/>
        <w:t xml:space="preserve">In this Order each of the following terms has the meaning given in the </w:t>
      </w:r>
      <w:r>
        <w:rPr>
          <w:i/>
        </w:rPr>
        <w:t>Civil Procedure (Representative Proceedings) Act 2022</w:t>
      </w:r>
      <w:r>
        <w:t xml:space="preserve"> section 3 — </w:t>
      </w:r>
    </w:p>
    <w:p>
      <w:pPr>
        <w:pStyle w:val="Defstart"/>
      </w:pPr>
      <w:r>
        <w:tab/>
      </w:r>
      <w:r>
        <w:rPr>
          <w:rStyle w:val="CharDefText"/>
        </w:rPr>
        <w:t>group member</w:t>
      </w:r>
    </w:p>
    <w:p>
      <w:pPr>
        <w:pStyle w:val="Defstart"/>
      </w:pPr>
      <w:r>
        <w:tab/>
      </w:r>
      <w:r>
        <w:rPr>
          <w:rStyle w:val="CharDefText"/>
        </w:rPr>
        <w:t>representative party</w:t>
      </w:r>
    </w:p>
    <w:p>
      <w:pPr>
        <w:pStyle w:val="Defstart"/>
      </w:pPr>
      <w:r>
        <w:tab/>
      </w:r>
      <w:r>
        <w:rPr>
          <w:rStyle w:val="CharDefText"/>
        </w:rPr>
        <w:t>representative proceeding</w:t>
      </w:r>
    </w:p>
    <w:p>
      <w:pPr>
        <w:pStyle w:val="Footnotesection"/>
      </w:pPr>
      <w:r>
        <w:tab/>
        <w:t>[Rule 1 inserted: SL 2023/16 r. 8.]</w:t>
      </w:r>
    </w:p>
    <w:p>
      <w:pPr>
        <w:pStyle w:val="Heading5"/>
      </w:pPr>
      <w:bookmarkStart w:id="371" w:name="_Toc163120842"/>
      <w:r>
        <w:rPr>
          <w:rStyle w:val="CharSectno"/>
        </w:rPr>
        <w:t>2</w:t>
      </w:r>
      <w:r>
        <w:t>.</w:t>
      </w:r>
      <w:r>
        <w:tab/>
        <w:t>Person must act by legal practitioner</w:t>
      </w:r>
      <w:bookmarkEnd w:id="371"/>
    </w:p>
    <w:p>
      <w:pPr>
        <w:pStyle w:val="Subsection"/>
      </w:pPr>
      <w:r>
        <w:tab/>
      </w:r>
      <w:r>
        <w:tab/>
        <w:t>A person cannot commence or carry on a representative proceeding except by a legal practitioner.</w:t>
      </w:r>
    </w:p>
    <w:p>
      <w:pPr>
        <w:pStyle w:val="Footnotesection"/>
      </w:pPr>
      <w:r>
        <w:tab/>
        <w:t>[Rule 2 inserted: SL 2023/16 r. 8.]</w:t>
      </w:r>
    </w:p>
    <w:p>
      <w:pPr>
        <w:pStyle w:val="Heading5"/>
      </w:pPr>
      <w:bookmarkStart w:id="372" w:name="_Toc163120843"/>
      <w:r>
        <w:rPr>
          <w:rStyle w:val="CharSectno"/>
        </w:rPr>
        <w:t>3</w:t>
      </w:r>
      <w:r>
        <w:t>.</w:t>
      </w:r>
      <w:r>
        <w:tab/>
        <w:t>Representative Proceedings List; headings to documents</w:t>
      </w:r>
      <w:bookmarkEnd w:id="372"/>
    </w:p>
    <w:p>
      <w:pPr>
        <w:pStyle w:val="Subsection"/>
      </w:pPr>
      <w:r>
        <w:tab/>
        <w:t>(1)</w:t>
      </w:r>
      <w:r>
        <w:tab/>
        <w:t xml:space="preserve">This rule applies if the Court administratively establishes a list (the </w:t>
      </w:r>
      <w:r>
        <w:rPr>
          <w:rStyle w:val="CharDefText"/>
        </w:rPr>
        <w:t>Representative Proceedings List</w:t>
      </w:r>
      <w:r>
        <w:t>) of proceedings for the purposes of this Order.</w:t>
      </w:r>
    </w:p>
    <w:p>
      <w:pPr>
        <w:pStyle w:val="Subsection"/>
      </w:pPr>
      <w:r>
        <w:tab/>
        <w:t>(2)</w:t>
      </w:r>
      <w:r>
        <w:tab/>
        <w:t>All representative proceedings are on the Representative Proceedings List.</w:t>
      </w:r>
    </w:p>
    <w:p>
      <w:pPr>
        <w:pStyle w:val="Subsection"/>
      </w:pPr>
      <w:r>
        <w:tab/>
        <w:t>(3)</w:t>
      </w:r>
      <w:r>
        <w:tab/>
        <w:t>The heading of every document filed or issued in a representative proceeding must include “Representative Proceedings List” under “In the Supreme Court of Western Australia”.</w:t>
      </w:r>
    </w:p>
    <w:p>
      <w:pPr>
        <w:pStyle w:val="Footnotesection"/>
      </w:pPr>
      <w:r>
        <w:tab/>
        <w:t>[Rule 3 inserted: SL 2023/16 r. 8.]</w:t>
      </w:r>
    </w:p>
    <w:p>
      <w:pPr>
        <w:pStyle w:val="Heading5"/>
      </w:pPr>
      <w:bookmarkStart w:id="373" w:name="_Toc163120844"/>
      <w:r>
        <w:rPr>
          <w:rStyle w:val="CharSectno"/>
        </w:rPr>
        <w:lastRenderedPageBreak/>
        <w:t>4</w:t>
      </w:r>
      <w:r>
        <w:t>.</w:t>
      </w:r>
      <w:r>
        <w:tab/>
        <w:t>Form of consent to be group member</w:t>
      </w:r>
      <w:bookmarkEnd w:id="373"/>
    </w:p>
    <w:p>
      <w:pPr>
        <w:pStyle w:val="Subsection"/>
      </w:pPr>
      <w:r>
        <w:tab/>
      </w:r>
      <w:r>
        <w:tab/>
        <w:t xml:space="preserve">A person referred to in the </w:t>
      </w:r>
      <w:r>
        <w:rPr>
          <w:i/>
        </w:rPr>
        <w:t>Civil Procedure (Representative Proceedings) Act 2022</w:t>
      </w:r>
      <w:r>
        <w:t xml:space="preserve"> section 8(2) may give consent to be a group member in a representative proceeding by — </w:t>
      </w:r>
    </w:p>
    <w:p>
      <w:pPr>
        <w:pStyle w:val="Indenta"/>
      </w:pPr>
      <w:r>
        <w:tab/>
        <w:t>(a)</w:t>
      </w:r>
      <w:r>
        <w:tab/>
        <w:t>filing a Form 10A; and</w:t>
      </w:r>
    </w:p>
    <w:p>
      <w:pPr>
        <w:pStyle w:val="Indenta"/>
      </w:pPr>
      <w:r>
        <w:tab/>
        <w:t>(b)</w:t>
      </w:r>
      <w:r>
        <w:tab/>
        <w:t>serving a copy on the representative party for the proceeding.</w:t>
      </w:r>
    </w:p>
    <w:p>
      <w:pPr>
        <w:pStyle w:val="Footnotesection"/>
      </w:pPr>
      <w:r>
        <w:tab/>
        <w:t>[Rule 4 inserted: SL 2023/16 r. 8.]</w:t>
      </w:r>
    </w:p>
    <w:p>
      <w:pPr>
        <w:pStyle w:val="Heading5"/>
      </w:pPr>
      <w:bookmarkStart w:id="374" w:name="_Toc163120845"/>
      <w:r>
        <w:rPr>
          <w:rStyle w:val="CharSectno"/>
        </w:rPr>
        <w:t>5</w:t>
      </w:r>
      <w:r>
        <w:t>.</w:t>
      </w:r>
      <w:r>
        <w:tab/>
        <w:t>Form of opt</w:t>
      </w:r>
      <w:r>
        <w:noBreakHyphen/>
        <w:t>out notice</w:t>
      </w:r>
      <w:bookmarkEnd w:id="374"/>
    </w:p>
    <w:p>
      <w:pPr>
        <w:pStyle w:val="Subsection"/>
      </w:pPr>
      <w:r>
        <w:tab/>
      </w:r>
      <w:r>
        <w:tab/>
        <w:t xml:space="preserve">For the purposes of the </w:t>
      </w:r>
      <w:r>
        <w:rPr>
          <w:i/>
        </w:rPr>
        <w:t>Civil Procedure (Representative Proceedings) Act 2022</w:t>
      </w:r>
      <w:r>
        <w:t xml:space="preserve"> section 12(2), a group member may opt out of a representative proceeding by filing a Form 10B.</w:t>
      </w:r>
    </w:p>
    <w:p>
      <w:pPr>
        <w:pStyle w:val="Footnotesection"/>
      </w:pPr>
      <w:r>
        <w:tab/>
        <w:t>[Rule 5 inserted: SL 2023/16 r. 8.]</w:t>
      </w:r>
    </w:p>
    <w:p>
      <w:pPr>
        <w:pStyle w:val="Heading2"/>
        <w:rPr>
          <w:b w:val="0"/>
        </w:rPr>
      </w:pPr>
      <w:bookmarkStart w:id="375" w:name="_Toc162940384"/>
      <w:bookmarkStart w:id="376" w:name="_Toc162953173"/>
      <w:bookmarkStart w:id="377" w:name="_Toc163120846"/>
      <w:r>
        <w:rPr>
          <w:rStyle w:val="CharPartNo"/>
        </w:rPr>
        <w:lastRenderedPageBreak/>
        <w:t>Order 19</w:t>
      </w:r>
      <w:r>
        <w:t> — </w:t>
      </w:r>
      <w:r>
        <w:rPr>
          <w:rStyle w:val="CharPartText"/>
        </w:rPr>
        <w:t>Third party and similar proceedings</w:t>
      </w:r>
      <w:bookmarkEnd w:id="375"/>
      <w:bookmarkEnd w:id="376"/>
      <w:bookmarkEnd w:id="377"/>
    </w:p>
    <w:p>
      <w:pPr>
        <w:pStyle w:val="Heading5"/>
        <w:rPr>
          <w:snapToGrid w:val="0"/>
        </w:rPr>
      </w:pPr>
      <w:bookmarkStart w:id="378" w:name="_Toc163120847"/>
      <w:r>
        <w:rPr>
          <w:rStyle w:val="CharSectno"/>
        </w:rPr>
        <w:t>1</w:t>
      </w:r>
      <w:r>
        <w:rPr>
          <w:snapToGrid w:val="0"/>
        </w:rPr>
        <w:t>.</w:t>
      </w:r>
      <w:r>
        <w:rPr>
          <w:snapToGrid w:val="0"/>
        </w:rPr>
        <w:tab/>
        <w:t>Third party notice</w:t>
      </w:r>
      <w:bookmarkEnd w:id="378"/>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spacing w:before="100"/>
        <w:rPr>
          <w:snapToGrid w:val="0"/>
        </w:rPr>
      </w:pPr>
      <w:r>
        <w:rPr>
          <w:snapToGrid w:val="0"/>
        </w:rPr>
        <w:tab/>
      </w:r>
      <w:r>
        <w:rPr>
          <w:snapToGrid w:val="0"/>
        </w:rPr>
        <w:tab/>
        <w:t xml:space="preserve">then, subject to </w:t>
      </w:r>
      <w:r>
        <w:t>subrule</w:t>
      </w:r>
      <w:r>
        <w:rPr>
          <w:snapToGrid w:val="0"/>
        </w:rPr>
        <w:t>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Footnotesection"/>
      </w:pPr>
      <w:r>
        <w:lastRenderedPageBreak/>
        <w:tab/>
        <w:t>[Rule 1 amended: Gazette 28 Jun 2011 p. 2552.]</w:t>
      </w:r>
    </w:p>
    <w:p>
      <w:pPr>
        <w:pStyle w:val="Heading5"/>
        <w:rPr>
          <w:snapToGrid w:val="0"/>
        </w:rPr>
      </w:pPr>
      <w:bookmarkStart w:id="379" w:name="_Toc163120848"/>
      <w:r>
        <w:rPr>
          <w:rStyle w:val="CharSectno"/>
        </w:rPr>
        <w:t>2</w:t>
      </w:r>
      <w:r>
        <w:rPr>
          <w:snapToGrid w:val="0"/>
        </w:rPr>
        <w:t>.</w:t>
      </w:r>
      <w:r>
        <w:rPr>
          <w:snapToGrid w:val="0"/>
        </w:rPr>
        <w:tab/>
        <w:t>Application for leave to issue third party notice</w:t>
      </w:r>
      <w:bookmarkEnd w:id="379"/>
    </w:p>
    <w:p>
      <w:pPr>
        <w:pStyle w:val="Subsection"/>
        <w:rPr>
          <w:snapToGrid w:val="0"/>
        </w:rPr>
      </w:pPr>
      <w:r>
        <w:rPr>
          <w:snapToGrid w:val="0"/>
        </w:rPr>
        <w:tab/>
        <w:t>(1)</w:t>
      </w:r>
      <w:r>
        <w:rPr>
          <w:snapToGrid w:val="0"/>
        </w:rPr>
        <w:tab/>
        <w:t xml:space="preserve">An application for leave to issue a third party notice may be made </w:t>
      </w:r>
      <w:r>
        <w:rPr>
          <w:i/>
          <w:snapToGrid w:val="0"/>
        </w:rPr>
        <w:t>ex parte</w:t>
      </w:r>
      <w:r>
        <w:rPr>
          <w:snapToGrid w:val="0"/>
        </w:rPr>
        <w:t xml:space="preserv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 and</w:t>
      </w:r>
    </w:p>
    <w:p>
      <w:pPr>
        <w:pStyle w:val="Indenta"/>
        <w:rPr>
          <w:snapToGrid w:val="0"/>
        </w:rPr>
      </w:pPr>
      <w:r>
        <w:rPr>
          <w:snapToGrid w:val="0"/>
        </w:rPr>
        <w:tab/>
        <w:t>(b)</w:t>
      </w:r>
      <w:r>
        <w:rPr>
          <w:snapToGrid w:val="0"/>
        </w:rPr>
        <w:tab/>
        <w:t>the stage which proceedings in the action have reached; and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380" w:name="_Toc163120849"/>
      <w:r>
        <w:rPr>
          <w:rStyle w:val="CharSectno"/>
        </w:rPr>
        <w:t>3</w:t>
      </w:r>
      <w:r>
        <w:rPr>
          <w:snapToGrid w:val="0"/>
        </w:rPr>
        <w:t>.</w:t>
      </w:r>
      <w:r>
        <w:rPr>
          <w:snapToGrid w:val="0"/>
        </w:rPr>
        <w:tab/>
        <w:t>Issue and service of, and entry of appearance to, third party notice</w:t>
      </w:r>
      <w:bookmarkEnd w:id="380"/>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w:t>
      </w:r>
      <w:r>
        <w:t xml:space="preserve"> subrules (1) and (2),</w:t>
      </w:r>
      <w:r>
        <w:rPr>
          <w:snapToGrid w:val="0"/>
        </w:rPr>
        <w:t xml:space="preserve"> the following provisions of these rules, namely, Order 5 rules 7, 8 and 11, Order 9 except rule 1(4), Order 10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lastRenderedPageBreak/>
        <w:tab/>
        <w:t>(b)</w:t>
      </w:r>
      <w:r>
        <w:rPr>
          <w:snapToGrid w:val="0"/>
        </w:rPr>
        <w:tab/>
        <w:t>the defendant issuing the third party notice were a plaintiff and the person against whom it is issued a defendant in that action.</w:t>
      </w:r>
    </w:p>
    <w:p>
      <w:pPr>
        <w:pStyle w:val="Footnotesection"/>
      </w:pPr>
      <w:r>
        <w:tab/>
        <w:t xml:space="preserve">[Rule 3 amended: Gazette 7 Oct 1977 p. 3602; 28 Jun 2011 p. 2553; 12 Jun 2012 p. 2451.] </w:t>
      </w:r>
    </w:p>
    <w:p>
      <w:pPr>
        <w:pStyle w:val="Heading5"/>
        <w:spacing w:before="240"/>
        <w:rPr>
          <w:snapToGrid w:val="0"/>
        </w:rPr>
      </w:pPr>
      <w:bookmarkStart w:id="381" w:name="_Toc163120850"/>
      <w:r>
        <w:rPr>
          <w:rStyle w:val="CharSectno"/>
        </w:rPr>
        <w:t>4</w:t>
      </w:r>
      <w:r>
        <w:rPr>
          <w:snapToGrid w:val="0"/>
        </w:rPr>
        <w:t>.</w:t>
      </w:r>
      <w:r>
        <w:rPr>
          <w:snapToGrid w:val="0"/>
        </w:rPr>
        <w:tab/>
        <w:t>Third party directions</w:t>
      </w:r>
      <w:bookmarkEnd w:id="381"/>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 xml:space="preserve">If a summons is not served on the third party under </w:t>
      </w:r>
      <w:r>
        <w:t>subrule</w:t>
      </w:r>
      <w:r>
        <w:rPr>
          <w:snapToGrid w:val="0"/>
        </w:rPr>
        <w:t>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 xml:space="preserve">On an application for directions under this rule the Court may give the third party leave to defend the action, either alone or jointly with any defendant, upon such terms as may be just, or to </w:t>
      </w:r>
      <w:r>
        <w:rPr>
          <w:snapToGrid w:val="0"/>
        </w:rPr>
        <w:lastRenderedPageBreak/>
        <w:t>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Gazette 26 Aug 1994 p. 4410; 28 Jun 2011 p. 2552.] </w:t>
      </w:r>
    </w:p>
    <w:p>
      <w:pPr>
        <w:pStyle w:val="Heading5"/>
        <w:rPr>
          <w:snapToGrid w:val="0"/>
        </w:rPr>
      </w:pPr>
      <w:bookmarkStart w:id="382" w:name="_Toc163120851"/>
      <w:r>
        <w:rPr>
          <w:rStyle w:val="CharSectno"/>
        </w:rPr>
        <w:t>5</w:t>
      </w:r>
      <w:r>
        <w:rPr>
          <w:snapToGrid w:val="0"/>
        </w:rPr>
        <w:t>.</w:t>
      </w:r>
      <w:r>
        <w:rPr>
          <w:snapToGrid w:val="0"/>
        </w:rPr>
        <w:tab/>
        <w:t>Default of third party etc.</w:t>
      </w:r>
      <w:bookmarkEnd w:id="382"/>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lastRenderedPageBreak/>
        <w:tab/>
        <w:t>(3)</w:t>
      </w:r>
      <w:r>
        <w:rPr>
          <w:snapToGrid w:val="0"/>
        </w:rPr>
        <w:tab/>
        <w:t xml:space="preserve">The Court may at any time set aside or vary a judgment entered under </w:t>
      </w:r>
      <w:r>
        <w:t>subrule</w:t>
      </w:r>
      <w:r>
        <w:rPr>
          <w:snapToGrid w:val="0"/>
        </w:rPr>
        <w:t xml:space="preserve"> (1)(b) or </w:t>
      </w:r>
      <w:r>
        <w:t>subrule</w:t>
      </w:r>
      <w:r>
        <w:rPr>
          <w:snapToGrid w:val="0"/>
        </w:rPr>
        <w:t> (2) on such terms (if any) as it thinks just.</w:t>
      </w:r>
    </w:p>
    <w:p>
      <w:pPr>
        <w:pStyle w:val="Footnotesection"/>
      </w:pPr>
      <w:r>
        <w:tab/>
        <w:t>[Rule 5 amended: Gazette 28 Jun 2011 p. 2552.]</w:t>
      </w:r>
    </w:p>
    <w:p>
      <w:pPr>
        <w:pStyle w:val="Heading5"/>
        <w:rPr>
          <w:snapToGrid w:val="0"/>
        </w:rPr>
      </w:pPr>
      <w:bookmarkStart w:id="383" w:name="_Toc163120852"/>
      <w:r>
        <w:rPr>
          <w:rStyle w:val="CharSectno"/>
        </w:rPr>
        <w:t>6</w:t>
      </w:r>
      <w:r>
        <w:rPr>
          <w:snapToGrid w:val="0"/>
        </w:rPr>
        <w:t>.</w:t>
      </w:r>
      <w:r>
        <w:rPr>
          <w:snapToGrid w:val="0"/>
        </w:rPr>
        <w:tab/>
        <w:t>Setting aside third party proceedings</w:t>
      </w:r>
      <w:bookmarkEnd w:id="383"/>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384" w:name="_Toc163120853"/>
      <w:r>
        <w:rPr>
          <w:rStyle w:val="CharSectno"/>
        </w:rPr>
        <w:t>7</w:t>
      </w:r>
      <w:r>
        <w:rPr>
          <w:snapToGrid w:val="0"/>
        </w:rPr>
        <w:t>.</w:t>
      </w:r>
      <w:r>
        <w:rPr>
          <w:snapToGrid w:val="0"/>
        </w:rPr>
        <w:tab/>
        <w:t>Judgment between defendant and third party</w:t>
      </w:r>
      <w:bookmarkEnd w:id="384"/>
    </w:p>
    <w:p>
      <w:pPr>
        <w:pStyle w:val="Subsection"/>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385" w:name="_Toc163120854"/>
      <w:r>
        <w:rPr>
          <w:rStyle w:val="CharSectno"/>
        </w:rPr>
        <w:t>8</w:t>
      </w:r>
      <w:r>
        <w:rPr>
          <w:snapToGrid w:val="0"/>
        </w:rPr>
        <w:t>.</w:t>
      </w:r>
      <w:r>
        <w:rPr>
          <w:snapToGrid w:val="0"/>
        </w:rPr>
        <w:tab/>
        <w:t>Claims and issues between defendant and another party</w:t>
      </w:r>
      <w:bookmarkEnd w:id="385"/>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 xml:space="preserve">matter of the action </w:t>
      </w:r>
      <w:r>
        <w:rPr>
          <w:snapToGrid w:val="0"/>
        </w:rPr>
        <w:lastRenderedPageBreak/>
        <w:t>should be determined not only as between the plaintiff and himself but also as between either or both of them and some other person who is already a party to the action,</w:t>
      </w:r>
    </w:p>
    <w:p>
      <w:pPr>
        <w:pStyle w:val="Subsection"/>
        <w:widowControl w:val="0"/>
        <w:rPr>
          <w:snapToGrid w:val="0"/>
        </w:rPr>
      </w:pPr>
      <w:r>
        <w:rPr>
          <w:snapToGrid w:val="0"/>
        </w:rPr>
        <w:tab/>
      </w:r>
      <w:r>
        <w:rPr>
          <w:snapToGrid w:val="0"/>
        </w:rPr>
        <w:tab/>
        <w:t xml:space="preserve">then, subject to </w:t>
      </w:r>
      <w:r>
        <w:t>subrule</w:t>
      </w:r>
      <w:r>
        <w:rPr>
          <w:snapToGrid w:val="0"/>
        </w:rPr>
        <w:t>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 xml:space="preserve">Where a defendant makes such a claim as is mentioned in </w:t>
      </w:r>
      <w:r>
        <w:t>subrule</w:t>
      </w:r>
      <w:r>
        <w:rPr>
          <w:snapToGrid w:val="0"/>
        </w:rPr>
        <w:t xml:space="preserve"> (1) and that claim could be made by him by counterclaim in the action, </w:t>
      </w:r>
      <w:r>
        <w:t>subrule</w:t>
      </w:r>
      <w:r>
        <w:rPr>
          <w:snapToGrid w:val="0"/>
        </w:rPr>
        <w:t>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Footnotesection"/>
      </w:pPr>
      <w:r>
        <w:tab/>
        <w:t>[Rule 8 amended: Gazette 28 Jun 2011 p. 2552.]</w:t>
      </w:r>
    </w:p>
    <w:p>
      <w:pPr>
        <w:pStyle w:val="Heading5"/>
        <w:rPr>
          <w:snapToGrid w:val="0"/>
        </w:rPr>
      </w:pPr>
      <w:bookmarkStart w:id="386" w:name="_Toc163120855"/>
      <w:r>
        <w:rPr>
          <w:rStyle w:val="CharSectno"/>
        </w:rPr>
        <w:t>9</w:t>
      </w:r>
      <w:r>
        <w:rPr>
          <w:snapToGrid w:val="0"/>
        </w:rPr>
        <w:t>.</w:t>
      </w:r>
      <w:r>
        <w:rPr>
          <w:snapToGrid w:val="0"/>
        </w:rPr>
        <w:tab/>
        <w:t>Claims by third and subsequent parties</w:t>
      </w:r>
      <w:bookmarkEnd w:id="386"/>
    </w:p>
    <w:p>
      <w:pPr>
        <w:pStyle w:val="Subsection"/>
        <w:rPr>
          <w:snapToGrid w:val="0"/>
        </w:rPr>
      </w:pPr>
      <w:r>
        <w:rPr>
          <w:snapToGrid w:val="0"/>
        </w:rPr>
        <w:tab/>
        <w:t>(1)</w:t>
      </w:r>
      <w:r>
        <w:rPr>
          <w:snapToGrid w:val="0"/>
        </w:rPr>
        <w:tab/>
        <w:t xml:space="preserve">Where a defendant has served a third party notice and the third party makes such a claim or requirement as is mentioned in rule 1 or rule 8, this Order shall, with the modification mentioned in </w:t>
      </w:r>
      <w:r>
        <w:t>subrule</w:t>
      </w:r>
      <w:r>
        <w:rPr>
          <w:snapToGrid w:val="0"/>
        </w:rPr>
        <w:t xml:space="preserve"> (2) and any other necessary modifications, apply as if the third party were a defendant; and similarly where </w:t>
      </w:r>
      <w:r>
        <w:rPr>
          <w:snapToGrid w:val="0"/>
        </w:rPr>
        <w:lastRenderedPageBreak/>
        <w:t>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 xml:space="preserve">The modification referred to in </w:t>
      </w:r>
      <w:r>
        <w:t>subrule</w:t>
      </w:r>
      <w:r>
        <w:rPr>
          <w:snapToGrid w:val="0"/>
        </w:rPr>
        <w:t> (1) is that subrule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Footnotesection"/>
      </w:pPr>
      <w:r>
        <w:tab/>
        <w:t>[Rule 9 amended: Gazette 28 Jun 2011 p. 2552.]</w:t>
      </w:r>
    </w:p>
    <w:p>
      <w:pPr>
        <w:pStyle w:val="Heading5"/>
        <w:rPr>
          <w:snapToGrid w:val="0"/>
        </w:rPr>
      </w:pPr>
      <w:bookmarkStart w:id="387" w:name="_Toc163120856"/>
      <w:r>
        <w:rPr>
          <w:rStyle w:val="CharSectno"/>
        </w:rPr>
        <w:t>10</w:t>
      </w:r>
      <w:r>
        <w:rPr>
          <w:snapToGrid w:val="0"/>
        </w:rPr>
        <w:t>.</w:t>
      </w:r>
      <w:r>
        <w:rPr>
          <w:snapToGrid w:val="0"/>
        </w:rPr>
        <w:tab/>
        <w:t>Offer of contribution</w:t>
      </w:r>
      <w:bookmarkEnd w:id="387"/>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388" w:name="_Toc163120857"/>
      <w:r>
        <w:rPr>
          <w:rStyle w:val="CharSectno"/>
        </w:rPr>
        <w:t>11</w:t>
      </w:r>
      <w:r>
        <w:rPr>
          <w:snapToGrid w:val="0"/>
        </w:rPr>
        <w:t>.</w:t>
      </w:r>
      <w:r>
        <w:rPr>
          <w:snapToGrid w:val="0"/>
        </w:rPr>
        <w:tab/>
        <w:t>Counterclaim by defendant</w:t>
      </w:r>
      <w:bookmarkEnd w:id="388"/>
    </w:p>
    <w:p>
      <w:pPr>
        <w:pStyle w:val="Subsection"/>
        <w:rPr>
          <w:snapToGrid w:val="0"/>
        </w:rPr>
      </w:pPr>
      <w:r>
        <w:rPr>
          <w:snapToGrid w:val="0"/>
        </w:rPr>
        <w:tab/>
      </w:r>
      <w:r>
        <w:rPr>
          <w:snapToGrid w:val="0"/>
        </w:rPr>
        <w:tab/>
        <w:t xml:space="preserve">Where in any action a counterclaim is made by a defendant, </w:t>
      </w:r>
      <w:r>
        <w:t xml:space="preserve">rules 1 to 10 </w:t>
      </w:r>
      <w:r>
        <w:rPr>
          <w:snapToGrid w:val="0"/>
        </w:rPr>
        <w:t>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Footnotesection"/>
      </w:pPr>
      <w:r>
        <w:tab/>
        <w:t>[Rule 11 amended: Gazette 28 Jun 2011 p. 2553.]</w:t>
      </w:r>
    </w:p>
    <w:p>
      <w:pPr>
        <w:pStyle w:val="Heading5"/>
        <w:rPr>
          <w:snapToGrid w:val="0"/>
        </w:rPr>
      </w:pPr>
      <w:bookmarkStart w:id="389" w:name="_Toc163120858"/>
      <w:r>
        <w:rPr>
          <w:rStyle w:val="CharSectno"/>
        </w:rPr>
        <w:lastRenderedPageBreak/>
        <w:t>12</w:t>
      </w:r>
      <w:r>
        <w:rPr>
          <w:snapToGrid w:val="0"/>
        </w:rPr>
        <w:t>.</w:t>
      </w:r>
      <w:r>
        <w:rPr>
          <w:snapToGrid w:val="0"/>
        </w:rPr>
        <w:tab/>
        <w:t>Costs</w:t>
      </w:r>
      <w:bookmarkEnd w:id="389"/>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390" w:name="_Toc162940397"/>
      <w:bookmarkStart w:id="391" w:name="_Toc162953186"/>
      <w:bookmarkStart w:id="392" w:name="_Toc163120859"/>
      <w:r>
        <w:rPr>
          <w:rStyle w:val="CharPartNo"/>
        </w:rPr>
        <w:lastRenderedPageBreak/>
        <w:t>Order 20</w:t>
      </w:r>
      <w:r>
        <w:t> — </w:t>
      </w:r>
      <w:r>
        <w:rPr>
          <w:rStyle w:val="CharPartText"/>
        </w:rPr>
        <w:t>Pleadings</w:t>
      </w:r>
      <w:bookmarkEnd w:id="390"/>
      <w:bookmarkEnd w:id="391"/>
      <w:bookmarkEnd w:id="392"/>
    </w:p>
    <w:p>
      <w:pPr>
        <w:pStyle w:val="Heading5"/>
        <w:rPr>
          <w:snapToGrid w:val="0"/>
        </w:rPr>
      </w:pPr>
      <w:bookmarkStart w:id="393" w:name="_Toc163120860"/>
      <w:r>
        <w:rPr>
          <w:rStyle w:val="CharSectno"/>
        </w:rPr>
        <w:t>1</w:t>
      </w:r>
      <w:r>
        <w:rPr>
          <w:snapToGrid w:val="0"/>
        </w:rPr>
        <w:t>.</w:t>
      </w:r>
      <w:r>
        <w:rPr>
          <w:snapToGrid w:val="0"/>
        </w:rPr>
        <w:tab/>
        <w:t>Statement of claim, service of</w:t>
      </w:r>
      <w:bookmarkEnd w:id="393"/>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is served on that defendant or at any time after service of the writ but before the expiration of 14 days after that defendant enters an appearance.</w:t>
      </w:r>
    </w:p>
    <w:p>
      <w:pPr>
        <w:pStyle w:val="Footnotesection"/>
      </w:pPr>
      <w:r>
        <w:tab/>
        <w:t>[Rule 1 amended: Gazette 12 Jun 2012 p. 2451.]</w:t>
      </w:r>
    </w:p>
    <w:p>
      <w:pPr>
        <w:pStyle w:val="Heading5"/>
        <w:rPr>
          <w:snapToGrid w:val="0"/>
        </w:rPr>
      </w:pPr>
      <w:bookmarkStart w:id="394" w:name="_Toc163120861"/>
      <w:r>
        <w:rPr>
          <w:rStyle w:val="CharSectno"/>
        </w:rPr>
        <w:t>2</w:t>
      </w:r>
      <w:r>
        <w:rPr>
          <w:snapToGrid w:val="0"/>
        </w:rPr>
        <w:t>.</w:t>
      </w:r>
      <w:r>
        <w:rPr>
          <w:snapToGrid w:val="0"/>
        </w:rPr>
        <w:tab/>
        <w:t>Statement of claim, content of</w:t>
      </w:r>
      <w:bookmarkEnd w:id="394"/>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 xml:space="preserve">Subject to </w:t>
      </w:r>
      <w:r>
        <w:t>subrule</w:t>
      </w:r>
      <w:r>
        <w:rPr>
          <w:snapToGrid w:val="0"/>
        </w:rPr>
        <w:t>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Footnotesection"/>
      </w:pPr>
      <w:r>
        <w:tab/>
        <w:t>[Rule 2 amended: Gazette 28 Jun 2011 p. 2552.]</w:t>
      </w:r>
    </w:p>
    <w:p>
      <w:pPr>
        <w:pStyle w:val="Heading5"/>
        <w:rPr>
          <w:snapToGrid w:val="0"/>
        </w:rPr>
      </w:pPr>
      <w:bookmarkStart w:id="395" w:name="_Toc163120862"/>
      <w:r>
        <w:rPr>
          <w:rStyle w:val="CharSectno"/>
        </w:rPr>
        <w:t>3</w:t>
      </w:r>
      <w:r>
        <w:rPr>
          <w:snapToGrid w:val="0"/>
        </w:rPr>
        <w:t>.</w:t>
      </w:r>
      <w:r>
        <w:rPr>
          <w:snapToGrid w:val="0"/>
        </w:rPr>
        <w:tab/>
        <w:t>Pleadings etc. to be filed before service</w:t>
      </w:r>
      <w:bookmarkEnd w:id="395"/>
    </w:p>
    <w:p>
      <w:pPr>
        <w:pStyle w:val="Subsection"/>
        <w:rPr>
          <w:snapToGrid w:val="0"/>
        </w:rPr>
      </w:pPr>
      <w:r>
        <w:rPr>
          <w:snapToGrid w:val="0"/>
        </w:rPr>
        <w:tab/>
        <w:t>(1)</w:t>
      </w:r>
      <w:r>
        <w:rPr>
          <w:snapToGrid w:val="0"/>
        </w:rPr>
        <w:tab/>
        <w:t xml:space="preserve">Subject to </w:t>
      </w:r>
      <w:r>
        <w:t>subrule</w:t>
      </w:r>
      <w:r>
        <w:rPr>
          <w:snapToGrid w:val="0"/>
        </w:rPr>
        <w:t xml:space="preserve"> (2) the original of every statement of claim, defence, set off, or counterclaim, and of every reply or subsequent pleading, and of any further particulars of any </w:t>
      </w:r>
      <w:r>
        <w:rPr>
          <w:snapToGrid w:val="0"/>
        </w:rPr>
        <w:lastRenderedPageBreak/>
        <w:t xml:space="preserve">pleading, a copy of which is required by these rules to be served on one party by another, must be filed before the copy is served, and the copy must be served within </w:t>
      </w:r>
      <w:r>
        <w:t>one working day after the date of</w:t>
      </w:r>
      <w:r>
        <w:rPr>
          <w:snapToGrid w:val="0"/>
        </w:rPr>
        <w:t xml:space="preserve">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Footnotesection"/>
      </w:pPr>
      <w:r>
        <w:tab/>
        <w:t>[Rule 3 amended: Gazette 28 Jul 2010 p. 3462; 28 Jun 2011 p. 2552.]</w:t>
      </w:r>
    </w:p>
    <w:p>
      <w:pPr>
        <w:pStyle w:val="Heading5"/>
        <w:rPr>
          <w:snapToGrid w:val="0"/>
        </w:rPr>
      </w:pPr>
      <w:bookmarkStart w:id="396" w:name="_Toc163120863"/>
      <w:r>
        <w:rPr>
          <w:rStyle w:val="CharSectno"/>
        </w:rPr>
        <w:t>4</w:t>
      </w:r>
      <w:r>
        <w:rPr>
          <w:snapToGrid w:val="0"/>
        </w:rPr>
        <w:t>.</w:t>
      </w:r>
      <w:r>
        <w:rPr>
          <w:snapToGrid w:val="0"/>
        </w:rPr>
        <w:tab/>
        <w:t>Defence, service of</w:t>
      </w:r>
      <w:bookmarkEnd w:id="396"/>
    </w:p>
    <w:p>
      <w:pPr>
        <w:pStyle w:val="Subsection"/>
        <w:rPr>
          <w:snapToGrid w:val="0"/>
        </w:rPr>
      </w:pPr>
      <w:r>
        <w:rPr>
          <w:snapToGrid w:val="0"/>
        </w:rPr>
        <w:tab/>
        <w:t>(1)</w:t>
      </w:r>
      <w:r>
        <w:rPr>
          <w:snapToGrid w:val="0"/>
        </w:rPr>
        <w:tab/>
        <w:t xml:space="preserve">Subject to </w:t>
      </w:r>
      <w:r>
        <w:t>subrule</w:t>
      </w:r>
      <w:r>
        <w:rPr>
          <w:snapToGrid w:val="0"/>
        </w:rPr>
        <w:t>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 xml:space="preserve">If a summons under Order 14 rule 1 is served on a defendant before he serves his defence, </w:t>
      </w:r>
      <w:r>
        <w:t>subrule</w:t>
      </w:r>
      <w:r>
        <w:rPr>
          <w:snapToGrid w:val="0"/>
        </w:rPr>
        <w:t>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Footnotesection"/>
      </w:pPr>
      <w:r>
        <w:tab/>
        <w:t>[Rule 4 amended: Gazette 28 Jun 2011 p. 2552.]</w:t>
      </w:r>
    </w:p>
    <w:p>
      <w:pPr>
        <w:pStyle w:val="Heading5"/>
        <w:rPr>
          <w:snapToGrid w:val="0"/>
        </w:rPr>
      </w:pPr>
      <w:bookmarkStart w:id="397" w:name="_Toc163120864"/>
      <w:r>
        <w:rPr>
          <w:rStyle w:val="CharSectno"/>
        </w:rPr>
        <w:t>5</w:t>
      </w:r>
      <w:r>
        <w:rPr>
          <w:snapToGrid w:val="0"/>
        </w:rPr>
        <w:t>.</w:t>
      </w:r>
      <w:r>
        <w:rPr>
          <w:snapToGrid w:val="0"/>
        </w:rPr>
        <w:tab/>
        <w:t>Reply and defence to counterclaim, service of</w:t>
      </w:r>
      <w:bookmarkEnd w:id="397"/>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lastRenderedPageBreak/>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398" w:name="_Toc163120865"/>
      <w:r>
        <w:rPr>
          <w:rStyle w:val="CharSectno"/>
        </w:rPr>
        <w:t>6</w:t>
      </w:r>
      <w:r>
        <w:rPr>
          <w:snapToGrid w:val="0"/>
        </w:rPr>
        <w:t>.</w:t>
      </w:r>
      <w:r>
        <w:rPr>
          <w:snapToGrid w:val="0"/>
        </w:rPr>
        <w:tab/>
        <w:t>Pleadings subsequent to reply etc., leave required for</w:t>
      </w:r>
      <w:bookmarkEnd w:id="398"/>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399" w:name="_Toc163120866"/>
      <w:r>
        <w:rPr>
          <w:rStyle w:val="CharSectno"/>
        </w:rPr>
        <w:t>7</w:t>
      </w:r>
      <w:r>
        <w:rPr>
          <w:snapToGrid w:val="0"/>
        </w:rPr>
        <w:t>.</w:t>
      </w:r>
      <w:r>
        <w:rPr>
          <w:snapToGrid w:val="0"/>
        </w:rPr>
        <w:tab/>
        <w:t>Pleadings, formal requirements of</w:t>
      </w:r>
      <w:bookmarkEnd w:id="399"/>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 and</w:t>
      </w:r>
    </w:p>
    <w:p>
      <w:pPr>
        <w:pStyle w:val="Indenta"/>
        <w:rPr>
          <w:snapToGrid w:val="0"/>
        </w:rPr>
      </w:pPr>
      <w:r>
        <w:rPr>
          <w:snapToGrid w:val="0"/>
        </w:rPr>
        <w:tab/>
        <w:t>(b)</w:t>
      </w:r>
      <w:r>
        <w:rPr>
          <w:snapToGrid w:val="0"/>
        </w:rPr>
        <w:tab/>
        <w:t>the title of the action; and</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pPr>
      <w:r>
        <w:tab/>
        <w:t>(b)</w:t>
      </w:r>
      <w:r>
        <w:tab/>
        <w:t>in any other case, with the name or firm and address for service of the solicitor by whom it was filed.</w:t>
      </w:r>
    </w:p>
    <w:p>
      <w:pPr>
        <w:pStyle w:val="Subsection"/>
        <w:rPr>
          <w:snapToGrid w:val="0"/>
        </w:rPr>
      </w:pPr>
      <w:r>
        <w:rPr>
          <w:snapToGrid w:val="0"/>
        </w:rPr>
        <w:lastRenderedPageBreak/>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 xml:space="preserve">It shall be a sufficient compliance with </w:t>
      </w:r>
      <w:r>
        <w:t>subrule</w:t>
      </w:r>
      <w:r>
        <w:rPr>
          <w:snapToGrid w:val="0"/>
        </w:rPr>
        <w:t> (5) if the pleading is signed by a solicitor who — </w:t>
      </w:r>
    </w:p>
    <w:p>
      <w:pPr>
        <w:pStyle w:val="Indenta"/>
        <w:rPr>
          <w:snapToGrid w:val="0"/>
        </w:rPr>
      </w:pPr>
      <w:r>
        <w:rPr>
          <w:snapToGrid w:val="0"/>
        </w:rPr>
        <w:tab/>
        <w:t>(a)</w:t>
      </w:r>
      <w:r>
        <w:rPr>
          <w:snapToGrid w:val="0"/>
        </w:rPr>
        <w:tab/>
        <w:t>is employed by the party’s solicitor; and</w:t>
      </w:r>
    </w:p>
    <w:p>
      <w:pPr>
        <w:pStyle w:val="Indenta"/>
        <w:rPr>
          <w:snapToGrid w:val="0"/>
        </w:rPr>
      </w:pPr>
      <w:r>
        <w:rPr>
          <w:snapToGrid w:val="0"/>
        </w:rPr>
        <w:tab/>
        <w:t>(b)</w:t>
      </w:r>
      <w:r>
        <w:rPr>
          <w:snapToGrid w:val="0"/>
        </w:rPr>
        <w:tab/>
        <w:t>has settled the pleading; and</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Gazette 15 Jun 1973 p. 2248; 28 Jun 2011 p. 2552; 27 Feb 2018 p. 558.] </w:t>
      </w:r>
    </w:p>
    <w:p>
      <w:pPr>
        <w:pStyle w:val="Heading5"/>
        <w:rPr>
          <w:snapToGrid w:val="0"/>
        </w:rPr>
      </w:pPr>
      <w:bookmarkStart w:id="400" w:name="_Toc163120867"/>
      <w:r>
        <w:rPr>
          <w:rStyle w:val="CharSectno"/>
        </w:rPr>
        <w:t>8</w:t>
      </w:r>
      <w:r>
        <w:rPr>
          <w:snapToGrid w:val="0"/>
        </w:rPr>
        <w:t>.</w:t>
      </w:r>
      <w:r>
        <w:rPr>
          <w:snapToGrid w:val="0"/>
        </w:rPr>
        <w:tab/>
        <w:t>Facts, not evidence, to be pleaded</w:t>
      </w:r>
      <w:bookmarkEnd w:id="400"/>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 xml:space="preserve">Without prejudice to </w:t>
      </w:r>
      <w:r>
        <w:t>subrule</w:t>
      </w:r>
      <w:r>
        <w:rPr>
          <w:snapToGrid w:val="0"/>
        </w:rPr>
        <w:t>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 xml:space="preserve">A statement that a thing has been done or that an event has occurred, being a thing or event the doing or occurrence of </w:t>
      </w:r>
      <w:r>
        <w:rPr>
          <w:snapToGrid w:val="0"/>
        </w:rPr>
        <w:lastRenderedPageBreak/>
        <w:t>which, as the case may be, constitutes a condition precedent necessary for the case of a party is to be implied in his pleading.</w:t>
      </w:r>
    </w:p>
    <w:p>
      <w:pPr>
        <w:pStyle w:val="Footnotesection"/>
      </w:pPr>
      <w:r>
        <w:tab/>
        <w:t>[Rule 8 amended: Gazette 28 Jun 2011 p. 2552.]</w:t>
      </w:r>
    </w:p>
    <w:p>
      <w:pPr>
        <w:pStyle w:val="Heading5"/>
        <w:rPr>
          <w:snapToGrid w:val="0"/>
        </w:rPr>
      </w:pPr>
      <w:bookmarkStart w:id="401" w:name="_Toc163120868"/>
      <w:r>
        <w:rPr>
          <w:rStyle w:val="CharSectno"/>
        </w:rPr>
        <w:t>9</w:t>
      </w:r>
      <w:r>
        <w:rPr>
          <w:snapToGrid w:val="0"/>
        </w:rPr>
        <w:t>.</w:t>
      </w:r>
      <w:r>
        <w:rPr>
          <w:snapToGrid w:val="0"/>
        </w:rPr>
        <w:tab/>
        <w:t>Matters which must be specifically pleaded</w:t>
      </w:r>
      <w:bookmarkEnd w:id="401"/>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 xml:space="preserve">Without prejudice to </w:t>
      </w:r>
      <w:r>
        <w:t>subrule</w:t>
      </w:r>
      <w:r>
        <w:rPr>
          <w:snapToGrid w:val="0"/>
        </w:rPr>
        <w:t>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 and</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lastRenderedPageBreak/>
        <w:tab/>
        <w:t>(iii)</w:t>
      </w:r>
      <w:r>
        <w:rPr>
          <w:snapToGrid w:val="0"/>
        </w:rPr>
        <w:tab/>
        <w:t>state the date or dates from which interest is claimed.</w:t>
      </w:r>
    </w:p>
    <w:p>
      <w:pPr>
        <w:pStyle w:val="Footnotesection"/>
      </w:pPr>
      <w:r>
        <w:tab/>
        <w:t xml:space="preserve">[Rule 9 amended: Gazette 3 Oct 1975 p. 3769; 31 Mar 1983 p. 1090; 28 Jun 2011 p. 2552.] </w:t>
      </w:r>
    </w:p>
    <w:p>
      <w:pPr>
        <w:pStyle w:val="Heading5"/>
        <w:rPr>
          <w:snapToGrid w:val="0"/>
        </w:rPr>
      </w:pPr>
      <w:bookmarkStart w:id="402" w:name="_Toc163120869"/>
      <w:r>
        <w:rPr>
          <w:rStyle w:val="CharSectno"/>
        </w:rPr>
        <w:t>10</w:t>
      </w:r>
      <w:r>
        <w:rPr>
          <w:snapToGrid w:val="0"/>
        </w:rPr>
        <w:t>.</w:t>
      </w:r>
      <w:r>
        <w:rPr>
          <w:snapToGrid w:val="0"/>
        </w:rPr>
        <w:tab/>
        <w:t>Matter may be pleaded whenever arising</w:t>
      </w:r>
      <w:bookmarkEnd w:id="402"/>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403" w:name="_Toc163120870"/>
      <w:r>
        <w:rPr>
          <w:rStyle w:val="CharSectno"/>
        </w:rPr>
        <w:t>11</w:t>
      </w:r>
      <w:r>
        <w:rPr>
          <w:snapToGrid w:val="0"/>
        </w:rPr>
        <w:t>.</w:t>
      </w:r>
      <w:r>
        <w:rPr>
          <w:snapToGrid w:val="0"/>
        </w:rPr>
        <w:tab/>
        <w:t>Party’s pleadings to be consistent</w:t>
      </w:r>
      <w:bookmarkEnd w:id="403"/>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r>
      <w:r>
        <w:t>Subrule</w:t>
      </w:r>
      <w:r>
        <w:rPr>
          <w:snapToGrid w:val="0"/>
        </w:rPr>
        <w:t> (1) shall not be taken as prejudicing the right of a party to amend, or apply for leave to amend, his previous pleading so as to plead the allegations or claims in the alternative.</w:t>
      </w:r>
    </w:p>
    <w:p>
      <w:pPr>
        <w:pStyle w:val="Footnotesection"/>
      </w:pPr>
      <w:r>
        <w:tab/>
        <w:t>[Rule 11 amended: Gazette 28 Jun 2011 p. 2552.]</w:t>
      </w:r>
    </w:p>
    <w:p>
      <w:pPr>
        <w:pStyle w:val="Heading5"/>
        <w:rPr>
          <w:snapToGrid w:val="0"/>
        </w:rPr>
      </w:pPr>
      <w:bookmarkStart w:id="404" w:name="_Toc163120871"/>
      <w:r>
        <w:rPr>
          <w:rStyle w:val="CharSectno"/>
        </w:rPr>
        <w:t>12</w:t>
      </w:r>
      <w:r>
        <w:rPr>
          <w:snapToGrid w:val="0"/>
        </w:rPr>
        <w:t>.</w:t>
      </w:r>
      <w:r>
        <w:rPr>
          <w:snapToGrid w:val="0"/>
        </w:rPr>
        <w:tab/>
        <w:t>Points of law may be pleaded</w:t>
      </w:r>
      <w:bookmarkEnd w:id="404"/>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405" w:name="_Toc163120872"/>
      <w:r>
        <w:rPr>
          <w:rStyle w:val="CharSectno"/>
        </w:rPr>
        <w:t>13</w:t>
      </w:r>
      <w:r>
        <w:rPr>
          <w:snapToGrid w:val="0"/>
        </w:rPr>
        <w:t>.</w:t>
      </w:r>
      <w:r>
        <w:rPr>
          <w:snapToGrid w:val="0"/>
        </w:rPr>
        <w:tab/>
        <w:t>Particulars of claims etc.</w:t>
      </w:r>
      <w:bookmarkEnd w:id="405"/>
    </w:p>
    <w:p>
      <w:pPr>
        <w:pStyle w:val="Subsection"/>
        <w:rPr>
          <w:snapToGrid w:val="0"/>
        </w:rPr>
      </w:pPr>
      <w:r>
        <w:rPr>
          <w:snapToGrid w:val="0"/>
        </w:rPr>
        <w:tab/>
        <w:t>(1)</w:t>
      </w:r>
      <w:r>
        <w:rPr>
          <w:snapToGrid w:val="0"/>
        </w:rPr>
        <w:tab/>
        <w:t xml:space="preserve">Subject to </w:t>
      </w:r>
      <w:r>
        <w:t>subrule</w:t>
      </w:r>
      <w:r>
        <w:rPr>
          <w:snapToGrid w:val="0"/>
        </w:rPr>
        <w:t>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 xml:space="preserve">where a party pleading alleges any condition of the mind of any person, whether any disorder or disability of mind or any malice, fraudulent intention or other condition of </w:t>
      </w:r>
      <w:r>
        <w:rPr>
          <w:snapToGrid w:val="0"/>
        </w:rPr>
        <w:lastRenderedPageBreak/>
        <w:t>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 xml:space="preserve">Where a party alleges as a fact that a person had knowledge or notice of some fact, matter or thing, then, without prejudice to the generality of </w:t>
      </w:r>
      <w:r>
        <w:t>subrule</w:t>
      </w:r>
      <w:r>
        <w:rPr>
          <w:snapToGrid w:val="0"/>
        </w:rPr>
        <w:t>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 xml:space="preserve">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w:t>
      </w:r>
      <w:r>
        <w:rPr>
          <w:snapToGrid w:val="0"/>
        </w:rPr>
        <w:lastRenderedPageBreak/>
        <w:t>order otherwise provides, operate as a stay of proceedings, or give any extension of time.</w:t>
      </w:r>
    </w:p>
    <w:p>
      <w:pPr>
        <w:pStyle w:val="Footnotesection"/>
      </w:pPr>
      <w:r>
        <w:tab/>
        <w:t xml:space="preserve">[Rule 13 amended: Gazette 26 Aug 1994 p. 4410; 28 Jun 2011 p. 2552.] </w:t>
      </w:r>
    </w:p>
    <w:p>
      <w:pPr>
        <w:pStyle w:val="Heading5"/>
        <w:rPr>
          <w:snapToGrid w:val="0"/>
        </w:rPr>
      </w:pPr>
      <w:bookmarkStart w:id="406" w:name="_Toc163120873"/>
      <w:r>
        <w:rPr>
          <w:rStyle w:val="CharSectno"/>
        </w:rPr>
        <w:t>13A</w:t>
      </w:r>
      <w:r>
        <w:rPr>
          <w:snapToGrid w:val="0"/>
        </w:rPr>
        <w:t>.</w:t>
      </w:r>
      <w:r>
        <w:rPr>
          <w:snapToGrid w:val="0"/>
        </w:rPr>
        <w:tab/>
        <w:t>Particulars in defamation actions</w:t>
      </w:r>
      <w:bookmarkEnd w:id="406"/>
    </w:p>
    <w:p>
      <w:pPr>
        <w:pStyle w:val="Subsection"/>
        <w:rPr>
          <w:snapToGrid w:val="0"/>
        </w:rPr>
      </w:pPr>
      <w:r>
        <w:rPr>
          <w:snapToGrid w:val="0"/>
        </w:rPr>
        <w:tab/>
        <w:t>(1)</w:t>
      </w:r>
      <w:r>
        <w:rPr>
          <w:snapToGrid w:val="0"/>
        </w:rPr>
        <w:tab/>
        <w:t xml:space="preserve">Where in an action for </w:t>
      </w:r>
      <w:r>
        <w:t>defamation</w:t>
      </w:r>
      <w:r>
        <w:rPr>
          <w:snapToGrid w:val="0"/>
        </w:rPr>
        <w:t xml:space="preserve">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 xml:space="preserve">Where in an action for </w:t>
      </w:r>
      <w:r>
        <w:t>defamation</w:t>
      </w:r>
      <w:r>
        <w:rPr>
          <w:snapToGrid w:val="0"/>
        </w:rPr>
        <w:t xml:space="preserve">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 xml:space="preserve">Where in an action for </w:t>
      </w:r>
      <w:r>
        <w:t>defamation</w:t>
      </w:r>
      <w:r>
        <w:rPr>
          <w:snapToGrid w:val="0"/>
        </w:rPr>
        <w:t xml:space="preserve">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 xml:space="preserve">This rule applies in relation to a counterclaim for </w:t>
      </w:r>
      <w:r>
        <w:t>defamation</w:t>
      </w:r>
      <w:r>
        <w:rPr>
          <w:snapToGrid w:val="0"/>
        </w:rPr>
        <w:t xml:space="preserve"> as if the party making the counterclaim were the plaintiff and the party against whom it is made were the defendant.</w:t>
      </w:r>
    </w:p>
    <w:p>
      <w:pPr>
        <w:pStyle w:val="Footnotesection"/>
      </w:pPr>
      <w:r>
        <w:tab/>
        <w:t xml:space="preserve">[Rule 13A inserted: Gazette 23 Sep 1983 p. 3797; amended: Gazette 16 Aug 2017 p. 4411.] </w:t>
      </w:r>
    </w:p>
    <w:p>
      <w:pPr>
        <w:pStyle w:val="Heading5"/>
        <w:rPr>
          <w:snapToGrid w:val="0"/>
        </w:rPr>
      </w:pPr>
      <w:bookmarkStart w:id="407" w:name="_Toc163120874"/>
      <w:r>
        <w:rPr>
          <w:rStyle w:val="CharSectno"/>
        </w:rPr>
        <w:lastRenderedPageBreak/>
        <w:t>14</w:t>
      </w:r>
      <w:r>
        <w:rPr>
          <w:snapToGrid w:val="0"/>
        </w:rPr>
        <w:t>.</w:t>
      </w:r>
      <w:r>
        <w:rPr>
          <w:snapToGrid w:val="0"/>
        </w:rPr>
        <w:tab/>
        <w:t>Admissions, traverses etc.</w:t>
      </w:r>
      <w:bookmarkEnd w:id="407"/>
    </w:p>
    <w:p>
      <w:pPr>
        <w:pStyle w:val="Subsection"/>
        <w:spacing w:before="180"/>
        <w:rPr>
          <w:snapToGrid w:val="0"/>
        </w:rPr>
      </w:pPr>
      <w:r>
        <w:rPr>
          <w:snapToGrid w:val="0"/>
        </w:rPr>
        <w:tab/>
        <w:t>(1)</w:t>
      </w:r>
      <w:r>
        <w:rPr>
          <w:snapToGrid w:val="0"/>
        </w:rPr>
        <w:tab/>
        <w:t xml:space="preserve">Subject to </w:t>
      </w:r>
      <w:r>
        <w:t>subrule</w:t>
      </w:r>
      <w:r>
        <w:rPr>
          <w:snapToGrid w:val="0"/>
        </w:rPr>
        <w:t> (4), any allegation of fact made by a party in his pleading is deemed to be admitted by the opposite party unless it is traversed by that party in his pleading or a joinder of issue under rule 15 operates as a denial of it.</w:t>
      </w:r>
    </w:p>
    <w:p>
      <w:pPr>
        <w:pStyle w:val="Subsection"/>
        <w:spacing w:before="180"/>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spacing w:before="180"/>
        <w:rPr>
          <w:snapToGrid w:val="0"/>
        </w:rPr>
      </w:pPr>
      <w:r>
        <w:rPr>
          <w:snapToGrid w:val="0"/>
        </w:rPr>
        <w:tab/>
        <w:t>(3)</w:t>
      </w:r>
      <w:r>
        <w:rPr>
          <w:snapToGrid w:val="0"/>
        </w:rPr>
        <w:tab/>
        <w:t xml:space="preserve">Subject to </w:t>
      </w:r>
      <w:r>
        <w:t>subrule</w:t>
      </w:r>
      <w:r>
        <w:rPr>
          <w:snapToGrid w:val="0"/>
        </w:rPr>
        <w:t>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spacing w:before="180"/>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Footnotesection"/>
      </w:pPr>
      <w:r>
        <w:tab/>
        <w:t>[Rule 14 amended: Gazette 28 Jun 2011 p. 2552.]</w:t>
      </w:r>
    </w:p>
    <w:p>
      <w:pPr>
        <w:pStyle w:val="Heading5"/>
        <w:rPr>
          <w:snapToGrid w:val="0"/>
        </w:rPr>
      </w:pPr>
      <w:bookmarkStart w:id="408" w:name="_Toc163120875"/>
      <w:r>
        <w:rPr>
          <w:rStyle w:val="CharSectno"/>
        </w:rPr>
        <w:t>15</w:t>
      </w:r>
      <w:r>
        <w:rPr>
          <w:snapToGrid w:val="0"/>
        </w:rPr>
        <w:t>.</w:t>
      </w:r>
      <w:r>
        <w:rPr>
          <w:snapToGrid w:val="0"/>
        </w:rPr>
        <w:tab/>
        <w:t>Denial by joinder of issue</w:t>
      </w:r>
      <w:bookmarkEnd w:id="408"/>
    </w:p>
    <w:p>
      <w:pPr>
        <w:pStyle w:val="Subsection"/>
        <w:spacing w:before="180"/>
        <w:rPr>
          <w:snapToGrid w:val="0"/>
        </w:rPr>
      </w:pPr>
      <w:r>
        <w:rPr>
          <w:snapToGrid w:val="0"/>
        </w:rPr>
        <w:tab/>
        <w:t>(1)</w:t>
      </w:r>
      <w:r>
        <w:rPr>
          <w:snapToGrid w:val="0"/>
        </w:rPr>
        <w:tab/>
        <w:t>If there is no reply to a defence, there is an implied joinder of issue on that defence.</w:t>
      </w:r>
    </w:p>
    <w:p>
      <w:pPr>
        <w:pStyle w:val="Subsection"/>
        <w:spacing w:before="180"/>
        <w:rPr>
          <w:snapToGrid w:val="0"/>
        </w:rPr>
      </w:pPr>
      <w:r>
        <w:rPr>
          <w:snapToGrid w:val="0"/>
        </w:rPr>
        <w:tab/>
        <w:t>(2)</w:t>
      </w:r>
      <w:r>
        <w:rPr>
          <w:snapToGrid w:val="0"/>
        </w:rPr>
        <w:tab/>
        <w:t xml:space="preserve">Subject to </w:t>
      </w:r>
      <w:r>
        <w:t>subrule</w:t>
      </w:r>
      <w:r>
        <w:rPr>
          <w:snapToGrid w:val="0"/>
        </w:rPr>
        <w:t>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spacing w:before="180"/>
        <w:rPr>
          <w:snapToGrid w:val="0"/>
        </w:rPr>
      </w:pPr>
      <w:r>
        <w:rPr>
          <w:snapToGrid w:val="0"/>
        </w:rPr>
        <w:tab/>
        <w:t>(3)</w:t>
      </w:r>
      <w:r>
        <w:rPr>
          <w:snapToGrid w:val="0"/>
        </w:rPr>
        <w:tab/>
        <w:t>There can be no joinder of issue, implied or express, on a statement of claim or counterclaim.</w:t>
      </w:r>
    </w:p>
    <w:p>
      <w:pPr>
        <w:pStyle w:val="Subsection"/>
        <w:spacing w:before="180"/>
        <w:rPr>
          <w:snapToGrid w:val="0"/>
        </w:rPr>
      </w:pPr>
      <w:r>
        <w:rPr>
          <w:snapToGrid w:val="0"/>
        </w:rPr>
        <w:tab/>
        <w:t>(4)</w:t>
      </w:r>
      <w:r>
        <w:rPr>
          <w:snapToGrid w:val="0"/>
        </w:rPr>
        <w:tab/>
        <w:t xml:space="preserve">A joinder of issue operates as a denial of every material allegation of fact made in the pleading on which there is an </w:t>
      </w:r>
      <w:r>
        <w:rPr>
          <w:snapToGrid w:val="0"/>
        </w:rPr>
        <w:lastRenderedPageBreak/>
        <w:t>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Footnotesection"/>
      </w:pPr>
      <w:r>
        <w:tab/>
        <w:t>[Rule 15 amended: Gazette 28 Jun 2011 p. 2552.]</w:t>
      </w:r>
    </w:p>
    <w:p>
      <w:pPr>
        <w:pStyle w:val="Heading5"/>
        <w:spacing w:before="240"/>
        <w:rPr>
          <w:snapToGrid w:val="0"/>
        </w:rPr>
      </w:pPr>
      <w:bookmarkStart w:id="409" w:name="_Toc163120876"/>
      <w:r>
        <w:rPr>
          <w:rStyle w:val="CharSectno"/>
        </w:rPr>
        <w:t>16</w:t>
      </w:r>
      <w:r>
        <w:rPr>
          <w:snapToGrid w:val="0"/>
        </w:rPr>
        <w:t>.</w:t>
      </w:r>
      <w:r>
        <w:rPr>
          <w:snapToGrid w:val="0"/>
        </w:rPr>
        <w:tab/>
        <w:t>Defence of tender not available without payment into court</w:t>
      </w:r>
      <w:bookmarkEnd w:id="409"/>
    </w:p>
    <w:p>
      <w:pPr>
        <w:pStyle w:val="Subsection"/>
        <w:spacing w:before="180"/>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spacing w:before="240"/>
        <w:rPr>
          <w:snapToGrid w:val="0"/>
        </w:rPr>
      </w:pPr>
      <w:bookmarkStart w:id="410" w:name="_Toc163120877"/>
      <w:r>
        <w:rPr>
          <w:rStyle w:val="CharSectno"/>
        </w:rPr>
        <w:t>17</w:t>
      </w:r>
      <w:r>
        <w:rPr>
          <w:snapToGrid w:val="0"/>
        </w:rPr>
        <w:t>.</w:t>
      </w:r>
      <w:r>
        <w:rPr>
          <w:snapToGrid w:val="0"/>
        </w:rPr>
        <w:tab/>
        <w:t>Defence of set</w:t>
      </w:r>
      <w:r>
        <w:rPr>
          <w:snapToGrid w:val="0"/>
        </w:rPr>
        <w:noBreakHyphen/>
        <w:t>off</w:t>
      </w:r>
      <w:bookmarkEnd w:id="410"/>
    </w:p>
    <w:p>
      <w:pPr>
        <w:pStyle w:val="Subsection"/>
        <w:spacing w:before="180"/>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spacing w:before="240"/>
        <w:rPr>
          <w:snapToGrid w:val="0"/>
        </w:rPr>
      </w:pPr>
      <w:bookmarkStart w:id="411" w:name="_Toc163120878"/>
      <w:r>
        <w:rPr>
          <w:rStyle w:val="CharSectno"/>
        </w:rPr>
        <w:t>18</w:t>
      </w:r>
      <w:r>
        <w:rPr>
          <w:snapToGrid w:val="0"/>
        </w:rPr>
        <w:t>.</w:t>
      </w:r>
      <w:r>
        <w:rPr>
          <w:snapToGrid w:val="0"/>
        </w:rPr>
        <w:tab/>
        <w:t>Counterclaim and defence to counterclaim</w:t>
      </w:r>
      <w:bookmarkEnd w:id="411"/>
    </w:p>
    <w:p>
      <w:pPr>
        <w:pStyle w:val="Subsection"/>
        <w:spacing w:before="180"/>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412" w:name="_Toc163120879"/>
      <w:r>
        <w:rPr>
          <w:rStyle w:val="CharSectno"/>
        </w:rPr>
        <w:lastRenderedPageBreak/>
        <w:t>19</w:t>
      </w:r>
      <w:r>
        <w:rPr>
          <w:snapToGrid w:val="0"/>
        </w:rPr>
        <w:t>.</w:t>
      </w:r>
      <w:r>
        <w:rPr>
          <w:snapToGrid w:val="0"/>
        </w:rPr>
        <w:tab/>
        <w:t>Striking out pleadings etc.</w:t>
      </w:r>
      <w:bookmarkEnd w:id="412"/>
    </w:p>
    <w:p>
      <w:pPr>
        <w:pStyle w:val="Subsection"/>
        <w:rPr>
          <w:snapToGrid w:val="0"/>
        </w:rPr>
      </w:pPr>
      <w:r>
        <w:rPr>
          <w:snapToGrid w:val="0"/>
        </w:rPr>
        <w:tab/>
        <w:t>(1)</w:t>
      </w:r>
      <w:r>
        <w:rPr>
          <w:snapToGrid w:val="0"/>
        </w:rPr>
        <w:tab/>
        <w:t xml:space="preserve">The Court may at any stage of the proceedings, subject to </w:t>
      </w:r>
      <w:r>
        <w:t>subrule</w:t>
      </w:r>
      <w:r>
        <w:rPr>
          <w:snapToGrid w:val="0"/>
        </w:rPr>
        <w:t>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rPr>
          <w:snapToGrid w:val="0"/>
        </w:rPr>
      </w:pPr>
      <w:r>
        <w:rPr>
          <w:snapToGrid w:val="0"/>
        </w:rPr>
        <w:tab/>
        <w:t>(2)</w:t>
      </w:r>
      <w:r>
        <w:rPr>
          <w:snapToGrid w:val="0"/>
        </w:rPr>
        <w:tab/>
        <w:t xml:space="preserve">No evidence shall be admissible on an application under </w:t>
      </w:r>
      <w:r>
        <w:t>subrule</w:t>
      </w:r>
      <w:r>
        <w:rPr>
          <w:snapToGrid w:val="0"/>
        </w:rPr>
        <w:t> (1)(a).</w:t>
      </w:r>
    </w:p>
    <w:p>
      <w:pPr>
        <w:pStyle w:val="Subsection"/>
        <w:rPr>
          <w:snapToGrid w:val="0"/>
        </w:rPr>
      </w:pPr>
      <w:r>
        <w:rPr>
          <w:snapToGrid w:val="0"/>
        </w:rPr>
        <w:tab/>
        <w:t>(3)</w:t>
      </w:r>
      <w:r>
        <w:rPr>
          <w:snapToGrid w:val="0"/>
        </w:rPr>
        <w:tab/>
      </w:r>
      <w:r>
        <w:t>An application</w:t>
      </w:r>
      <w:r>
        <w:rPr>
          <w:snapToGrid w:val="0"/>
        </w:rPr>
        <w:t xml:space="preserve"> for an order under </w:t>
      </w:r>
      <w:r>
        <w:t>subrule</w:t>
      </w:r>
      <w:r>
        <w:rPr>
          <w:snapToGrid w:val="0"/>
        </w:rPr>
        <w:t> (1) must — </w:t>
      </w:r>
    </w:p>
    <w:p>
      <w:pPr>
        <w:pStyle w:val="Indenta"/>
        <w:rPr>
          <w:snapToGrid w:val="0"/>
        </w:rPr>
      </w:pPr>
      <w:r>
        <w:rPr>
          <w:snapToGrid w:val="0"/>
        </w:rPr>
        <w:tab/>
        <w:t>(a)</w:t>
      </w:r>
      <w:r>
        <w:rPr>
          <w:snapToGrid w:val="0"/>
        </w:rPr>
        <w:tab/>
        <w:t>be made within 21 days of the service of any pleading, or amended pleading, or writ to which the application refers; and</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 xml:space="preserve">the paragraph of </w:t>
      </w:r>
      <w:r>
        <w:t>subrule</w:t>
      </w:r>
      <w:r>
        <w:rPr>
          <w:snapToGrid w:val="0"/>
        </w:rPr>
        <w:t>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deleted] </w:t>
      </w:r>
    </w:p>
    <w:p>
      <w:pPr>
        <w:pStyle w:val="Subsection"/>
        <w:rPr>
          <w:snapToGrid w:val="0"/>
        </w:rPr>
      </w:pPr>
      <w:r>
        <w:rPr>
          <w:snapToGrid w:val="0"/>
        </w:rPr>
        <w:lastRenderedPageBreak/>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Gazette 26 Aug 1994 p. 4410</w:t>
      </w:r>
      <w:r>
        <w:noBreakHyphen/>
        <w:t xml:space="preserve">11; 24 Jan 1995 p. 270; 9 Aug 1996 p. 3949; 28 Jun 2011 p. 2552 and 2553; 24 May 2017 p. 2607.] </w:t>
      </w:r>
    </w:p>
    <w:p>
      <w:pPr>
        <w:pStyle w:val="Heading5"/>
        <w:rPr>
          <w:snapToGrid w:val="0"/>
        </w:rPr>
      </w:pPr>
      <w:bookmarkStart w:id="413" w:name="_Toc163120880"/>
      <w:r>
        <w:rPr>
          <w:rStyle w:val="CharSectno"/>
        </w:rPr>
        <w:t>20</w:t>
      </w:r>
      <w:r>
        <w:rPr>
          <w:snapToGrid w:val="0"/>
        </w:rPr>
        <w:t>.</w:t>
      </w:r>
      <w:r>
        <w:rPr>
          <w:snapToGrid w:val="0"/>
        </w:rPr>
        <w:tab/>
        <w:t>Close of pleadings</w:t>
      </w:r>
      <w:bookmarkEnd w:id="413"/>
    </w:p>
    <w:p>
      <w:pPr>
        <w:pStyle w:val="Subsection"/>
        <w:rPr>
          <w:snapToGrid w:val="0"/>
        </w:rPr>
      </w:pPr>
      <w:r>
        <w:rPr>
          <w:snapToGrid w:val="0"/>
        </w:rPr>
        <w:tab/>
        <w:t>(1)</w:t>
      </w:r>
      <w:r>
        <w:rPr>
          <w:snapToGrid w:val="0"/>
        </w:rPr>
        <w:tab/>
        <w:t xml:space="preserve">Subject to </w:t>
      </w:r>
      <w:r>
        <w:t>subrule</w:t>
      </w:r>
      <w:r>
        <w:rPr>
          <w:snapToGrid w:val="0"/>
        </w:rPr>
        <w:t>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Footnotesection"/>
      </w:pPr>
      <w:r>
        <w:tab/>
        <w:t>[Rule 20 amended: Gazette 28 Jun 2011 p. 2552.]</w:t>
      </w:r>
    </w:p>
    <w:p>
      <w:pPr>
        <w:pStyle w:val="Heading5"/>
        <w:rPr>
          <w:snapToGrid w:val="0"/>
        </w:rPr>
      </w:pPr>
      <w:bookmarkStart w:id="414" w:name="_Toc163120881"/>
      <w:r>
        <w:rPr>
          <w:rStyle w:val="CharSectno"/>
        </w:rPr>
        <w:t>21</w:t>
      </w:r>
      <w:r>
        <w:rPr>
          <w:snapToGrid w:val="0"/>
        </w:rPr>
        <w:t>.</w:t>
      </w:r>
      <w:r>
        <w:rPr>
          <w:snapToGrid w:val="0"/>
        </w:rPr>
        <w:tab/>
        <w:t>Trial without pleadings</w:t>
      </w:r>
      <w:bookmarkEnd w:id="414"/>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 xml:space="preserve">If, on the hearing of an application under this rule, the Court is satisfied that the issues in dispute between the parties can be defined without pleadings or further pleadings, or that for any other reason the action can properly be tried without pleadings </w:t>
      </w:r>
      <w:r>
        <w:rPr>
          <w:snapToGrid w:val="0"/>
        </w:rPr>
        <w:lastRenderedPageBreak/>
        <w:t>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pPr>
      <w:r>
        <w:tab/>
        <w:t>(3)</w:t>
      </w:r>
      <w:r>
        <w:tab/>
        <w:t>If the Court makes an order under subrule (2), it must, and if it dismisses an application for such an order, it may, make such case management directions under Order 4A as to the further conduct of the action as it considers just.</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 xml:space="preserve">a claim by the plaintiff for </w:t>
      </w:r>
      <w:r>
        <w:t xml:space="preserve">defamation, </w:t>
      </w:r>
      <w:r>
        <w:rPr>
          <w:snapToGrid w:val="0"/>
        </w:rPr>
        <w:t>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Footnotesection"/>
      </w:pPr>
      <w:r>
        <w:tab/>
        <w:t>[Rule 21 amended: Gazette 28 Jul 2010 p. 3466; 16 Aug 2017 p. 4411.]</w:t>
      </w:r>
    </w:p>
    <w:p>
      <w:pPr>
        <w:pStyle w:val="Heading5"/>
        <w:rPr>
          <w:snapToGrid w:val="0"/>
        </w:rPr>
      </w:pPr>
      <w:bookmarkStart w:id="415" w:name="_Toc163120882"/>
      <w:r>
        <w:rPr>
          <w:rStyle w:val="CharSectno"/>
        </w:rPr>
        <w:t>22</w:t>
      </w:r>
      <w:r>
        <w:rPr>
          <w:snapToGrid w:val="0"/>
        </w:rPr>
        <w:t>.</w:t>
      </w:r>
      <w:r>
        <w:rPr>
          <w:snapToGrid w:val="0"/>
        </w:rPr>
        <w:tab/>
        <w:t>Preparation of issues</w:t>
      </w:r>
      <w:bookmarkEnd w:id="415"/>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416" w:name="_Toc163120883"/>
      <w:r>
        <w:rPr>
          <w:rStyle w:val="CharSectno"/>
        </w:rPr>
        <w:t>23</w:t>
      </w:r>
      <w:r>
        <w:rPr>
          <w:snapToGrid w:val="0"/>
        </w:rPr>
        <w:t>.</w:t>
      </w:r>
      <w:r>
        <w:rPr>
          <w:snapToGrid w:val="0"/>
        </w:rPr>
        <w:tab/>
        <w:t>Collision between vessels, content etc. of Preliminary Act</w:t>
      </w:r>
      <w:bookmarkEnd w:id="416"/>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a document to be called a Preliminary Act.</w:t>
      </w:r>
    </w:p>
    <w:p>
      <w:pPr>
        <w:pStyle w:val="Subsection"/>
        <w:rPr>
          <w:snapToGrid w:val="0"/>
        </w:rPr>
      </w:pPr>
      <w:r>
        <w:rPr>
          <w:snapToGrid w:val="0"/>
        </w:rPr>
        <w:tab/>
        <w:t>(2)</w:t>
      </w:r>
      <w:r>
        <w:rPr>
          <w:snapToGrid w:val="0"/>
        </w:rPr>
        <w:tab/>
        <w:t xml:space="preserve">Every Preliminary Act shall be sealed up and, unless the Court otherwise orders, shall not be opened until the pleadings are </w:t>
      </w:r>
      <w:r>
        <w:rPr>
          <w:snapToGrid w:val="0"/>
        </w:rPr>
        <w:lastRenderedPageBreak/>
        <w:t xml:space="preserve">closed and a consent signed by the respective parties or their solicitors that the Preliminary Acts shall be opened is </w:t>
      </w:r>
      <w:r>
        <w:t>filed.</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(a)</w:t>
      </w:r>
      <w:r>
        <w:rPr>
          <w:snapToGrid w:val="0"/>
        </w:rPr>
        <w:tab/>
        <w:t>the names of the vessels which came into collision, the names of their masters, and their ports of registry;</w:t>
      </w:r>
    </w:p>
    <w:p>
      <w:pPr>
        <w:pStyle w:val="Indenta"/>
        <w:rPr>
          <w:snapToGrid w:val="0"/>
        </w:rPr>
      </w:pPr>
      <w:r>
        <w:rPr>
          <w:snapToGrid w:val="0"/>
        </w:rPr>
        <w:tab/>
        <w:t>(b)</w:t>
      </w:r>
      <w:r>
        <w:rPr>
          <w:snapToGrid w:val="0"/>
        </w:rPr>
        <w:tab/>
        <w:t>the date and time of the collision;</w:t>
      </w:r>
    </w:p>
    <w:p>
      <w:pPr>
        <w:pStyle w:val="Indenta"/>
        <w:rPr>
          <w:snapToGrid w:val="0"/>
        </w:rPr>
      </w:pPr>
      <w:r>
        <w:rPr>
          <w:snapToGrid w:val="0"/>
        </w:rPr>
        <w:tab/>
        <w:t>(c)</w:t>
      </w:r>
      <w:r>
        <w:rPr>
          <w:snapToGrid w:val="0"/>
        </w:rPr>
        <w:tab/>
        <w:t>the place of the collision;</w:t>
      </w:r>
    </w:p>
    <w:p>
      <w:pPr>
        <w:pStyle w:val="Indenta"/>
        <w:rPr>
          <w:snapToGrid w:val="0"/>
        </w:rPr>
      </w:pPr>
      <w:r>
        <w:rPr>
          <w:snapToGrid w:val="0"/>
        </w:rPr>
        <w:tab/>
        <w:t>(d)</w:t>
      </w:r>
      <w:r>
        <w:rPr>
          <w:snapToGrid w:val="0"/>
        </w:rPr>
        <w:tab/>
        <w:t>the direction and force of the wind;</w:t>
      </w:r>
    </w:p>
    <w:p>
      <w:pPr>
        <w:pStyle w:val="Indenta"/>
        <w:rPr>
          <w:snapToGrid w:val="0"/>
        </w:rPr>
      </w:pPr>
      <w:r>
        <w:rPr>
          <w:snapToGrid w:val="0"/>
        </w:rPr>
        <w:tab/>
        <w:t>(e)</w:t>
      </w:r>
      <w:r>
        <w:rPr>
          <w:snapToGrid w:val="0"/>
        </w:rPr>
        <w:tab/>
        <w:t>the state of the weather;</w:t>
      </w:r>
    </w:p>
    <w:p>
      <w:pPr>
        <w:pStyle w:val="Indenta"/>
        <w:rPr>
          <w:snapToGrid w:val="0"/>
        </w:rPr>
      </w:pPr>
      <w:r>
        <w:rPr>
          <w:snapToGrid w:val="0"/>
        </w:rPr>
        <w:tab/>
        <w:t>(f)</w:t>
      </w:r>
      <w:r>
        <w:rPr>
          <w:snapToGrid w:val="0"/>
        </w:rPr>
        <w:tab/>
        <w:t>the state, direction and force of the tidal or other current;</w:t>
      </w:r>
    </w:p>
    <w:p>
      <w:pPr>
        <w:pStyle w:val="Indenta"/>
        <w:rPr>
          <w:snapToGrid w:val="0"/>
        </w:rPr>
      </w:pPr>
      <w:r>
        <w:rPr>
          <w:snapToGrid w:val="0"/>
        </w:rPr>
        <w:tab/>
        <w:t>(g)</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(h)</w:t>
      </w:r>
      <w:r>
        <w:rPr>
          <w:snapToGrid w:val="0"/>
        </w:rPr>
        <w:tab/>
        <w:t>the lights (if any) carried by the vessel;</w:t>
      </w:r>
    </w:p>
    <w:p>
      <w:pPr>
        <w:pStyle w:val="Indenta"/>
        <w:rPr>
          <w:snapToGrid w:val="0"/>
        </w:rPr>
      </w:pPr>
      <w:r>
        <w:rPr>
          <w:snapToGrid w:val="0"/>
        </w:rPr>
        <w:tab/>
        <w:t>(i)</w:t>
      </w:r>
      <w:r>
        <w:rPr>
          <w:snapToGrid w:val="0"/>
        </w:rPr>
        <w:tab/>
        <w:t>the distance and bearing of the other vessel if and when her echo was first observed by radar;</w:t>
      </w:r>
    </w:p>
    <w:p>
      <w:pPr>
        <w:pStyle w:val="Indenta"/>
        <w:rPr>
          <w:snapToGrid w:val="0"/>
        </w:rPr>
      </w:pPr>
      <w:r>
        <w:rPr>
          <w:snapToGrid w:val="0"/>
        </w:rPr>
        <w:tab/>
        <w:t>(j)</w:t>
      </w:r>
      <w:r>
        <w:rPr>
          <w:snapToGrid w:val="0"/>
        </w:rPr>
        <w:tab/>
        <w:t>the distance, bearing and approximate heading of the other vessel when first seen;</w:t>
      </w:r>
    </w:p>
    <w:p>
      <w:pPr>
        <w:pStyle w:val="Indenta"/>
        <w:rPr>
          <w:snapToGrid w:val="0"/>
        </w:rPr>
      </w:pPr>
      <w:r>
        <w:rPr>
          <w:snapToGrid w:val="0"/>
        </w:rPr>
        <w:tab/>
        <w:t>(k)</w:t>
      </w:r>
      <w:r>
        <w:rPr>
          <w:snapToGrid w:val="0"/>
        </w:rPr>
        <w:tab/>
        <w:t>what light or combination of lights (if any) of the other vessel was first seen;</w:t>
      </w:r>
    </w:p>
    <w:p>
      <w:pPr>
        <w:pStyle w:val="Indenta"/>
        <w:rPr>
          <w:snapToGrid w:val="0"/>
        </w:rPr>
      </w:pPr>
      <w:r>
        <w:rPr>
          <w:snapToGrid w:val="0"/>
        </w:rPr>
        <w:tab/>
        <w:t>(l)</w:t>
      </w:r>
      <w:r>
        <w:rPr>
          <w:snapToGrid w:val="0"/>
        </w:rPr>
        <w:tab/>
        <w:t>what other lights or combination of lights (if any) of the other vessel were subsequently seen before the collision, and when;</w:t>
      </w:r>
    </w:p>
    <w:p>
      <w:pPr>
        <w:pStyle w:val="Indenta"/>
        <w:rPr>
          <w:snapToGrid w:val="0"/>
        </w:rPr>
      </w:pPr>
      <w:r>
        <w:rPr>
          <w:snapToGrid w:val="0"/>
        </w:rPr>
        <w:tab/>
        <w:t>(m)</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lastRenderedPageBreak/>
        <w:tab/>
        <w:t>(n)</w:t>
      </w:r>
      <w:r>
        <w:rPr>
          <w:snapToGrid w:val="0"/>
        </w:rPr>
        <w:tab/>
        <w:t>the parts of each vessel which first came into contact and the approximate angle between the 2 vessels at the moment of contact;</w:t>
      </w:r>
    </w:p>
    <w:p>
      <w:pPr>
        <w:pStyle w:val="Indenta"/>
        <w:keepNext/>
        <w:rPr>
          <w:snapToGrid w:val="0"/>
        </w:rPr>
      </w:pPr>
      <w:r>
        <w:rPr>
          <w:snapToGrid w:val="0"/>
        </w:rPr>
        <w:tab/>
        <w:t>(o)</w:t>
      </w:r>
      <w:r>
        <w:rPr>
          <w:snapToGrid w:val="0"/>
        </w:rPr>
        <w:tab/>
        <w:t>what sound signals (if any) were given, and when;</w:t>
      </w:r>
    </w:p>
    <w:p>
      <w:pPr>
        <w:pStyle w:val="Indenta"/>
        <w:rPr>
          <w:snapToGrid w:val="0"/>
        </w:rPr>
      </w:pPr>
      <w:r>
        <w:rPr>
          <w:snapToGrid w:val="0"/>
        </w:rPr>
        <w:tab/>
        <w:t>(p)</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Footnotesection"/>
      </w:pPr>
      <w:r>
        <w:tab/>
        <w:t>[Rule 23 amended: Gazette 28 Jun 2011 p. 2553</w:t>
      </w:r>
      <w:r>
        <w:noBreakHyphen/>
        <w:t>4; 27 Feb 2018 p. 558-9.]</w:t>
      </w:r>
    </w:p>
    <w:p>
      <w:pPr>
        <w:pStyle w:val="Heading5"/>
        <w:rPr>
          <w:snapToGrid w:val="0"/>
        </w:rPr>
      </w:pPr>
      <w:bookmarkStart w:id="417" w:name="_Toc163120884"/>
      <w:r>
        <w:rPr>
          <w:rStyle w:val="CharSectno"/>
        </w:rPr>
        <w:t>24</w:t>
      </w:r>
      <w:r>
        <w:rPr>
          <w:snapToGrid w:val="0"/>
        </w:rPr>
        <w:t>.</w:t>
      </w:r>
      <w:r>
        <w:rPr>
          <w:snapToGrid w:val="0"/>
        </w:rPr>
        <w:tab/>
        <w:t>Failure to file Preliminary Act</w:t>
      </w:r>
      <w:bookmarkEnd w:id="417"/>
    </w:p>
    <w:p>
      <w:pPr>
        <w:pStyle w:val="Subsection"/>
        <w:rPr>
          <w:snapToGrid w:val="0"/>
        </w:rPr>
      </w:pPr>
      <w:r>
        <w:rPr>
          <w:snapToGrid w:val="0"/>
        </w:rPr>
        <w:tab/>
        <w:t>(1)</w:t>
      </w:r>
      <w:r>
        <w:rPr>
          <w:snapToGrid w:val="0"/>
        </w:rPr>
        <w:tab/>
        <w:t xml:space="preserve">Where in an action to which rule 23 applies, the plaintiff fails to </w:t>
      </w:r>
      <w:r>
        <w:t>file</w:t>
      </w:r>
      <w:r>
        <w:rPr>
          <w:snapToGrid w:val="0"/>
        </w:rPr>
        <w:t xml:space="preserve"> a Preliminary Act within the time prescribed for that purpose by that rule or by any order of the Court, any defendant who has </w:t>
      </w:r>
      <w:r>
        <w:t>filed</w:t>
      </w:r>
      <w:r>
        <w:rPr>
          <w:snapToGrid w:val="0"/>
        </w:rPr>
        <w:t xml:space="preserve">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 xml:space="preserve">Where in such an action, being an action in personam, a defendant fails to </w:t>
      </w:r>
      <w:r>
        <w:t>file</w:t>
      </w:r>
      <w:r>
        <w:rPr>
          <w:snapToGrid w:val="0"/>
        </w:rPr>
        <w:t xml:space="preserve"> a Preliminary Act within the period prescribed for that purpose by rule 23 or by any order of the Court, Order 22 rules 2 and 3 shall apply as if the defendant’s failure to </w:t>
      </w:r>
      <w:r>
        <w:t>file</w:t>
      </w:r>
      <w:r>
        <w:rPr>
          <w:snapToGrid w:val="0"/>
        </w:rPr>
        <w:t xml:space="preserve"> the Preliminary Act within that period were a </w:t>
      </w:r>
      <w:r>
        <w:rPr>
          <w:snapToGrid w:val="0"/>
        </w:rPr>
        <w:lastRenderedPageBreak/>
        <w:t>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Footnotesection"/>
      </w:pPr>
      <w:r>
        <w:tab/>
        <w:t>[Rule 24 amended: Gazette 27 Feb 2018 p. 559.]</w:t>
      </w:r>
    </w:p>
    <w:p>
      <w:pPr>
        <w:pStyle w:val="Heading2"/>
        <w:rPr>
          <w:b w:val="0"/>
        </w:rPr>
      </w:pPr>
      <w:bookmarkStart w:id="418" w:name="_Toc162940423"/>
      <w:bookmarkStart w:id="419" w:name="_Toc162953212"/>
      <w:bookmarkStart w:id="420" w:name="_Toc163120885"/>
      <w:r>
        <w:rPr>
          <w:rStyle w:val="CharPartNo"/>
        </w:rPr>
        <w:lastRenderedPageBreak/>
        <w:t>Order 21</w:t>
      </w:r>
      <w:r>
        <w:t> — </w:t>
      </w:r>
      <w:r>
        <w:rPr>
          <w:rStyle w:val="CharPartText"/>
        </w:rPr>
        <w:t>Amendment</w:t>
      </w:r>
      <w:bookmarkEnd w:id="418"/>
      <w:bookmarkEnd w:id="419"/>
      <w:bookmarkEnd w:id="420"/>
    </w:p>
    <w:p>
      <w:pPr>
        <w:pStyle w:val="Heading5"/>
        <w:rPr>
          <w:snapToGrid w:val="0"/>
        </w:rPr>
      </w:pPr>
      <w:bookmarkStart w:id="421" w:name="_Toc163120886"/>
      <w:r>
        <w:rPr>
          <w:rStyle w:val="CharSectno"/>
        </w:rPr>
        <w:t>1</w:t>
      </w:r>
      <w:r>
        <w:rPr>
          <w:snapToGrid w:val="0"/>
        </w:rPr>
        <w:t>.</w:t>
      </w:r>
      <w:r>
        <w:rPr>
          <w:snapToGrid w:val="0"/>
        </w:rPr>
        <w:tab/>
        <w:t>Amending writ without leave</w:t>
      </w:r>
      <w:bookmarkEnd w:id="421"/>
    </w:p>
    <w:p>
      <w:pPr>
        <w:pStyle w:val="Subsection"/>
        <w:rPr>
          <w:snapToGrid w:val="0"/>
        </w:rPr>
      </w:pPr>
      <w:r>
        <w:rPr>
          <w:snapToGrid w:val="0"/>
        </w:rPr>
        <w:tab/>
        <w:t>(1)</w:t>
      </w:r>
      <w:r>
        <w:rPr>
          <w:snapToGrid w:val="0"/>
        </w:rPr>
        <w:tab/>
        <w:t xml:space="preserve">Subject to </w:t>
      </w:r>
      <w:r>
        <w:t>subrule</w:t>
      </w:r>
      <w:r>
        <w:rPr>
          <w:snapToGrid w:val="0"/>
        </w:rPr>
        <w:t xml:space="preserve"> (3), the plaintiff may, without the leave of the Court, amend the writ once at any time before the pleadings in the action begun by the writ are deemed to be </w:t>
      </w:r>
      <w:r>
        <w:t>closed by filing its amended writ before the closure.</w:t>
      </w:r>
    </w:p>
    <w:p>
      <w:pPr>
        <w:pStyle w:val="Ednotesubsection"/>
      </w:pPr>
      <w:r>
        <w:tab/>
        <w:t>[(2)</w:t>
      </w:r>
      <w:r>
        <w:tab/>
        <w:t>deleted]</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 or</w:t>
      </w:r>
    </w:p>
    <w:p>
      <w:pPr>
        <w:pStyle w:val="Indenta"/>
        <w:rPr>
          <w:snapToGrid w:val="0"/>
        </w:rPr>
      </w:pPr>
      <w:r>
        <w:rPr>
          <w:snapToGrid w:val="0"/>
        </w:rPr>
        <w:tab/>
        <w:t>(c)</w:t>
      </w:r>
      <w:r>
        <w:rPr>
          <w:snapToGrid w:val="0"/>
        </w:rPr>
        <w:tab/>
        <w:t xml:space="preserve">without prejudice to </w:t>
      </w:r>
      <w:r>
        <w:t xml:space="preserve">rule 3, </w:t>
      </w:r>
      <w:r>
        <w:rPr>
          <w:snapToGrid w:val="0"/>
        </w:rPr>
        <w:t>an amendment of the statement of claim, if any, indorsed on the writ.</w:t>
      </w:r>
    </w:p>
    <w:p>
      <w:pPr>
        <w:pStyle w:val="Footnotesection"/>
      </w:pPr>
      <w:r>
        <w:tab/>
        <w:t>[Rule 1 amended: Gazette 28 Jul 2010 p. 3462; 28 Jun 2011 p. 2552.]</w:t>
      </w:r>
    </w:p>
    <w:p>
      <w:pPr>
        <w:pStyle w:val="Heading5"/>
        <w:rPr>
          <w:snapToGrid w:val="0"/>
        </w:rPr>
      </w:pPr>
      <w:bookmarkStart w:id="422" w:name="_Toc163120887"/>
      <w:r>
        <w:rPr>
          <w:rStyle w:val="CharSectno"/>
        </w:rPr>
        <w:t>2</w:t>
      </w:r>
      <w:r>
        <w:rPr>
          <w:snapToGrid w:val="0"/>
        </w:rPr>
        <w:t>.</w:t>
      </w:r>
      <w:r>
        <w:rPr>
          <w:snapToGrid w:val="0"/>
        </w:rPr>
        <w:tab/>
        <w:t>Amending memorandum of appearance</w:t>
      </w:r>
      <w:bookmarkEnd w:id="422"/>
    </w:p>
    <w:p>
      <w:pPr>
        <w:pStyle w:val="Subsection"/>
        <w:rPr>
          <w:snapToGrid w:val="0"/>
        </w:rPr>
      </w:pPr>
      <w:r>
        <w:rPr>
          <w:snapToGrid w:val="0"/>
        </w:rPr>
        <w:tab/>
      </w:r>
      <w:r>
        <w:rPr>
          <w:snapToGrid w:val="0"/>
        </w:rPr>
        <w:tab/>
        <w:t>A defendant may not amend his memorandum of appearance without the leave of the Court.</w:t>
      </w:r>
    </w:p>
    <w:p>
      <w:pPr>
        <w:pStyle w:val="Heading5"/>
      </w:pPr>
      <w:bookmarkStart w:id="423" w:name="_Toc163120888"/>
      <w:r>
        <w:rPr>
          <w:rStyle w:val="CharSectno"/>
        </w:rPr>
        <w:t>3</w:t>
      </w:r>
      <w:r>
        <w:t>.</w:t>
      </w:r>
      <w:r>
        <w:tab/>
        <w:t>Amending pleadings without leave</w:t>
      </w:r>
      <w:bookmarkEnd w:id="423"/>
    </w:p>
    <w:p>
      <w:pPr>
        <w:pStyle w:val="Subsection"/>
        <w:rPr>
          <w:snapToGrid w:val="0"/>
        </w:rPr>
      </w:pPr>
      <w:r>
        <w:tab/>
        <w:t>(1)</w:t>
      </w:r>
      <w:r>
        <w:tab/>
        <w:t xml:space="preserve">A party </w:t>
      </w:r>
      <w:r>
        <w:rPr>
          <w:snapToGrid w:val="0"/>
        </w:rPr>
        <w:t xml:space="preserve">may amend any of its pleadings, without the leave of the Court, by filing its amended pleading </w:t>
      </w:r>
      <w:r>
        <w:t xml:space="preserve">not later than </w:t>
      </w:r>
      <w:r>
        <w:rPr>
          <w:snapToGrid w:val="0"/>
        </w:rPr>
        <w:t>7 weeks before the date fixed for the start of the trial of the case.</w:t>
      </w:r>
    </w:p>
    <w:p>
      <w:pPr>
        <w:pStyle w:val="Subsection"/>
        <w:rPr>
          <w:snapToGrid w:val="0"/>
        </w:rPr>
      </w:pPr>
      <w:r>
        <w:rPr>
          <w:snapToGrid w:val="0"/>
        </w:rPr>
        <w:tab/>
        <w:t>(2)</w:t>
      </w:r>
      <w:r>
        <w:rPr>
          <w:snapToGrid w:val="0"/>
        </w:rPr>
        <w:tab/>
        <w:t>A party served with a pleading amended under subrule (1) may make any amendment needed to any of its pleadings as a consequence of the amended pleading, without the leave of the Court, by filing its amended pleading within 10 working days after the date on which it is served with the amended pleading.</w:t>
      </w:r>
    </w:p>
    <w:p>
      <w:pPr>
        <w:pStyle w:val="Subsection"/>
        <w:rPr>
          <w:snapToGrid w:val="0"/>
        </w:rPr>
      </w:pPr>
      <w:r>
        <w:rPr>
          <w:snapToGrid w:val="0"/>
        </w:rPr>
        <w:lastRenderedPageBreak/>
        <w:tab/>
        <w:t>(3)</w:t>
      </w:r>
      <w:r>
        <w:rPr>
          <w:snapToGrid w:val="0"/>
        </w:rPr>
        <w:tab/>
        <w:t>A party served with a pleading amended under subrule (1) or (2) may apply to the case manager for any amendment in the pleading to be struck out.</w:t>
      </w:r>
    </w:p>
    <w:p>
      <w:pPr>
        <w:pStyle w:val="Subsection"/>
        <w:rPr>
          <w:snapToGrid w:val="0"/>
        </w:rPr>
      </w:pPr>
      <w:r>
        <w:rPr>
          <w:snapToGrid w:val="0"/>
        </w:rPr>
        <w:tab/>
        <w:t>(4)</w:t>
      </w:r>
      <w:r>
        <w:rPr>
          <w:snapToGrid w:val="0"/>
        </w:rPr>
        <w:tab/>
        <w:t>A party’s application under subrule (3) must be made within 7 working days after the date on which the party is served with the amended pleading.</w:t>
      </w:r>
    </w:p>
    <w:p>
      <w:pPr>
        <w:pStyle w:val="Subsection"/>
        <w:rPr>
          <w:snapToGrid w:val="0"/>
        </w:rPr>
      </w:pPr>
      <w:r>
        <w:rPr>
          <w:snapToGrid w:val="0"/>
        </w:rPr>
        <w:tab/>
        <w:t>(5)</w:t>
      </w:r>
      <w:r>
        <w:rPr>
          <w:snapToGrid w:val="0"/>
        </w:rPr>
        <w:tab/>
        <w:t>If, on an application made under subrule (3), the case manager is satisfied that, had an application for leave to make the amendment in question been made under rule 5 at the date when the amended pleading was filed under this rule, leave to make the amendment or part of the amendment would have been refused, the manager must order the amendment or that part of it to be struck out.</w:t>
      </w:r>
    </w:p>
    <w:p>
      <w:pPr>
        <w:pStyle w:val="Subsection"/>
        <w:rPr>
          <w:snapToGrid w:val="0"/>
        </w:rPr>
      </w:pPr>
      <w:r>
        <w:rPr>
          <w:snapToGrid w:val="0"/>
        </w:rPr>
        <w:tab/>
        <w:t>(6)</w:t>
      </w:r>
      <w:r>
        <w:rPr>
          <w:snapToGrid w:val="0"/>
        </w:rPr>
        <w:tab/>
        <w:t xml:space="preserve">An order made on an application under this rule may be made on such terms as to costs as the case manager </w:t>
      </w:r>
      <w:r>
        <w:t>considers just</w:t>
      </w:r>
      <w:r>
        <w:rPr>
          <w:snapToGrid w:val="0"/>
        </w:rPr>
        <w:t>.</w:t>
      </w:r>
    </w:p>
    <w:p>
      <w:pPr>
        <w:pStyle w:val="Footnotesection"/>
      </w:pPr>
      <w:r>
        <w:tab/>
        <w:t>[Rule 3 inserted: Gazette 28 Jul 2010 p. 3462-3.]</w:t>
      </w:r>
    </w:p>
    <w:p>
      <w:pPr>
        <w:pStyle w:val="Ednotesection"/>
      </w:pPr>
      <w:r>
        <w:t>[</w:t>
      </w:r>
      <w:r>
        <w:rPr>
          <w:b/>
          <w:bCs/>
        </w:rPr>
        <w:t>4.</w:t>
      </w:r>
      <w:r>
        <w:tab/>
        <w:t>Deleted: Gazette 28 Jul 2010 p. 3462.]</w:t>
      </w:r>
    </w:p>
    <w:p>
      <w:pPr>
        <w:pStyle w:val="Heading5"/>
      </w:pPr>
      <w:bookmarkStart w:id="424" w:name="_Toc163120889"/>
      <w:r>
        <w:rPr>
          <w:rStyle w:val="CharSectno"/>
        </w:rPr>
        <w:t>5</w:t>
      </w:r>
      <w:r>
        <w:t>.</w:t>
      </w:r>
      <w:r>
        <w:tab/>
        <w:t>Amending writ or pleading with leave</w:t>
      </w:r>
      <w:bookmarkEnd w:id="424"/>
    </w:p>
    <w:p>
      <w:pPr>
        <w:pStyle w:val="Subsection"/>
      </w:pPr>
      <w:r>
        <w:tab/>
        <w:t>(1)</w:t>
      </w:r>
      <w:r>
        <w:tab/>
        <w:t xml:space="preserve">This rule is subject to — </w:t>
      </w:r>
    </w:p>
    <w:p>
      <w:pPr>
        <w:pStyle w:val="Indenta"/>
      </w:pPr>
      <w:r>
        <w:tab/>
        <w:t>(a)</w:t>
      </w:r>
      <w:r>
        <w:tab/>
        <w:t>Order 18 rules 6, 7 and 8; and</w:t>
      </w:r>
    </w:p>
    <w:p>
      <w:pPr>
        <w:pStyle w:val="Indenta"/>
      </w:pPr>
      <w:r>
        <w:tab/>
        <w:t>(b)</w:t>
      </w:r>
      <w:r>
        <w:tab/>
        <w:t>Order 20 rule 19(2) to (5).</w:t>
      </w:r>
    </w:p>
    <w:p>
      <w:pPr>
        <w:pStyle w:val="Subsection"/>
      </w:pPr>
      <w:r>
        <w:tab/>
        <w:t>(2)</w:t>
      </w:r>
      <w:r>
        <w:tab/>
        <w:t>The Court may at any stage of the proceedings, without determining whether any relevant period of limitation has expired, allow the plaintiff to amend the plaintiff’s writ, or any party to amend that party’s pleading, on any terms as to costs or otherwise that may be just and in the manner (if any) that the Court may direct.</w:t>
      </w:r>
    </w:p>
    <w:p>
      <w:pPr>
        <w:pStyle w:val="Footnotesection"/>
      </w:pPr>
      <w:r>
        <w:tab/>
        <w:t>[Rule 5 inserted: Gazette 27 Feb 2018 p. 559-60.]</w:t>
      </w:r>
    </w:p>
    <w:p>
      <w:pPr>
        <w:pStyle w:val="Heading5"/>
        <w:spacing w:before="180"/>
        <w:rPr>
          <w:snapToGrid w:val="0"/>
        </w:rPr>
      </w:pPr>
      <w:bookmarkStart w:id="425" w:name="_Toc163120890"/>
      <w:r>
        <w:rPr>
          <w:rStyle w:val="CharSectno"/>
        </w:rPr>
        <w:lastRenderedPageBreak/>
        <w:t>6</w:t>
      </w:r>
      <w:r>
        <w:rPr>
          <w:snapToGrid w:val="0"/>
        </w:rPr>
        <w:t>.</w:t>
      </w:r>
      <w:r>
        <w:rPr>
          <w:snapToGrid w:val="0"/>
        </w:rPr>
        <w:tab/>
        <w:t>Amending other originating process</w:t>
      </w:r>
      <w:bookmarkEnd w:id="425"/>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426" w:name="_Toc163120891"/>
      <w:r>
        <w:rPr>
          <w:rStyle w:val="CharSectno"/>
        </w:rPr>
        <w:t>7</w:t>
      </w:r>
      <w:r>
        <w:rPr>
          <w:snapToGrid w:val="0"/>
        </w:rPr>
        <w:t>.</w:t>
      </w:r>
      <w:r>
        <w:rPr>
          <w:snapToGrid w:val="0"/>
        </w:rPr>
        <w:tab/>
        <w:t>Amending other documents</w:t>
      </w:r>
      <w:bookmarkEnd w:id="426"/>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rPr>
          <w:snapToGrid w:val="0"/>
        </w:rPr>
      </w:pPr>
      <w:bookmarkStart w:id="427" w:name="_Toc163120892"/>
      <w:r>
        <w:rPr>
          <w:rStyle w:val="CharSectno"/>
        </w:rPr>
        <w:t>8</w:t>
      </w:r>
      <w:r>
        <w:rPr>
          <w:snapToGrid w:val="0"/>
        </w:rPr>
        <w:t>.</w:t>
      </w:r>
      <w:r>
        <w:rPr>
          <w:snapToGrid w:val="0"/>
        </w:rPr>
        <w:tab/>
        <w:t>Failure to amend after order</w:t>
      </w:r>
      <w:bookmarkEnd w:id="427"/>
    </w:p>
    <w:p>
      <w:pPr>
        <w:pStyle w:val="Subsection"/>
        <w:rPr>
          <w:snapToGrid w:val="0"/>
        </w:rPr>
      </w:pPr>
      <w:r>
        <w:rPr>
          <w:snapToGrid w:val="0"/>
        </w:rPr>
        <w:tab/>
      </w:r>
      <w:r>
        <w:rPr>
          <w:snapToGrid w:val="0"/>
        </w:rPr>
        <w:tab/>
        <w:t xml:space="preserve">Where the Court makes an order under this Order giving any party leave to amend a writ, pleading or other document, then, if that party does not </w:t>
      </w:r>
      <w:r>
        <w:t xml:space="preserve">file the document, amended in accordance with the order, </w:t>
      </w:r>
      <w:r>
        <w:rPr>
          <w:snapToGrid w:val="0"/>
        </w:rPr>
        <w:t>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Footnotesection"/>
      </w:pPr>
      <w:r>
        <w:tab/>
        <w:t>[Rule 8 amended: Gazette 28 Jul 2010 p. 3463.]</w:t>
      </w:r>
    </w:p>
    <w:p>
      <w:pPr>
        <w:pStyle w:val="Heading5"/>
        <w:rPr>
          <w:snapToGrid w:val="0"/>
        </w:rPr>
      </w:pPr>
      <w:bookmarkStart w:id="428" w:name="_Toc163120893"/>
      <w:r>
        <w:rPr>
          <w:rStyle w:val="CharSectno"/>
        </w:rPr>
        <w:t>9</w:t>
      </w:r>
      <w:r>
        <w:rPr>
          <w:snapToGrid w:val="0"/>
        </w:rPr>
        <w:t>.</w:t>
      </w:r>
      <w:r>
        <w:rPr>
          <w:snapToGrid w:val="0"/>
        </w:rPr>
        <w:tab/>
        <w:t>How amendments to be made</w:t>
      </w:r>
      <w:bookmarkEnd w:id="428"/>
    </w:p>
    <w:p>
      <w:pPr>
        <w:pStyle w:val="Subsection"/>
        <w:rPr>
          <w:snapToGrid w:val="0"/>
        </w:rPr>
      </w:pPr>
      <w:r>
        <w:rPr>
          <w:snapToGrid w:val="0"/>
        </w:rPr>
        <w:tab/>
        <w:t>(1)</w:t>
      </w:r>
      <w:r>
        <w:rPr>
          <w:snapToGrid w:val="0"/>
        </w:rPr>
        <w:tab/>
        <w:t xml:space="preserve">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w:t>
      </w:r>
      <w:r>
        <w:t>any manner that</w:t>
      </w:r>
      <w:r>
        <w:rPr>
          <w:snapToGrid w:val="0"/>
        </w:rPr>
        <w:t xml:space="preserve"> will distinguish the alterations from the original document or from any previous </w:t>
      </w:r>
      <w:r>
        <w:rPr>
          <w:snapToGrid w:val="0"/>
        </w:rPr>
        <w:lastRenderedPageBreak/>
        <w:t>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 xml:space="preserve">Except as provided in </w:t>
      </w:r>
      <w:r>
        <w:t>subrule</w:t>
      </w:r>
      <w:r>
        <w:rPr>
          <w:snapToGrid w:val="0"/>
        </w:rPr>
        <w:t xml:space="preserve"> (1), and subject to any direction given under rule 5 or 7, the amendments so authorised shall be effected by writing the necessary alterations on the writ, pleading or other document in </w:t>
      </w:r>
      <w:r>
        <w:t>any manner that</w:t>
      </w:r>
      <w:r>
        <w:rPr>
          <w:snapToGrid w:val="0"/>
        </w:rPr>
        <w:t xml:space="preserve"> will distinguish the alterations from the original document or from any previous amendment, and in the case of a writ or originating summons, </w:t>
      </w:r>
      <w:r>
        <w:t>by filing a copy and the request that it be re</w:t>
      </w:r>
      <w:r>
        <w:noBreakHyphen/>
        <w:t>sealed.</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Footnotesection"/>
      </w:pPr>
      <w:r>
        <w:tab/>
        <w:t xml:space="preserve">[Rule 9 amended: Gazette 24 Jan 1995 p. 272; 28 Jul 2010 p. 3463; 28 Jun 2011 p. 2552; 27 Feb 2018 p. 560.] </w:t>
      </w:r>
    </w:p>
    <w:p>
      <w:pPr>
        <w:pStyle w:val="Heading5"/>
        <w:rPr>
          <w:snapToGrid w:val="0"/>
        </w:rPr>
      </w:pPr>
      <w:bookmarkStart w:id="429" w:name="_Toc163120894"/>
      <w:r>
        <w:rPr>
          <w:rStyle w:val="CharSectno"/>
        </w:rPr>
        <w:t>10</w:t>
      </w:r>
      <w:r>
        <w:rPr>
          <w:snapToGrid w:val="0"/>
        </w:rPr>
        <w:t>.</w:t>
      </w:r>
      <w:r>
        <w:rPr>
          <w:snapToGrid w:val="0"/>
        </w:rPr>
        <w:tab/>
        <w:t>Clerical errors etc., correcting (slip rule)</w:t>
      </w:r>
      <w:bookmarkEnd w:id="429"/>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5"/>
      </w:pPr>
      <w:bookmarkStart w:id="430" w:name="_Toc163120895"/>
      <w:r>
        <w:rPr>
          <w:rStyle w:val="CharSectno"/>
        </w:rPr>
        <w:t>11</w:t>
      </w:r>
      <w:r>
        <w:t>.</w:t>
      </w:r>
      <w:r>
        <w:tab/>
        <w:t>Service of amended documents</w:t>
      </w:r>
      <w:bookmarkEnd w:id="430"/>
    </w:p>
    <w:p>
      <w:pPr>
        <w:pStyle w:val="Subsection"/>
      </w:pPr>
      <w:r>
        <w:tab/>
      </w:r>
      <w:r>
        <w:tab/>
        <w:t>An amended writ, pleading or other document that is filed under this Order must be served on each other party within one working day after it is filed unless the Court orders otherwise.</w:t>
      </w:r>
    </w:p>
    <w:p>
      <w:pPr>
        <w:pStyle w:val="Footnotesection"/>
      </w:pPr>
      <w:r>
        <w:tab/>
        <w:t>[Rule 11 inserted: Gazette 28 Jul 2010 p. 3463-4.]</w:t>
      </w:r>
    </w:p>
    <w:p>
      <w:pPr>
        <w:pStyle w:val="Ednotepart"/>
      </w:pPr>
      <w:r>
        <w:t>[Order 22 (r. 1-10) deleted: Gazette 16 Nov 2016 p. 5199.]</w:t>
      </w:r>
    </w:p>
    <w:p>
      <w:pPr>
        <w:pStyle w:val="Heading2"/>
        <w:rPr>
          <w:b w:val="0"/>
        </w:rPr>
      </w:pPr>
      <w:bookmarkStart w:id="431" w:name="_Toc162940434"/>
      <w:bookmarkStart w:id="432" w:name="_Toc162953223"/>
      <w:bookmarkStart w:id="433" w:name="_Toc163120896"/>
      <w:r>
        <w:rPr>
          <w:rStyle w:val="CharPartNo"/>
        </w:rPr>
        <w:lastRenderedPageBreak/>
        <w:t>Order 23</w:t>
      </w:r>
      <w:r>
        <w:t> — </w:t>
      </w:r>
      <w:r>
        <w:rPr>
          <w:rStyle w:val="CharPartText"/>
        </w:rPr>
        <w:t>Discontinuance</w:t>
      </w:r>
      <w:bookmarkEnd w:id="431"/>
      <w:bookmarkEnd w:id="432"/>
      <w:bookmarkEnd w:id="433"/>
    </w:p>
    <w:p>
      <w:pPr>
        <w:pStyle w:val="Heading5"/>
        <w:rPr>
          <w:snapToGrid w:val="0"/>
        </w:rPr>
      </w:pPr>
      <w:bookmarkStart w:id="434" w:name="_Toc163120897"/>
      <w:r>
        <w:rPr>
          <w:rStyle w:val="CharSectno"/>
        </w:rPr>
        <w:t>1</w:t>
      </w:r>
      <w:r>
        <w:rPr>
          <w:snapToGrid w:val="0"/>
        </w:rPr>
        <w:t>.</w:t>
      </w:r>
      <w:r>
        <w:rPr>
          <w:snapToGrid w:val="0"/>
        </w:rPr>
        <w:tab/>
        <w:t>Withdrawing appearance</w:t>
      </w:r>
      <w:bookmarkEnd w:id="434"/>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435" w:name="_Toc163120898"/>
      <w:r>
        <w:rPr>
          <w:rStyle w:val="CharSectno"/>
        </w:rPr>
        <w:t>2</w:t>
      </w:r>
      <w:r>
        <w:rPr>
          <w:snapToGrid w:val="0"/>
        </w:rPr>
        <w:t>.</w:t>
      </w:r>
      <w:r>
        <w:rPr>
          <w:snapToGrid w:val="0"/>
        </w:rPr>
        <w:tab/>
        <w:t>Plaintiff may discontinue; defence etc. may be withdrawn</w:t>
      </w:r>
      <w:bookmarkEnd w:id="435"/>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 xml:space="preserve">The costs referred to in </w:t>
      </w:r>
      <w:r>
        <w:t>subrule</w:t>
      </w:r>
      <w:r>
        <w:rPr>
          <w:snapToGrid w:val="0"/>
        </w:rPr>
        <w:t>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Footnotesection"/>
      </w:pPr>
      <w:r>
        <w:tab/>
        <w:t>[Rule 2 amended: Gazette 28 Jun 2011 p. 2552.]</w:t>
      </w:r>
    </w:p>
    <w:p>
      <w:pPr>
        <w:pStyle w:val="Heading5"/>
        <w:rPr>
          <w:snapToGrid w:val="0"/>
        </w:rPr>
      </w:pPr>
      <w:bookmarkStart w:id="436" w:name="_Toc163120899"/>
      <w:r>
        <w:rPr>
          <w:rStyle w:val="CharSectno"/>
        </w:rPr>
        <w:lastRenderedPageBreak/>
        <w:t>3</w:t>
      </w:r>
      <w:r>
        <w:rPr>
          <w:snapToGrid w:val="0"/>
        </w:rPr>
        <w:t>.</w:t>
      </w:r>
      <w:r>
        <w:rPr>
          <w:snapToGrid w:val="0"/>
        </w:rPr>
        <w:tab/>
        <w:t>Costs</w:t>
      </w:r>
      <w:bookmarkEnd w:id="436"/>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437" w:name="_Toc163120900"/>
      <w:r>
        <w:rPr>
          <w:rStyle w:val="CharSectno"/>
        </w:rPr>
        <w:t>4</w:t>
      </w:r>
      <w:r>
        <w:rPr>
          <w:snapToGrid w:val="0"/>
        </w:rPr>
        <w:t>.</w:t>
      </w:r>
      <w:r>
        <w:rPr>
          <w:snapToGrid w:val="0"/>
        </w:rPr>
        <w:tab/>
        <w:t>Subsequent action stayed pending payment</w:t>
      </w:r>
      <w:bookmarkEnd w:id="437"/>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438" w:name="_Toc163120901"/>
      <w:r>
        <w:rPr>
          <w:rStyle w:val="CharSectno"/>
        </w:rPr>
        <w:t>5</w:t>
      </w:r>
      <w:r>
        <w:rPr>
          <w:snapToGrid w:val="0"/>
        </w:rPr>
        <w:t>.</w:t>
      </w:r>
      <w:r>
        <w:rPr>
          <w:snapToGrid w:val="0"/>
        </w:rPr>
        <w:tab/>
        <w:t>Withdrawal of summons</w:t>
      </w:r>
      <w:bookmarkEnd w:id="438"/>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439" w:name="_Toc162940440"/>
      <w:bookmarkStart w:id="440" w:name="_Toc162953229"/>
      <w:bookmarkStart w:id="441" w:name="_Toc163120902"/>
      <w:r>
        <w:rPr>
          <w:rStyle w:val="CharPartNo"/>
        </w:rPr>
        <w:lastRenderedPageBreak/>
        <w:t>Order 24</w:t>
      </w:r>
      <w:r>
        <w:t> — </w:t>
      </w:r>
      <w:r>
        <w:rPr>
          <w:rStyle w:val="CharPartText"/>
        </w:rPr>
        <w:t>Payment into court — offers to consent to judgment</w:t>
      </w:r>
      <w:bookmarkEnd w:id="439"/>
      <w:bookmarkEnd w:id="440"/>
      <w:bookmarkEnd w:id="441"/>
    </w:p>
    <w:p>
      <w:pPr>
        <w:pStyle w:val="Ednotesection"/>
        <w:spacing w:before="180"/>
        <w:ind w:left="890" w:hanging="890"/>
      </w:pPr>
      <w:r>
        <w:t>[</w:t>
      </w:r>
      <w:r>
        <w:rPr>
          <w:b/>
        </w:rPr>
        <w:t>1</w:t>
      </w:r>
      <w:r>
        <w:rPr>
          <w:b/>
        </w:rPr>
        <w:noBreakHyphen/>
        <w:t>8.</w:t>
      </w:r>
      <w:r>
        <w:tab/>
        <w:t xml:space="preserve">Deleted: Gazette 5 Apr 1991 p. 1398.] </w:t>
      </w:r>
    </w:p>
    <w:p>
      <w:pPr>
        <w:pStyle w:val="Heading5"/>
        <w:spacing w:before="180"/>
        <w:rPr>
          <w:snapToGrid w:val="0"/>
        </w:rPr>
      </w:pPr>
      <w:bookmarkStart w:id="442" w:name="_Toc163120903"/>
      <w:r>
        <w:rPr>
          <w:rStyle w:val="CharSectno"/>
        </w:rPr>
        <w:t>9</w:t>
      </w:r>
      <w:r>
        <w:rPr>
          <w:snapToGrid w:val="0"/>
        </w:rPr>
        <w:t>.</w:t>
      </w:r>
      <w:r>
        <w:rPr>
          <w:snapToGrid w:val="0"/>
        </w:rPr>
        <w:tab/>
        <w:t>In certain cases no payment out without order</w:t>
      </w:r>
      <w:bookmarkEnd w:id="442"/>
    </w:p>
    <w:p>
      <w:pPr>
        <w:pStyle w:val="Subsection"/>
        <w:spacing w:before="120"/>
        <w:rPr>
          <w:snapToGrid w:val="0"/>
        </w:rPr>
      </w:pPr>
      <w:r>
        <w:rPr>
          <w:snapToGrid w:val="0"/>
        </w:rPr>
        <w:tab/>
        <w:t>(1)</w:t>
      </w:r>
      <w:r>
        <w:rPr>
          <w:snapToGrid w:val="0"/>
        </w:rPr>
        <w:tab/>
        <w:t xml:space="preserve">Subject to </w:t>
      </w:r>
      <w:r>
        <w:t>subrule</w:t>
      </w:r>
      <w:r>
        <w:rPr>
          <w:snapToGrid w:val="0"/>
        </w:rPr>
        <w:t> (2) money paid into court under an order of the Court, or certificate of a master or a registrar, shall not be paid out of court except in pursuance of an order of the Court.</w:t>
      </w:r>
    </w:p>
    <w:p>
      <w:pPr>
        <w:pStyle w:val="Subsection"/>
        <w:spacing w:before="120"/>
        <w:rPr>
          <w:snapToGrid w:val="0"/>
        </w:rPr>
      </w:pPr>
      <w:r>
        <w:rPr>
          <w:snapToGrid w:val="0"/>
        </w:rPr>
        <w:tab/>
        <w:t>(2)</w:t>
      </w:r>
      <w:r>
        <w:rPr>
          <w:snapToGrid w:val="0"/>
        </w:rPr>
        <w:tab/>
        <w:t>Unless the Court otherwise orders, a party who has paid money into court in pursuance of an order made under Order 14 — </w:t>
      </w:r>
    </w:p>
    <w:p>
      <w:pPr>
        <w:pStyle w:val="Indenta"/>
        <w:spacing w:before="60"/>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spacing w:before="60"/>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spacing w:before="100"/>
        <w:ind w:left="890" w:hanging="890"/>
      </w:pPr>
      <w:r>
        <w:tab/>
        <w:t xml:space="preserve">[Rule 9 amended: Gazette 14 Dec 1979 p. 3869; 30 Nov 1984 p. 3951; 28 Jun 2011 p. 2552.] </w:t>
      </w:r>
    </w:p>
    <w:p>
      <w:pPr>
        <w:pStyle w:val="Ednotesection"/>
        <w:ind w:left="890" w:hanging="890"/>
      </w:pPr>
      <w:r>
        <w:t>[</w:t>
      </w:r>
      <w:r>
        <w:rPr>
          <w:b/>
        </w:rPr>
        <w:t>10.</w:t>
      </w:r>
      <w:r>
        <w:tab/>
        <w:t xml:space="preserve">Deleted: Gazette 5 Apr 1991 p. 1398.] </w:t>
      </w:r>
    </w:p>
    <w:p>
      <w:pPr>
        <w:pStyle w:val="Heading5"/>
        <w:spacing w:before="180"/>
        <w:rPr>
          <w:snapToGrid w:val="0"/>
        </w:rPr>
      </w:pPr>
      <w:bookmarkStart w:id="443" w:name="_Toc163120904"/>
      <w:r>
        <w:rPr>
          <w:rStyle w:val="CharSectno"/>
        </w:rPr>
        <w:t>11</w:t>
      </w:r>
      <w:r>
        <w:rPr>
          <w:snapToGrid w:val="0"/>
        </w:rPr>
        <w:t>.</w:t>
      </w:r>
      <w:r>
        <w:rPr>
          <w:snapToGrid w:val="0"/>
        </w:rPr>
        <w:tab/>
        <w:t>Intestate’s estate, Court may direct some payments without administration</w:t>
      </w:r>
      <w:bookmarkEnd w:id="443"/>
    </w:p>
    <w:p>
      <w:pPr>
        <w:pStyle w:val="Subsection"/>
        <w:spacing w:before="120"/>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lastRenderedPageBreak/>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Gazette 30 Nov 1984 p. 3953; 30 Jun 2003 p. 2631.] </w:t>
      </w:r>
    </w:p>
    <w:p>
      <w:pPr>
        <w:pStyle w:val="Heading5"/>
        <w:rPr>
          <w:snapToGrid w:val="0"/>
        </w:rPr>
      </w:pPr>
      <w:bookmarkStart w:id="444" w:name="_Toc163120905"/>
      <w:r>
        <w:rPr>
          <w:rStyle w:val="CharSectno"/>
        </w:rPr>
        <w:t>12</w:t>
      </w:r>
      <w:r>
        <w:rPr>
          <w:snapToGrid w:val="0"/>
        </w:rPr>
        <w:t>.</w:t>
      </w:r>
      <w:r>
        <w:rPr>
          <w:snapToGrid w:val="0"/>
        </w:rPr>
        <w:tab/>
        <w:t>Regulations (Sch. 3)</w:t>
      </w:r>
      <w:bookmarkEnd w:id="444"/>
    </w:p>
    <w:p>
      <w:pPr>
        <w:pStyle w:val="Subsection"/>
      </w:pPr>
      <w:r>
        <w:rPr>
          <w:snapToGrid w:val="0"/>
        </w:rPr>
        <w:tab/>
      </w:r>
      <w:r>
        <w:rPr>
          <w:snapToGrid w:val="0"/>
        </w:rPr>
        <w:tab/>
        <w:t>The manner of payment into and out of court and the manner in which money in court shall be dealt with shall be subject to the regulations contained in</w:t>
      </w:r>
      <w:r>
        <w:t xml:space="preserve"> Schedule 3.</w:t>
      </w:r>
    </w:p>
    <w:p>
      <w:pPr>
        <w:pStyle w:val="Footnotesection"/>
      </w:pPr>
      <w:r>
        <w:tab/>
        <w:t>[Rule 12 amended: Gazette 28 Jun 2011 p. 2554.]</w:t>
      </w:r>
    </w:p>
    <w:p>
      <w:pPr>
        <w:pStyle w:val="Heading2"/>
        <w:rPr>
          <w:b w:val="0"/>
        </w:rPr>
      </w:pPr>
      <w:bookmarkStart w:id="445" w:name="_Toc162940444"/>
      <w:bookmarkStart w:id="446" w:name="_Toc162953233"/>
      <w:bookmarkStart w:id="447" w:name="_Toc163120906"/>
      <w:r>
        <w:rPr>
          <w:rStyle w:val="CharPartNo"/>
        </w:rPr>
        <w:lastRenderedPageBreak/>
        <w:t>Order 24A</w:t>
      </w:r>
      <w:r>
        <w:t> — </w:t>
      </w:r>
      <w:r>
        <w:rPr>
          <w:rStyle w:val="CharPartText"/>
        </w:rPr>
        <w:t>Offer of compromise</w:t>
      </w:r>
      <w:bookmarkEnd w:id="445"/>
      <w:bookmarkEnd w:id="446"/>
      <w:bookmarkEnd w:id="447"/>
    </w:p>
    <w:p>
      <w:pPr>
        <w:pStyle w:val="Footnoteheading"/>
        <w:ind w:left="890"/>
        <w:rPr>
          <w:snapToGrid w:val="0"/>
        </w:rPr>
      </w:pPr>
      <w:r>
        <w:rPr>
          <w:snapToGrid w:val="0"/>
        </w:rPr>
        <w:tab/>
        <w:t>[Heading inserted: Gazette 5 Apr 1991 p. 1398.]</w:t>
      </w:r>
    </w:p>
    <w:p>
      <w:pPr>
        <w:pStyle w:val="Heading5"/>
      </w:pPr>
      <w:bookmarkStart w:id="448" w:name="_Toc163120907"/>
      <w:r>
        <w:rPr>
          <w:rStyle w:val="CharSectno"/>
        </w:rPr>
        <w:t>1</w:t>
      </w:r>
      <w:r>
        <w:t>.</w:t>
      </w:r>
      <w:r>
        <w:tab/>
        <w:t>Parties entitled to make offer</w:t>
      </w:r>
      <w:bookmarkEnd w:id="448"/>
    </w:p>
    <w:p>
      <w:pPr>
        <w:pStyle w:val="Subsection"/>
      </w:pPr>
      <w:r>
        <w:tab/>
      </w:r>
      <w:r>
        <w:tab/>
        <w:t>In any proceedings the plaintiff or the defendant may make to the other an offer to compromise any claim in the proceedings on the terms specified in the notice of offer.</w:t>
      </w:r>
    </w:p>
    <w:p>
      <w:pPr>
        <w:pStyle w:val="Footnotesection"/>
      </w:pPr>
      <w:r>
        <w:tab/>
        <w:t xml:space="preserve">[Rule 1 inserted: Gazette 4 Sep 2015 p. 3696.] </w:t>
      </w:r>
    </w:p>
    <w:p>
      <w:pPr>
        <w:pStyle w:val="Heading5"/>
      </w:pPr>
      <w:bookmarkStart w:id="449" w:name="_Toc163120908"/>
      <w:r>
        <w:rPr>
          <w:rStyle w:val="CharSectno"/>
        </w:rPr>
        <w:t>2</w:t>
      </w:r>
      <w:r>
        <w:t>.</w:t>
      </w:r>
      <w:r>
        <w:tab/>
        <w:t>Application of this Order to counterclaims and third party notices</w:t>
      </w:r>
      <w:bookmarkEnd w:id="449"/>
    </w:p>
    <w:p>
      <w:pPr>
        <w:pStyle w:val="Subsection"/>
      </w:pPr>
      <w:r>
        <w:tab/>
      </w:r>
      <w:r>
        <w:tab/>
        <w:t xml:space="preserve">Where a party makes a claim by way of counterclaim or third party notice, this Order applies in relation to the proceeding on that claim as if — </w:t>
      </w:r>
    </w:p>
    <w:p>
      <w:pPr>
        <w:pStyle w:val="Indenta"/>
      </w:pPr>
      <w:r>
        <w:tab/>
        <w:t>(a)</w:t>
      </w:r>
      <w:r>
        <w:tab/>
        <w:t>the party making the claim were the plaintiff; and</w:t>
      </w:r>
    </w:p>
    <w:p>
      <w:pPr>
        <w:pStyle w:val="Indenta"/>
      </w:pPr>
      <w:r>
        <w:tab/>
        <w:t>(b)</w:t>
      </w:r>
      <w:r>
        <w:tab/>
        <w:t>the party against whom the claim is made were the defendant.</w:t>
      </w:r>
    </w:p>
    <w:p>
      <w:pPr>
        <w:pStyle w:val="Footnotesection"/>
      </w:pPr>
      <w:r>
        <w:tab/>
        <w:t xml:space="preserve">[Rule 2 inserted: Gazette 4 Sep 2015 p. 3696.] </w:t>
      </w:r>
    </w:p>
    <w:p>
      <w:pPr>
        <w:pStyle w:val="Heading5"/>
      </w:pPr>
      <w:bookmarkStart w:id="450" w:name="_Toc163120909"/>
      <w:r>
        <w:rPr>
          <w:rStyle w:val="CharSectno"/>
        </w:rPr>
        <w:t>3A</w:t>
      </w:r>
      <w:r>
        <w:t>.</w:t>
      </w:r>
      <w:r>
        <w:tab/>
        <w:t>How to make offer</w:t>
      </w:r>
      <w:bookmarkEnd w:id="450"/>
    </w:p>
    <w:p>
      <w:pPr>
        <w:pStyle w:val="Subsection"/>
      </w:pPr>
      <w:r>
        <w:tab/>
        <w:t>(1)</w:t>
      </w:r>
      <w:r>
        <w:tab/>
        <w:t>An offer of compromise is made to a party under this Order by serving a notice of the offer on the party.</w:t>
      </w:r>
    </w:p>
    <w:p>
      <w:pPr>
        <w:pStyle w:val="Subsection"/>
      </w:pPr>
      <w:r>
        <w:tab/>
        <w:t>(2)</w:t>
      </w:r>
      <w:r>
        <w:tab/>
        <w:t xml:space="preserve">A notice of offer is to — </w:t>
      </w:r>
    </w:p>
    <w:p>
      <w:pPr>
        <w:pStyle w:val="Indenta"/>
      </w:pPr>
      <w:r>
        <w:tab/>
        <w:t>(a)</w:t>
      </w:r>
      <w:r>
        <w:tab/>
        <w:t>be in writing; and</w:t>
      </w:r>
    </w:p>
    <w:p>
      <w:pPr>
        <w:pStyle w:val="Indenta"/>
      </w:pPr>
      <w:r>
        <w:tab/>
        <w:t>(b)</w:t>
      </w:r>
      <w:r>
        <w:tab/>
        <w:t>bear a statement to the effect that the offer is made under this Order.</w:t>
      </w:r>
    </w:p>
    <w:p>
      <w:pPr>
        <w:pStyle w:val="Footnotesection"/>
      </w:pPr>
      <w:r>
        <w:tab/>
        <w:t>[Rule 3A inserted: Gazette 4 Sep 2015 p. 3696</w:t>
      </w:r>
      <w:r>
        <w:noBreakHyphen/>
        <w:t xml:space="preserve">7.] </w:t>
      </w:r>
    </w:p>
    <w:p>
      <w:pPr>
        <w:pStyle w:val="Heading5"/>
        <w:spacing w:before="240"/>
        <w:rPr>
          <w:snapToGrid w:val="0"/>
        </w:rPr>
      </w:pPr>
      <w:bookmarkStart w:id="451" w:name="_Toc163120910"/>
      <w:r>
        <w:rPr>
          <w:rStyle w:val="CharSectno"/>
        </w:rPr>
        <w:t>3</w:t>
      </w:r>
      <w:r>
        <w:rPr>
          <w:snapToGrid w:val="0"/>
        </w:rPr>
        <w:t>.</w:t>
      </w:r>
      <w:r>
        <w:rPr>
          <w:snapToGrid w:val="0"/>
        </w:rPr>
        <w:tab/>
        <w:t>Time etc. for making, accepting etc. offer</w:t>
      </w:r>
      <w:bookmarkEnd w:id="451"/>
    </w:p>
    <w:p>
      <w:pPr>
        <w:pStyle w:val="Subsection"/>
        <w:spacing w:before="180"/>
        <w:rPr>
          <w:snapToGrid w:val="0"/>
        </w:rPr>
      </w:pPr>
      <w:r>
        <w:rPr>
          <w:snapToGrid w:val="0"/>
        </w:rPr>
        <w:tab/>
        <w:t>(1)</w:t>
      </w:r>
      <w:r>
        <w:rPr>
          <w:snapToGrid w:val="0"/>
        </w:rPr>
        <w:tab/>
        <w:t xml:space="preserve">An offer may be made at any time before the time prescribed by </w:t>
      </w:r>
      <w:r>
        <w:t>subrule</w:t>
      </w:r>
      <w:r>
        <w:rPr>
          <w:snapToGrid w:val="0"/>
        </w:rPr>
        <w:t> (8) in respect of the claim to which it relates.</w:t>
      </w:r>
    </w:p>
    <w:p>
      <w:pPr>
        <w:pStyle w:val="Subsection"/>
        <w:spacing w:before="180"/>
        <w:rPr>
          <w:snapToGrid w:val="0"/>
        </w:rPr>
      </w:pPr>
      <w:r>
        <w:rPr>
          <w:snapToGrid w:val="0"/>
        </w:rPr>
        <w:lastRenderedPageBreak/>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 xml:space="preserve">the expiration of the time specified in accordance with </w:t>
      </w:r>
      <w:r>
        <w:t>subrule</w:t>
      </w:r>
      <w:r>
        <w:rPr>
          <w:snapToGrid w:val="0"/>
        </w:rPr>
        <w:t> (3) or, if no time is specified, the expiration of 28 days after the offer is made; or</w:t>
      </w:r>
    </w:p>
    <w:p>
      <w:pPr>
        <w:pStyle w:val="Indenta"/>
        <w:keepLines/>
        <w:rPr>
          <w:snapToGrid w:val="0"/>
        </w:rPr>
      </w:pPr>
      <w:r>
        <w:rPr>
          <w:snapToGrid w:val="0"/>
        </w:rPr>
        <w:tab/>
        <w:t>(b)</w:t>
      </w:r>
      <w:r>
        <w:rPr>
          <w:snapToGrid w:val="0"/>
        </w:rPr>
        <w:tab/>
        <w:t xml:space="preserve">the time prescribed by </w:t>
      </w:r>
      <w:r>
        <w:t>subrule</w:t>
      </w:r>
      <w:r>
        <w:rPr>
          <w:snapToGrid w:val="0"/>
        </w:rPr>
        <w:t>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w:t>
      </w:r>
      <w:r>
        <w:t>subrule</w:t>
      </w:r>
      <w:r>
        <w:rPr>
          <w:snapToGrid w:val="0"/>
        </w:rPr>
        <w:t xml:space="preserve">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 xml:space="preserve">The time prescribed for the purposes of </w:t>
      </w:r>
      <w:r>
        <w:t>subrules</w:t>
      </w:r>
      <w:r>
        <w:rPr>
          <w:snapToGrid w:val="0"/>
        </w:rPr>
        <w:t>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 xml:space="preserve">Where an offer is accepted under this rule, any party to the compromise may apply to the Court for such judgment or order as he may be entitled to and on the hearing of the application the </w:t>
      </w:r>
      <w:r>
        <w:rPr>
          <w:snapToGrid w:val="0"/>
        </w:rPr>
        <w:lastRenderedPageBreak/>
        <w:t>Court shall give such judgment or make such order as it thinks fit.</w:t>
      </w:r>
    </w:p>
    <w:p>
      <w:pPr>
        <w:pStyle w:val="Footnotesection"/>
      </w:pPr>
      <w:r>
        <w:tab/>
        <w:t>[Rule 3 inserted: Gazette 5 Apr 1991 p. 1399; amended: Gazette 28 Feb 1992 p. 995; 30 Oct 1992 p. 5310; 28 Jun 2011 p. 2552</w:t>
      </w:r>
      <w:r>
        <w:noBreakHyphen/>
        <w:t xml:space="preserve">3.] </w:t>
      </w:r>
    </w:p>
    <w:p>
      <w:pPr>
        <w:pStyle w:val="Heading5"/>
        <w:rPr>
          <w:snapToGrid w:val="0"/>
        </w:rPr>
      </w:pPr>
      <w:bookmarkStart w:id="452" w:name="_Toc163120911"/>
      <w:r>
        <w:rPr>
          <w:rStyle w:val="CharSectno"/>
        </w:rPr>
        <w:t>4</w:t>
      </w:r>
      <w:r>
        <w:rPr>
          <w:snapToGrid w:val="0"/>
        </w:rPr>
        <w:t>.</w:t>
      </w:r>
      <w:r>
        <w:rPr>
          <w:snapToGrid w:val="0"/>
        </w:rPr>
        <w:tab/>
        <w:t>Time for payment of sum offered</w:t>
      </w:r>
      <w:bookmarkEnd w:id="452"/>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Gazette 5 Apr 1991 p. 1399.] </w:t>
      </w:r>
    </w:p>
    <w:p>
      <w:pPr>
        <w:pStyle w:val="Heading5"/>
        <w:rPr>
          <w:snapToGrid w:val="0"/>
        </w:rPr>
      </w:pPr>
      <w:bookmarkStart w:id="453" w:name="_Toc163120912"/>
      <w:r>
        <w:rPr>
          <w:rStyle w:val="CharSectno"/>
        </w:rPr>
        <w:t>5</w:t>
      </w:r>
      <w:r>
        <w:rPr>
          <w:snapToGrid w:val="0"/>
        </w:rPr>
        <w:t>.</w:t>
      </w:r>
      <w:r>
        <w:rPr>
          <w:snapToGrid w:val="0"/>
        </w:rPr>
        <w:tab/>
        <w:t>Withdrawing acceptance of offer</w:t>
      </w:r>
      <w:bookmarkEnd w:id="453"/>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 xml:space="preserve">give directions under </w:t>
      </w:r>
      <w:r>
        <w:t>subrule</w:t>
      </w:r>
      <w:r>
        <w:rPr>
          <w:snapToGrid w:val="0"/>
        </w:rPr>
        <w:t> (2); and</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Gazette 5 Apr 1991 p. 1399; amended: Gazette 28 Jun 2011 p. 2552.] </w:t>
      </w:r>
    </w:p>
    <w:p>
      <w:pPr>
        <w:pStyle w:val="Heading5"/>
        <w:rPr>
          <w:snapToGrid w:val="0"/>
        </w:rPr>
      </w:pPr>
      <w:bookmarkStart w:id="454" w:name="_Toc163120913"/>
      <w:r>
        <w:rPr>
          <w:rStyle w:val="CharSectno"/>
        </w:rPr>
        <w:lastRenderedPageBreak/>
        <w:t>6</w:t>
      </w:r>
      <w:r>
        <w:rPr>
          <w:snapToGrid w:val="0"/>
        </w:rPr>
        <w:t>.</w:t>
      </w:r>
      <w:r>
        <w:rPr>
          <w:snapToGrid w:val="0"/>
        </w:rPr>
        <w:tab/>
        <w:t>Offer without prejudice</w:t>
      </w:r>
      <w:bookmarkEnd w:id="454"/>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Gazette 5 Apr 1991 p. 1399.] </w:t>
      </w:r>
    </w:p>
    <w:p>
      <w:pPr>
        <w:pStyle w:val="Heading5"/>
        <w:spacing w:before="180"/>
        <w:rPr>
          <w:snapToGrid w:val="0"/>
        </w:rPr>
      </w:pPr>
      <w:bookmarkStart w:id="455" w:name="_Toc163120914"/>
      <w:r>
        <w:rPr>
          <w:rStyle w:val="CharSectno"/>
        </w:rPr>
        <w:t>7</w:t>
      </w:r>
      <w:r>
        <w:rPr>
          <w:snapToGrid w:val="0"/>
        </w:rPr>
        <w:t>.</w:t>
      </w:r>
      <w:r>
        <w:rPr>
          <w:snapToGrid w:val="0"/>
        </w:rPr>
        <w:tab/>
        <w:t>Disclosure of offer to Court</w:t>
      </w:r>
      <w:bookmarkEnd w:id="455"/>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Gazette 5 Apr 1991 p. 1399</w:t>
      </w:r>
      <w:r>
        <w:noBreakHyphen/>
        <w:t xml:space="preserve">400.] </w:t>
      </w:r>
    </w:p>
    <w:p>
      <w:pPr>
        <w:pStyle w:val="Heading5"/>
        <w:spacing w:before="180"/>
        <w:rPr>
          <w:snapToGrid w:val="0"/>
        </w:rPr>
      </w:pPr>
      <w:bookmarkStart w:id="456" w:name="_Toc163120915"/>
      <w:r>
        <w:rPr>
          <w:rStyle w:val="CharSectno"/>
        </w:rPr>
        <w:t>8</w:t>
      </w:r>
      <w:r>
        <w:rPr>
          <w:snapToGrid w:val="0"/>
        </w:rPr>
        <w:t>.</w:t>
      </w:r>
      <w:r>
        <w:rPr>
          <w:snapToGrid w:val="0"/>
        </w:rPr>
        <w:tab/>
        <w:t>Failure to comply with accepted offer</w:t>
      </w:r>
      <w:bookmarkEnd w:id="456"/>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rPr>
          <w:snapToGrid w:val="0"/>
        </w:rPr>
      </w:pPr>
      <w:r>
        <w:rPr>
          <w:snapToGrid w:val="0"/>
        </w:rPr>
        <w:lastRenderedPageBreak/>
        <w:tab/>
        <w:t>(2)</w:t>
      </w:r>
      <w:r>
        <w:rPr>
          <w:snapToGrid w:val="0"/>
        </w:rPr>
        <w:tab/>
        <w:t xml:space="preserve">Where a party to an accepted offer fails to comply with the terms of the offer, and another party in the proceedings has made a claim which is not the subject of the accepted offer, the Court may make such order or give such judgment under </w:t>
      </w:r>
      <w:r>
        <w:t>subrule</w:t>
      </w:r>
      <w:r>
        <w:rPr>
          <w:snapToGrid w:val="0"/>
        </w:rPr>
        <w:t> (1), and make such order that the proceeding on that other party’s claim be continued, as it thinks fit.</w:t>
      </w:r>
    </w:p>
    <w:p>
      <w:pPr>
        <w:pStyle w:val="Footnotesection"/>
        <w:ind w:left="890" w:hanging="890"/>
      </w:pPr>
      <w:r>
        <w:tab/>
        <w:t xml:space="preserve">[Rule 8 inserted: Gazette 5 Apr 1991 p. 1400; amended: Gazette 28 Feb 1992 p. 995; 28 Jun 2011 p. 2552; 4 Sep 2015 p. 3697.] </w:t>
      </w:r>
    </w:p>
    <w:p>
      <w:pPr>
        <w:pStyle w:val="Heading5"/>
        <w:spacing w:before="180"/>
        <w:rPr>
          <w:snapToGrid w:val="0"/>
        </w:rPr>
      </w:pPr>
      <w:bookmarkStart w:id="457" w:name="_Toc163120916"/>
      <w:r>
        <w:rPr>
          <w:rStyle w:val="CharSectno"/>
        </w:rPr>
        <w:t>9</w:t>
      </w:r>
      <w:r>
        <w:rPr>
          <w:snapToGrid w:val="0"/>
        </w:rPr>
        <w:t>.</w:t>
      </w:r>
      <w:r>
        <w:rPr>
          <w:snapToGrid w:val="0"/>
        </w:rPr>
        <w:tab/>
        <w:t>Multiple defendants</w:t>
      </w:r>
      <w:bookmarkEnd w:id="457"/>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Gazette 5 Apr 1991 p. 1400.] </w:t>
      </w:r>
    </w:p>
    <w:p>
      <w:pPr>
        <w:pStyle w:val="Heading5"/>
        <w:rPr>
          <w:snapToGrid w:val="0"/>
        </w:rPr>
      </w:pPr>
      <w:bookmarkStart w:id="458" w:name="_Toc163120917"/>
      <w:r>
        <w:rPr>
          <w:rStyle w:val="CharSectno"/>
        </w:rPr>
        <w:t>10</w:t>
      </w:r>
      <w:r>
        <w:rPr>
          <w:snapToGrid w:val="0"/>
        </w:rPr>
        <w:t>.</w:t>
      </w:r>
      <w:r>
        <w:rPr>
          <w:snapToGrid w:val="0"/>
        </w:rPr>
        <w:tab/>
        <w:t>Costs</w:t>
      </w:r>
      <w:bookmarkEnd w:id="458"/>
      <w:r>
        <w:rPr>
          <w:snapToGrid w:val="0"/>
        </w:rPr>
        <w:t xml:space="preserve"> </w:t>
      </w:r>
    </w:p>
    <w:p>
      <w:pPr>
        <w:pStyle w:val="Subsection"/>
        <w:rPr>
          <w:snapToGrid w:val="0"/>
        </w:rPr>
      </w:pPr>
      <w:r>
        <w:rPr>
          <w:snapToGrid w:val="0"/>
        </w:rPr>
        <w:tab/>
        <w:t>(1)</w:t>
      </w:r>
      <w:r>
        <w:rPr>
          <w:snapToGrid w:val="0"/>
        </w:rPr>
        <w:tab/>
        <w:t xml:space="preserve">Upon the acceptance of an offer of compromise in accordance with rule 3(5), the plaintiff may, unless the Court otherwise orders, tax his costs in respect of the claim against the defendant up to and including the day the offer was accepted and, if the </w:t>
      </w:r>
      <w:r>
        <w:rPr>
          <w:snapToGrid w:val="0"/>
        </w:rPr>
        <w:lastRenderedPageBreak/>
        <w:t>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 xml:space="preserve">If a notice of offer contains a term which purports to negative or limit the operation of </w:t>
      </w:r>
      <w:r>
        <w:t>subrule</w:t>
      </w:r>
      <w:r>
        <w:rPr>
          <w:snapToGrid w:val="0"/>
        </w:rPr>
        <w:t> (1), that term shall be of no effect for any purpose under this Order.</w:t>
      </w:r>
    </w:p>
    <w:p>
      <w:pPr>
        <w:pStyle w:val="Subsection"/>
      </w:pPr>
      <w:r>
        <w:tab/>
        <w:t>(3)</w:t>
      </w:r>
      <w:r>
        <w:tab/>
        <w:t>Subrules</w:t>
      </w:r>
      <w:r>
        <w:rPr>
          <w:snapToGrid w:val="0"/>
        </w:rPr>
        <w:t xml:space="preserve"> (4) and (5) apply to an offer which has not been accepted in the time prescribed by </w:t>
      </w:r>
      <w:r>
        <w:t>rule 3(5) if the Court is satisfied by the party who made the offer that the party was at all material times willing and able to comply with the terms of the offer.</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w:t>
      </w:r>
      <w:r>
        <w:t>basis, except as provided in subrule (5A).</w:t>
      </w:r>
    </w:p>
    <w:p>
      <w:pPr>
        <w:pStyle w:val="Ednotesubsection"/>
      </w:pPr>
      <w:r>
        <w:tab/>
        <w:t>[(4a)</w:t>
      </w:r>
      <w:r>
        <w:tab/>
        <w:t>deleted]</w:t>
      </w:r>
    </w:p>
    <w:p>
      <w:pPr>
        <w:pStyle w:val="Subsection"/>
      </w:pPr>
      <w:r>
        <w:tab/>
        <w:t>(5A)</w:t>
      </w:r>
      <w:r>
        <w:tab/>
      </w:r>
      <w:r>
        <w:rPr>
          <w:snapToGrid w:val="0"/>
        </w:rPr>
        <w:t>If the Court is satisfied that the failure by the defendant to accept the offer made by the plaintiff was unreasonable, the plaintiff’s costs from the date on which the offer was made are to be taxed on an indemnity basis, unless the interests of justice require otherwise.</w:t>
      </w:r>
    </w:p>
    <w:p>
      <w:pPr>
        <w:pStyle w:val="Subsection"/>
        <w:rPr>
          <w:snapToGrid w:val="0"/>
        </w:rPr>
      </w:pPr>
      <w:r>
        <w:rPr>
          <w:snapToGrid w:val="0"/>
        </w:rPr>
        <w:tab/>
        <w:t>(5)</w:t>
      </w:r>
      <w:r>
        <w:rPr>
          <w:snapToGrid w:val="0"/>
        </w:rPr>
        <w:tab/>
        <w:t xml:space="preserve">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w:t>
      </w:r>
      <w:r>
        <w:rPr>
          <w:snapToGrid w:val="0"/>
        </w:rPr>
        <w:lastRenderedPageBreak/>
        <w:t xml:space="preserve">defendant shall be entitled to an order against the plaintiff for his costs in respect of the claim thereafter, taxed on a party and party </w:t>
      </w:r>
      <w:r>
        <w:t>basis, except as provided in subrule (7A).</w:t>
      </w:r>
    </w:p>
    <w:p>
      <w:pPr>
        <w:pStyle w:val="Subsection"/>
        <w:rPr>
          <w:snapToGrid w:val="0"/>
        </w:rPr>
      </w:pPr>
      <w:r>
        <w:rPr>
          <w:snapToGrid w:val="0"/>
        </w:rPr>
        <w:tab/>
        <w:t>(6)</w:t>
      </w:r>
      <w:r>
        <w:rPr>
          <w:snapToGrid w:val="0"/>
        </w:rPr>
        <w:tab/>
        <w:t xml:space="preserve">For the purpose of </w:t>
      </w:r>
      <w:r>
        <w:t>subrule</w:t>
      </w:r>
      <w:r>
        <w:rPr>
          <w:snapToGrid w:val="0"/>
        </w:rPr>
        <w:t xml:space="preserve">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w:t>
      </w:r>
      <w:r>
        <w:t>basis, except as provided in subrule (7A).</w:t>
      </w:r>
    </w:p>
    <w:p>
      <w:pPr>
        <w:pStyle w:val="Subsection"/>
      </w:pPr>
      <w:r>
        <w:tab/>
        <w:t>(7A)</w:t>
      </w:r>
      <w:r>
        <w:tab/>
      </w:r>
      <w:r>
        <w:rPr>
          <w:snapToGrid w:val="0"/>
        </w:rPr>
        <w:t>If the Court is satisfied that the failure by the plaintiff to accept the offer made by the defendant was unreasonable, the defendant’s costs are to be taxed on an indemnity basis, unless the interests of justice require otherwise.</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 xml:space="preserve">then, for the purpose of determining the consequences as to costs referred to in </w:t>
      </w:r>
      <w:r>
        <w:t>subrules</w:t>
      </w:r>
      <w:r>
        <w:rPr>
          <w:snapToGrid w:val="0"/>
        </w:rPr>
        <w:t> (4) and (5), the Court shall disregard so much of the interest as relates to the period after the day the offer was made.</w:t>
      </w:r>
    </w:p>
    <w:p>
      <w:pPr>
        <w:pStyle w:val="Subsection"/>
        <w:rPr>
          <w:snapToGrid w:val="0"/>
        </w:rPr>
      </w:pPr>
      <w:r>
        <w:rPr>
          <w:snapToGrid w:val="0"/>
        </w:rPr>
        <w:tab/>
        <w:t>(8)</w:t>
      </w:r>
      <w:r>
        <w:rPr>
          <w:snapToGrid w:val="0"/>
        </w:rPr>
        <w:tab/>
        <w:t xml:space="preserve">For the purpose of </w:t>
      </w:r>
      <w:r>
        <w:t>subrule</w:t>
      </w:r>
      <w:r>
        <w:rPr>
          <w:snapToGrid w:val="0"/>
        </w:rPr>
        <w:t> (7), the Court may be informed of the fact that the offer was made, and of the date on which it was made, but shall not be informed of its terms.</w:t>
      </w:r>
    </w:p>
    <w:p>
      <w:pPr>
        <w:pStyle w:val="Ednotesubsection"/>
      </w:pPr>
      <w:r>
        <w:tab/>
        <w:t>[(9)</w:t>
      </w:r>
      <w:r>
        <w:tab/>
        <w:t>deleted]</w:t>
      </w:r>
    </w:p>
    <w:p>
      <w:pPr>
        <w:pStyle w:val="Footnotesection"/>
      </w:pPr>
      <w:r>
        <w:lastRenderedPageBreak/>
        <w:tab/>
        <w:t>[Rule 10 inserted: Gazette 5 Apr 1991 p. 1400</w:t>
      </w:r>
      <w:r>
        <w:noBreakHyphen/>
        <w:t>1; amended: Gazette 28 Feb 1992 p. 996; 21 Feb 2007 p. 536; 28 Jun 2011 p. 2552</w:t>
      </w:r>
      <w:r>
        <w:noBreakHyphen/>
        <w:t>3; 4 Sep 2015 p. 3697</w:t>
      </w:r>
      <w:r>
        <w:noBreakHyphen/>
        <w:t xml:space="preserve">8.] </w:t>
      </w:r>
    </w:p>
    <w:p>
      <w:pPr>
        <w:pStyle w:val="Heading2"/>
        <w:rPr>
          <w:b w:val="0"/>
        </w:rPr>
      </w:pPr>
      <w:bookmarkStart w:id="459" w:name="_Toc162940456"/>
      <w:bookmarkStart w:id="460" w:name="_Toc162953245"/>
      <w:bookmarkStart w:id="461" w:name="_Toc163120918"/>
      <w:r>
        <w:rPr>
          <w:rStyle w:val="CharPartNo"/>
        </w:rPr>
        <w:lastRenderedPageBreak/>
        <w:t>Order 25</w:t>
      </w:r>
      <w:r>
        <w:t> — </w:t>
      </w:r>
      <w:r>
        <w:rPr>
          <w:rStyle w:val="CharPartText"/>
        </w:rPr>
        <w:t>Security for costs</w:t>
      </w:r>
      <w:bookmarkEnd w:id="459"/>
      <w:bookmarkEnd w:id="460"/>
      <w:bookmarkEnd w:id="461"/>
      <w:r>
        <w:rPr>
          <w:b w:val="0"/>
        </w:rPr>
        <w:t xml:space="preserve"> </w:t>
      </w:r>
    </w:p>
    <w:p>
      <w:pPr>
        <w:pStyle w:val="Heading5"/>
        <w:rPr>
          <w:snapToGrid w:val="0"/>
        </w:rPr>
      </w:pPr>
      <w:bookmarkStart w:id="462" w:name="_Toc163120919"/>
      <w:r>
        <w:rPr>
          <w:rStyle w:val="CharSectno"/>
        </w:rPr>
        <w:t>1</w:t>
      </w:r>
      <w:r>
        <w:rPr>
          <w:snapToGrid w:val="0"/>
        </w:rPr>
        <w:t>.</w:t>
      </w:r>
      <w:r>
        <w:rPr>
          <w:snapToGrid w:val="0"/>
        </w:rPr>
        <w:tab/>
        <w:t>Factors that are not grounds for ordering security for costs</w:t>
      </w:r>
      <w:bookmarkEnd w:id="462"/>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463" w:name="_Toc163120920"/>
      <w:r>
        <w:rPr>
          <w:rStyle w:val="CharSectno"/>
        </w:rPr>
        <w:t>2</w:t>
      </w:r>
      <w:r>
        <w:rPr>
          <w:snapToGrid w:val="0"/>
        </w:rPr>
        <w:t>.</w:t>
      </w:r>
      <w:r>
        <w:rPr>
          <w:snapToGrid w:val="0"/>
        </w:rPr>
        <w:tab/>
        <w:t>Grounds for ordering security for costs</w:t>
      </w:r>
      <w:bookmarkEnd w:id="463"/>
    </w:p>
    <w:p>
      <w:pPr>
        <w:pStyle w:val="Subsection"/>
        <w:rPr>
          <w:snapToGrid w:val="0"/>
        </w:rPr>
      </w:pPr>
      <w:r>
        <w:rPr>
          <w:snapToGrid w:val="0"/>
        </w:rPr>
        <w:tab/>
      </w:r>
      <w:r>
        <w:rPr>
          <w:snapToGrid w:val="0"/>
        </w:rPr>
        <w:tab/>
        <w:t xml:space="preserve">Without limiting the generality of </w:t>
      </w:r>
      <w:r>
        <w:t xml:space="preserve">rule 1 </w:t>
      </w:r>
      <w:r>
        <w:rPr>
          <w:snapToGrid w:val="0"/>
        </w:rPr>
        <w:t>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lastRenderedPageBreak/>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Footnotesection"/>
      </w:pPr>
      <w:r>
        <w:tab/>
        <w:t>[Rule 2 amended: Gazette 28 Jun 2011 p. 2554.]</w:t>
      </w:r>
    </w:p>
    <w:p>
      <w:pPr>
        <w:pStyle w:val="Heading5"/>
        <w:spacing w:before="180"/>
        <w:rPr>
          <w:snapToGrid w:val="0"/>
        </w:rPr>
      </w:pPr>
      <w:bookmarkStart w:id="464" w:name="_Toc163120921"/>
      <w:r>
        <w:rPr>
          <w:rStyle w:val="CharSectno"/>
        </w:rPr>
        <w:t>3</w:t>
      </w:r>
      <w:r>
        <w:rPr>
          <w:snapToGrid w:val="0"/>
        </w:rPr>
        <w:t>.</w:t>
      </w:r>
      <w:r>
        <w:rPr>
          <w:snapToGrid w:val="0"/>
        </w:rPr>
        <w:tab/>
        <w:t>Court has discretion</w:t>
      </w:r>
      <w:bookmarkEnd w:id="464"/>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465" w:name="_Toc163120922"/>
      <w:r>
        <w:rPr>
          <w:rStyle w:val="CharSectno"/>
        </w:rPr>
        <w:t>4</w:t>
      </w:r>
      <w:r>
        <w:rPr>
          <w:snapToGrid w:val="0"/>
        </w:rPr>
        <w:t>.</w:t>
      </w:r>
      <w:r>
        <w:rPr>
          <w:snapToGrid w:val="0"/>
        </w:rPr>
        <w:tab/>
        <w:t>Term used: plaintiff</w:t>
      </w:r>
      <w:bookmarkEnd w:id="465"/>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466" w:name="_Toc163120923"/>
      <w:r>
        <w:rPr>
          <w:rStyle w:val="CharSectno"/>
        </w:rPr>
        <w:t>5</w:t>
      </w:r>
      <w:r>
        <w:rPr>
          <w:snapToGrid w:val="0"/>
        </w:rPr>
        <w:t>.</w:t>
      </w:r>
      <w:r>
        <w:rPr>
          <w:snapToGrid w:val="0"/>
        </w:rPr>
        <w:tab/>
        <w:t>Manner of giving security</w:t>
      </w:r>
      <w:bookmarkEnd w:id="466"/>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467" w:name="_Toc163120924"/>
      <w:r>
        <w:rPr>
          <w:rStyle w:val="CharSectno"/>
        </w:rPr>
        <w:t>6</w:t>
      </w:r>
      <w:r>
        <w:rPr>
          <w:snapToGrid w:val="0"/>
        </w:rPr>
        <w:t>.</w:t>
      </w:r>
      <w:r>
        <w:rPr>
          <w:snapToGrid w:val="0"/>
        </w:rPr>
        <w:tab/>
        <w:t>Action may be stayed</w:t>
      </w:r>
      <w:bookmarkEnd w:id="467"/>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468" w:name="_Toc163120925"/>
      <w:r>
        <w:rPr>
          <w:rStyle w:val="CharSectno"/>
        </w:rPr>
        <w:lastRenderedPageBreak/>
        <w:t>7</w:t>
      </w:r>
      <w:r>
        <w:rPr>
          <w:snapToGrid w:val="0"/>
        </w:rPr>
        <w:t>.</w:t>
      </w:r>
      <w:r>
        <w:rPr>
          <w:snapToGrid w:val="0"/>
        </w:rPr>
        <w:tab/>
        <w:t>Payment out</w:t>
      </w:r>
      <w:bookmarkEnd w:id="468"/>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Gazette 14 Dec 1979 p. 3869.] </w:t>
      </w:r>
    </w:p>
    <w:p>
      <w:pPr>
        <w:pStyle w:val="Heading5"/>
        <w:rPr>
          <w:snapToGrid w:val="0"/>
        </w:rPr>
      </w:pPr>
      <w:bookmarkStart w:id="469" w:name="_Toc163120926"/>
      <w:r>
        <w:rPr>
          <w:rStyle w:val="CharSectno"/>
        </w:rPr>
        <w:t>8</w:t>
      </w:r>
      <w:r>
        <w:rPr>
          <w:snapToGrid w:val="0"/>
        </w:rPr>
        <w:t>.</w:t>
      </w:r>
      <w:r>
        <w:rPr>
          <w:snapToGrid w:val="0"/>
        </w:rPr>
        <w:tab/>
        <w:t>Saving</w:t>
      </w:r>
      <w:bookmarkEnd w:id="469"/>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470" w:name="_Toc162940465"/>
      <w:bookmarkStart w:id="471" w:name="_Toc162953254"/>
      <w:bookmarkStart w:id="472" w:name="_Toc163120927"/>
      <w:r>
        <w:rPr>
          <w:rStyle w:val="CharPartNo"/>
        </w:rPr>
        <w:lastRenderedPageBreak/>
        <w:t>Order 26</w:t>
      </w:r>
      <w:r>
        <w:t> — </w:t>
      </w:r>
      <w:r>
        <w:rPr>
          <w:rStyle w:val="CharPartText"/>
        </w:rPr>
        <w:t>Discovery and inspection</w:t>
      </w:r>
      <w:bookmarkEnd w:id="470"/>
      <w:bookmarkEnd w:id="471"/>
      <w:bookmarkEnd w:id="472"/>
    </w:p>
    <w:p>
      <w:pPr>
        <w:pStyle w:val="Heading5"/>
        <w:rPr>
          <w:snapToGrid w:val="0"/>
        </w:rPr>
      </w:pPr>
      <w:bookmarkStart w:id="473" w:name="_Toc163120928"/>
      <w:r>
        <w:rPr>
          <w:rStyle w:val="CharSectno"/>
        </w:rPr>
        <w:t>1A</w:t>
      </w:r>
      <w:r>
        <w:rPr>
          <w:snapToGrid w:val="0"/>
        </w:rPr>
        <w:t>.</w:t>
      </w:r>
      <w:r>
        <w:rPr>
          <w:snapToGrid w:val="0"/>
        </w:rPr>
        <w:tab/>
        <w:t>Terms used</w:t>
      </w:r>
      <w:bookmarkEnd w:id="473"/>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Gazette 5 Jun 1992 p. 2280</w:t>
      </w:r>
      <w:r>
        <w:noBreakHyphen/>
        <w:t xml:space="preserve">1.] </w:t>
      </w:r>
    </w:p>
    <w:p>
      <w:pPr>
        <w:pStyle w:val="Heading5"/>
      </w:pPr>
      <w:bookmarkStart w:id="474" w:name="_Toc163120929"/>
      <w:r>
        <w:rPr>
          <w:rStyle w:val="CharSectno"/>
        </w:rPr>
        <w:t>1B</w:t>
      </w:r>
      <w:r>
        <w:t>.</w:t>
      </w:r>
      <w:r>
        <w:tab/>
        <w:t>Documents not wholly discoverable</w:t>
      </w:r>
      <w:bookmarkEnd w:id="474"/>
    </w:p>
    <w:p>
      <w:pPr>
        <w:pStyle w:val="Subsection"/>
      </w:pPr>
      <w:r>
        <w:tab/>
        <w:t>(1)</w:t>
      </w:r>
      <w:r>
        <w:tab/>
        <w:t xml:space="preserve">If under this Order a party in a cause or matter is required to give discovery of a document — </w:t>
      </w:r>
    </w:p>
    <w:p>
      <w:pPr>
        <w:pStyle w:val="Indenta"/>
      </w:pPr>
      <w:r>
        <w:tab/>
        <w:t>(a)</w:t>
      </w:r>
      <w:r>
        <w:tab/>
        <w:t>the party must discover the document even if it contains —</w:t>
      </w:r>
    </w:p>
    <w:p>
      <w:pPr>
        <w:pStyle w:val="Indenti"/>
      </w:pPr>
      <w:r>
        <w:tab/>
        <w:t>(i)</w:t>
      </w:r>
      <w:r>
        <w:tab/>
        <w:t>information that is not related to a matter in question in the cause or matter; or</w:t>
      </w:r>
    </w:p>
    <w:p>
      <w:pPr>
        <w:pStyle w:val="Indenti"/>
      </w:pPr>
      <w:r>
        <w:tab/>
        <w:t>(ii)</w:t>
      </w:r>
      <w:r>
        <w:tab/>
        <w:t>information that the party objects to producing,</w:t>
      </w:r>
    </w:p>
    <w:p>
      <w:pPr>
        <w:pStyle w:val="Indenta"/>
      </w:pPr>
      <w:r>
        <w:tab/>
      </w:r>
      <w:r>
        <w:tab/>
        <w:t>as well as information relating to a matter in question in the cause or matter that the party may be required to produce; but</w:t>
      </w:r>
    </w:p>
    <w:p>
      <w:pPr>
        <w:pStyle w:val="Indenta"/>
      </w:pPr>
      <w:r>
        <w:lastRenderedPageBreak/>
        <w:tab/>
        <w:t>(b)</w:t>
      </w:r>
      <w:r>
        <w:tab/>
        <w:t>if the party has possession, custody or power of the document, the party may edit the document to hide the information referred to in paragraph (a)(i) and (ii).</w:t>
      </w:r>
    </w:p>
    <w:p>
      <w:pPr>
        <w:pStyle w:val="Subsection"/>
      </w:pPr>
      <w:r>
        <w:tab/>
        <w:t>(2)</w:t>
      </w:r>
      <w:r>
        <w:tab/>
        <w:t xml:space="preserve">If a party edits a document under </w:t>
      </w:r>
      <w:r>
        <w:rPr>
          <w:snapToGrid w:val="0"/>
        </w:rPr>
        <w:t>subrule</w:t>
      </w:r>
      <w:r>
        <w:t xml:space="preserve"> (1), the party must do the following —</w:t>
      </w:r>
    </w:p>
    <w:p>
      <w:pPr>
        <w:pStyle w:val="Indenta"/>
      </w:pPr>
      <w:r>
        <w:tab/>
        <w:t>(a)</w:t>
      </w:r>
      <w:r>
        <w:tab/>
        <w:t>in Part 1B of its list of documents (Form No. 17) —</w:t>
      </w:r>
    </w:p>
    <w:p>
      <w:pPr>
        <w:pStyle w:val="Indenti"/>
      </w:pPr>
      <w:r>
        <w:tab/>
        <w:t>(i)</w:t>
      </w:r>
      <w:r>
        <w:tab/>
        <w:t>list the document; and</w:t>
      </w:r>
    </w:p>
    <w:p>
      <w:pPr>
        <w:pStyle w:val="Indenti"/>
      </w:pPr>
      <w:r>
        <w:tab/>
        <w:t>(ii)</w:t>
      </w:r>
      <w:r>
        <w:tab/>
        <w:t>identify the document as one that contains hidden information; and</w:t>
      </w:r>
    </w:p>
    <w:p>
      <w:pPr>
        <w:pStyle w:val="Indenti"/>
      </w:pPr>
      <w:r>
        <w:tab/>
        <w:t>(iii)</w:t>
      </w:r>
      <w:r>
        <w:tab/>
        <w:t>state why the information is hidden; and</w:t>
      </w:r>
    </w:p>
    <w:p>
      <w:pPr>
        <w:pStyle w:val="Indenti"/>
      </w:pPr>
      <w:r>
        <w:tab/>
        <w:t>(iv)</w:t>
      </w:r>
      <w:r>
        <w:tab/>
        <w:t>if the party objects to producing any of the hidden information, state the grounds for objecting;</w:t>
      </w:r>
    </w:p>
    <w:p>
      <w:pPr>
        <w:pStyle w:val="Indenta"/>
      </w:pPr>
      <w:r>
        <w:tab/>
      </w:r>
      <w:r>
        <w:tab/>
        <w:t>and</w:t>
      </w:r>
    </w:p>
    <w:p>
      <w:pPr>
        <w:pStyle w:val="Indenta"/>
      </w:pPr>
      <w:r>
        <w:tab/>
        <w:t>(b)</w:t>
      </w:r>
      <w:r>
        <w:tab/>
        <w:t>modify Form No. 17 for the purposes of complying with paragraph (a); and</w:t>
      </w:r>
    </w:p>
    <w:p>
      <w:pPr>
        <w:pStyle w:val="Indenta"/>
      </w:pPr>
      <w:r>
        <w:tab/>
        <w:t>(c)</w:t>
      </w:r>
      <w:r>
        <w:tab/>
        <w:t>if an affidavit verifying the list of documents is required, modify Form No. 18 for the purposes of complying with paragraph (a).</w:t>
      </w:r>
    </w:p>
    <w:p>
      <w:pPr>
        <w:pStyle w:val="Subsection"/>
      </w:pPr>
      <w:r>
        <w:tab/>
        <w:t>(3)</w:t>
      </w:r>
      <w:r>
        <w:tab/>
        <w:t xml:space="preserve">If a party edits a document under </w:t>
      </w:r>
      <w:r>
        <w:rPr>
          <w:snapToGrid w:val="0"/>
        </w:rPr>
        <w:t>subrule</w:t>
      </w:r>
      <w:r>
        <w:t xml:space="preserve"> (1), the party is not required — </w:t>
      </w:r>
    </w:p>
    <w:p>
      <w:pPr>
        <w:pStyle w:val="Indenta"/>
      </w:pPr>
      <w:r>
        <w:tab/>
        <w:t>(a)</w:t>
      </w:r>
      <w:r>
        <w:tab/>
        <w:t>to produce the hidden information to another party; or</w:t>
      </w:r>
    </w:p>
    <w:p>
      <w:pPr>
        <w:pStyle w:val="Indenta"/>
      </w:pPr>
      <w:r>
        <w:tab/>
        <w:t>(b)</w:t>
      </w:r>
      <w:r>
        <w:tab/>
        <w:t>to allow another party to inspect or copy the hidden information,</w:t>
      </w:r>
    </w:p>
    <w:p>
      <w:pPr>
        <w:pStyle w:val="Subsection"/>
      </w:pPr>
      <w:r>
        <w:tab/>
      </w:r>
      <w:r>
        <w:tab/>
        <w:t>unless the Court orders otherwise.</w:t>
      </w:r>
    </w:p>
    <w:p>
      <w:pPr>
        <w:pStyle w:val="Footnotesection"/>
      </w:pPr>
      <w:r>
        <w:tab/>
        <w:t>[Rule 1B inserted: Gazette 28 Jul 2010 p. 3469-70.]</w:t>
      </w:r>
    </w:p>
    <w:p>
      <w:pPr>
        <w:pStyle w:val="Heading5"/>
        <w:rPr>
          <w:snapToGrid w:val="0"/>
        </w:rPr>
      </w:pPr>
      <w:bookmarkStart w:id="475" w:name="_Toc163120930"/>
      <w:r>
        <w:rPr>
          <w:rStyle w:val="CharSectno"/>
        </w:rPr>
        <w:t>1</w:t>
      </w:r>
      <w:r>
        <w:rPr>
          <w:snapToGrid w:val="0"/>
        </w:rPr>
        <w:t>.</w:t>
      </w:r>
      <w:r>
        <w:rPr>
          <w:snapToGrid w:val="0"/>
        </w:rPr>
        <w:tab/>
        <w:t>Discovery without order</w:t>
      </w:r>
      <w:bookmarkEnd w:id="475"/>
    </w:p>
    <w:p>
      <w:pPr>
        <w:pStyle w:val="Subsection"/>
        <w:rPr>
          <w:snapToGrid w:val="0"/>
        </w:rPr>
      </w:pPr>
      <w:r>
        <w:rPr>
          <w:snapToGrid w:val="0"/>
        </w:rPr>
        <w:tab/>
        <w:t>(1)</w:t>
      </w:r>
      <w:r>
        <w:rPr>
          <w:snapToGrid w:val="0"/>
        </w:rPr>
        <w:tab/>
        <w:t xml:space="preserve">Any party may give notice in writing to any other party in a cause or matter requiring him to give discovery of all documents </w:t>
      </w:r>
      <w:r>
        <w:rPr>
          <w:snapToGrid w:val="0"/>
        </w:rPr>
        <w:lastRenderedPageBreak/>
        <w:t>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subrule (1) shall not be given without the leave of the Court.</w:t>
      </w:r>
    </w:p>
    <w:p>
      <w:pPr>
        <w:pStyle w:val="Subsection"/>
      </w:pPr>
      <w:r>
        <w:tab/>
        <w:t>(3)</w:t>
      </w:r>
      <w:r>
        <w:tab/>
        <w:t>The statements in the Form No. 17 (list of documents) filed by a party giving discovery of documents must —</w:t>
      </w:r>
    </w:p>
    <w:p>
      <w:pPr>
        <w:pStyle w:val="Indenta"/>
      </w:pPr>
      <w:r>
        <w:tab/>
        <w:t>(a)</w:t>
      </w:r>
      <w:r>
        <w:tab/>
        <w:t>be verified by an affidavit of a person listed in rule 4(4); or</w:t>
      </w:r>
    </w:p>
    <w:p>
      <w:pPr>
        <w:pStyle w:val="Indenta"/>
      </w:pPr>
      <w:r>
        <w:tab/>
        <w:t>(b)</w:t>
      </w:r>
      <w:r>
        <w:tab/>
        <w:t>if the party requiring discovery, in its notice given under subrule (1), so consents, be certified as correct by a person listed in rule 4(4) or the party’s legal practitioner.</w:t>
      </w:r>
    </w:p>
    <w:p>
      <w:pPr>
        <w:pStyle w:val="Footnotesection"/>
      </w:pPr>
      <w:r>
        <w:tab/>
        <w:t xml:space="preserve">[Rule 1 amended: Gazette 28 Oct 1996 p. 5675; 28 Jul 2010 p. 3470; 28 Jun 2011 p. 2552; SL 2022/74 r. 15.] </w:t>
      </w:r>
    </w:p>
    <w:p>
      <w:pPr>
        <w:pStyle w:val="Heading5"/>
        <w:rPr>
          <w:snapToGrid w:val="0"/>
        </w:rPr>
      </w:pPr>
      <w:bookmarkStart w:id="476" w:name="_Toc163120931"/>
      <w:r>
        <w:rPr>
          <w:rStyle w:val="CharSectno"/>
        </w:rPr>
        <w:t>2</w:t>
      </w:r>
      <w:r>
        <w:rPr>
          <w:snapToGrid w:val="0"/>
        </w:rPr>
        <w:t>.</w:t>
      </w:r>
      <w:r>
        <w:rPr>
          <w:snapToGrid w:val="0"/>
        </w:rPr>
        <w:tab/>
        <w:t>Continuing obligation to give discovery</w:t>
      </w:r>
      <w:bookmarkEnd w:id="476"/>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 xml:space="preserve">Discovery under </w:t>
      </w:r>
      <w:r>
        <w:t>subrule</w:t>
      </w:r>
      <w:r>
        <w:rPr>
          <w:snapToGrid w:val="0"/>
        </w:rPr>
        <w:t xml:space="preserve"> (1) or (2) shall be given in accordance with </w:t>
      </w:r>
      <w:r>
        <w:t>subrules</w:t>
      </w:r>
      <w:r>
        <w:rPr>
          <w:snapToGrid w:val="0"/>
        </w:rPr>
        <w:t>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lastRenderedPageBreak/>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 xml:space="preserve">At least 21 days before the trial a party shall give discovery of any document that has not already been discovered by that party, including documents referred to in </w:t>
      </w:r>
      <w:r>
        <w:t>subrule</w:t>
      </w:r>
      <w:r>
        <w:rPr>
          <w:snapToGrid w:val="0"/>
        </w:rPr>
        <w:t>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Gazette 28 Oct 1996 p. 5675</w:t>
      </w:r>
      <w:r>
        <w:noBreakHyphen/>
        <w:t>6; amended: Gazette 28 Jun 2011 p. 2552</w:t>
      </w:r>
      <w:r>
        <w:noBreakHyphen/>
        <w:t xml:space="preserve">3.] </w:t>
      </w:r>
    </w:p>
    <w:p>
      <w:pPr>
        <w:pStyle w:val="Ednotesection"/>
      </w:pPr>
      <w:r>
        <w:t>[</w:t>
      </w:r>
      <w:r>
        <w:rPr>
          <w:b/>
        </w:rPr>
        <w:t>2A.</w:t>
      </w:r>
      <w:r>
        <w:rPr>
          <w:b/>
        </w:rPr>
        <w:tab/>
      </w:r>
      <w:r>
        <w:t xml:space="preserve">Deleted: Gazette 28 Oct 1996 p. 5675.] </w:t>
      </w:r>
    </w:p>
    <w:p>
      <w:pPr>
        <w:pStyle w:val="Heading5"/>
        <w:rPr>
          <w:snapToGrid w:val="0"/>
        </w:rPr>
      </w:pPr>
      <w:bookmarkStart w:id="477" w:name="_Toc163120932"/>
      <w:r>
        <w:rPr>
          <w:rStyle w:val="CharSectno"/>
        </w:rPr>
        <w:t>3</w:t>
      </w:r>
      <w:r>
        <w:rPr>
          <w:snapToGrid w:val="0"/>
        </w:rPr>
        <w:t>.</w:t>
      </w:r>
      <w:r>
        <w:rPr>
          <w:snapToGrid w:val="0"/>
        </w:rPr>
        <w:tab/>
        <w:t>Determination of issue relevant to right to discovery</w:t>
      </w:r>
      <w:bookmarkEnd w:id="477"/>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Gazette 28 Oct 1996 p. 5676.] </w:t>
      </w:r>
    </w:p>
    <w:p>
      <w:pPr>
        <w:pStyle w:val="Heading5"/>
        <w:rPr>
          <w:snapToGrid w:val="0"/>
        </w:rPr>
      </w:pPr>
      <w:bookmarkStart w:id="478" w:name="_Toc163120933"/>
      <w:r>
        <w:rPr>
          <w:rStyle w:val="CharSectno"/>
        </w:rPr>
        <w:t>4</w:t>
      </w:r>
      <w:r>
        <w:rPr>
          <w:snapToGrid w:val="0"/>
        </w:rPr>
        <w:t>.</w:t>
      </w:r>
      <w:r>
        <w:rPr>
          <w:snapToGrid w:val="0"/>
        </w:rPr>
        <w:tab/>
        <w:t>List of documents and verifying affidavit, form, content and making of</w:t>
      </w:r>
      <w:bookmarkEnd w:id="478"/>
    </w:p>
    <w:p>
      <w:pPr>
        <w:pStyle w:val="Subsection"/>
        <w:rPr>
          <w:snapToGrid w:val="0"/>
        </w:rPr>
      </w:pPr>
      <w:r>
        <w:rPr>
          <w:snapToGrid w:val="0"/>
        </w:rPr>
        <w:tab/>
        <w:t>(1)</w:t>
      </w:r>
      <w:r>
        <w:rPr>
          <w:snapToGrid w:val="0"/>
        </w:rPr>
        <w:tab/>
        <w:t xml:space="preserve">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w:t>
      </w:r>
      <w:r>
        <w:rPr>
          <w:snapToGrid w:val="0"/>
        </w:rPr>
        <w:lastRenderedPageBreak/>
        <w:t>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Gazette 30 Nov 1984 p. 3953; 28 Oct 1996 p. 5676; 19 Apr 2005 p. 1298.] </w:t>
      </w:r>
    </w:p>
    <w:p>
      <w:pPr>
        <w:pStyle w:val="Heading5"/>
        <w:rPr>
          <w:snapToGrid w:val="0"/>
        </w:rPr>
      </w:pPr>
      <w:bookmarkStart w:id="479" w:name="_Toc163120934"/>
      <w:r>
        <w:rPr>
          <w:rStyle w:val="CharSectno"/>
        </w:rPr>
        <w:t>5</w:t>
      </w:r>
      <w:r>
        <w:rPr>
          <w:snapToGrid w:val="0"/>
        </w:rPr>
        <w:t>.</w:t>
      </w:r>
      <w:r>
        <w:rPr>
          <w:snapToGrid w:val="0"/>
        </w:rPr>
        <w:tab/>
        <w:t>Defendant entitled to copy of co</w:t>
      </w:r>
      <w:r>
        <w:rPr>
          <w:snapToGrid w:val="0"/>
        </w:rPr>
        <w:noBreakHyphen/>
        <w:t>defendant’s list etc.</w:t>
      </w:r>
      <w:bookmarkEnd w:id="479"/>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lastRenderedPageBreak/>
        <w:tab/>
        <w:t>(2)</w:t>
      </w:r>
      <w:r>
        <w:rPr>
          <w:snapToGrid w:val="0"/>
        </w:rPr>
        <w:tab/>
        <w:t xml:space="preserve">On request made by a party entitled to a copy of a list of documents, the party required by </w:t>
      </w:r>
      <w:r>
        <w:t>subrule</w:t>
      </w:r>
      <w:r>
        <w:rPr>
          <w:snapToGrid w:val="0"/>
        </w:rPr>
        <w:t>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Gazette 28 Oct 1996 p. 5676; 28 Jun 2011 p. 2552.] </w:t>
      </w:r>
    </w:p>
    <w:p>
      <w:pPr>
        <w:pStyle w:val="Heading5"/>
        <w:rPr>
          <w:snapToGrid w:val="0"/>
        </w:rPr>
      </w:pPr>
      <w:bookmarkStart w:id="480" w:name="_Toc163120935"/>
      <w:r>
        <w:rPr>
          <w:rStyle w:val="CharSectno"/>
        </w:rPr>
        <w:t>6</w:t>
      </w:r>
      <w:r>
        <w:rPr>
          <w:snapToGrid w:val="0"/>
        </w:rPr>
        <w:t>.</w:t>
      </w:r>
      <w:r>
        <w:rPr>
          <w:snapToGrid w:val="0"/>
        </w:rPr>
        <w:tab/>
        <w:t>Order for information as to particular documents</w:t>
      </w:r>
      <w:bookmarkEnd w:id="480"/>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Gazette 28 Oct 1996 p. 5676.] </w:t>
      </w:r>
    </w:p>
    <w:p>
      <w:pPr>
        <w:pStyle w:val="Heading5"/>
        <w:rPr>
          <w:snapToGrid w:val="0"/>
        </w:rPr>
      </w:pPr>
      <w:bookmarkStart w:id="481" w:name="_Toc163120936"/>
      <w:r>
        <w:rPr>
          <w:rStyle w:val="CharSectno"/>
        </w:rPr>
        <w:lastRenderedPageBreak/>
        <w:t>7</w:t>
      </w:r>
      <w:r>
        <w:rPr>
          <w:snapToGrid w:val="0"/>
        </w:rPr>
        <w:t>.</w:t>
      </w:r>
      <w:r>
        <w:rPr>
          <w:snapToGrid w:val="0"/>
        </w:rPr>
        <w:tab/>
        <w:t>Orders as to discovery</w:t>
      </w:r>
      <w:bookmarkEnd w:id="481"/>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lastRenderedPageBreak/>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Gazette 28 Oct 1996 p. 5677</w:t>
      </w:r>
      <w:r>
        <w:noBreakHyphen/>
        <w:t xml:space="preserve">8.] </w:t>
      </w:r>
    </w:p>
    <w:p>
      <w:pPr>
        <w:pStyle w:val="Heading5"/>
        <w:rPr>
          <w:snapToGrid w:val="0"/>
        </w:rPr>
      </w:pPr>
      <w:bookmarkStart w:id="482" w:name="_Toc163120937"/>
      <w:r>
        <w:rPr>
          <w:rStyle w:val="CharSectno"/>
        </w:rPr>
        <w:t>8</w:t>
      </w:r>
      <w:r>
        <w:rPr>
          <w:snapToGrid w:val="0"/>
        </w:rPr>
        <w:t>.</w:t>
      </w:r>
      <w:r>
        <w:rPr>
          <w:snapToGrid w:val="0"/>
        </w:rPr>
        <w:tab/>
        <w:t>Inspection of documents in list</w:t>
      </w:r>
      <w:bookmarkEnd w:id="482"/>
    </w:p>
    <w:p>
      <w:pPr>
        <w:pStyle w:val="Subsection"/>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spacing w:before="150"/>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spacing w:before="150"/>
        <w:rPr>
          <w:snapToGrid w:val="0"/>
        </w:rPr>
      </w:pPr>
      <w:r>
        <w:rPr>
          <w:snapToGrid w:val="0"/>
        </w:rPr>
        <w:tab/>
        <w:t>(3)</w:t>
      </w:r>
      <w:r>
        <w:rPr>
          <w:snapToGrid w:val="0"/>
        </w:rPr>
        <w:tab/>
        <w:t xml:space="preserve">The party on whom a notice is served under </w:t>
      </w:r>
      <w:r>
        <w:t>subrule</w:t>
      </w:r>
      <w:r>
        <w:rPr>
          <w:snapToGrid w:val="0"/>
        </w:rPr>
        <w:t>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spacing w:before="150"/>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spacing w:before="150"/>
        <w:rPr>
          <w:snapToGrid w:val="0"/>
        </w:rPr>
      </w:pPr>
      <w:r>
        <w:rPr>
          <w:snapToGrid w:val="0"/>
        </w:rPr>
        <w:lastRenderedPageBreak/>
        <w:tab/>
        <w:t>(5)</w:t>
      </w:r>
      <w:r>
        <w:rPr>
          <w:snapToGrid w:val="0"/>
        </w:rPr>
        <w:tab/>
        <w:t>The party making the inspection shall be entitled to make copies of any documents produced for inspection under this rule.</w:t>
      </w:r>
    </w:p>
    <w:p>
      <w:pPr>
        <w:pStyle w:val="Footnotesection"/>
      </w:pPr>
      <w:r>
        <w:tab/>
        <w:t xml:space="preserve">[Rule 8 amended: Gazette 7 Dec 1973 p. 4489; 28 Oct 1996 p. 5678; 21 Feb 2007 p. 536; 28 Jun 2011 p. 2552.] </w:t>
      </w:r>
    </w:p>
    <w:p>
      <w:pPr>
        <w:pStyle w:val="Heading5"/>
        <w:rPr>
          <w:snapToGrid w:val="0"/>
        </w:rPr>
      </w:pPr>
      <w:bookmarkStart w:id="483" w:name="_Toc163120938"/>
      <w:r>
        <w:rPr>
          <w:rStyle w:val="CharSectno"/>
        </w:rPr>
        <w:t>8A</w:t>
      </w:r>
      <w:r>
        <w:rPr>
          <w:snapToGrid w:val="0"/>
        </w:rPr>
        <w:t>.</w:t>
      </w:r>
      <w:r>
        <w:rPr>
          <w:snapToGrid w:val="0"/>
        </w:rPr>
        <w:tab/>
        <w:t>Procedure on discovery</w:t>
      </w:r>
      <w:bookmarkEnd w:id="483"/>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 xml:space="preserve">is not to be disturbed more than is necessary to achieve substantial compliance with </w:t>
      </w:r>
      <w:r>
        <w:t>subrule</w:t>
      </w:r>
      <w:r>
        <w:rPr>
          <w:snapToGrid w:val="0"/>
        </w:rPr>
        <w:t> (1)(a); and</w:t>
      </w:r>
    </w:p>
    <w:p>
      <w:pPr>
        <w:pStyle w:val="Indenta"/>
        <w:rPr>
          <w:snapToGrid w:val="0"/>
        </w:rPr>
      </w:pPr>
      <w:r>
        <w:rPr>
          <w:snapToGrid w:val="0"/>
        </w:rPr>
        <w:tab/>
        <w:t>(b)</w:t>
      </w:r>
      <w:r>
        <w:rPr>
          <w:snapToGrid w:val="0"/>
        </w:rPr>
        <w:tab/>
        <w:t>if the party so requires, is not to be disturbed at all.</w:t>
      </w:r>
    </w:p>
    <w:p>
      <w:pPr>
        <w:pStyle w:val="Footnotesection"/>
      </w:pPr>
      <w:r>
        <w:lastRenderedPageBreak/>
        <w:tab/>
        <w:t>[Rule 8A inserted: Gazette 26 Aug 1994 p. 4411</w:t>
      </w:r>
      <w:r>
        <w:noBreakHyphen/>
        <w:t xml:space="preserve">12; amended: Gazette 28 Jun 2011 p. 2552.] </w:t>
      </w:r>
    </w:p>
    <w:p>
      <w:pPr>
        <w:pStyle w:val="Heading5"/>
        <w:rPr>
          <w:snapToGrid w:val="0"/>
        </w:rPr>
      </w:pPr>
      <w:bookmarkStart w:id="484" w:name="_Toc163120939"/>
      <w:r>
        <w:rPr>
          <w:rStyle w:val="CharSectno"/>
        </w:rPr>
        <w:t>9</w:t>
      </w:r>
      <w:r>
        <w:rPr>
          <w:snapToGrid w:val="0"/>
        </w:rPr>
        <w:t>.</w:t>
      </w:r>
      <w:r>
        <w:rPr>
          <w:snapToGrid w:val="0"/>
        </w:rPr>
        <w:tab/>
        <w:t>Order for inspection of documents</w:t>
      </w:r>
      <w:bookmarkEnd w:id="484"/>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 xml:space="preserve">Without prejudice to </w:t>
      </w:r>
      <w:r>
        <w:t>subrule</w:t>
      </w:r>
      <w:r>
        <w:rPr>
          <w:snapToGrid w:val="0"/>
        </w:rPr>
        <w:t>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 xml:space="preserve">An application under </w:t>
      </w:r>
      <w:r>
        <w:t>subrule</w:t>
      </w:r>
      <w:r>
        <w:rPr>
          <w:snapToGrid w:val="0"/>
        </w:rPr>
        <w:t>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Footnotesection"/>
      </w:pPr>
      <w:r>
        <w:tab/>
        <w:t>[Rule 9 amended: Gazette 28 Jun 2011 p. 2552.]</w:t>
      </w:r>
    </w:p>
    <w:p>
      <w:pPr>
        <w:pStyle w:val="Heading5"/>
        <w:rPr>
          <w:snapToGrid w:val="0"/>
        </w:rPr>
      </w:pPr>
      <w:bookmarkStart w:id="485" w:name="_Toc163120940"/>
      <w:r>
        <w:rPr>
          <w:rStyle w:val="CharSectno"/>
        </w:rPr>
        <w:t>10</w:t>
      </w:r>
      <w:r>
        <w:rPr>
          <w:snapToGrid w:val="0"/>
        </w:rPr>
        <w:t>.</w:t>
      </w:r>
      <w:r>
        <w:rPr>
          <w:snapToGrid w:val="0"/>
        </w:rPr>
        <w:tab/>
        <w:t>Order for production to Court</w:t>
      </w:r>
      <w:bookmarkEnd w:id="485"/>
    </w:p>
    <w:p>
      <w:pPr>
        <w:pStyle w:val="Subsection"/>
        <w:rPr>
          <w:snapToGrid w:val="0"/>
        </w:rPr>
      </w:pPr>
      <w:r>
        <w:rPr>
          <w:snapToGrid w:val="0"/>
        </w:rPr>
        <w:tab/>
      </w:r>
      <w:r>
        <w:rPr>
          <w:snapToGrid w:val="0"/>
        </w:rPr>
        <w:tab/>
        <w:t xml:space="preserve">At any stage of the proceedings in any cause or matter the Court may subject to rule 11 order any party to produce to the Court any document in his possession, custody or power, relating to </w:t>
      </w:r>
      <w:r>
        <w:rPr>
          <w:snapToGrid w:val="0"/>
        </w:rPr>
        <w:lastRenderedPageBreak/>
        <w:t>any matter in question in the cause or matter and the Court may deal with the document when produced in such manner as it thinks fit.</w:t>
      </w:r>
    </w:p>
    <w:p>
      <w:pPr>
        <w:pStyle w:val="Heading5"/>
        <w:rPr>
          <w:snapToGrid w:val="0"/>
        </w:rPr>
      </w:pPr>
      <w:bookmarkStart w:id="486" w:name="_Toc163120941"/>
      <w:r>
        <w:rPr>
          <w:rStyle w:val="CharSectno"/>
        </w:rPr>
        <w:t>11</w:t>
      </w:r>
      <w:r>
        <w:rPr>
          <w:snapToGrid w:val="0"/>
        </w:rPr>
        <w:t>.</w:t>
      </w:r>
      <w:r>
        <w:rPr>
          <w:snapToGrid w:val="0"/>
        </w:rPr>
        <w:tab/>
        <w:t>Order for production etc. only if necessary</w:t>
      </w:r>
      <w:bookmarkEnd w:id="486"/>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487" w:name="_Toc163120942"/>
      <w:r>
        <w:rPr>
          <w:rStyle w:val="CharSectno"/>
        </w:rPr>
        <w:t>11A</w:t>
      </w:r>
      <w:r>
        <w:rPr>
          <w:snapToGrid w:val="0"/>
        </w:rPr>
        <w:t>.</w:t>
      </w:r>
      <w:r>
        <w:rPr>
          <w:snapToGrid w:val="0"/>
        </w:rPr>
        <w:tab/>
        <w:t>Costs of preparing document to facilitate inspection</w:t>
      </w:r>
      <w:bookmarkEnd w:id="487"/>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Gazette 5 Jun 1992 p. 2281.] </w:t>
      </w:r>
    </w:p>
    <w:p>
      <w:pPr>
        <w:pStyle w:val="Heading5"/>
        <w:rPr>
          <w:snapToGrid w:val="0"/>
        </w:rPr>
      </w:pPr>
      <w:bookmarkStart w:id="488" w:name="_Toc163120943"/>
      <w:r>
        <w:rPr>
          <w:rStyle w:val="CharSectno"/>
        </w:rPr>
        <w:t>12</w:t>
      </w:r>
      <w:r>
        <w:rPr>
          <w:snapToGrid w:val="0"/>
        </w:rPr>
        <w:t>.</w:t>
      </w:r>
      <w:r>
        <w:rPr>
          <w:snapToGrid w:val="0"/>
        </w:rPr>
        <w:tab/>
        <w:t>Claim of privilege</w:t>
      </w:r>
      <w:bookmarkEnd w:id="488"/>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489" w:name="_Toc163120944"/>
      <w:r>
        <w:rPr>
          <w:rStyle w:val="CharSectno"/>
        </w:rPr>
        <w:lastRenderedPageBreak/>
        <w:t>13</w:t>
      </w:r>
      <w:r>
        <w:rPr>
          <w:snapToGrid w:val="0"/>
        </w:rPr>
        <w:t>.</w:t>
      </w:r>
      <w:r>
        <w:rPr>
          <w:snapToGrid w:val="0"/>
        </w:rPr>
        <w:tab/>
        <w:t>Inspection of copies of business books</w:t>
      </w:r>
      <w:bookmarkEnd w:id="489"/>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Gazette 14 Dec 1979 p. 3870.] </w:t>
      </w:r>
    </w:p>
    <w:p>
      <w:pPr>
        <w:pStyle w:val="Heading5"/>
        <w:rPr>
          <w:snapToGrid w:val="0"/>
        </w:rPr>
      </w:pPr>
      <w:bookmarkStart w:id="490" w:name="_Toc163120945"/>
      <w:r>
        <w:rPr>
          <w:rStyle w:val="CharSectno"/>
        </w:rPr>
        <w:t>14</w:t>
      </w:r>
      <w:r>
        <w:rPr>
          <w:snapToGrid w:val="0"/>
        </w:rPr>
        <w:t>.</w:t>
      </w:r>
      <w:r>
        <w:rPr>
          <w:snapToGrid w:val="0"/>
        </w:rPr>
        <w:tab/>
        <w:t>Public interest immunity not affected</w:t>
      </w:r>
      <w:bookmarkEnd w:id="490"/>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491" w:name="_Toc163120946"/>
      <w:r>
        <w:rPr>
          <w:rStyle w:val="CharSectno"/>
        </w:rPr>
        <w:t>15</w:t>
      </w:r>
      <w:r>
        <w:rPr>
          <w:snapToGrid w:val="0"/>
        </w:rPr>
        <w:t>.</w:t>
      </w:r>
      <w:r>
        <w:rPr>
          <w:snapToGrid w:val="0"/>
        </w:rPr>
        <w:tab/>
        <w:t>Non</w:t>
      </w:r>
      <w:r>
        <w:rPr>
          <w:snapToGrid w:val="0"/>
        </w:rPr>
        <w:noBreakHyphen/>
        <w:t>compliance with requirements for discovery etc.</w:t>
      </w:r>
      <w:bookmarkEnd w:id="491"/>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w:t>
      </w:r>
      <w:r>
        <w:t xml:space="preserve"> subrule</w:t>
      </w:r>
      <w:r>
        <w:rPr>
          <w:snapToGrid w:val="0"/>
        </w:rPr>
        <w:t>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w:t>
      </w:r>
      <w:r>
        <w:rPr>
          <w:snapToGrid w:val="0"/>
        </w:rPr>
        <w:lastRenderedPageBreak/>
        <w:t xml:space="preserve">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 xml:space="preserve">A solicitor on whom an order against his client for discovery or production of documents is served under </w:t>
      </w:r>
      <w:r>
        <w:t>subrule</w:t>
      </w:r>
      <w:r>
        <w:rPr>
          <w:snapToGrid w:val="0"/>
        </w:rPr>
        <w:t> (3) who fails without reasonable excuse to give notice thereof to his client shall be liable to attachment.</w:t>
      </w:r>
    </w:p>
    <w:p>
      <w:pPr>
        <w:pStyle w:val="Footnotesection"/>
      </w:pPr>
      <w:r>
        <w:tab/>
        <w:t xml:space="preserve">[Rule 15 amended: Gazette 28 Oct 1996 p. 5678; 21 Feb 2007 p. 536; 28 Jun 2011 p. 2552.] </w:t>
      </w:r>
    </w:p>
    <w:p>
      <w:pPr>
        <w:pStyle w:val="Ednotesection"/>
      </w:pPr>
      <w:r>
        <w:t>[</w:t>
      </w:r>
      <w:r>
        <w:rPr>
          <w:b/>
          <w:bCs/>
        </w:rPr>
        <w:t>15A.</w:t>
      </w:r>
      <w:r>
        <w:tab/>
        <w:t>Deleted: Gazette 28 Jul 2010 p. 3471.]</w:t>
      </w:r>
    </w:p>
    <w:p>
      <w:pPr>
        <w:pStyle w:val="Heading5"/>
      </w:pPr>
      <w:bookmarkStart w:id="492" w:name="_Toc163120947"/>
      <w:r>
        <w:rPr>
          <w:rStyle w:val="CharSectno"/>
        </w:rPr>
        <w:t>16A</w:t>
      </w:r>
      <w:r>
        <w:t>.</w:t>
      </w:r>
      <w:r>
        <w:tab/>
        <w:t>Certificate by legal practitioner</w:t>
      </w:r>
      <w:bookmarkEnd w:id="492"/>
    </w:p>
    <w:p>
      <w:pPr>
        <w:pStyle w:val="Subsection"/>
      </w:pPr>
      <w:r>
        <w:tab/>
      </w:r>
      <w:r>
        <w:tab/>
        <w:t>The legal practitioner of a party giving discovery must —</w:t>
      </w:r>
    </w:p>
    <w:p>
      <w:pPr>
        <w:pStyle w:val="Indenta"/>
      </w:pPr>
      <w:r>
        <w:tab/>
        <w:t>(a)</w:t>
      </w:r>
      <w:r>
        <w:tab/>
        <w:t xml:space="preserve">sign a certificate addressed to the Court that — </w:t>
      </w:r>
    </w:p>
    <w:p>
      <w:pPr>
        <w:pStyle w:val="Indenti"/>
      </w:pPr>
      <w:r>
        <w:tab/>
        <w:t>(i)</w:t>
      </w:r>
      <w:r>
        <w:tab/>
        <w:t>states that the duty of discovery has been fully explained to the party; and</w:t>
      </w:r>
    </w:p>
    <w:p>
      <w:pPr>
        <w:pStyle w:val="Indenti"/>
      </w:pPr>
      <w:r>
        <w:tab/>
        <w:t>(ii)</w:t>
      </w:r>
      <w:r>
        <w:tab/>
        <w:t>if the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party’s list of documents is served.</w:t>
      </w:r>
    </w:p>
    <w:p>
      <w:pPr>
        <w:pStyle w:val="Footnotesection"/>
      </w:pPr>
      <w:r>
        <w:tab/>
        <w:t>[Rule 16A inserted: Gazette 28 Jul 2010 p. 3471; amended: SL 2022/74 r. 15.]</w:t>
      </w:r>
    </w:p>
    <w:p>
      <w:pPr>
        <w:pStyle w:val="Heading5"/>
        <w:rPr>
          <w:snapToGrid w:val="0"/>
        </w:rPr>
      </w:pPr>
      <w:bookmarkStart w:id="493" w:name="_Toc163120948"/>
      <w:r>
        <w:rPr>
          <w:rStyle w:val="CharSectno"/>
        </w:rPr>
        <w:t>16</w:t>
      </w:r>
      <w:r>
        <w:rPr>
          <w:snapToGrid w:val="0"/>
        </w:rPr>
        <w:t>.</w:t>
      </w:r>
      <w:r>
        <w:rPr>
          <w:snapToGrid w:val="0"/>
        </w:rPr>
        <w:tab/>
        <w:t>Revocation and variation of orders</w:t>
      </w:r>
      <w:bookmarkEnd w:id="493"/>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494" w:name="_Toc162940487"/>
      <w:bookmarkStart w:id="495" w:name="_Toc162953276"/>
      <w:bookmarkStart w:id="496" w:name="_Toc163120949"/>
      <w:r>
        <w:rPr>
          <w:rStyle w:val="CharPartNo"/>
        </w:rPr>
        <w:lastRenderedPageBreak/>
        <w:t>Order 26A</w:t>
      </w:r>
      <w:r>
        <w:t> — </w:t>
      </w:r>
      <w:r>
        <w:rPr>
          <w:rStyle w:val="CharPartText"/>
        </w:rPr>
        <w:t>Discovery etc. from non</w:t>
      </w:r>
      <w:r>
        <w:rPr>
          <w:rStyle w:val="CharPartText"/>
        </w:rPr>
        <w:noBreakHyphen/>
        <w:t>parties and potential parties</w:t>
      </w:r>
      <w:bookmarkEnd w:id="494"/>
      <w:bookmarkEnd w:id="495"/>
      <w:bookmarkEnd w:id="496"/>
      <w:r>
        <w:rPr>
          <w:b w:val="0"/>
        </w:rPr>
        <w:t xml:space="preserve"> </w:t>
      </w:r>
    </w:p>
    <w:p>
      <w:pPr>
        <w:pStyle w:val="Footnoteheading"/>
        <w:ind w:left="890"/>
        <w:rPr>
          <w:snapToGrid w:val="0"/>
        </w:rPr>
      </w:pPr>
      <w:r>
        <w:rPr>
          <w:snapToGrid w:val="0"/>
        </w:rPr>
        <w:tab/>
        <w:t xml:space="preserve">[Heading inserted: Gazette 28 Oct 1996 p. 5678.] </w:t>
      </w:r>
    </w:p>
    <w:p>
      <w:pPr>
        <w:pStyle w:val="Heading5"/>
        <w:rPr>
          <w:snapToGrid w:val="0"/>
        </w:rPr>
      </w:pPr>
      <w:bookmarkStart w:id="497" w:name="_Toc163120950"/>
      <w:r>
        <w:rPr>
          <w:rStyle w:val="CharSectno"/>
        </w:rPr>
        <w:t>1</w:t>
      </w:r>
      <w:r>
        <w:rPr>
          <w:snapToGrid w:val="0"/>
        </w:rPr>
        <w:t>.</w:t>
      </w:r>
      <w:r>
        <w:rPr>
          <w:snapToGrid w:val="0"/>
        </w:rPr>
        <w:tab/>
        <w:t>Terms used</w:t>
      </w:r>
      <w:bookmarkEnd w:id="497"/>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Gazette 28 Oct 1996 p. 5678.] </w:t>
      </w:r>
    </w:p>
    <w:p>
      <w:pPr>
        <w:pStyle w:val="Heading5"/>
        <w:rPr>
          <w:snapToGrid w:val="0"/>
        </w:rPr>
      </w:pPr>
      <w:bookmarkStart w:id="498" w:name="_Toc163120951"/>
      <w:r>
        <w:rPr>
          <w:rStyle w:val="CharSectno"/>
        </w:rPr>
        <w:t>2</w:t>
      </w:r>
      <w:r>
        <w:rPr>
          <w:snapToGrid w:val="0"/>
        </w:rPr>
        <w:t>.</w:t>
      </w:r>
      <w:r>
        <w:rPr>
          <w:snapToGrid w:val="0"/>
        </w:rPr>
        <w:tab/>
        <w:t>Public interest immunity not affected</w:t>
      </w:r>
      <w:bookmarkEnd w:id="498"/>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Gazette 28 Oct 1996 p. 5679.] </w:t>
      </w:r>
    </w:p>
    <w:p>
      <w:pPr>
        <w:pStyle w:val="Heading5"/>
        <w:rPr>
          <w:snapToGrid w:val="0"/>
        </w:rPr>
      </w:pPr>
      <w:bookmarkStart w:id="499" w:name="_Toc163120952"/>
      <w:r>
        <w:rPr>
          <w:rStyle w:val="CharSectno"/>
        </w:rPr>
        <w:t>3</w:t>
      </w:r>
      <w:r>
        <w:rPr>
          <w:snapToGrid w:val="0"/>
        </w:rPr>
        <w:t>.</w:t>
      </w:r>
      <w:r>
        <w:rPr>
          <w:snapToGrid w:val="0"/>
        </w:rPr>
        <w:tab/>
        <w:t>Discovery etc. to identify a potential party</w:t>
      </w:r>
      <w:bookmarkEnd w:id="499"/>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lastRenderedPageBreak/>
        <w:tab/>
        <w:t>(2)</w:t>
      </w:r>
      <w:r>
        <w:rPr>
          <w:snapToGrid w:val="0"/>
        </w:rPr>
        <w:tab/>
        <w:t>If there are reasonable grounds for believing that another person (</w:t>
      </w:r>
      <w:r>
        <w:t xml:space="preserve">the </w:t>
      </w:r>
      <w:r>
        <w:rPr>
          <w:rStyle w:val="CharDefText"/>
        </w:rPr>
        <w:t>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Gazette 28 Oct 1996 p. 5679</w:t>
      </w:r>
      <w:r>
        <w:noBreakHyphen/>
        <w:t xml:space="preserve">80.] </w:t>
      </w:r>
    </w:p>
    <w:p>
      <w:pPr>
        <w:pStyle w:val="Heading5"/>
        <w:rPr>
          <w:snapToGrid w:val="0"/>
        </w:rPr>
      </w:pPr>
      <w:bookmarkStart w:id="500" w:name="_Toc163120953"/>
      <w:r>
        <w:rPr>
          <w:rStyle w:val="CharSectno"/>
        </w:rPr>
        <w:t>4</w:t>
      </w:r>
      <w:r>
        <w:rPr>
          <w:snapToGrid w:val="0"/>
        </w:rPr>
        <w:t>.</w:t>
      </w:r>
      <w:r>
        <w:rPr>
          <w:snapToGrid w:val="0"/>
        </w:rPr>
        <w:tab/>
        <w:t>Discovery from potential party</w:t>
      </w:r>
      <w:bookmarkEnd w:id="500"/>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lastRenderedPageBreak/>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Gazette 28 Oct 1996 p. 5680.] </w:t>
      </w:r>
    </w:p>
    <w:p>
      <w:pPr>
        <w:pStyle w:val="Heading5"/>
        <w:rPr>
          <w:snapToGrid w:val="0"/>
        </w:rPr>
      </w:pPr>
      <w:bookmarkStart w:id="501" w:name="_Toc163120954"/>
      <w:r>
        <w:rPr>
          <w:rStyle w:val="CharSectno"/>
        </w:rPr>
        <w:t>5</w:t>
      </w:r>
      <w:r>
        <w:rPr>
          <w:snapToGrid w:val="0"/>
        </w:rPr>
        <w:t>.</w:t>
      </w:r>
      <w:r>
        <w:rPr>
          <w:snapToGrid w:val="0"/>
        </w:rPr>
        <w:tab/>
        <w:t>Discovery from non</w:t>
      </w:r>
      <w:r>
        <w:rPr>
          <w:snapToGrid w:val="0"/>
        </w:rPr>
        <w:noBreakHyphen/>
        <w:t>party</w:t>
      </w:r>
      <w:bookmarkEnd w:id="501"/>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t xml:space="preserve">the </w:t>
      </w:r>
      <w:r>
        <w:rPr>
          <w:rStyle w:val="CharDefText"/>
        </w:rPr>
        <w:t>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Gazette 28 Oct 1996 p. 5680</w:t>
      </w:r>
      <w:r>
        <w:noBreakHyphen/>
        <w:t xml:space="preserve">1.] </w:t>
      </w:r>
    </w:p>
    <w:p>
      <w:pPr>
        <w:pStyle w:val="Heading5"/>
        <w:rPr>
          <w:snapToGrid w:val="0"/>
        </w:rPr>
      </w:pPr>
      <w:bookmarkStart w:id="502" w:name="_Toc163120955"/>
      <w:r>
        <w:rPr>
          <w:rStyle w:val="CharSectno"/>
        </w:rPr>
        <w:lastRenderedPageBreak/>
        <w:t>6</w:t>
      </w:r>
      <w:r>
        <w:rPr>
          <w:snapToGrid w:val="0"/>
        </w:rPr>
        <w:t>.</w:t>
      </w:r>
      <w:r>
        <w:rPr>
          <w:snapToGrid w:val="0"/>
        </w:rPr>
        <w:tab/>
        <w:t>Order 26 applies to discovery ordered under this Order</w:t>
      </w:r>
      <w:bookmarkEnd w:id="502"/>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Gazette 28 Oct 1996 p. 5681.] </w:t>
      </w:r>
    </w:p>
    <w:p>
      <w:pPr>
        <w:pStyle w:val="Heading5"/>
        <w:rPr>
          <w:snapToGrid w:val="0"/>
        </w:rPr>
      </w:pPr>
      <w:bookmarkStart w:id="503" w:name="_Toc163120956"/>
      <w:r>
        <w:rPr>
          <w:rStyle w:val="CharSectno"/>
        </w:rPr>
        <w:t>7</w:t>
      </w:r>
      <w:r>
        <w:rPr>
          <w:snapToGrid w:val="0"/>
        </w:rPr>
        <w:t>.</w:t>
      </w:r>
      <w:r>
        <w:rPr>
          <w:snapToGrid w:val="0"/>
        </w:rPr>
        <w:tab/>
        <w:t>Costs</w:t>
      </w:r>
      <w:bookmarkEnd w:id="503"/>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Gazette 28 Oct 1996 p. 5681.] </w:t>
      </w:r>
    </w:p>
    <w:p>
      <w:pPr>
        <w:pStyle w:val="Heading5"/>
      </w:pPr>
      <w:bookmarkStart w:id="504" w:name="_Toc163120957"/>
      <w:r>
        <w:rPr>
          <w:rStyle w:val="CharSectno"/>
        </w:rPr>
        <w:t>8</w:t>
      </w:r>
      <w:r>
        <w:t>.</w:t>
      </w:r>
      <w:r>
        <w:tab/>
        <w:t>Certificate by legal practitioner for non</w:t>
      </w:r>
      <w:r>
        <w:noBreakHyphen/>
        <w:t>party or potential party</w:t>
      </w:r>
      <w:bookmarkEnd w:id="504"/>
    </w:p>
    <w:p>
      <w:pPr>
        <w:pStyle w:val="Subsection"/>
      </w:pPr>
      <w:r>
        <w:tab/>
        <w:t>(1)</w:t>
      </w:r>
      <w:r>
        <w:tab/>
        <w:t>This rule applies to these legal practitioners —</w:t>
      </w:r>
    </w:p>
    <w:p>
      <w:pPr>
        <w:pStyle w:val="Indenta"/>
      </w:pPr>
      <w:r>
        <w:tab/>
        <w:t>(a)</w:t>
      </w:r>
      <w:r>
        <w:tab/>
        <w:t>the legal practitioner (if any) who drafts the list of documents, or the affidavit verifying the list, for a non</w:t>
      </w:r>
      <w:r>
        <w:noBreakHyphen/>
        <w:t>party who has been ordered under rule 3 or 5 to give discovery;</w:t>
      </w:r>
    </w:p>
    <w:p>
      <w:pPr>
        <w:pStyle w:val="Indenta"/>
      </w:pPr>
      <w:r>
        <w:tab/>
        <w:t>(b)</w:t>
      </w:r>
      <w:r>
        <w:tab/>
        <w:t>the legal practitioner (if any) who drafts the list of documents, or the affidavit verifying the list, for a potential party who has been ordered under rule 4 to give discovery.</w:t>
      </w:r>
    </w:p>
    <w:p>
      <w:pPr>
        <w:pStyle w:val="Subsection"/>
      </w:pPr>
      <w:r>
        <w:tab/>
        <w:t>(2)</w:t>
      </w:r>
      <w:r>
        <w:tab/>
        <w:t>This rule does not limit the operation of rule 6(2).</w:t>
      </w:r>
    </w:p>
    <w:p>
      <w:pPr>
        <w:pStyle w:val="Subsection"/>
        <w:keepNext/>
      </w:pPr>
      <w:r>
        <w:lastRenderedPageBreak/>
        <w:tab/>
        <w:t>(3)</w:t>
      </w:r>
      <w:r>
        <w:tab/>
        <w:t>A legal practitioner to whom this rule applies must —</w:t>
      </w:r>
    </w:p>
    <w:p>
      <w:pPr>
        <w:pStyle w:val="Indenta"/>
        <w:keepNext/>
      </w:pPr>
      <w:r>
        <w:tab/>
        <w:t>(a)</w:t>
      </w:r>
      <w:r>
        <w:tab/>
        <w:t xml:space="preserve">sign a certificate addressed to the Court that — </w:t>
      </w:r>
    </w:p>
    <w:p>
      <w:pPr>
        <w:pStyle w:val="Indenti"/>
      </w:pPr>
      <w:r>
        <w:tab/>
        <w:t>(i)</w:t>
      </w:r>
      <w:r>
        <w:tab/>
        <w:t>states that the duty of discovery has been fully explained to the non</w:t>
      </w:r>
      <w:r>
        <w:noBreakHyphen/>
        <w:t>party or potential party (as the case requires); and</w:t>
      </w:r>
    </w:p>
    <w:p>
      <w:pPr>
        <w:pStyle w:val="Indenti"/>
      </w:pPr>
      <w:r>
        <w:tab/>
        <w:t>(ii)</w:t>
      </w:r>
      <w:r>
        <w:tab/>
        <w:t>if that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list of documents is served.</w:t>
      </w:r>
    </w:p>
    <w:p>
      <w:pPr>
        <w:pStyle w:val="Footnotesection"/>
      </w:pPr>
      <w:r>
        <w:tab/>
        <w:t>[Rule 8 inserted: Gazette 28 Jul 2010 p. 3471-2; amended: SL 2022/74 r. 15.]</w:t>
      </w:r>
    </w:p>
    <w:p>
      <w:pPr>
        <w:pStyle w:val="Heading2"/>
        <w:rPr>
          <w:b w:val="0"/>
        </w:rPr>
      </w:pPr>
      <w:bookmarkStart w:id="505" w:name="_Toc162940496"/>
      <w:bookmarkStart w:id="506" w:name="_Toc162953285"/>
      <w:bookmarkStart w:id="507" w:name="_Toc163120958"/>
      <w:r>
        <w:rPr>
          <w:rStyle w:val="CharPartNo"/>
        </w:rPr>
        <w:lastRenderedPageBreak/>
        <w:t>Order 27</w:t>
      </w:r>
      <w:r>
        <w:t> — </w:t>
      </w:r>
      <w:r>
        <w:rPr>
          <w:rStyle w:val="CharPartText"/>
        </w:rPr>
        <w:t>Interrogatories</w:t>
      </w:r>
      <w:bookmarkEnd w:id="505"/>
      <w:bookmarkEnd w:id="506"/>
      <w:bookmarkEnd w:id="507"/>
    </w:p>
    <w:p>
      <w:pPr>
        <w:pStyle w:val="Heading5"/>
        <w:rPr>
          <w:snapToGrid w:val="0"/>
        </w:rPr>
      </w:pPr>
      <w:bookmarkStart w:id="508" w:name="_Toc163120959"/>
      <w:r>
        <w:rPr>
          <w:rStyle w:val="CharSectno"/>
        </w:rPr>
        <w:t>1</w:t>
      </w:r>
      <w:r>
        <w:rPr>
          <w:snapToGrid w:val="0"/>
        </w:rPr>
        <w:t>.</w:t>
      </w:r>
      <w:r>
        <w:rPr>
          <w:snapToGrid w:val="0"/>
        </w:rPr>
        <w:tab/>
        <w:t>Notice of and answers to interrogatories</w:t>
      </w:r>
      <w:bookmarkEnd w:id="508"/>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Ednotesubsection"/>
      </w:pPr>
      <w:r>
        <w:tab/>
        <w:t>[(3)</w:t>
      </w:r>
      <w:r>
        <w:tab/>
        <w:t>deleted]</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Gazette 24 Jan 1995 p. 270; 28 Oct 1996 p. 5681; 28 Jul 2010 p. 3472.] </w:t>
      </w:r>
    </w:p>
    <w:p>
      <w:pPr>
        <w:pStyle w:val="Heading5"/>
        <w:rPr>
          <w:snapToGrid w:val="0"/>
        </w:rPr>
      </w:pPr>
      <w:bookmarkStart w:id="509" w:name="_Toc163120960"/>
      <w:r>
        <w:rPr>
          <w:rStyle w:val="CharSectno"/>
        </w:rPr>
        <w:t>2</w:t>
      </w:r>
      <w:r>
        <w:rPr>
          <w:snapToGrid w:val="0"/>
        </w:rPr>
        <w:t>.</w:t>
      </w:r>
      <w:r>
        <w:rPr>
          <w:snapToGrid w:val="0"/>
        </w:rPr>
        <w:tab/>
        <w:t>Answers, time for and manner of giving</w:t>
      </w:r>
      <w:bookmarkEnd w:id="509"/>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510" w:name="_Toc163120961"/>
      <w:r>
        <w:rPr>
          <w:rStyle w:val="CharSectno"/>
        </w:rPr>
        <w:t>3</w:t>
      </w:r>
      <w:r>
        <w:rPr>
          <w:snapToGrid w:val="0"/>
        </w:rPr>
        <w:t>.</w:t>
      </w:r>
      <w:r>
        <w:rPr>
          <w:snapToGrid w:val="0"/>
        </w:rPr>
        <w:tab/>
        <w:t>Interrogatories given to 2 or more parties etc., who has to answer</w:t>
      </w:r>
      <w:bookmarkEnd w:id="510"/>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511" w:name="_Toc163120962"/>
      <w:r>
        <w:rPr>
          <w:rStyle w:val="CharSectno"/>
        </w:rPr>
        <w:lastRenderedPageBreak/>
        <w:t>4</w:t>
      </w:r>
      <w:r>
        <w:rPr>
          <w:snapToGrid w:val="0"/>
        </w:rPr>
        <w:t>.</w:t>
      </w:r>
      <w:r>
        <w:rPr>
          <w:snapToGrid w:val="0"/>
        </w:rPr>
        <w:tab/>
        <w:t>Content of answers</w:t>
      </w:r>
      <w:bookmarkEnd w:id="511"/>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512" w:name="_Toc163120963"/>
      <w:r>
        <w:rPr>
          <w:rStyle w:val="CharSectno"/>
        </w:rPr>
        <w:t>5</w:t>
      </w:r>
      <w:r>
        <w:rPr>
          <w:snapToGrid w:val="0"/>
        </w:rPr>
        <w:t>.</w:t>
      </w:r>
      <w:r>
        <w:rPr>
          <w:snapToGrid w:val="0"/>
        </w:rPr>
        <w:tab/>
        <w:t>Grounds for objecting to answer</w:t>
      </w:r>
      <w:bookmarkEnd w:id="512"/>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 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Gazette 15 Jun 1973 p. 2248.] </w:t>
      </w:r>
    </w:p>
    <w:p>
      <w:pPr>
        <w:pStyle w:val="Heading5"/>
        <w:rPr>
          <w:snapToGrid w:val="0"/>
        </w:rPr>
      </w:pPr>
      <w:bookmarkStart w:id="513" w:name="_Toc163120964"/>
      <w:r>
        <w:rPr>
          <w:rStyle w:val="CharSectno"/>
        </w:rPr>
        <w:t>6</w:t>
      </w:r>
      <w:r>
        <w:rPr>
          <w:snapToGrid w:val="0"/>
        </w:rPr>
        <w:t>.</w:t>
      </w:r>
      <w:r>
        <w:rPr>
          <w:snapToGrid w:val="0"/>
        </w:rPr>
        <w:tab/>
        <w:t>Answers, who can make</w:t>
      </w:r>
      <w:bookmarkEnd w:id="513"/>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lastRenderedPageBreak/>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 xml:space="preserve">In the case of an order against any party to which </w:t>
      </w:r>
      <w:r>
        <w:t>subrule</w:t>
      </w:r>
      <w:r>
        <w:rPr>
          <w:snapToGrid w:val="0"/>
        </w:rPr>
        <w:t> (1)(b) or (c) applies the order shall specify the person who is to comply with the order on behalf of the party.</w:t>
      </w:r>
    </w:p>
    <w:p>
      <w:pPr>
        <w:pStyle w:val="Subsection"/>
        <w:rPr>
          <w:snapToGrid w:val="0"/>
        </w:rPr>
      </w:pPr>
      <w:r>
        <w:rPr>
          <w:snapToGrid w:val="0"/>
        </w:rPr>
        <w:tab/>
        <w:t>(3)</w:t>
      </w:r>
      <w:r>
        <w:rPr>
          <w:snapToGrid w:val="0"/>
        </w:rPr>
        <w:tab/>
        <w:t xml:space="preserve">Subject to </w:t>
      </w:r>
      <w:r>
        <w:t>subrule</w:t>
      </w:r>
      <w:r>
        <w:rPr>
          <w:snapToGrid w:val="0"/>
        </w:rPr>
        <w:t xml:space="preserve"> (2) a party to which </w:t>
      </w:r>
      <w:r>
        <w:t>subrule</w:t>
      </w:r>
      <w:r>
        <w:rPr>
          <w:snapToGrid w:val="0"/>
        </w:rPr>
        <w:t xml:space="preserve"> (1)(b) or (c) applies shall in relation to each interrogatory choose a person to make the statement (and verifying affidavit, if required) who is qualified under </w:t>
      </w:r>
      <w:r>
        <w:t xml:space="preserve">subrule (1)(b) or (c), as the case may be, </w:t>
      </w:r>
      <w:r>
        <w:rPr>
          <w:snapToGrid w:val="0"/>
        </w:rPr>
        <w:t>and has knowledge of the facts.</w:t>
      </w:r>
    </w:p>
    <w:p>
      <w:pPr>
        <w:pStyle w:val="Footnotesection"/>
      </w:pPr>
      <w:r>
        <w:tab/>
        <w:t xml:space="preserve">[Rule 6 amended: Gazette 19 Apr 2005 p. 1298; 28 Jun 2011 p. 2552 and 2554.] </w:t>
      </w:r>
    </w:p>
    <w:p>
      <w:pPr>
        <w:pStyle w:val="Heading5"/>
        <w:rPr>
          <w:snapToGrid w:val="0"/>
        </w:rPr>
      </w:pPr>
      <w:bookmarkStart w:id="514" w:name="_Toc163120965"/>
      <w:r>
        <w:rPr>
          <w:rStyle w:val="CharSectno"/>
        </w:rPr>
        <w:t>7</w:t>
      </w:r>
      <w:r>
        <w:rPr>
          <w:snapToGrid w:val="0"/>
        </w:rPr>
        <w:t>.</w:t>
      </w:r>
      <w:r>
        <w:rPr>
          <w:snapToGrid w:val="0"/>
        </w:rPr>
        <w:tab/>
        <w:t>Failing to answer or to answer sufficiently</w:t>
      </w:r>
      <w:bookmarkEnd w:id="514"/>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515" w:name="_Toc163120966"/>
      <w:r>
        <w:rPr>
          <w:rStyle w:val="CharSectno"/>
        </w:rPr>
        <w:t>8</w:t>
      </w:r>
      <w:r>
        <w:rPr>
          <w:snapToGrid w:val="0"/>
        </w:rPr>
        <w:t>.</w:t>
      </w:r>
      <w:r>
        <w:rPr>
          <w:snapToGrid w:val="0"/>
        </w:rPr>
        <w:tab/>
        <w:t>Non</w:t>
      </w:r>
      <w:r>
        <w:rPr>
          <w:snapToGrid w:val="0"/>
        </w:rPr>
        <w:noBreakHyphen/>
        <w:t>compliance with order under r. 7</w:t>
      </w:r>
      <w:bookmarkEnd w:id="515"/>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 xml:space="preserve">Any party who fails to comply with an order made against him under rule 7 shall, without prejudice to </w:t>
      </w:r>
      <w:r>
        <w:t>subrule</w:t>
      </w:r>
      <w:r>
        <w:rPr>
          <w:snapToGrid w:val="0"/>
        </w:rPr>
        <w:t> (1), be liable to attachment.</w:t>
      </w:r>
    </w:p>
    <w:p>
      <w:pPr>
        <w:pStyle w:val="Subsection"/>
        <w:rPr>
          <w:snapToGrid w:val="0"/>
        </w:rPr>
      </w:pPr>
      <w:r>
        <w:rPr>
          <w:snapToGrid w:val="0"/>
        </w:rPr>
        <w:lastRenderedPageBreak/>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Gazette 21 Feb 2007 p. 536; 28 Jun 2011 p. 2552.]</w:t>
      </w:r>
    </w:p>
    <w:p>
      <w:pPr>
        <w:pStyle w:val="Heading5"/>
        <w:rPr>
          <w:snapToGrid w:val="0"/>
        </w:rPr>
      </w:pPr>
      <w:bookmarkStart w:id="516" w:name="_Toc163120967"/>
      <w:r>
        <w:rPr>
          <w:rStyle w:val="CharSectno"/>
        </w:rPr>
        <w:t>9</w:t>
      </w:r>
      <w:r>
        <w:rPr>
          <w:snapToGrid w:val="0"/>
        </w:rPr>
        <w:t>.</w:t>
      </w:r>
      <w:r>
        <w:rPr>
          <w:snapToGrid w:val="0"/>
        </w:rPr>
        <w:tab/>
        <w:t>Use of answers in evidence</w:t>
      </w:r>
      <w:bookmarkEnd w:id="516"/>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517" w:name="_Toc163120968"/>
      <w:r>
        <w:rPr>
          <w:rStyle w:val="CharSectno"/>
        </w:rPr>
        <w:t>10</w:t>
      </w:r>
      <w:r>
        <w:rPr>
          <w:snapToGrid w:val="0"/>
        </w:rPr>
        <w:t>.</w:t>
      </w:r>
      <w:r>
        <w:rPr>
          <w:snapToGrid w:val="0"/>
        </w:rPr>
        <w:tab/>
        <w:t>Revoking and varying orders</w:t>
      </w:r>
      <w:bookmarkEnd w:id="517"/>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518" w:name="_Toc162940507"/>
      <w:bookmarkStart w:id="519" w:name="_Toc162953296"/>
      <w:bookmarkStart w:id="520" w:name="_Toc163120969"/>
      <w:r>
        <w:rPr>
          <w:rStyle w:val="CharPartNo"/>
        </w:rPr>
        <w:lastRenderedPageBreak/>
        <w:t>Order 28</w:t>
      </w:r>
      <w:r>
        <w:t> — </w:t>
      </w:r>
      <w:r>
        <w:rPr>
          <w:rStyle w:val="CharPartText"/>
        </w:rPr>
        <w:t>Medical examination: inspection of physical objects</w:t>
      </w:r>
      <w:bookmarkEnd w:id="518"/>
      <w:bookmarkEnd w:id="519"/>
      <w:bookmarkEnd w:id="520"/>
    </w:p>
    <w:p>
      <w:pPr>
        <w:pStyle w:val="Heading5"/>
        <w:rPr>
          <w:snapToGrid w:val="0"/>
        </w:rPr>
      </w:pPr>
      <w:bookmarkStart w:id="521" w:name="_Toc163120970"/>
      <w:r>
        <w:rPr>
          <w:rStyle w:val="CharSectno"/>
        </w:rPr>
        <w:t>1</w:t>
      </w:r>
      <w:r>
        <w:rPr>
          <w:snapToGrid w:val="0"/>
        </w:rPr>
        <w:t>.</w:t>
      </w:r>
      <w:r>
        <w:rPr>
          <w:snapToGrid w:val="0"/>
        </w:rPr>
        <w:tab/>
        <w:t>Medical examination of a party</w:t>
      </w:r>
      <w:bookmarkEnd w:id="521"/>
    </w:p>
    <w:p>
      <w:pPr>
        <w:pStyle w:val="Subsection"/>
        <w:rPr>
          <w:snapToGrid w:val="0"/>
        </w:rPr>
      </w:pPr>
      <w:r>
        <w:rPr>
          <w:snapToGrid w:val="0"/>
        </w:rPr>
        <w:tab/>
        <w:t>(1)</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(2A)</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(2B)</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lastRenderedPageBreak/>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spacing w:before="140"/>
        <w:rPr>
          <w:snapToGrid w:val="0"/>
        </w:rPr>
      </w:pPr>
      <w:r>
        <w:rPr>
          <w:snapToGrid w:val="0"/>
        </w:rPr>
        <w:tab/>
        <w:t>(5)</w:t>
      </w:r>
      <w:r>
        <w:rPr>
          <w:snapToGrid w:val="0"/>
        </w:rPr>
        <w:tab/>
        <w:t xml:space="preserve">If default be made for one week in serving the copy mentioned in </w:t>
      </w:r>
      <w:r>
        <w:t>subrule</w:t>
      </w:r>
      <w:r>
        <w:rPr>
          <w:snapToGrid w:val="0"/>
        </w:rPr>
        <w:t>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spacing w:before="140"/>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Footnotesection"/>
        <w:spacing w:before="100"/>
        <w:ind w:left="890" w:hanging="890"/>
      </w:pPr>
      <w:r>
        <w:tab/>
        <w:t>[Rule 1 amended: Gazette 28 Jun 2011 p. 2552 and 2554.]</w:t>
      </w:r>
    </w:p>
    <w:p>
      <w:pPr>
        <w:pStyle w:val="Heading5"/>
        <w:spacing w:before="180"/>
        <w:rPr>
          <w:snapToGrid w:val="0"/>
        </w:rPr>
      </w:pPr>
      <w:bookmarkStart w:id="522" w:name="_Toc163120971"/>
      <w:r>
        <w:rPr>
          <w:rStyle w:val="CharSectno"/>
        </w:rPr>
        <w:t>2</w:t>
      </w:r>
      <w:r>
        <w:rPr>
          <w:snapToGrid w:val="0"/>
        </w:rPr>
        <w:t>.</w:t>
      </w:r>
      <w:r>
        <w:rPr>
          <w:snapToGrid w:val="0"/>
        </w:rPr>
        <w:tab/>
        <w:t>Inspection of physical objects</w:t>
      </w:r>
      <w:bookmarkEnd w:id="522"/>
    </w:p>
    <w:p>
      <w:pPr>
        <w:pStyle w:val="Subsection"/>
        <w:spacing w:before="140"/>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spacing w:before="140"/>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spacing w:before="140"/>
        <w:rPr>
          <w:snapToGrid w:val="0"/>
        </w:rPr>
      </w:pPr>
      <w:r>
        <w:rPr>
          <w:snapToGrid w:val="0"/>
        </w:rPr>
        <w:tab/>
        <w:t>(3)</w:t>
      </w:r>
      <w:r>
        <w:rPr>
          <w:snapToGrid w:val="0"/>
        </w:rPr>
        <w:tab/>
        <w:t xml:space="preserve">If the Court is of opinion that either party has been unreasonable in relation to the matter it may order that party to pay the costs </w:t>
      </w:r>
      <w:r>
        <w:rPr>
          <w:snapToGrid w:val="0"/>
        </w:rPr>
        <w:lastRenderedPageBreak/>
        <w:t>of the application, and any other costs unnecessarily incurred in consequence.</w:t>
      </w:r>
    </w:p>
    <w:p>
      <w:pPr>
        <w:pStyle w:val="Ednotepart"/>
      </w:pPr>
      <w:r>
        <w:t xml:space="preserve">[Order 29: </w:t>
      </w:r>
      <w:r>
        <w:tab/>
        <w:t>r. 1-2 deleted: Gazette 16 Aug 2017 p. 4411.</w:t>
      </w:r>
    </w:p>
    <w:p>
      <w:pPr>
        <w:pStyle w:val="Ednotepart"/>
        <w:spacing w:before="0"/>
      </w:pPr>
      <w:r>
        <w:tab/>
      </w:r>
      <w:r>
        <w:tab/>
        <w:t xml:space="preserve">r. </w:t>
      </w:r>
      <w:r>
        <w:rPr>
          <w:bCs/>
        </w:rPr>
        <w:t>3-6</w:t>
      </w:r>
      <w:r>
        <w:t xml:space="preserve"> deleted: Gazette 28 Jul 2010 p. 3464.]</w:t>
      </w:r>
    </w:p>
    <w:p>
      <w:pPr>
        <w:pStyle w:val="Ednotepart"/>
      </w:pPr>
      <w:r>
        <w:t>[Order 29A deleted: Gazette 28 Jul 2010 p. 3465.]</w:t>
      </w:r>
    </w:p>
    <w:p>
      <w:pPr>
        <w:pStyle w:val="Heading2"/>
        <w:rPr>
          <w:b w:val="0"/>
        </w:rPr>
      </w:pPr>
      <w:bookmarkStart w:id="523" w:name="_Toc162940510"/>
      <w:bookmarkStart w:id="524" w:name="_Toc162953299"/>
      <w:bookmarkStart w:id="525" w:name="_Toc163120972"/>
      <w:r>
        <w:rPr>
          <w:rStyle w:val="CharPartNo"/>
        </w:rPr>
        <w:lastRenderedPageBreak/>
        <w:t>Order 30</w:t>
      </w:r>
      <w:r>
        <w:rPr>
          <w:rStyle w:val="CharDivNo"/>
        </w:rPr>
        <w:t> </w:t>
      </w:r>
      <w:r>
        <w:t>—</w:t>
      </w:r>
      <w:r>
        <w:rPr>
          <w:rStyle w:val="CharDivText"/>
        </w:rPr>
        <w:t> </w:t>
      </w:r>
      <w:r>
        <w:rPr>
          <w:rStyle w:val="CharPartText"/>
        </w:rPr>
        <w:t>Admissions</w:t>
      </w:r>
      <w:bookmarkEnd w:id="523"/>
      <w:bookmarkEnd w:id="524"/>
      <w:bookmarkEnd w:id="525"/>
    </w:p>
    <w:p>
      <w:pPr>
        <w:pStyle w:val="Heading5"/>
        <w:rPr>
          <w:snapToGrid w:val="0"/>
        </w:rPr>
      </w:pPr>
      <w:bookmarkStart w:id="526" w:name="_Toc163120973"/>
      <w:r>
        <w:rPr>
          <w:rStyle w:val="CharSectno"/>
        </w:rPr>
        <w:t>1</w:t>
      </w:r>
      <w:r>
        <w:rPr>
          <w:snapToGrid w:val="0"/>
        </w:rPr>
        <w:t>.</w:t>
      </w:r>
      <w:r>
        <w:rPr>
          <w:snapToGrid w:val="0"/>
        </w:rPr>
        <w:tab/>
        <w:t>Admission of other party’s case</w:t>
      </w:r>
      <w:bookmarkEnd w:id="526"/>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527" w:name="_Toc163120974"/>
      <w:r>
        <w:rPr>
          <w:rStyle w:val="CharSectno"/>
        </w:rPr>
        <w:t>2</w:t>
      </w:r>
      <w:r>
        <w:rPr>
          <w:snapToGrid w:val="0"/>
        </w:rPr>
        <w:t>.</w:t>
      </w:r>
      <w:r>
        <w:rPr>
          <w:snapToGrid w:val="0"/>
        </w:rPr>
        <w:tab/>
        <w:t>Notice to admit facts</w:t>
      </w:r>
      <w:bookmarkEnd w:id="527"/>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528" w:name="_Toc163120975"/>
      <w:r>
        <w:rPr>
          <w:rStyle w:val="CharSectno"/>
        </w:rPr>
        <w:t>3</w:t>
      </w:r>
      <w:r>
        <w:rPr>
          <w:snapToGrid w:val="0"/>
        </w:rPr>
        <w:t>.</w:t>
      </w:r>
      <w:r>
        <w:rPr>
          <w:snapToGrid w:val="0"/>
        </w:rPr>
        <w:tab/>
        <w:t>Judgment on admissions</w:t>
      </w:r>
      <w:bookmarkEnd w:id="528"/>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529" w:name="_Toc163120976"/>
      <w:r>
        <w:rPr>
          <w:rStyle w:val="CharSectno"/>
        </w:rPr>
        <w:lastRenderedPageBreak/>
        <w:t>4</w:t>
      </w:r>
      <w:r>
        <w:rPr>
          <w:snapToGrid w:val="0"/>
        </w:rPr>
        <w:t>.</w:t>
      </w:r>
      <w:r>
        <w:rPr>
          <w:snapToGrid w:val="0"/>
        </w:rPr>
        <w:tab/>
        <w:t>Admissions as to and production of documents</w:t>
      </w:r>
      <w:bookmarkEnd w:id="529"/>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r>
      <w:r>
        <w:t>Subrule</w:t>
      </w:r>
      <w:r>
        <w:rPr>
          <w:snapToGrid w:val="0"/>
        </w:rPr>
        <w:t>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r>
      <w:r>
        <w:t>Subrules</w:t>
      </w:r>
      <w:r>
        <w:rPr>
          <w:snapToGrid w:val="0"/>
        </w:rPr>
        <w:t> (1), (2) and (3) apply in relation to an affidavit made in compliance with an order under Order 26 rule 6, as they apply to a list of documents served under that Order.</w:t>
      </w:r>
    </w:p>
    <w:p>
      <w:pPr>
        <w:pStyle w:val="Footnotesection"/>
      </w:pPr>
      <w:r>
        <w:tab/>
        <w:t>[Rule 4 amended: Gazette 28 Jun 2011 p. 2552.]</w:t>
      </w:r>
    </w:p>
    <w:p>
      <w:pPr>
        <w:pStyle w:val="Heading5"/>
        <w:rPr>
          <w:snapToGrid w:val="0"/>
        </w:rPr>
      </w:pPr>
      <w:bookmarkStart w:id="530" w:name="_Toc163120977"/>
      <w:r>
        <w:rPr>
          <w:rStyle w:val="CharSectno"/>
        </w:rPr>
        <w:lastRenderedPageBreak/>
        <w:t>5</w:t>
      </w:r>
      <w:r>
        <w:rPr>
          <w:snapToGrid w:val="0"/>
        </w:rPr>
        <w:t>.</w:t>
      </w:r>
      <w:r>
        <w:rPr>
          <w:snapToGrid w:val="0"/>
        </w:rPr>
        <w:tab/>
        <w:t>Notice to admit authenticity of documents; notice requiring production of documents at trial</w:t>
      </w:r>
      <w:bookmarkEnd w:id="530"/>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 xml:space="preserve">If, in relation to any document specified in the notice, the party on whom a notice under </w:t>
      </w:r>
      <w:r>
        <w:t>subrule</w:t>
      </w:r>
      <w:r>
        <w:rPr>
          <w:snapToGrid w:val="0"/>
        </w:rPr>
        <w:t xml:space="preserve">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w:t>
      </w:r>
      <w:r>
        <w:t>subrule</w:t>
      </w:r>
      <w:r>
        <w:rPr>
          <w:snapToGrid w:val="0"/>
        </w:rPr>
        <w:t>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Footnotesection"/>
      </w:pPr>
      <w:r>
        <w:tab/>
        <w:t>[Rule 5 amended: Gazette 28 Jun 2011 p. 2552.]</w:t>
      </w:r>
    </w:p>
    <w:p>
      <w:pPr>
        <w:pStyle w:val="Heading2"/>
        <w:rPr>
          <w:b w:val="0"/>
        </w:rPr>
      </w:pPr>
      <w:bookmarkStart w:id="531" w:name="_Toc162940516"/>
      <w:bookmarkStart w:id="532" w:name="_Toc162953305"/>
      <w:bookmarkStart w:id="533" w:name="_Toc163120978"/>
      <w:r>
        <w:rPr>
          <w:rStyle w:val="CharPartNo"/>
        </w:rPr>
        <w:lastRenderedPageBreak/>
        <w:t>Order 31</w:t>
      </w:r>
      <w:r>
        <w:rPr>
          <w:rStyle w:val="CharDivNo"/>
        </w:rPr>
        <w:t> </w:t>
      </w:r>
      <w:r>
        <w:t>—</w:t>
      </w:r>
      <w:r>
        <w:rPr>
          <w:rStyle w:val="CharDivText"/>
        </w:rPr>
        <w:t> </w:t>
      </w:r>
      <w:r>
        <w:rPr>
          <w:rStyle w:val="CharPartText"/>
        </w:rPr>
        <w:t>Special cases and stated cases</w:t>
      </w:r>
      <w:bookmarkEnd w:id="531"/>
      <w:bookmarkEnd w:id="532"/>
      <w:bookmarkEnd w:id="533"/>
    </w:p>
    <w:p>
      <w:pPr>
        <w:pStyle w:val="Heading5"/>
        <w:rPr>
          <w:snapToGrid w:val="0"/>
        </w:rPr>
      </w:pPr>
      <w:bookmarkStart w:id="534" w:name="_Toc163120979"/>
      <w:r>
        <w:rPr>
          <w:rStyle w:val="CharSectno"/>
        </w:rPr>
        <w:t>1</w:t>
      </w:r>
      <w:r>
        <w:rPr>
          <w:snapToGrid w:val="0"/>
        </w:rPr>
        <w:t>.</w:t>
      </w:r>
      <w:r>
        <w:rPr>
          <w:snapToGrid w:val="0"/>
        </w:rPr>
        <w:tab/>
        <w:t>Questions of law, stating of in special case</w:t>
      </w:r>
      <w:bookmarkEnd w:id="534"/>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Gazette 15 Jun 1973 p. 2248; 29 Apr 2005 p. 1795.] </w:t>
      </w:r>
    </w:p>
    <w:p>
      <w:pPr>
        <w:pStyle w:val="Heading5"/>
        <w:rPr>
          <w:snapToGrid w:val="0"/>
        </w:rPr>
      </w:pPr>
      <w:bookmarkStart w:id="535" w:name="_Toc163120980"/>
      <w:r>
        <w:rPr>
          <w:rStyle w:val="CharSectno"/>
        </w:rPr>
        <w:t>2</w:t>
      </w:r>
      <w:r>
        <w:rPr>
          <w:snapToGrid w:val="0"/>
        </w:rPr>
        <w:t>.</w:t>
      </w:r>
      <w:r>
        <w:rPr>
          <w:snapToGrid w:val="0"/>
        </w:rPr>
        <w:tab/>
        <w:t>Preliminary question of law, orders as to</w:t>
      </w:r>
      <w:bookmarkEnd w:id="535"/>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536" w:name="_Toc163120981"/>
      <w:r>
        <w:rPr>
          <w:rStyle w:val="CharSectno"/>
        </w:rPr>
        <w:t>3</w:t>
      </w:r>
      <w:r>
        <w:rPr>
          <w:snapToGrid w:val="0"/>
        </w:rPr>
        <w:t>.</w:t>
      </w:r>
      <w:r>
        <w:rPr>
          <w:snapToGrid w:val="0"/>
        </w:rPr>
        <w:tab/>
        <w:t>Preparing special case</w:t>
      </w:r>
      <w:bookmarkEnd w:id="536"/>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lastRenderedPageBreak/>
        <w:tab/>
        <w:t>(2)</w:t>
      </w:r>
      <w:r>
        <w:rPr>
          <w:snapToGrid w:val="0"/>
        </w:rPr>
        <w:tab/>
        <w:t xml:space="preserve">At least 14 days before the day appointed for argument the plaintiff or the party having the carriage of the proceedings shall </w:t>
      </w:r>
      <w:r>
        <w:t>file</w:t>
      </w:r>
      <w:r>
        <w:rPr>
          <w:snapToGrid w:val="0"/>
        </w:rPr>
        <w:t xml:space="preserve"> copies of the special case for the use of the judge or judges hearing the argument, and in default thereof the other party may on the day following, </w:t>
      </w:r>
      <w:r>
        <w:t>file those</w:t>
      </w:r>
      <w:r>
        <w:rPr>
          <w:snapToGrid w:val="0"/>
        </w:rPr>
        <w:t xml:space="preserve"> copies.</w:t>
      </w:r>
    </w:p>
    <w:p>
      <w:pPr>
        <w:pStyle w:val="Footnotesection"/>
      </w:pPr>
      <w:r>
        <w:tab/>
        <w:t>[Rule 3 amended: Gazette 27 Feb 2018 p. 560-1.]</w:t>
      </w:r>
    </w:p>
    <w:p>
      <w:pPr>
        <w:pStyle w:val="Heading5"/>
        <w:rPr>
          <w:snapToGrid w:val="0"/>
        </w:rPr>
      </w:pPr>
      <w:bookmarkStart w:id="537" w:name="_Toc163120982"/>
      <w:r>
        <w:rPr>
          <w:rStyle w:val="CharSectno"/>
        </w:rPr>
        <w:t>4</w:t>
      </w:r>
      <w:r>
        <w:rPr>
          <w:snapToGrid w:val="0"/>
        </w:rPr>
        <w:t>.</w:t>
      </w:r>
      <w:r>
        <w:rPr>
          <w:snapToGrid w:val="0"/>
        </w:rPr>
        <w:tab/>
        <w:t>Special case affecting person under disability, leave needed to enter for argument</w:t>
      </w:r>
      <w:bookmarkEnd w:id="537"/>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 xml:space="preserve">An application for leave under </w:t>
      </w:r>
      <w:r>
        <w:t>subrule</w:t>
      </w:r>
      <w:r>
        <w:rPr>
          <w:snapToGrid w:val="0"/>
        </w:rPr>
        <w:t> (1) shall be supported by sufficient evidence that the statements contained in the special case, so far as they affect the interest of the party under disability, are true.</w:t>
      </w:r>
    </w:p>
    <w:p>
      <w:pPr>
        <w:pStyle w:val="Footnotesection"/>
      </w:pPr>
      <w:r>
        <w:tab/>
        <w:t>[Rule 4 amended: Gazette 28 Jun 2011 p. 2552.]</w:t>
      </w:r>
    </w:p>
    <w:p>
      <w:pPr>
        <w:pStyle w:val="Heading5"/>
        <w:rPr>
          <w:snapToGrid w:val="0"/>
        </w:rPr>
      </w:pPr>
      <w:bookmarkStart w:id="538" w:name="_Toc163120983"/>
      <w:r>
        <w:rPr>
          <w:rStyle w:val="CharSectno"/>
        </w:rPr>
        <w:t>5</w:t>
      </w:r>
      <w:r>
        <w:rPr>
          <w:snapToGrid w:val="0"/>
        </w:rPr>
        <w:t>.</w:t>
      </w:r>
      <w:r>
        <w:rPr>
          <w:snapToGrid w:val="0"/>
        </w:rPr>
        <w:tab/>
        <w:t>Entering special case for argument</w:t>
      </w:r>
      <w:bookmarkEnd w:id="538"/>
    </w:p>
    <w:p>
      <w:pPr>
        <w:pStyle w:val="Subsection"/>
        <w:rPr>
          <w:snapToGrid w:val="0"/>
        </w:rPr>
      </w:pPr>
      <w:r>
        <w:rPr>
          <w:snapToGrid w:val="0"/>
        </w:rPr>
        <w:tab/>
        <w:t>(1)</w:t>
      </w:r>
      <w:r>
        <w:rPr>
          <w:snapToGrid w:val="0"/>
        </w:rPr>
        <w:tab/>
        <w:t xml:space="preserve">Either party may enter a special case for argument before the Court, by filing a memorandum of entry, and if a person under disability is a party, by producing </w:t>
      </w:r>
      <w:r>
        <w:t>a sealed</w:t>
      </w:r>
      <w:r>
        <w:rPr>
          <w:snapToGrid w:val="0"/>
        </w:rPr>
        <w:t xml:space="preserv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Footnotesection"/>
      </w:pPr>
      <w:r>
        <w:tab/>
        <w:t>[Rule 5 amended: Gazette 27 Feb 2018 p. 561.]</w:t>
      </w:r>
    </w:p>
    <w:p>
      <w:pPr>
        <w:pStyle w:val="Heading5"/>
        <w:rPr>
          <w:snapToGrid w:val="0"/>
        </w:rPr>
      </w:pPr>
      <w:bookmarkStart w:id="539" w:name="_Toc163120984"/>
      <w:r>
        <w:rPr>
          <w:rStyle w:val="CharSectno"/>
        </w:rPr>
        <w:t>6</w:t>
      </w:r>
      <w:r>
        <w:rPr>
          <w:snapToGrid w:val="0"/>
        </w:rPr>
        <w:t>.</w:t>
      </w:r>
      <w:r>
        <w:rPr>
          <w:snapToGrid w:val="0"/>
        </w:rPr>
        <w:tab/>
        <w:t>Agreement as to payment of money and costs</w:t>
      </w:r>
      <w:bookmarkEnd w:id="539"/>
    </w:p>
    <w:p>
      <w:pPr>
        <w:pStyle w:val="Subsection"/>
        <w:rPr>
          <w:snapToGrid w:val="0"/>
        </w:rPr>
      </w:pPr>
      <w:r>
        <w:rPr>
          <w:snapToGrid w:val="0"/>
        </w:rPr>
        <w:tab/>
        <w:t>(1)</w:t>
      </w:r>
      <w:r>
        <w:rPr>
          <w:snapToGrid w:val="0"/>
        </w:rPr>
        <w:tab/>
        <w:t xml:space="preserve">The parties to a special case may, if they think fit, enter into an agreement in writing that, on the judgment of the Court being given in the affirmative or negative of the question or questions of law raised by the special case, a sum of money, fixed by the </w:t>
      </w:r>
      <w:r>
        <w:rPr>
          <w:snapToGrid w:val="0"/>
        </w:rPr>
        <w:lastRenderedPageBreak/>
        <w:t>parties, or to be ascertained by the Court or in such manner as 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540" w:name="_Toc163120985"/>
      <w:r>
        <w:rPr>
          <w:rStyle w:val="CharSectno"/>
        </w:rPr>
        <w:t>7</w:t>
      </w:r>
      <w:r>
        <w:rPr>
          <w:snapToGrid w:val="0"/>
        </w:rPr>
        <w:t>.</w:t>
      </w:r>
      <w:r>
        <w:rPr>
          <w:snapToGrid w:val="0"/>
        </w:rPr>
        <w:tab/>
        <w:t>Reference of case to</w:t>
      </w:r>
      <w:r>
        <w:t xml:space="preserve"> Court of Appeal</w:t>
      </w:r>
      <w:r>
        <w:rPr>
          <w:snapToGrid w:val="0"/>
        </w:rPr>
        <w:t xml:space="preserve"> (Act s. 58(1)(d))</w:t>
      </w:r>
      <w:bookmarkEnd w:id="540"/>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Gazette 29 Apr 2005 p. 1795.]</w:t>
      </w:r>
    </w:p>
    <w:p>
      <w:pPr>
        <w:pStyle w:val="Heading5"/>
        <w:rPr>
          <w:snapToGrid w:val="0"/>
        </w:rPr>
      </w:pPr>
      <w:bookmarkStart w:id="541" w:name="_Toc163120986"/>
      <w:r>
        <w:rPr>
          <w:rStyle w:val="CharSectno"/>
        </w:rPr>
        <w:t>8</w:t>
      </w:r>
      <w:r>
        <w:rPr>
          <w:snapToGrid w:val="0"/>
        </w:rPr>
        <w:t>.</w:t>
      </w:r>
      <w:r>
        <w:rPr>
          <w:snapToGrid w:val="0"/>
        </w:rPr>
        <w:tab/>
        <w:t>Cases stated to Court (not Court of Appeal) by other courts etc.</w:t>
      </w:r>
      <w:bookmarkEnd w:id="541"/>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lastRenderedPageBreak/>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Gazette 29 Apr 2005 p. 1791</w:t>
      </w:r>
      <w:r>
        <w:noBreakHyphen/>
        <w:t xml:space="preserve">2.] </w:t>
      </w:r>
    </w:p>
    <w:p>
      <w:pPr>
        <w:pStyle w:val="Ednotepart"/>
      </w:pPr>
      <w:r>
        <w:t>[Order 31A deleted: Gazette 28 Jul 2010 p. 3466.]</w:t>
      </w:r>
    </w:p>
    <w:p>
      <w:pPr>
        <w:pStyle w:val="Heading2"/>
        <w:rPr>
          <w:b w:val="0"/>
        </w:rPr>
      </w:pPr>
      <w:bookmarkStart w:id="542" w:name="_Toc162940525"/>
      <w:bookmarkStart w:id="543" w:name="_Toc162953314"/>
      <w:bookmarkStart w:id="544" w:name="_Toc163120987"/>
      <w:r>
        <w:rPr>
          <w:rStyle w:val="CharPartNo"/>
        </w:rPr>
        <w:lastRenderedPageBreak/>
        <w:t>Order 32</w:t>
      </w:r>
      <w:r>
        <w:rPr>
          <w:rStyle w:val="CharDivNo"/>
        </w:rPr>
        <w:t> </w:t>
      </w:r>
      <w:r>
        <w:t>—</w:t>
      </w:r>
      <w:r>
        <w:rPr>
          <w:rStyle w:val="CharDivText"/>
        </w:rPr>
        <w:t> </w:t>
      </w:r>
      <w:r>
        <w:rPr>
          <w:rStyle w:val="CharPartText"/>
        </w:rPr>
        <w:t>Place and mode of trial</w:t>
      </w:r>
      <w:bookmarkEnd w:id="542"/>
      <w:bookmarkEnd w:id="543"/>
      <w:bookmarkEnd w:id="544"/>
    </w:p>
    <w:p>
      <w:pPr>
        <w:pStyle w:val="Heading5"/>
        <w:rPr>
          <w:snapToGrid w:val="0"/>
        </w:rPr>
      </w:pPr>
      <w:bookmarkStart w:id="545" w:name="_Toc163120988"/>
      <w:r>
        <w:rPr>
          <w:rStyle w:val="CharSectno"/>
        </w:rPr>
        <w:t>1</w:t>
      </w:r>
      <w:r>
        <w:rPr>
          <w:snapToGrid w:val="0"/>
        </w:rPr>
        <w:t>.</w:t>
      </w:r>
      <w:r>
        <w:rPr>
          <w:snapToGrid w:val="0"/>
        </w:rPr>
        <w:tab/>
        <w:t>Trial in circuit town</w:t>
      </w:r>
      <w:bookmarkEnd w:id="545"/>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Gazette 27 Aug 1976 p. 3223.] </w:t>
      </w:r>
    </w:p>
    <w:p>
      <w:pPr>
        <w:pStyle w:val="Heading5"/>
        <w:rPr>
          <w:snapToGrid w:val="0"/>
        </w:rPr>
      </w:pPr>
      <w:bookmarkStart w:id="546" w:name="_Toc163120989"/>
      <w:r>
        <w:rPr>
          <w:rStyle w:val="CharSectno"/>
        </w:rPr>
        <w:t>2</w:t>
      </w:r>
      <w:r>
        <w:rPr>
          <w:snapToGrid w:val="0"/>
        </w:rPr>
        <w:t>.</w:t>
      </w:r>
      <w:r>
        <w:rPr>
          <w:snapToGrid w:val="0"/>
        </w:rPr>
        <w:tab/>
        <w:t>Application for trial by jury</w:t>
      </w:r>
      <w:bookmarkEnd w:id="546"/>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547" w:name="_Toc163120990"/>
      <w:r>
        <w:rPr>
          <w:rStyle w:val="CharSectno"/>
        </w:rPr>
        <w:t>3</w:t>
      </w:r>
      <w:r>
        <w:rPr>
          <w:snapToGrid w:val="0"/>
        </w:rPr>
        <w:t>.</w:t>
      </w:r>
      <w:r>
        <w:rPr>
          <w:snapToGrid w:val="0"/>
        </w:rPr>
        <w:tab/>
        <w:t>Usual mode of trial, other modes</w:t>
      </w:r>
      <w:bookmarkEnd w:id="547"/>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548" w:name="_Toc163120991"/>
      <w:r>
        <w:rPr>
          <w:rStyle w:val="CharSectno"/>
        </w:rPr>
        <w:t>4</w:t>
      </w:r>
      <w:r>
        <w:rPr>
          <w:snapToGrid w:val="0"/>
        </w:rPr>
        <w:t>.</w:t>
      </w:r>
      <w:r>
        <w:rPr>
          <w:snapToGrid w:val="0"/>
        </w:rPr>
        <w:tab/>
        <w:t>Time of trial of questions or issues</w:t>
      </w:r>
      <w:bookmarkEnd w:id="548"/>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549" w:name="_Toc163120992"/>
      <w:r>
        <w:rPr>
          <w:rStyle w:val="CharSectno"/>
        </w:rPr>
        <w:lastRenderedPageBreak/>
        <w:t>5</w:t>
      </w:r>
      <w:r>
        <w:rPr>
          <w:snapToGrid w:val="0"/>
        </w:rPr>
        <w:t>.</w:t>
      </w:r>
      <w:r>
        <w:rPr>
          <w:snapToGrid w:val="0"/>
        </w:rPr>
        <w:tab/>
        <w:t>Issues may be tried differently</w:t>
      </w:r>
      <w:bookmarkEnd w:id="549"/>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550" w:name="_Toc163120993"/>
      <w:r>
        <w:rPr>
          <w:rStyle w:val="CharSectno"/>
        </w:rPr>
        <w:t>6</w:t>
      </w:r>
      <w:r>
        <w:rPr>
          <w:snapToGrid w:val="0"/>
        </w:rPr>
        <w:t>.</w:t>
      </w:r>
      <w:r>
        <w:rPr>
          <w:snapToGrid w:val="0"/>
        </w:rPr>
        <w:tab/>
        <w:t>Trial with jury to be by single judge</w:t>
      </w:r>
      <w:bookmarkEnd w:id="550"/>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551" w:name="_Toc163120994"/>
      <w:r>
        <w:rPr>
          <w:rStyle w:val="CharSectno"/>
        </w:rPr>
        <w:t>7</w:t>
      </w:r>
      <w:r>
        <w:rPr>
          <w:snapToGrid w:val="0"/>
        </w:rPr>
        <w:t>.</w:t>
      </w:r>
      <w:r>
        <w:rPr>
          <w:snapToGrid w:val="0"/>
        </w:rPr>
        <w:tab/>
        <w:t>Disposal of action</w:t>
      </w:r>
      <w:bookmarkEnd w:id="551"/>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552" w:name="_Toc163120995"/>
      <w:r>
        <w:t>8.</w:t>
      </w:r>
      <w:r>
        <w:tab/>
        <w:t>Trial by jury, precepts for etc.</w:t>
      </w:r>
      <w:bookmarkEnd w:id="552"/>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Gazette 29 Apr 2005 p. 1801.]</w:t>
      </w:r>
    </w:p>
    <w:p>
      <w:pPr>
        <w:pStyle w:val="Heading2"/>
        <w:rPr>
          <w:b w:val="0"/>
        </w:rPr>
      </w:pPr>
      <w:bookmarkStart w:id="553" w:name="_Toc162940534"/>
      <w:bookmarkStart w:id="554" w:name="_Toc162953323"/>
      <w:bookmarkStart w:id="555" w:name="_Toc163120996"/>
      <w:r>
        <w:rPr>
          <w:rStyle w:val="CharPartNo"/>
        </w:rPr>
        <w:lastRenderedPageBreak/>
        <w:t>Order 33</w:t>
      </w:r>
      <w:r>
        <w:rPr>
          <w:rStyle w:val="CharDivNo"/>
        </w:rPr>
        <w:t> </w:t>
      </w:r>
      <w:r>
        <w:t>—</w:t>
      </w:r>
      <w:r>
        <w:rPr>
          <w:rStyle w:val="CharDivText"/>
        </w:rPr>
        <w:t> </w:t>
      </w:r>
      <w:r>
        <w:rPr>
          <w:rStyle w:val="CharPartText"/>
        </w:rPr>
        <w:t>Entry for trial</w:t>
      </w:r>
      <w:bookmarkEnd w:id="553"/>
      <w:bookmarkEnd w:id="554"/>
      <w:bookmarkEnd w:id="555"/>
    </w:p>
    <w:p>
      <w:pPr>
        <w:pStyle w:val="Heading5"/>
      </w:pPr>
      <w:bookmarkStart w:id="556" w:name="_Toc163120997"/>
      <w:r>
        <w:rPr>
          <w:rStyle w:val="CharSectno"/>
        </w:rPr>
        <w:t>1</w:t>
      </w:r>
      <w:r>
        <w:t>.</w:t>
      </w:r>
      <w:r>
        <w:tab/>
        <w:t>Entry for trial</w:t>
      </w:r>
      <w:bookmarkEnd w:id="556"/>
    </w:p>
    <w:p>
      <w:pPr>
        <w:pStyle w:val="Subsection"/>
      </w:pPr>
      <w:r>
        <w:tab/>
      </w:r>
      <w:r>
        <w:tab/>
        <w:t xml:space="preserve">A party cannot enter a cause, matter or issue for trial unless — </w:t>
      </w:r>
    </w:p>
    <w:p>
      <w:pPr>
        <w:pStyle w:val="Indenta"/>
      </w:pPr>
      <w:r>
        <w:tab/>
        <w:t>(a)</w:t>
      </w:r>
      <w:r>
        <w:tab/>
        <w:t xml:space="preserve">the party is satisfied — </w:t>
      </w:r>
    </w:p>
    <w:p>
      <w:pPr>
        <w:pStyle w:val="Indenti"/>
      </w:pPr>
      <w:r>
        <w:tab/>
        <w:t>(i)</w:t>
      </w:r>
      <w:r>
        <w:tab/>
        <w:t xml:space="preserve">that all of the interlocutory steps in relation to the cause, matter or issue are complete; and </w:t>
      </w:r>
    </w:p>
    <w:p>
      <w:pPr>
        <w:pStyle w:val="Indenti"/>
      </w:pPr>
      <w:r>
        <w:tab/>
        <w:t>(ii)</w:t>
      </w:r>
      <w:r>
        <w:tab/>
        <w:t>that the cause, matter or issue is ready for entry;</w:t>
      </w:r>
    </w:p>
    <w:p>
      <w:pPr>
        <w:pStyle w:val="Indenta"/>
      </w:pPr>
      <w:r>
        <w:tab/>
      </w:r>
      <w:r>
        <w:tab/>
        <w:t>or</w:t>
      </w:r>
    </w:p>
    <w:p>
      <w:pPr>
        <w:pStyle w:val="Indenta"/>
      </w:pPr>
      <w:r>
        <w:tab/>
        <w:t>(b)</w:t>
      </w:r>
      <w:r>
        <w:tab/>
        <w:t>the party is directed by the Court to do so.</w:t>
      </w:r>
    </w:p>
    <w:p>
      <w:pPr>
        <w:pStyle w:val="Footnotesection"/>
      </w:pPr>
      <w:r>
        <w:tab/>
        <w:t>[Rule 1 inserted: Gazette 16 Aug 2017 p. 4411.]</w:t>
      </w:r>
    </w:p>
    <w:p>
      <w:pPr>
        <w:pStyle w:val="Heading5"/>
        <w:rPr>
          <w:snapToGrid w:val="0"/>
        </w:rPr>
      </w:pPr>
      <w:bookmarkStart w:id="557" w:name="_Toc163120998"/>
      <w:r>
        <w:rPr>
          <w:rStyle w:val="CharSectno"/>
        </w:rPr>
        <w:t>2</w:t>
      </w:r>
      <w:r>
        <w:rPr>
          <w:snapToGrid w:val="0"/>
        </w:rPr>
        <w:t>.</w:t>
      </w:r>
      <w:r>
        <w:rPr>
          <w:snapToGrid w:val="0"/>
        </w:rPr>
        <w:tab/>
        <w:t>Consequences of failing to enter for trial as directed</w:t>
      </w:r>
      <w:bookmarkEnd w:id="557"/>
    </w:p>
    <w:p>
      <w:pPr>
        <w:pStyle w:val="Subsection"/>
      </w:pPr>
      <w:r>
        <w:tab/>
        <w:t>(1)</w:t>
      </w:r>
      <w:r>
        <w:tab/>
        <w:t xml:space="preserve">In this rule — </w:t>
      </w:r>
    </w:p>
    <w:p>
      <w:pPr>
        <w:pStyle w:val="Defstart"/>
      </w:pPr>
      <w:r>
        <w:tab/>
      </w:r>
      <w:r>
        <w:rPr>
          <w:rStyle w:val="CharDefText"/>
        </w:rPr>
        <w:t>entry period</w:t>
      </w:r>
      <w:r>
        <w:t xml:space="preserve">, in relation to a direction under rule 1(b), means the period starting on the day the direction is given and ending — </w:t>
      </w:r>
    </w:p>
    <w:p>
      <w:pPr>
        <w:pStyle w:val="Defpara"/>
      </w:pPr>
      <w:r>
        <w:tab/>
        <w:t>(a)</w:t>
      </w:r>
      <w:r>
        <w:tab/>
        <w:t xml:space="preserve">at the time specified in the direction as the time by which the cause, matter or issue must be entered for trial; or </w:t>
      </w:r>
    </w:p>
    <w:p>
      <w:pPr>
        <w:pStyle w:val="Defpara"/>
      </w:pPr>
      <w:r>
        <w:tab/>
        <w:t>(b)</w:t>
      </w:r>
      <w:r>
        <w:tab/>
        <w:t>if a time by which the cause, matter or issue must be entered is not specified in the direction, 4 weeks after the day on which the direction is given.</w:t>
      </w:r>
    </w:p>
    <w:p>
      <w:pPr>
        <w:pStyle w:val="Subsection"/>
      </w:pPr>
      <w:r>
        <w:tab/>
        <w:t>(1A)</w:t>
      </w:r>
      <w:r>
        <w:tab/>
        <w:t>A party may enter a cause, matter or issue for trial if another party has been directed under rule 1(b) to enter the cause, matter or issue for trial and has not done so before the end of the entry period.</w:t>
      </w:r>
    </w:p>
    <w:p>
      <w:pPr>
        <w:pStyle w:val="Subsection"/>
      </w:pPr>
      <w:r>
        <w:tab/>
        <w:t>(1B)</w:t>
      </w:r>
      <w:r>
        <w:tab/>
        <w:t>A party may apply to the Court for an order dismissing, for want of prosecution, a cause or matter in respect of a plaintiff’s claim or an issue raised by a plaintiff against the party, if the plaintiff has been directed under rule 1(b) to enter the cause, matter or issue for trial and has not done so before the end of the entry period.</w:t>
      </w:r>
    </w:p>
    <w:p>
      <w:pPr>
        <w:pStyle w:val="Subsection"/>
        <w:rPr>
          <w:snapToGrid w:val="0"/>
        </w:rPr>
      </w:pPr>
      <w:r>
        <w:rPr>
          <w:snapToGrid w:val="0"/>
        </w:rPr>
        <w:lastRenderedPageBreak/>
        <w:tab/>
        <w:t>(2)</w:t>
      </w:r>
      <w:r>
        <w:rPr>
          <w:snapToGrid w:val="0"/>
        </w:rPr>
        <w:tab/>
        <w:t>On an application</w:t>
      </w:r>
      <w:r>
        <w:t xml:space="preserve"> under subrule (1B)</w:t>
      </w:r>
      <w:r>
        <w:rPr>
          <w:snapToGrid w:val="0"/>
        </w:rPr>
        <w:t xml:space="preserve"> to dismiss the cause or matter for want of prosecution, the Court may make such order as may be just either dismissing the claim or striking out the issue or permitting it to go to trial with or without the imposition of terms.</w:t>
      </w:r>
    </w:p>
    <w:p>
      <w:pPr>
        <w:pStyle w:val="Ednotesubsection"/>
      </w:pPr>
      <w:r>
        <w:tab/>
        <w:t>[(3)</w:t>
      </w:r>
      <w:r>
        <w:tab/>
        <w:t>deleted]</w:t>
      </w:r>
    </w:p>
    <w:p>
      <w:pPr>
        <w:pStyle w:val="Footnotesection"/>
      </w:pPr>
      <w:r>
        <w:tab/>
        <w:t>[Rule 2 amended: Gazette 16 Aug 2017 p. 4412.]</w:t>
      </w:r>
    </w:p>
    <w:p>
      <w:pPr>
        <w:pStyle w:val="Heading5"/>
        <w:rPr>
          <w:snapToGrid w:val="0"/>
        </w:rPr>
      </w:pPr>
      <w:bookmarkStart w:id="558" w:name="_Toc163120999"/>
      <w:r>
        <w:rPr>
          <w:rStyle w:val="CharSectno"/>
        </w:rPr>
        <w:t>3</w:t>
      </w:r>
      <w:r>
        <w:rPr>
          <w:snapToGrid w:val="0"/>
        </w:rPr>
        <w:t>.</w:t>
      </w:r>
      <w:r>
        <w:rPr>
          <w:snapToGrid w:val="0"/>
        </w:rPr>
        <w:tab/>
        <w:t>Notice of entry</w:t>
      </w:r>
      <w:bookmarkEnd w:id="558"/>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Ednotesubsection"/>
      </w:pPr>
      <w:r>
        <w:tab/>
        <w:t>[(2)</w:t>
      </w:r>
      <w:r>
        <w:tab/>
        <w:t>deleted]</w:t>
      </w:r>
    </w:p>
    <w:p>
      <w:pPr>
        <w:pStyle w:val="Footnotesection"/>
      </w:pPr>
      <w:r>
        <w:tab/>
        <w:t>[Rule 3 amended: Gazette 16 Nov 2016 p. 5199.]</w:t>
      </w:r>
    </w:p>
    <w:p>
      <w:pPr>
        <w:pStyle w:val="Heading5"/>
        <w:rPr>
          <w:snapToGrid w:val="0"/>
        </w:rPr>
      </w:pPr>
      <w:bookmarkStart w:id="559" w:name="_Toc163121000"/>
      <w:r>
        <w:rPr>
          <w:rStyle w:val="CharSectno"/>
        </w:rPr>
        <w:t>4</w:t>
      </w:r>
      <w:r>
        <w:rPr>
          <w:snapToGrid w:val="0"/>
        </w:rPr>
        <w:t>.</w:t>
      </w:r>
      <w:r>
        <w:rPr>
          <w:snapToGrid w:val="0"/>
        </w:rPr>
        <w:tab/>
        <w:t>Form of entry for trial</w:t>
      </w:r>
      <w:bookmarkEnd w:id="559"/>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Ednotesection"/>
      </w:pPr>
      <w:r>
        <w:t>[</w:t>
      </w:r>
      <w:r>
        <w:rPr>
          <w:b/>
        </w:rPr>
        <w:t>5-13.</w:t>
      </w:r>
      <w:r>
        <w:tab/>
        <w:t>Deleted: Gazette 16 Aug 2017 p. 4412]</w:t>
      </w:r>
    </w:p>
    <w:p>
      <w:pPr>
        <w:pStyle w:val="Heading5"/>
        <w:rPr>
          <w:snapToGrid w:val="0"/>
        </w:rPr>
      </w:pPr>
      <w:bookmarkStart w:id="560" w:name="_Toc163121001"/>
      <w:r>
        <w:rPr>
          <w:rStyle w:val="CharSectno"/>
        </w:rPr>
        <w:t>14</w:t>
      </w:r>
      <w:r>
        <w:rPr>
          <w:snapToGrid w:val="0"/>
        </w:rPr>
        <w:t>.</w:t>
      </w:r>
      <w:r>
        <w:rPr>
          <w:snapToGrid w:val="0"/>
        </w:rPr>
        <w:tab/>
        <w:t>Papers for judge</w:t>
      </w:r>
      <w:bookmarkEnd w:id="560"/>
    </w:p>
    <w:p>
      <w:pPr>
        <w:pStyle w:val="Subsection"/>
      </w:pPr>
      <w:r>
        <w:tab/>
        <w:t>(1A)</w:t>
      </w:r>
      <w:r>
        <w:tab/>
        <w:t>This rule applies unless otherwise directed by the Court.</w:t>
      </w:r>
    </w:p>
    <w:p>
      <w:pPr>
        <w:pStyle w:val="Subsection"/>
        <w:rPr>
          <w:snapToGrid w:val="0"/>
        </w:rPr>
      </w:pPr>
      <w:r>
        <w:rPr>
          <w:snapToGrid w:val="0"/>
        </w:rPr>
        <w:tab/>
        <w:t>(1)</w:t>
      </w:r>
      <w:r>
        <w:rPr>
          <w:snapToGrid w:val="0"/>
        </w:rPr>
        <w:tab/>
        <w:t xml:space="preserve">The party making an entry for trial shall </w:t>
      </w:r>
      <w:r>
        <w:t>file as a bundle</w:t>
      </w:r>
      <w:r>
        <w:rPr>
          <w:snapToGrid w:val="0"/>
        </w:rPr>
        <w:t xml:space="preserve"> each of the following documents — </w:t>
      </w:r>
    </w:p>
    <w:p>
      <w:pPr>
        <w:pStyle w:val="Indenta"/>
        <w:rPr>
          <w:snapToGrid w:val="0"/>
        </w:rPr>
      </w:pPr>
      <w:r>
        <w:rPr>
          <w:snapToGrid w:val="0"/>
        </w:rPr>
        <w:tab/>
        <w:t>(a)</w:t>
      </w:r>
      <w:r>
        <w:rPr>
          <w:snapToGrid w:val="0"/>
        </w:rPr>
        <w:tab/>
        <w:t>the pleadings and any affidavits ordered to stand as pleadings; and</w:t>
      </w:r>
    </w:p>
    <w:p>
      <w:pPr>
        <w:pStyle w:val="Indenta"/>
        <w:rPr>
          <w:snapToGrid w:val="0"/>
        </w:rPr>
      </w:pPr>
      <w:r>
        <w:rPr>
          <w:snapToGrid w:val="0"/>
        </w:rPr>
        <w:lastRenderedPageBreak/>
        <w:tab/>
        <w:t>(b)</w:t>
      </w:r>
      <w:r>
        <w:rPr>
          <w:snapToGrid w:val="0"/>
        </w:rPr>
        <w:tab/>
        <w:t>any request or order for particulars and the particulars given; and</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 xml:space="preserve">Where the pleadings are amended after entry for trial but before </w:t>
      </w:r>
      <w:r>
        <w:t xml:space="preserve">the trial, </w:t>
      </w:r>
      <w:r>
        <w:rPr>
          <w:snapToGrid w:val="0"/>
        </w:rPr>
        <w:t xml:space="preserve">the party who made the entry shall forthwith after the filing of the amended pleading, or of any further pleading filed in consequence of the first amendment, file </w:t>
      </w:r>
      <w:r>
        <w:t>a further copy</w:t>
      </w:r>
      <w:r>
        <w:rPr>
          <w:snapToGrid w:val="0"/>
        </w:rPr>
        <w:t xml:space="preserve"> of the whole of the pleadings as amended.</w:t>
      </w:r>
    </w:p>
    <w:p>
      <w:pPr>
        <w:pStyle w:val="Subsection"/>
        <w:rPr>
          <w:snapToGrid w:val="0"/>
        </w:rPr>
      </w:pPr>
      <w:r>
        <w:rPr>
          <w:snapToGrid w:val="0"/>
        </w:rPr>
        <w:tab/>
        <w:t>(3)</w:t>
      </w:r>
      <w:r>
        <w:rPr>
          <w:snapToGrid w:val="0"/>
        </w:rPr>
        <w:tab/>
        <w:t xml:space="preserve">Where the pleadings are amended at trial a party </w:t>
      </w:r>
      <w:r>
        <w:t>must</w:t>
      </w:r>
      <w:r>
        <w:rPr>
          <w:snapToGrid w:val="0"/>
        </w:rPr>
        <w:t xml:space="preserve"> file </w:t>
      </w:r>
      <w:r>
        <w:t>a further copy</w:t>
      </w:r>
      <w:r>
        <w:rPr>
          <w:snapToGrid w:val="0"/>
        </w:rPr>
        <w:t xml:space="preserve"> of the whole of the pleadings as amended.</w:t>
      </w:r>
    </w:p>
    <w:p>
      <w:pPr>
        <w:pStyle w:val="Subsection"/>
        <w:rPr>
          <w:snapToGrid w:val="0"/>
        </w:rPr>
      </w:pPr>
      <w:r>
        <w:rPr>
          <w:snapToGrid w:val="0"/>
        </w:rPr>
        <w:tab/>
        <w:t>(4)</w:t>
      </w:r>
      <w:r>
        <w:rPr>
          <w:snapToGrid w:val="0"/>
        </w:rPr>
        <w:tab/>
        <w:t>All copies of pleadings required by this rule to be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Gazette 10 Jan 1975 p. 50; 16 Aug 2017 p. 4413; 27 Feb 2018 p. 561.] </w:t>
      </w:r>
    </w:p>
    <w:p>
      <w:pPr>
        <w:pStyle w:val="Heading2"/>
        <w:rPr>
          <w:b w:val="0"/>
        </w:rPr>
      </w:pPr>
      <w:bookmarkStart w:id="561" w:name="_Toc162940540"/>
      <w:bookmarkStart w:id="562" w:name="_Toc162953329"/>
      <w:bookmarkStart w:id="563" w:name="_Toc163121002"/>
      <w:r>
        <w:rPr>
          <w:rStyle w:val="CharPartNo"/>
        </w:rPr>
        <w:lastRenderedPageBreak/>
        <w:t>Order 34</w:t>
      </w:r>
      <w:r>
        <w:rPr>
          <w:rStyle w:val="CharDivNo"/>
        </w:rPr>
        <w:t> </w:t>
      </w:r>
      <w:r>
        <w:t>—</w:t>
      </w:r>
      <w:r>
        <w:rPr>
          <w:rStyle w:val="CharDivText"/>
        </w:rPr>
        <w:t> </w:t>
      </w:r>
      <w:r>
        <w:rPr>
          <w:rStyle w:val="CharPartText"/>
        </w:rPr>
        <w:t>Proceedings at trial</w:t>
      </w:r>
      <w:bookmarkEnd w:id="561"/>
      <w:bookmarkEnd w:id="562"/>
      <w:bookmarkEnd w:id="563"/>
    </w:p>
    <w:p>
      <w:pPr>
        <w:pStyle w:val="Heading5"/>
      </w:pPr>
      <w:bookmarkStart w:id="564" w:name="_Toc163121003"/>
      <w:r>
        <w:rPr>
          <w:rStyle w:val="CharSectno"/>
        </w:rPr>
        <w:t>1A</w:t>
      </w:r>
      <w:r>
        <w:t>.</w:t>
      </w:r>
      <w:r>
        <w:tab/>
        <w:t>Outlines for trial</w:t>
      </w:r>
      <w:bookmarkEnd w:id="564"/>
    </w:p>
    <w:p>
      <w:pPr>
        <w:pStyle w:val="Subsection"/>
      </w:pPr>
      <w:r>
        <w:tab/>
        <w:t>(1)</w:t>
      </w:r>
      <w:r>
        <w:tab/>
        <w:t>Unless the Court orders otherwise, each party who is directed to provide an outline must file and serve it on each other party —</w:t>
      </w:r>
    </w:p>
    <w:p>
      <w:pPr>
        <w:pStyle w:val="Indenta"/>
      </w:pPr>
      <w:r>
        <w:tab/>
        <w:t>(a)</w:t>
      </w:r>
      <w:r>
        <w:tab/>
        <w:t>if the outline is on paper, at least 4 clear days before the trial; or</w:t>
      </w:r>
    </w:p>
    <w:p>
      <w:pPr>
        <w:pStyle w:val="Indenta"/>
      </w:pPr>
      <w:r>
        <w:tab/>
        <w:t>(b)</w:t>
      </w:r>
      <w:r>
        <w:tab/>
        <w:t>if the outline is in a digital form, at least 2 clear days before the trial.</w:t>
      </w:r>
    </w:p>
    <w:p>
      <w:pPr>
        <w:pStyle w:val="Subsection"/>
      </w:pPr>
      <w:r>
        <w:tab/>
        <w:t>(2)</w:t>
      </w:r>
      <w:r>
        <w:tab/>
        <w:t>A party’s outline must contain —</w:t>
      </w:r>
    </w:p>
    <w:p>
      <w:pPr>
        <w:pStyle w:val="Indenta"/>
      </w:pPr>
      <w:r>
        <w:tab/>
        <w:t>(a)</w:t>
      </w:r>
      <w:r>
        <w:tab/>
        <w:t>a summary of the submissions the party intends to make at the trial; and</w:t>
      </w:r>
    </w:p>
    <w:p>
      <w:pPr>
        <w:pStyle w:val="Indenta"/>
      </w:pPr>
      <w:r>
        <w:tab/>
        <w:t>(b)</w:t>
      </w:r>
      <w:r>
        <w:tab/>
        <w:t>if the party considers it would be useful at the trial, a chronology of relevant events; and</w:t>
      </w:r>
    </w:p>
    <w:p>
      <w:pPr>
        <w:pStyle w:val="Indenta"/>
      </w:pPr>
      <w:r>
        <w:tab/>
        <w:t>(c)</w:t>
      </w:r>
      <w:r>
        <w:tab/>
        <w:t>a list of the cases and legislation referred to in the submissions.</w:t>
      </w:r>
    </w:p>
    <w:p>
      <w:pPr>
        <w:pStyle w:val="Footnotesection"/>
      </w:pPr>
      <w:r>
        <w:tab/>
        <w:t>[Rule 1A inserted: Gazette 16 Aug 2017 p. 4413</w:t>
      </w:r>
      <w:r>
        <w:noBreakHyphen/>
        <w:t>14.]</w:t>
      </w:r>
    </w:p>
    <w:p>
      <w:pPr>
        <w:pStyle w:val="Heading5"/>
        <w:rPr>
          <w:snapToGrid w:val="0"/>
        </w:rPr>
      </w:pPr>
      <w:bookmarkStart w:id="565" w:name="_Toc163121004"/>
      <w:r>
        <w:rPr>
          <w:rStyle w:val="CharSectno"/>
        </w:rPr>
        <w:t>1</w:t>
      </w:r>
      <w:r>
        <w:rPr>
          <w:snapToGrid w:val="0"/>
        </w:rPr>
        <w:t>.</w:t>
      </w:r>
      <w:r>
        <w:rPr>
          <w:snapToGrid w:val="0"/>
        </w:rPr>
        <w:tab/>
        <w:t>Absence of both parties at trial</w:t>
      </w:r>
      <w:bookmarkEnd w:id="565"/>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566" w:name="_Toc163121005"/>
      <w:r>
        <w:rPr>
          <w:rStyle w:val="CharSectno"/>
        </w:rPr>
        <w:t>2</w:t>
      </w:r>
      <w:r>
        <w:rPr>
          <w:snapToGrid w:val="0"/>
        </w:rPr>
        <w:t>.</w:t>
      </w:r>
      <w:r>
        <w:rPr>
          <w:snapToGrid w:val="0"/>
        </w:rPr>
        <w:tab/>
        <w:t>Absence of one party at trial</w:t>
      </w:r>
      <w:bookmarkEnd w:id="566"/>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567" w:name="_Toc163121006"/>
      <w:r>
        <w:rPr>
          <w:rStyle w:val="CharSectno"/>
        </w:rPr>
        <w:t>3</w:t>
      </w:r>
      <w:r>
        <w:rPr>
          <w:snapToGrid w:val="0"/>
        </w:rPr>
        <w:t>.</w:t>
      </w:r>
      <w:r>
        <w:rPr>
          <w:snapToGrid w:val="0"/>
        </w:rPr>
        <w:tab/>
        <w:t>Setting aside judgment given in absence of party</w:t>
      </w:r>
      <w:bookmarkEnd w:id="567"/>
    </w:p>
    <w:p>
      <w:pPr>
        <w:pStyle w:val="Subsection"/>
        <w:rPr>
          <w:snapToGrid w:val="0"/>
        </w:rPr>
      </w:pPr>
      <w:r>
        <w:rPr>
          <w:snapToGrid w:val="0"/>
        </w:rPr>
        <w:tab/>
      </w:r>
      <w:r>
        <w:rPr>
          <w:snapToGrid w:val="0"/>
        </w:rPr>
        <w:tab/>
        <w:t xml:space="preserve">Any judgment, order, or verdict obtained where one party does not appear at the trial may be set aside by the Court upon such </w:t>
      </w:r>
      <w:r>
        <w:rPr>
          <w:snapToGrid w:val="0"/>
        </w:rPr>
        <w:lastRenderedPageBreak/>
        <w:t>terms as the Court thinks just upon application made within 14 days after the trial.</w:t>
      </w:r>
    </w:p>
    <w:p>
      <w:pPr>
        <w:pStyle w:val="Heading5"/>
        <w:rPr>
          <w:snapToGrid w:val="0"/>
        </w:rPr>
      </w:pPr>
      <w:bookmarkStart w:id="568" w:name="_Toc163121007"/>
      <w:r>
        <w:rPr>
          <w:rStyle w:val="CharSectno"/>
        </w:rPr>
        <w:t>4</w:t>
      </w:r>
      <w:r>
        <w:rPr>
          <w:snapToGrid w:val="0"/>
        </w:rPr>
        <w:t>.</w:t>
      </w:r>
      <w:r>
        <w:rPr>
          <w:snapToGrid w:val="0"/>
        </w:rPr>
        <w:tab/>
        <w:t>Adjournment of trial</w:t>
      </w:r>
      <w:bookmarkEnd w:id="568"/>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569" w:name="_Toc163121008"/>
      <w:r>
        <w:rPr>
          <w:rStyle w:val="CharSectno"/>
        </w:rPr>
        <w:t>5</w:t>
      </w:r>
      <w:r>
        <w:rPr>
          <w:snapToGrid w:val="0"/>
        </w:rPr>
        <w:t>.</w:t>
      </w:r>
      <w:r>
        <w:rPr>
          <w:snapToGrid w:val="0"/>
        </w:rPr>
        <w:tab/>
        <w:t>Conduct of trial</w:t>
      </w:r>
      <w:bookmarkEnd w:id="569"/>
    </w:p>
    <w:p>
      <w:pPr>
        <w:pStyle w:val="Subsection"/>
        <w:rPr>
          <w:snapToGrid w:val="0"/>
        </w:rPr>
      </w:pPr>
      <w:r>
        <w:rPr>
          <w:snapToGrid w:val="0"/>
        </w:rPr>
        <w:tab/>
        <w:t>(1)</w:t>
      </w:r>
      <w:r>
        <w:rPr>
          <w:snapToGrid w:val="0"/>
        </w:rPr>
        <w:tab/>
        <w:t xml:space="preserve">The Court (whether the trial is with or without a jury) may give directions as to the party who is to begin and the order of addresses at the trial, and subject to any such directions, the party to begin and the order of addresses shall be as provided by the following </w:t>
      </w:r>
      <w:r>
        <w:t>subrules</w:t>
      </w:r>
      <w:r>
        <w:rPr>
          <w:snapToGrid w:val="0"/>
        </w:rPr>
        <w:t>.</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 xml:space="preserve">At the conclusion of all the evidence at a trial, the Court may direct the parties to </w:t>
      </w:r>
      <w:r>
        <w:t>file</w:t>
      </w:r>
      <w:r>
        <w:rPr>
          <w:snapToGrid w:val="0"/>
        </w:rPr>
        <w:t xml:space="preserve"> written submissions instead of or as adjuncts to their closing addresses.</w:t>
      </w:r>
    </w:p>
    <w:p>
      <w:pPr>
        <w:pStyle w:val="Footnotesection"/>
      </w:pPr>
      <w:r>
        <w:tab/>
        <w:t>[Rule 5 amended: Gazette 28 Oct 1996 p. 5695; 28 Jun 2011 p. 2552</w:t>
      </w:r>
      <w:r>
        <w:noBreakHyphen/>
        <w:t xml:space="preserve">3; 27 Feb 2018 p. 561.] </w:t>
      </w:r>
    </w:p>
    <w:p>
      <w:pPr>
        <w:pStyle w:val="Heading5"/>
        <w:rPr>
          <w:snapToGrid w:val="0"/>
        </w:rPr>
      </w:pPr>
      <w:bookmarkStart w:id="570" w:name="_Toc163121009"/>
      <w:r>
        <w:rPr>
          <w:rStyle w:val="CharSectno"/>
        </w:rPr>
        <w:lastRenderedPageBreak/>
        <w:t>5A</w:t>
      </w:r>
      <w:r>
        <w:rPr>
          <w:snapToGrid w:val="0"/>
        </w:rPr>
        <w:t>.</w:t>
      </w:r>
      <w:r>
        <w:rPr>
          <w:snapToGrid w:val="0"/>
        </w:rPr>
        <w:tab/>
        <w:t>Time etc. limits at trial</w:t>
      </w:r>
      <w:bookmarkEnd w:id="570"/>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 — </w:t>
      </w:r>
    </w:p>
    <w:p>
      <w:pPr>
        <w:pStyle w:val="Indenta"/>
        <w:rPr>
          <w:snapToGrid w:val="0"/>
        </w:rPr>
      </w:pPr>
      <w:r>
        <w:rPr>
          <w:snapToGrid w:val="0"/>
        </w:rPr>
        <w:tab/>
        <w:t>(a)</w:t>
      </w:r>
      <w:r>
        <w:rPr>
          <w:snapToGrid w:val="0"/>
        </w:rPr>
        <w:tab/>
        <w:t>the time limited for a trial must be reasonable; and</w:t>
      </w:r>
    </w:p>
    <w:p>
      <w:pPr>
        <w:pStyle w:val="Indenta"/>
        <w:rPr>
          <w:snapToGrid w:val="0"/>
        </w:rPr>
      </w:pPr>
      <w:r>
        <w:rPr>
          <w:snapToGrid w:val="0"/>
        </w:rPr>
        <w:tab/>
        <w:t>(b)</w:t>
      </w:r>
      <w:r>
        <w:rPr>
          <w:snapToGrid w:val="0"/>
        </w:rPr>
        <w:tab/>
        <w:t>any such direction must not detract from the principle that each party is entitled to a fair trial; and</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 and</w:t>
      </w:r>
    </w:p>
    <w:p>
      <w:pPr>
        <w:pStyle w:val="Indenta"/>
        <w:rPr>
          <w:snapToGrid w:val="0"/>
        </w:rPr>
      </w:pPr>
      <w:r>
        <w:rPr>
          <w:snapToGrid w:val="0"/>
        </w:rPr>
        <w:tab/>
        <w:t>(d)</w:t>
      </w:r>
      <w:r>
        <w:rPr>
          <w:snapToGrid w:val="0"/>
        </w:rPr>
        <w:tab/>
        <w:t>the complexity or simplicity of the case; and</w:t>
      </w:r>
    </w:p>
    <w:p>
      <w:pPr>
        <w:pStyle w:val="Indenta"/>
        <w:rPr>
          <w:snapToGrid w:val="0"/>
        </w:rPr>
      </w:pPr>
      <w:r>
        <w:rPr>
          <w:snapToGrid w:val="0"/>
        </w:rPr>
        <w:tab/>
        <w:t>(e)</w:t>
      </w:r>
      <w:r>
        <w:rPr>
          <w:snapToGrid w:val="0"/>
        </w:rPr>
        <w:tab/>
        <w:t>the number of witnesses to be called by the parties; and</w:t>
      </w:r>
    </w:p>
    <w:p>
      <w:pPr>
        <w:pStyle w:val="Indenta"/>
        <w:rPr>
          <w:snapToGrid w:val="0"/>
        </w:rPr>
      </w:pPr>
      <w:r>
        <w:rPr>
          <w:snapToGrid w:val="0"/>
        </w:rPr>
        <w:tab/>
        <w:t>(f)</w:t>
      </w:r>
      <w:r>
        <w:rPr>
          <w:snapToGrid w:val="0"/>
        </w:rPr>
        <w:tab/>
        <w:t>the volume and character of the evidence to be led; and</w:t>
      </w:r>
    </w:p>
    <w:p>
      <w:pPr>
        <w:pStyle w:val="Indenta"/>
        <w:rPr>
          <w:snapToGrid w:val="0"/>
        </w:rPr>
      </w:pPr>
      <w:r>
        <w:rPr>
          <w:snapToGrid w:val="0"/>
        </w:rPr>
        <w:tab/>
        <w:t>(g)</w:t>
      </w:r>
      <w:r>
        <w:rPr>
          <w:snapToGrid w:val="0"/>
        </w:rPr>
        <w:tab/>
        <w:t>the state of the Court lists; and</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Gazette 28 Oct 1996 p. 5695</w:t>
      </w:r>
      <w:r>
        <w:noBreakHyphen/>
        <w:t xml:space="preserve">6.] </w:t>
      </w:r>
    </w:p>
    <w:p>
      <w:pPr>
        <w:pStyle w:val="Heading5"/>
        <w:rPr>
          <w:snapToGrid w:val="0"/>
        </w:rPr>
      </w:pPr>
      <w:bookmarkStart w:id="571" w:name="_Toc163121010"/>
      <w:r>
        <w:rPr>
          <w:rStyle w:val="CharSectno"/>
        </w:rPr>
        <w:lastRenderedPageBreak/>
        <w:t>6</w:t>
      </w:r>
      <w:r>
        <w:rPr>
          <w:snapToGrid w:val="0"/>
        </w:rPr>
        <w:t>.</w:t>
      </w:r>
      <w:r>
        <w:rPr>
          <w:snapToGrid w:val="0"/>
        </w:rPr>
        <w:tab/>
        <w:t>Evidence in mitigation of damages for defamation</w:t>
      </w:r>
      <w:bookmarkEnd w:id="571"/>
    </w:p>
    <w:p>
      <w:pPr>
        <w:pStyle w:val="Subsection"/>
        <w:rPr>
          <w:snapToGrid w:val="0"/>
        </w:rPr>
      </w:pPr>
      <w:r>
        <w:rPr>
          <w:snapToGrid w:val="0"/>
        </w:rPr>
        <w:tab/>
      </w:r>
      <w:r>
        <w:rPr>
          <w:snapToGrid w:val="0"/>
        </w:rPr>
        <w:tab/>
        <w:t xml:space="preserve">In actions for </w:t>
      </w:r>
      <w:r>
        <w:t>defamation</w:t>
      </w:r>
      <w:r>
        <w:rPr>
          <w:snapToGrid w:val="0"/>
        </w:rPr>
        <w:t xml:space="preserve"> in which the defendant does not by his defence assert the truth of the statement complained of, the defendant shall not be entitled on the trial to give evidence in chief, with a view to mitigation of damages, as to the circumstances under which the </w:t>
      </w:r>
      <w:r>
        <w:t>defamation</w:t>
      </w:r>
      <w:r>
        <w:rPr>
          <w:snapToGrid w:val="0"/>
        </w:rPr>
        <w:t xml:space="preserve"> was published, or as to the character of the plaintiff, without the leave of the judge, unless 7 days at least before the trial he </w:t>
      </w:r>
      <w:r>
        <w:t>files and serves on the plaintiff particulars</w:t>
      </w:r>
      <w:r>
        <w:rPr>
          <w:snapToGrid w:val="0"/>
        </w:rPr>
        <w:t xml:space="preserve"> of the matters as to which he intends to give evidence.</w:t>
      </w:r>
    </w:p>
    <w:p>
      <w:pPr>
        <w:pStyle w:val="Footnotesection"/>
      </w:pPr>
      <w:r>
        <w:tab/>
        <w:t>[Rule 6 amended: Gazette 16 Aug 2017 p. 4414; 27 Feb 2018 p. 562.]</w:t>
      </w:r>
    </w:p>
    <w:p>
      <w:pPr>
        <w:pStyle w:val="Heading5"/>
        <w:rPr>
          <w:snapToGrid w:val="0"/>
        </w:rPr>
      </w:pPr>
      <w:bookmarkStart w:id="572" w:name="_Toc163121011"/>
      <w:r>
        <w:rPr>
          <w:rStyle w:val="CharSectno"/>
        </w:rPr>
        <w:t>7</w:t>
      </w:r>
      <w:r>
        <w:rPr>
          <w:snapToGrid w:val="0"/>
        </w:rPr>
        <w:t>.</w:t>
      </w:r>
      <w:r>
        <w:rPr>
          <w:snapToGrid w:val="0"/>
        </w:rPr>
        <w:tab/>
        <w:t>Inspection by judge or jury</w:t>
      </w:r>
      <w:bookmarkEnd w:id="572"/>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 xml:space="preserve">Where a cause or matter is tried with a jury, and the judge inspects any property, place or thing under </w:t>
      </w:r>
      <w:r>
        <w:t>subrule</w:t>
      </w:r>
      <w:r>
        <w:rPr>
          <w:snapToGrid w:val="0"/>
        </w:rPr>
        <w:t> (1), he may authorise the jury to inspect it also.</w:t>
      </w:r>
    </w:p>
    <w:p>
      <w:pPr>
        <w:pStyle w:val="Footnotesection"/>
      </w:pPr>
      <w:r>
        <w:tab/>
        <w:t>[Rule 7 amended: Gazette 28 Jun 2011 p. 2552.]</w:t>
      </w:r>
    </w:p>
    <w:p>
      <w:pPr>
        <w:pStyle w:val="Heading5"/>
        <w:rPr>
          <w:snapToGrid w:val="0"/>
        </w:rPr>
      </w:pPr>
      <w:bookmarkStart w:id="573" w:name="_Toc163121012"/>
      <w:r>
        <w:rPr>
          <w:rStyle w:val="CharSectno"/>
        </w:rPr>
        <w:t>8</w:t>
      </w:r>
      <w:r>
        <w:rPr>
          <w:snapToGrid w:val="0"/>
        </w:rPr>
        <w:t>.</w:t>
      </w:r>
      <w:r>
        <w:rPr>
          <w:snapToGrid w:val="0"/>
        </w:rPr>
        <w:tab/>
        <w:t>Judgment at or after trial</w:t>
      </w:r>
      <w:bookmarkEnd w:id="573"/>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574" w:name="_Toc163121013"/>
      <w:r>
        <w:rPr>
          <w:rStyle w:val="CharSectno"/>
        </w:rPr>
        <w:t>9</w:t>
      </w:r>
      <w:r>
        <w:rPr>
          <w:snapToGrid w:val="0"/>
        </w:rPr>
        <w:t>.</w:t>
      </w:r>
      <w:r>
        <w:rPr>
          <w:snapToGrid w:val="0"/>
        </w:rPr>
        <w:tab/>
        <w:t>Record of proceedings</w:t>
      </w:r>
      <w:bookmarkEnd w:id="574"/>
    </w:p>
    <w:p>
      <w:pPr>
        <w:pStyle w:val="Subsection"/>
        <w:rPr>
          <w:snapToGrid w:val="0"/>
        </w:rPr>
      </w:pPr>
      <w:r>
        <w:rPr>
          <w:snapToGrid w:val="0"/>
        </w:rPr>
        <w:tab/>
      </w:r>
      <w:r>
        <w:rPr>
          <w:snapToGrid w:val="0"/>
        </w:rPr>
        <w:tab/>
        <w:t xml:space="preserve">The associate or other officer present at any hearing or trial shall maintain and complete a record of proceedings at the trial in a </w:t>
      </w:r>
      <w:r>
        <w:rPr>
          <w:snapToGrid w:val="0"/>
        </w:rPr>
        <w:lastRenderedPageBreak/>
        <w:t>form providing for such particulars as the Chief Justice may from time to time direct.</w:t>
      </w:r>
    </w:p>
    <w:p>
      <w:pPr>
        <w:pStyle w:val="Heading5"/>
        <w:rPr>
          <w:snapToGrid w:val="0"/>
        </w:rPr>
      </w:pPr>
      <w:bookmarkStart w:id="575" w:name="_Toc163121014"/>
      <w:r>
        <w:rPr>
          <w:rStyle w:val="CharSectno"/>
        </w:rPr>
        <w:t>10</w:t>
      </w:r>
      <w:r>
        <w:rPr>
          <w:snapToGrid w:val="0"/>
        </w:rPr>
        <w:t>.</w:t>
      </w:r>
      <w:r>
        <w:rPr>
          <w:snapToGrid w:val="0"/>
        </w:rPr>
        <w:tab/>
        <w:t>Where time occupied by trial excessive</w:t>
      </w:r>
      <w:bookmarkEnd w:id="575"/>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w:t>
      </w:r>
      <w:r>
        <w:t xml:space="preserve"> subrule</w:t>
      </w:r>
      <w:r>
        <w:rPr>
          <w:snapToGrid w:val="0"/>
        </w:rPr>
        <w:t> (1) shall be communicated to the taxing officer by the associate or other officer as the case may be.</w:t>
      </w:r>
    </w:p>
    <w:p>
      <w:pPr>
        <w:pStyle w:val="Footnotesection"/>
      </w:pPr>
      <w:r>
        <w:tab/>
        <w:t>[Rule 10 amended: Gazette 28 Jun 2011 p. 2552.]</w:t>
      </w:r>
    </w:p>
    <w:p>
      <w:pPr>
        <w:pStyle w:val="Heading5"/>
        <w:rPr>
          <w:snapToGrid w:val="0"/>
        </w:rPr>
      </w:pPr>
      <w:bookmarkStart w:id="576" w:name="_Toc163121015"/>
      <w:r>
        <w:rPr>
          <w:rStyle w:val="CharSectno"/>
        </w:rPr>
        <w:t>11</w:t>
      </w:r>
      <w:r>
        <w:rPr>
          <w:snapToGrid w:val="0"/>
        </w:rPr>
        <w:t>.</w:t>
      </w:r>
      <w:r>
        <w:rPr>
          <w:snapToGrid w:val="0"/>
        </w:rPr>
        <w:tab/>
        <w:t>Entry of findings of fact on trial</w:t>
      </w:r>
      <w:bookmarkEnd w:id="576"/>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577" w:name="_Toc163121016"/>
      <w:r>
        <w:rPr>
          <w:rStyle w:val="CharSectno"/>
        </w:rPr>
        <w:t>12</w:t>
      </w:r>
      <w:r>
        <w:rPr>
          <w:snapToGrid w:val="0"/>
        </w:rPr>
        <w:t>.</w:t>
      </w:r>
      <w:r>
        <w:rPr>
          <w:snapToGrid w:val="0"/>
        </w:rPr>
        <w:tab/>
        <w:t>Certificate for entry of judgment</w:t>
      </w:r>
      <w:bookmarkEnd w:id="577"/>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Gazette 13 Oct 1978 p. 3698; 30 Nov 1984 p. 3952.] </w:t>
      </w:r>
    </w:p>
    <w:p>
      <w:pPr>
        <w:pStyle w:val="Heading5"/>
        <w:rPr>
          <w:snapToGrid w:val="0"/>
        </w:rPr>
      </w:pPr>
      <w:bookmarkStart w:id="578" w:name="_Toc163121017"/>
      <w:r>
        <w:rPr>
          <w:rStyle w:val="CharSectno"/>
        </w:rPr>
        <w:lastRenderedPageBreak/>
        <w:t>13</w:t>
      </w:r>
      <w:r>
        <w:rPr>
          <w:snapToGrid w:val="0"/>
        </w:rPr>
        <w:t>.</w:t>
      </w:r>
      <w:r>
        <w:rPr>
          <w:snapToGrid w:val="0"/>
        </w:rPr>
        <w:tab/>
        <w:t>Exhibits</w:t>
      </w:r>
      <w:bookmarkEnd w:id="578"/>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Gazette 13 Oct 1978 p. 3698.] </w:t>
      </w:r>
    </w:p>
    <w:p>
      <w:pPr>
        <w:pStyle w:val="Heading5"/>
      </w:pPr>
      <w:bookmarkStart w:id="579" w:name="_Toc163121018"/>
      <w:r>
        <w:rPr>
          <w:rStyle w:val="CharSectno"/>
        </w:rPr>
        <w:t>14</w:t>
      </w:r>
      <w:r>
        <w:t>.</w:t>
      </w:r>
      <w:r>
        <w:tab/>
        <w:t>Return of exhibits</w:t>
      </w:r>
      <w:bookmarkEnd w:id="579"/>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spacing w:before="70"/>
      </w:pPr>
      <w:r>
        <w:tab/>
        <w:t>(a)</w:t>
      </w:r>
      <w:r>
        <w:tab/>
        <w:t>by a written notice, require the party who tendered any record or thing that was admitted in evidence by the Court to collect it from the court; and</w:t>
      </w:r>
    </w:p>
    <w:p>
      <w:pPr>
        <w:pStyle w:val="Indenta"/>
        <w:spacing w:before="70"/>
      </w:pPr>
      <w:r>
        <w:tab/>
        <w:t>(b)</w:t>
      </w:r>
      <w:r>
        <w:tab/>
        <w:t>by a written notice, require any person who, under a subpoena, produced any record or thing to the Court that was not admitted in evidence, to collect it from the court.</w:t>
      </w:r>
    </w:p>
    <w:p>
      <w:pPr>
        <w:pStyle w:val="Subsection"/>
      </w:pPr>
      <w:r>
        <w:tab/>
        <w:t>(3)</w:t>
      </w:r>
      <w:r>
        <w:tab/>
        <w:t xml:space="preserve">A registrar must not act under </w:t>
      </w:r>
      <w:r>
        <w:rPr>
          <w:snapToGrid w:val="0"/>
        </w:rPr>
        <w:t>subrule</w:t>
      </w:r>
      <w:r>
        <w:t xml:space="preserv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 xml:space="preserve">Despite </w:t>
      </w:r>
      <w:r>
        <w:rPr>
          <w:snapToGrid w:val="0"/>
        </w:rPr>
        <w:t>subrule</w:t>
      </w:r>
      <w:r>
        <w:t xml:space="preserv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lastRenderedPageBreak/>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 xml:space="preserve">If under </w:t>
      </w:r>
      <w:r>
        <w:rPr>
          <w:snapToGrid w:val="0"/>
        </w:rPr>
        <w:t>subrule</w:t>
      </w:r>
      <w:r>
        <w:t xml:space="preserve"> (4)(b) a registrar releases a record or thing to a person, the registrar may require the person, as a condition of being given it, to file a written undertaking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Gazette 21 Feb 2007 p. 539; amended: Gazette 27 Feb 2018 p. 562.]</w:t>
      </w:r>
    </w:p>
    <w:p>
      <w:pPr>
        <w:pStyle w:val="Ednotesection"/>
      </w:pPr>
      <w:r>
        <w:t>[</w:t>
      </w:r>
      <w:r>
        <w:rPr>
          <w:b/>
        </w:rPr>
        <w:t>15.</w:t>
      </w:r>
      <w:r>
        <w:tab/>
        <w:t>Deleted: Gazette 21 Feb 2007 p. 539.]</w:t>
      </w:r>
    </w:p>
    <w:p>
      <w:pPr>
        <w:pStyle w:val="Heading5"/>
        <w:rPr>
          <w:snapToGrid w:val="0"/>
        </w:rPr>
      </w:pPr>
      <w:bookmarkStart w:id="580" w:name="_Toc163121019"/>
      <w:r>
        <w:rPr>
          <w:rStyle w:val="CharSectno"/>
        </w:rPr>
        <w:t>15A</w:t>
      </w:r>
      <w:r>
        <w:rPr>
          <w:snapToGrid w:val="0"/>
        </w:rPr>
        <w:t>.</w:t>
      </w:r>
      <w:r>
        <w:rPr>
          <w:snapToGrid w:val="0"/>
        </w:rPr>
        <w:tab/>
        <w:t>Return of document etc. to non-party who produced it under subpoena</w:t>
      </w:r>
      <w:bookmarkEnd w:id="580"/>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Gazette 1 Mar 1994 p. 785.] </w:t>
      </w:r>
    </w:p>
    <w:p>
      <w:pPr>
        <w:pStyle w:val="Ednotesection"/>
      </w:pPr>
      <w:r>
        <w:t>[</w:t>
      </w:r>
      <w:r>
        <w:rPr>
          <w:b/>
        </w:rPr>
        <w:t>15B.</w:t>
      </w:r>
      <w:r>
        <w:tab/>
        <w:t>Deleted: Gazette 21 Feb 2007 p. 539.]</w:t>
      </w:r>
    </w:p>
    <w:p>
      <w:pPr>
        <w:pStyle w:val="Heading5"/>
        <w:rPr>
          <w:snapToGrid w:val="0"/>
        </w:rPr>
      </w:pPr>
      <w:bookmarkStart w:id="581" w:name="_Toc163121020"/>
      <w:r>
        <w:rPr>
          <w:rStyle w:val="CharSectno"/>
        </w:rPr>
        <w:lastRenderedPageBreak/>
        <w:t>16</w:t>
      </w:r>
      <w:r>
        <w:rPr>
          <w:snapToGrid w:val="0"/>
        </w:rPr>
        <w:t>.</w:t>
      </w:r>
      <w:r>
        <w:rPr>
          <w:snapToGrid w:val="0"/>
        </w:rPr>
        <w:tab/>
        <w:t>Death of party before judgment is given</w:t>
      </w:r>
      <w:bookmarkEnd w:id="581"/>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r>
      <w:r>
        <w:t>Subrule</w:t>
      </w:r>
      <w:r>
        <w:rPr>
          <w:snapToGrid w:val="0"/>
        </w:rPr>
        <w:t> (1) does not affect the power of the Court to make orders under Order 18 rule 7(2).</w:t>
      </w:r>
    </w:p>
    <w:p>
      <w:pPr>
        <w:pStyle w:val="Footnotesection"/>
      </w:pPr>
      <w:r>
        <w:tab/>
        <w:t>[Rule 16 amended: Gazette 28 Jun 2011 p. 2552.]</w:t>
      </w:r>
    </w:p>
    <w:p>
      <w:pPr>
        <w:pStyle w:val="Heading5"/>
        <w:rPr>
          <w:snapToGrid w:val="0"/>
        </w:rPr>
      </w:pPr>
      <w:bookmarkStart w:id="582" w:name="_Toc163121021"/>
      <w:r>
        <w:rPr>
          <w:rStyle w:val="CharSectno"/>
        </w:rPr>
        <w:t>17</w:t>
      </w:r>
      <w:r>
        <w:rPr>
          <w:snapToGrid w:val="0"/>
        </w:rPr>
        <w:t>.</w:t>
      </w:r>
      <w:r>
        <w:rPr>
          <w:snapToGrid w:val="0"/>
        </w:rPr>
        <w:tab/>
        <w:t>Impounded documents</w:t>
      </w:r>
      <w:bookmarkEnd w:id="582"/>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Gazette 29 Apr 2005 p. 1795.]</w:t>
      </w:r>
    </w:p>
    <w:p>
      <w:pPr>
        <w:pStyle w:val="Heading5"/>
        <w:rPr>
          <w:snapToGrid w:val="0"/>
        </w:rPr>
      </w:pPr>
      <w:bookmarkStart w:id="583" w:name="_Toc163121022"/>
      <w:r>
        <w:rPr>
          <w:rStyle w:val="CharSectno"/>
        </w:rPr>
        <w:t>18</w:t>
      </w:r>
      <w:r>
        <w:rPr>
          <w:snapToGrid w:val="0"/>
        </w:rPr>
        <w:t>.</w:t>
      </w:r>
      <w:r>
        <w:rPr>
          <w:snapToGrid w:val="0"/>
        </w:rPr>
        <w:tab/>
        <w:t>Assessment of damages by master</w:t>
      </w:r>
      <w:bookmarkEnd w:id="583"/>
    </w:p>
    <w:p>
      <w:pPr>
        <w:pStyle w:val="Subsection"/>
        <w:rPr>
          <w:snapToGrid w:val="0"/>
        </w:rPr>
      </w:pPr>
      <w:r>
        <w:rPr>
          <w:snapToGrid w:val="0"/>
        </w:rPr>
        <w:tab/>
        <w:t>(1)</w:t>
      </w:r>
      <w:r>
        <w:rPr>
          <w:snapToGrid w:val="0"/>
        </w:rPr>
        <w:tab/>
        <w:t>This rule applies where the Court orders that the amount of damages for which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Ednotesubsection"/>
      </w:pPr>
      <w:r>
        <w:lastRenderedPageBreak/>
        <w:tab/>
        <w:t>[(6)</w:t>
      </w:r>
      <w:r>
        <w:tab/>
        <w:t>deleted]</w:t>
      </w:r>
    </w:p>
    <w:p>
      <w:pPr>
        <w:pStyle w:val="Footnotesection"/>
      </w:pPr>
      <w:r>
        <w:tab/>
        <w:t xml:space="preserve">[Rule 18 amended: Gazette 9 Nov 1973 p. 4162; 30 Nov 1984 p. 3951; 16 Nov 2016 p. 5199.] </w:t>
      </w:r>
    </w:p>
    <w:p>
      <w:pPr>
        <w:pStyle w:val="Heading5"/>
        <w:rPr>
          <w:snapToGrid w:val="0"/>
        </w:rPr>
      </w:pPr>
      <w:bookmarkStart w:id="584" w:name="_Toc163121023"/>
      <w:r>
        <w:rPr>
          <w:rStyle w:val="CharSectno"/>
        </w:rPr>
        <w:t>19</w:t>
      </w:r>
      <w:r>
        <w:rPr>
          <w:snapToGrid w:val="0"/>
        </w:rPr>
        <w:t>.</w:t>
      </w:r>
      <w:r>
        <w:rPr>
          <w:snapToGrid w:val="0"/>
        </w:rPr>
        <w:tab/>
        <w:t>Damages to time of assessment</w:t>
      </w:r>
      <w:bookmarkEnd w:id="584"/>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r>
      <w:r>
        <w:t>Subrule</w:t>
      </w:r>
      <w:r>
        <w:rPr>
          <w:snapToGrid w:val="0"/>
        </w:rPr>
        <w:t> (1) applies to the assessment of damages under this Order or otherwise.</w:t>
      </w:r>
    </w:p>
    <w:p>
      <w:pPr>
        <w:pStyle w:val="Footnotesection"/>
      </w:pPr>
      <w:r>
        <w:tab/>
        <w:t>[Rule 19 amended: Gazette 28 Jun 2011 p. 2552.]</w:t>
      </w:r>
    </w:p>
    <w:p>
      <w:pPr>
        <w:pStyle w:val="Heading5"/>
        <w:rPr>
          <w:snapToGrid w:val="0"/>
        </w:rPr>
      </w:pPr>
      <w:bookmarkStart w:id="585" w:name="_Toc163121024"/>
      <w:r>
        <w:rPr>
          <w:rStyle w:val="CharSectno"/>
        </w:rPr>
        <w:t>20</w:t>
      </w:r>
      <w:r>
        <w:rPr>
          <w:snapToGrid w:val="0"/>
        </w:rPr>
        <w:t>.</w:t>
      </w:r>
      <w:r>
        <w:rPr>
          <w:snapToGrid w:val="0"/>
        </w:rPr>
        <w:tab/>
        <w:t>Writ of inquiry not to be used</w:t>
      </w:r>
      <w:bookmarkEnd w:id="585"/>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586" w:name="_Toc162940563"/>
      <w:bookmarkStart w:id="587" w:name="_Toc162953352"/>
      <w:bookmarkStart w:id="588" w:name="_Toc163121025"/>
      <w:r>
        <w:rPr>
          <w:rStyle w:val="CharPartNo"/>
        </w:rPr>
        <w:lastRenderedPageBreak/>
        <w:t>Order 35</w:t>
      </w:r>
      <w:r>
        <w:rPr>
          <w:rStyle w:val="CharDivNo"/>
        </w:rPr>
        <w:t> </w:t>
      </w:r>
      <w:r>
        <w:t>—</w:t>
      </w:r>
      <w:r>
        <w:rPr>
          <w:rStyle w:val="CharDivText"/>
        </w:rPr>
        <w:t> </w:t>
      </w:r>
      <w:r>
        <w:rPr>
          <w:rStyle w:val="CharPartText"/>
        </w:rPr>
        <w:t>Assessors and referees</w:t>
      </w:r>
      <w:bookmarkEnd w:id="586"/>
      <w:bookmarkEnd w:id="587"/>
      <w:bookmarkEnd w:id="588"/>
    </w:p>
    <w:p>
      <w:pPr>
        <w:pStyle w:val="Heading5"/>
        <w:rPr>
          <w:snapToGrid w:val="0"/>
        </w:rPr>
      </w:pPr>
      <w:bookmarkStart w:id="589" w:name="_Toc163121026"/>
      <w:r>
        <w:rPr>
          <w:rStyle w:val="CharSectno"/>
        </w:rPr>
        <w:t>1</w:t>
      </w:r>
      <w:r>
        <w:rPr>
          <w:snapToGrid w:val="0"/>
        </w:rPr>
        <w:t>.</w:t>
      </w:r>
      <w:r>
        <w:rPr>
          <w:snapToGrid w:val="0"/>
        </w:rPr>
        <w:tab/>
        <w:t>Trial with assessors</w:t>
      </w:r>
      <w:bookmarkEnd w:id="589"/>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590" w:name="_Toc163121027"/>
      <w:r>
        <w:rPr>
          <w:rStyle w:val="CharSectno"/>
        </w:rPr>
        <w:t>2</w:t>
      </w:r>
      <w:r>
        <w:rPr>
          <w:snapToGrid w:val="0"/>
        </w:rPr>
        <w:t>.</w:t>
      </w:r>
      <w:r>
        <w:rPr>
          <w:snapToGrid w:val="0"/>
        </w:rPr>
        <w:tab/>
        <w:t>Trial before referee</w:t>
      </w:r>
      <w:bookmarkEnd w:id="590"/>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591" w:name="_Toc163121028"/>
      <w:r>
        <w:rPr>
          <w:rStyle w:val="CharSectno"/>
        </w:rPr>
        <w:t>3</w:t>
      </w:r>
      <w:r>
        <w:rPr>
          <w:snapToGrid w:val="0"/>
        </w:rPr>
        <w:t>.</w:t>
      </w:r>
      <w:r>
        <w:rPr>
          <w:snapToGrid w:val="0"/>
        </w:rPr>
        <w:tab/>
        <w:t>Evidence before referee</w:t>
      </w:r>
      <w:bookmarkEnd w:id="591"/>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592" w:name="_Toc163121029"/>
      <w:r>
        <w:rPr>
          <w:rStyle w:val="CharSectno"/>
        </w:rPr>
        <w:t>4</w:t>
      </w:r>
      <w:r>
        <w:rPr>
          <w:snapToGrid w:val="0"/>
        </w:rPr>
        <w:t>.</w:t>
      </w:r>
      <w:r>
        <w:rPr>
          <w:snapToGrid w:val="0"/>
        </w:rPr>
        <w:tab/>
        <w:t>Authority of referee</w:t>
      </w:r>
      <w:bookmarkEnd w:id="592"/>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593" w:name="_Toc163121030"/>
      <w:r>
        <w:rPr>
          <w:rStyle w:val="CharSectno"/>
        </w:rPr>
        <w:lastRenderedPageBreak/>
        <w:t>5</w:t>
      </w:r>
      <w:r>
        <w:rPr>
          <w:snapToGrid w:val="0"/>
        </w:rPr>
        <w:t>.</w:t>
      </w:r>
      <w:r>
        <w:rPr>
          <w:snapToGrid w:val="0"/>
        </w:rPr>
        <w:tab/>
        <w:t>Referee cannot order imprisonment</w:t>
      </w:r>
      <w:bookmarkEnd w:id="593"/>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594" w:name="_Toc163121031"/>
      <w:r>
        <w:rPr>
          <w:rStyle w:val="CharSectno"/>
        </w:rPr>
        <w:t>6</w:t>
      </w:r>
      <w:r>
        <w:rPr>
          <w:snapToGrid w:val="0"/>
        </w:rPr>
        <w:t>.</w:t>
      </w:r>
      <w:r>
        <w:rPr>
          <w:snapToGrid w:val="0"/>
        </w:rPr>
        <w:tab/>
        <w:t>Referee may submit question to Court</w:t>
      </w:r>
      <w:bookmarkEnd w:id="594"/>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595" w:name="_Toc163121032"/>
      <w:r>
        <w:rPr>
          <w:rStyle w:val="CharSectno"/>
        </w:rPr>
        <w:t>7</w:t>
      </w:r>
      <w:r>
        <w:rPr>
          <w:snapToGrid w:val="0"/>
        </w:rPr>
        <w:t>.</w:t>
      </w:r>
      <w:r>
        <w:rPr>
          <w:snapToGrid w:val="0"/>
        </w:rPr>
        <w:tab/>
        <w:t>Notice of referee’s report</w:t>
      </w:r>
      <w:bookmarkEnd w:id="595"/>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596" w:name="_Toc163121033"/>
      <w:r>
        <w:rPr>
          <w:rStyle w:val="CharSectno"/>
        </w:rPr>
        <w:t>8</w:t>
      </w:r>
      <w:r>
        <w:rPr>
          <w:snapToGrid w:val="0"/>
        </w:rPr>
        <w:t>.</w:t>
      </w:r>
      <w:r>
        <w:rPr>
          <w:snapToGrid w:val="0"/>
        </w:rPr>
        <w:tab/>
        <w:t>Adoption etc. of referee’s report in adjourned case</w:t>
      </w:r>
      <w:bookmarkEnd w:id="596"/>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597" w:name="_Toc163121034"/>
      <w:r>
        <w:rPr>
          <w:rStyle w:val="CharSectno"/>
        </w:rPr>
        <w:lastRenderedPageBreak/>
        <w:t>9</w:t>
      </w:r>
      <w:r>
        <w:rPr>
          <w:snapToGrid w:val="0"/>
        </w:rPr>
        <w:t>.</w:t>
      </w:r>
      <w:r>
        <w:rPr>
          <w:snapToGrid w:val="0"/>
        </w:rPr>
        <w:tab/>
        <w:t>Adoption etc. of referee’s report where case not adjourned</w:t>
      </w:r>
      <w:bookmarkEnd w:id="597"/>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598" w:name="_Toc163121035"/>
      <w:r>
        <w:rPr>
          <w:rStyle w:val="CharSectno"/>
        </w:rPr>
        <w:t>10</w:t>
      </w:r>
      <w:r>
        <w:rPr>
          <w:snapToGrid w:val="0"/>
        </w:rPr>
        <w:t>.</w:t>
      </w:r>
      <w:r>
        <w:rPr>
          <w:snapToGrid w:val="0"/>
        </w:rPr>
        <w:tab/>
        <w:t>Costs</w:t>
      </w:r>
      <w:bookmarkEnd w:id="598"/>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599" w:name="_Toc163121036"/>
      <w:r>
        <w:rPr>
          <w:rStyle w:val="CharSectno"/>
        </w:rPr>
        <w:t>11</w:t>
      </w:r>
      <w:r>
        <w:rPr>
          <w:snapToGrid w:val="0"/>
        </w:rPr>
        <w:t>.</w:t>
      </w:r>
      <w:r>
        <w:rPr>
          <w:snapToGrid w:val="0"/>
        </w:rPr>
        <w:tab/>
        <w:t>Application of this Order to other references</w:t>
      </w:r>
      <w:bookmarkEnd w:id="599"/>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Gazette 2 Jul 1982 p. 2316; amended: Gazette 30 Nov 1984 p. 3951.] </w:t>
      </w:r>
    </w:p>
    <w:p>
      <w:pPr>
        <w:pStyle w:val="Heading2"/>
        <w:rPr>
          <w:b w:val="0"/>
        </w:rPr>
      </w:pPr>
      <w:bookmarkStart w:id="600" w:name="_Toc162940575"/>
      <w:bookmarkStart w:id="601" w:name="_Toc162953364"/>
      <w:bookmarkStart w:id="602" w:name="_Toc163121037"/>
      <w:r>
        <w:rPr>
          <w:rStyle w:val="CharPartNo"/>
        </w:rPr>
        <w:lastRenderedPageBreak/>
        <w:t>Order 36</w:t>
      </w:r>
      <w:r>
        <w:rPr>
          <w:rStyle w:val="CharDivNo"/>
        </w:rPr>
        <w:t> </w:t>
      </w:r>
      <w:r>
        <w:t>—</w:t>
      </w:r>
      <w:r>
        <w:rPr>
          <w:rStyle w:val="CharDivText"/>
        </w:rPr>
        <w:t> </w:t>
      </w:r>
      <w:r>
        <w:rPr>
          <w:rStyle w:val="CharPartText"/>
        </w:rPr>
        <w:t>Evidence: general</w:t>
      </w:r>
      <w:bookmarkEnd w:id="600"/>
      <w:bookmarkEnd w:id="601"/>
      <w:bookmarkEnd w:id="602"/>
    </w:p>
    <w:p>
      <w:pPr>
        <w:pStyle w:val="Heading5"/>
        <w:rPr>
          <w:snapToGrid w:val="0"/>
        </w:rPr>
      </w:pPr>
      <w:bookmarkStart w:id="603" w:name="_Toc163121038"/>
      <w:r>
        <w:rPr>
          <w:rStyle w:val="CharSectno"/>
        </w:rPr>
        <w:t>1</w:t>
      </w:r>
      <w:r>
        <w:rPr>
          <w:snapToGrid w:val="0"/>
        </w:rPr>
        <w:t>.</w:t>
      </w:r>
      <w:r>
        <w:rPr>
          <w:snapToGrid w:val="0"/>
        </w:rPr>
        <w:tab/>
        <w:t>Facts to be proved usually by oral evidence in open court</w:t>
      </w:r>
      <w:bookmarkEnd w:id="603"/>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604" w:name="_Toc163121039"/>
      <w:r>
        <w:rPr>
          <w:rStyle w:val="CharSectno"/>
        </w:rPr>
        <w:t>2</w:t>
      </w:r>
      <w:r>
        <w:rPr>
          <w:snapToGrid w:val="0"/>
        </w:rPr>
        <w:t>.</w:t>
      </w:r>
      <w:r>
        <w:rPr>
          <w:snapToGrid w:val="0"/>
        </w:rPr>
        <w:tab/>
        <w:t>Evidence by affidavit</w:t>
      </w:r>
      <w:bookmarkEnd w:id="604"/>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w:t>
      </w:r>
      <w:r>
        <w:t xml:space="preserve"> subrule</w:t>
      </w:r>
      <w:r>
        <w:rPr>
          <w:snapToGrid w:val="0"/>
        </w:rPr>
        <w:t>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Footnotesection"/>
      </w:pPr>
      <w:r>
        <w:tab/>
        <w:t>[Rule 2 amended: Gazette 28 Jun 2011 p. 2552.]</w:t>
      </w:r>
    </w:p>
    <w:p>
      <w:pPr>
        <w:pStyle w:val="Heading5"/>
        <w:rPr>
          <w:snapToGrid w:val="0"/>
        </w:rPr>
      </w:pPr>
      <w:bookmarkStart w:id="605" w:name="_Toc163121040"/>
      <w:r>
        <w:rPr>
          <w:rStyle w:val="CharSectno"/>
        </w:rPr>
        <w:t>3</w:t>
      </w:r>
      <w:r>
        <w:rPr>
          <w:snapToGrid w:val="0"/>
        </w:rPr>
        <w:t>.</w:t>
      </w:r>
      <w:r>
        <w:rPr>
          <w:snapToGrid w:val="0"/>
        </w:rPr>
        <w:tab/>
        <w:t>Evidence of children etc. (</w:t>
      </w:r>
      <w:r>
        <w:rPr>
          <w:i/>
          <w:snapToGrid w:val="0"/>
        </w:rPr>
        <w:t>Evidence Act 1906</w:t>
      </w:r>
      <w:r>
        <w:rPr>
          <w:snapToGrid w:val="0"/>
        </w:rPr>
        <w:t xml:space="preserve"> s. 106S)</w:t>
      </w:r>
      <w:bookmarkEnd w:id="605"/>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w:t>
      </w:r>
      <w:r>
        <w:rPr>
          <w:snapToGrid w:val="0"/>
        </w:rPr>
        <w:lastRenderedPageBreak/>
        <w:t>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Gazette 30 Oct 1992 p. 5310</w:t>
      </w:r>
      <w:r>
        <w:noBreakHyphen/>
        <w:t xml:space="preserve">11.] </w:t>
      </w:r>
    </w:p>
    <w:p>
      <w:pPr>
        <w:pStyle w:val="Heading5"/>
        <w:rPr>
          <w:snapToGrid w:val="0"/>
        </w:rPr>
      </w:pPr>
      <w:bookmarkStart w:id="606" w:name="_Toc163121041"/>
      <w:r>
        <w:rPr>
          <w:rStyle w:val="CharSectno"/>
        </w:rPr>
        <w:t>4</w:t>
      </w:r>
      <w:r>
        <w:rPr>
          <w:snapToGrid w:val="0"/>
        </w:rPr>
        <w:t>.</w:t>
      </w:r>
      <w:r>
        <w:rPr>
          <w:snapToGrid w:val="0"/>
        </w:rPr>
        <w:tab/>
        <w:t>Reception of plans etc. in evidence</w:t>
      </w:r>
      <w:bookmarkEnd w:id="606"/>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607" w:name="_Toc163121042"/>
      <w:r>
        <w:rPr>
          <w:rStyle w:val="CharSectno"/>
        </w:rPr>
        <w:t>5</w:t>
      </w:r>
      <w:r>
        <w:rPr>
          <w:snapToGrid w:val="0"/>
        </w:rPr>
        <w:t>.</w:t>
      </w:r>
      <w:r>
        <w:rPr>
          <w:snapToGrid w:val="0"/>
        </w:rPr>
        <w:tab/>
        <w:t>Orders under r. 2 or 4 may be revoked or varied</w:t>
      </w:r>
      <w:bookmarkEnd w:id="607"/>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Gazette 13 Oct 1978 p. 3698.] </w:t>
      </w:r>
    </w:p>
    <w:p>
      <w:pPr>
        <w:pStyle w:val="Heading5"/>
        <w:rPr>
          <w:snapToGrid w:val="0"/>
        </w:rPr>
      </w:pPr>
      <w:bookmarkStart w:id="608" w:name="_Toc163121043"/>
      <w:r>
        <w:rPr>
          <w:rStyle w:val="CharSectno"/>
        </w:rPr>
        <w:t>6</w:t>
      </w:r>
      <w:r>
        <w:rPr>
          <w:snapToGrid w:val="0"/>
        </w:rPr>
        <w:t>.</w:t>
      </w:r>
      <w:r>
        <w:rPr>
          <w:snapToGrid w:val="0"/>
        </w:rPr>
        <w:tab/>
        <w:t>Trials of issues etc., evidence in</w:t>
      </w:r>
      <w:bookmarkEnd w:id="608"/>
    </w:p>
    <w:p>
      <w:pPr>
        <w:pStyle w:val="Subsection"/>
        <w:spacing w:before="140"/>
        <w:rPr>
          <w:snapToGrid w:val="0"/>
        </w:rPr>
      </w:pPr>
      <w:r>
        <w:rPr>
          <w:snapToGrid w:val="0"/>
        </w:rPr>
        <w:tab/>
      </w:r>
      <w:r>
        <w:rPr>
          <w:snapToGrid w:val="0"/>
        </w:rPr>
        <w:tab/>
      </w:r>
      <w:r>
        <w:t xml:space="preserve">Rules 1 to 5 </w:t>
      </w:r>
      <w:r>
        <w:rPr>
          <w:snapToGrid w:val="0"/>
        </w:rPr>
        <w:t>apply to trials of issues or questions of fact or law, and assessments of damages as they apply to the trial of actions.</w:t>
      </w:r>
    </w:p>
    <w:p>
      <w:pPr>
        <w:pStyle w:val="Footnotesection"/>
      </w:pPr>
      <w:r>
        <w:tab/>
        <w:t>[Rule 6 amended: Gazette 28 Jun 2011 p. 2554.]</w:t>
      </w:r>
    </w:p>
    <w:p>
      <w:pPr>
        <w:pStyle w:val="Heading5"/>
        <w:rPr>
          <w:snapToGrid w:val="0"/>
        </w:rPr>
      </w:pPr>
      <w:bookmarkStart w:id="609" w:name="_Toc163121044"/>
      <w:r>
        <w:rPr>
          <w:rStyle w:val="CharSectno"/>
        </w:rPr>
        <w:t>7</w:t>
      </w:r>
      <w:r>
        <w:rPr>
          <w:snapToGrid w:val="0"/>
        </w:rPr>
        <w:t>.</w:t>
      </w:r>
      <w:r>
        <w:rPr>
          <w:snapToGrid w:val="0"/>
        </w:rPr>
        <w:tab/>
        <w:t>Depositions as evidence</w:t>
      </w:r>
      <w:bookmarkEnd w:id="609"/>
    </w:p>
    <w:p>
      <w:pPr>
        <w:pStyle w:val="Subsection"/>
        <w:spacing w:before="140"/>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lastRenderedPageBreak/>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610" w:name="_Toc163121045"/>
      <w:r>
        <w:rPr>
          <w:rStyle w:val="CharSectno"/>
        </w:rPr>
        <w:t>8</w:t>
      </w:r>
      <w:r>
        <w:rPr>
          <w:snapToGrid w:val="0"/>
        </w:rPr>
        <w:t>.</w:t>
      </w:r>
      <w:r>
        <w:rPr>
          <w:snapToGrid w:val="0"/>
        </w:rPr>
        <w:tab/>
        <w:t>Court documents admissible in evidence</w:t>
      </w:r>
      <w:bookmarkEnd w:id="610"/>
    </w:p>
    <w:p>
      <w:pPr>
        <w:pStyle w:val="Subsection"/>
        <w:rPr>
          <w:snapToGrid w:val="0"/>
        </w:rPr>
      </w:pPr>
      <w:r>
        <w:rPr>
          <w:snapToGrid w:val="0"/>
        </w:rPr>
        <w:tab/>
        <w:t>(1)</w:t>
      </w:r>
      <w:r>
        <w:rPr>
          <w:snapToGrid w:val="0"/>
        </w:rPr>
        <w:tab/>
      </w:r>
      <w:r>
        <w:t>Copies</w:t>
      </w:r>
      <w:r>
        <w:rPr>
          <w:snapToGrid w:val="0"/>
        </w:rPr>
        <w:t xml:space="preserve">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 xml:space="preserve">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w:t>
      </w:r>
      <w:r>
        <w:t>a true</w:t>
      </w:r>
      <w:r>
        <w:rPr>
          <w:snapToGrid w:val="0"/>
        </w:rPr>
        <w:t xml:space="preserve"> copy of that document without further proof unless the contrary is shown.</w:t>
      </w:r>
    </w:p>
    <w:p>
      <w:pPr>
        <w:pStyle w:val="Footnotesection"/>
      </w:pPr>
      <w:r>
        <w:tab/>
        <w:t>[Rule 8 amended: Gazette 27 Feb 2018 p. 562.]</w:t>
      </w:r>
    </w:p>
    <w:p>
      <w:pPr>
        <w:pStyle w:val="Heading5"/>
        <w:rPr>
          <w:snapToGrid w:val="0"/>
        </w:rPr>
      </w:pPr>
      <w:bookmarkStart w:id="611" w:name="_Toc163121046"/>
      <w:r>
        <w:rPr>
          <w:rStyle w:val="CharSectno"/>
        </w:rPr>
        <w:t>9</w:t>
      </w:r>
      <w:r>
        <w:rPr>
          <w:snapToGrid w:val="0"/>
        </w:rPr>
        <w:t>.</w:t>
      </w:r>
      <w:r>
        <w:rPr>
          <w:snapToGrid w:val="0"/>
        </w:rPr>
        <w:tab/>
        <w:t>Evidence at trial may be used in subsequent proceedings</w:t>
      </w:r>
      <w:bookmarkEnd w:id="611"/>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612" w:name="_Toc163121047"/>
      <w:r>
        <w:rPr>
          <w:rStyle w:val="CharSectno"/>
        </w:rPr>
        <w:t>10</w:t>
      </w:r>
      <w:r>
        <w:rPr>
          <w:snapToGrid w:val="0"/>
        </w:rPr>
        <w:t>.</w:t>
      </w:r>
      <w:r>
        <w:rPr>
          <w:snapToGrid w:val="0"/>
        </w:rPr>
        <w:tab/>
        <w:t>Evidence in another cause</w:t>
      </w:r>
      <w:bookmarkEnd w:id="612"/>
    </w:p>
    <w:p>
      <w:pPr>
        <w:pStyle w:val="Subsection"/>
        <w:rPr>
          <w:snapToGrid w:val="0"/>
        </w:rPr>
      </w:pPr>
      <w:r>
        <w:rPr>
          <w:snapToGrid w:val="0"/>
        </w:rPr>
        <w:tab/>
      </w:r>
      <w:r>
        <w:rPr>
          <w:snapToGrid w:val="0"/>
        </w:rPr>
        <w:tab/>
        <w:t xml:space="preserve">An order to read evidence taken in another cause or matter shall not be necessary, but such evidence may, saving all just </w:t>
      </w:r>
      <w:r>
        <w:rPr>
          <w:snapToGrid w:val="0"/>
        </w:rPr>
        <w:lastRenderedPageBreak/>
        <w:t xml:space="preserve">exceptions, be read on </w:t>
      </w:r>
      <w:r>
        <w:rPr>
          <w:i/>
          <w:snapToGrid w:val="0"/>
        </w:rPr>
        <w:t>ex parte</w:t>
      </w:r>
      <w:r>
        <w:rPr>
          <w:snapToGrid w:val="0"/>
        </w:rPr>
        <w:t xml:space="preserv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613" w:name="_Toc163121048"/>
      <w:r>
        <w:rPr>
          <w:rStyle w:val="CharSectno"/>
        </w:rPr>
        <w:t>11</w:t>
      </w:r>
      <w:r>
        <w:rPr>
          <w:snapToGrid w:val="0"/>
        </w:rPr>
        <w:t>.</w:t>
      </w:r>
      <w:r>
        <w:rPr>
          <w:snapToGrid w:val="0"/>
        </w:rPr>
        <w:tab/>
        <w:t>Production of documents</w:t>
      </w:r>
      <w:bookmarkEnd w:id="613"/>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r>
        <w:t>[</w:t>
      </w:r>
      <w:r>
        <w:rPr>
          <w:b/>
        </w:rPr>
        <w:t>12</w:t>
      </w:r>
      <w:r>
        <w:rPr>
          <w:b/>
        </w:rPr>
        <w:noBreakHyphen/>
        <w:t>15, 15A, 16, 16A, 17</w:t>
      </w:r>
      <w:r>
        <w:rPr>
          <w:b/>
        </w:rPr>
        <w:noBreakHyphen/>
        <w:t>19.</w:t>
      </w:r>
      <w:r>
        <w:tab/>
        <w:t>Deleted: Gazette 21 Feb 2007 p. 540.]</w:t>
      </w:r>
    </w:p>
    <w:p>
      <w:pPr>
        <w:pStyle w:val="Heading5"/>
        <w:rPr>
          <w:snapToGrid w:val="0"/>
        </w:rPr>
      </w:pPr>
      <w:bookmarkStart w:id="614" w:name="_Toc163121049"/>
      <w:r>
        <w:rPr>
          <w:rStyle w:val="CharSectno"/>
        </w:rPr>
        <w:t>20</w:t>
      </w:r>
      <w:r>
        <w:rPr>
          <w:snapToGrid w:val="0"/>
        </w:rPr>
        <w:t>.</w:t>
      </w:r>
      <w:r>
        <w:rPr>
          <w:snapToGrid w:val="0"/>
        </w:rPr>
        <w:tab/>
        <w:t>Interest for purposes of Act s. 32</w:t>
      </w:r>
      <w:bookmarkEnd w:id="614"/>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Gazette 26 Aug 1994 p. 4412; amended: Gazette 21 Feb 2007 p. 540.] </w:t>
      </w:r>
    </w:p>
    <w:p>
      <w:pPr>
        <w:pStyle w:val="Heading2"/>
        <w:rPr>
          <w:b w:val="0"/>
        </w:rPr>
      </w:pPr>
      <w:bookmarkStart w:id="615" w:name="_Toc162940588"/>
      <w:bookmarkStart w:id="616" w:name="_Toc162953377"/>
      <w:bookmarkStart w:id="617" w:name="_Toc163121050"/>
      <w:r>
        <w:rPr>
          <w:rStyle w:val="CharPartNo"/>
        </w:rPr>
        <w:lastRenderedPageBreak/>
        <w:t>Order 36A</w:t>
      </w:r>
      <w:r>
        <w:rPr>
          <w:rStyle w:val="CharDivNo"/>
        </w:rPr>
        <w:t> </w:t>
      </w:r>
      <w:r>
        <w:t>—</w:t>
      </w:r>
      <w:r>
        <w:rPr>
          <w:rStyle w:val="CharDivText"/>
        </w:rPr>
        <w:t> </w:t>
      </w:r>
      <w:r>
        <w:rPr>
          <w:rStyle w:val="CharPartText"/>
        </w:rPr>
        <w:t>Expert evidence</w:t>
      </w:r>
      <w:bookmarkEnd w:id="615"/>
      <w:bookmarkEnd w:id="616"/>
      <w:bookmarkEnd w:id="617"/>
    </w:p>
    <w:p>
      <w:pPr>
        <w:pStyle w:val="Footnoteheading"/>
        <w:ind w:left="890"/>
        <w:rPr>
          <w:snapToGrid w:val="0"/>
        </w:rPr>
      </w:pPr>
      <w:r>
        <w:rPr>
          <w:snapToGrid w:val="0"/>
        </w:rPr>
        <w:tab/>
        <w:t>[Heading inserted: Gazette 13 Oct 1978 p. 3699.]</w:t>
      </w:r>
    </w:p>
    <w:p>
      <w:pPr>
        <w:pStyle w:val="Heading5"/>
      </w:pPr>
      <w:bookmarkStart w:id="618" w:name="_Toc163121051"/>
      <w:r>
        <w:rPr>
          <w:rStyle w:val="CharSectno"/>
        </w:rPr>
        <w:t>1</w:t>
      </w:r>
      <w:r>
        <w:t>.</w:t>
      </w:r>
      <w:r>
        <w:tab/>
        <w:t>Expert evidence</w:t>
      </w:r>
      <w:bookmarkEnd w:id="618"/>
    </w:p>
    <w:p>
      <w:pPr>
        <w:pStyle w:val="Subsection"/>
      </w:pPr>
      <w:r>
        <w:tab/>
        <w:t>(1)</w:t>
      </w:r>
      <w:r>
        <w:tab/>
        <w:t xml:space="preserve">A party may not adduce expert evidence at a trial of a cause or matter unless — </w:t>
      </w:r>
    </w:p>
    <w:p>
      <w:pPr>
        <w:pStyle w:val="Indenta"/>
      </w:pPr>
      <w:r>
        <w:tab/>
        <w:t>(a)</w:t>
      </w:r>
      <w:r>
        <w:tab/>
        <w:t xml:space="preserve">the case manager for the case has directed that the party may do so; and </w:t>
      </w:r>
    </w:p>
    <w:p>
      <w:pPr>
        <w:pStyle w:val="Indenta"/>
      </w:pPr>
      <w:r>
        <w:tab/>
        <w:t>(b)</w:t>
      </w:r>
      <w:r>
        <w:tab/>
        <w:t>the party has complied with all directions given in relation to that expert evidence.</w:t>
      </w:r>
    </w:p>
    <w:p>
      <w:pPr>
        <w:pStyle w:val="Subsection"/>
      </w:pPr>
      <w:r>
        <w:tab/>
        <w:t>(2)</w:t>
      </w:r>
      <w:r>
        <w:tab/>
        <w:t xml:space="preserve">A party who is required to disclose expert evidence by a time set out in a direction may not, after that time, object to the disclosure on the ground of privilege as defined in the </w:t>
      </w:r>
      <w:r>
        <w:rPr>
          <w:i/>
        </w:rPr>
        <w:t>Evidence Act 1906</w:t>
      </w:r>
      <w:r>
        <w:t xml:space="preserve"> section 32A.</w:t>
      </w:r>
    </w:p>
    <w:p>
      <w:pPr>
        <w:pStyle w:val="Footnotesection"/>
      </w:pPr>
      <w:r>
        <w:tab/>
        <w:t>[Rule 1 inserted: Gazette 16 Aug 2017 p. 4414</w:t>
      </w:r>
      <w:r>
        <w:noBreakHyphen/>
        <w:t>15.]</w:t>
      </w:r>
    </w:p>
    <w:p>
      <w:pPr>
        <w:pStyle w:val="Ednotesection"/>
      </w:pPr>
      <w:r>
        <w:t>[</w:t>
      </w:r>
      <w:r>
        <w:rPr>
          <w:b/>
        </w:rPr>
        <w:t>2-9.</w:t>
      </w:r>
      <w:r>
        <w:tab/>
        <w:t>Deleted: Gazette 16 Aug 2017 p. 4414.]</w:t>
      </w:r>
    </w:p>
    <w:p>
      <w:pPr>
        <w:pStyle w:val="Heading2"/>
      </w:pPr>
      <w:bookmarkStart w:id="619" w:name="_Toc162940590"/>
      <w:bookmarkStart w:id="620" w:name="_Toc162953379"/>
      <w:bookmarkStart w:id="621" w:name="_Toc163121052"/>
      <w:r>
        <w:rPr>
          <w:rStyle w:val="CharPartNo"/>
        </w:rPr>
        <w:lastRenderedPageBreak/>
        <w:t>Order 36B</w:t>
      </w:r>
      <w:r>
        <w:t> — </w:t>
      </w:r>
      <w:r>
        <w:rPr>
          <w:rStyle w:val="CharPartText"/>
        </w:rPr>
        <w:t>Subpoenas</w:t>
      </w:r>
      <w:bookmarkEnd w:id="619"/>
      <w:bookmarkEnd w:id="620"/>
      <w:bookmarkEnd w:id="621"/>
    </w:p>
    <w:p>
      <w:pPr>
        <w:pStyle w:val="Footnoteheading"/>
      </w:pPr>
      <w:r>
        <w:tab/>
        <w:t>[Heading inserted: Gazette 21 Feb 2007 p. 540.]</w:t>
      </w:r>
    </w:p>
    <w:p>
      <w:pPr>
        <w:pStyle w:val="Heading5"/>
        <w:spacing w:before="180"/>
      </w:pPr>
      <w:bookmarkStart w:id="622" w:name="_Toc163121053"/>
      <w:r>
        <w:rPr>
          <w:rStyle w:val="CharSectno"/>
        </w:rPr>
        <w:t>1</w:t>
      </w:r>
      <w:r>
        <w:t>.</w:t>
      </w:r>
      <w:r>
        <w:tab/>
        <w:t>Terms used</w:t>
      </w:r>
      <w:bookmarkEnd w:id="622"/>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rStyle w:val="CharDefText"/>
        </w:rPr>
        <w:tab/>
        <w:t>Registry</w:t>
      </w:r>
      <w:r>
        <w:t xml:space="preserve"> means the Central Office;</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oral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Subsection"/>
        <w:keepNext/>
      </w:pPr>
      <w:r>
        <w:lastRenderedPageBreak/>
        <w:tab/>
        <w:t>(5)</w:t>
      </w:r>
      <w:r>
        <w:tab/>
        <w:t>Unless the Court orders otherwise, this Order is subject to Order 34 rule 15A.</w:t>
      </w:r>
    </w:p>
    <w:p>
      <w:pPr>
        <w:pStyle w:val="Footnotesection"/>
        <w:spacing w:before="60"/>
        <w:ind w:left="890" w:hanging="890"/>
      </w:pPr>
      <w:r>
        <w:tab/>
        <w:t>[Rule 1 inserted: Gazette 21 Feb 2007 p. 540; amended: Gazette 22 Feb 2008 p. 636; 28 Jul 2010 p. 3477; 24 May 2017 p. 2566.]</w:t>
      </w:r>
    </w:p>
    <w:p>
      <w:pPr>
        <w:pStyle w:val="Heading5"/>
      </w:pPr>
      <w:bookmarkStart w:id="623" w:name="_Toc163121054"/>
      <w:r>
        <w:rPr>
          <w:rStyle w:val="CharSectno"/>
        </w:rPr>
        <w:t>2</w:t>
      </w:r>
      <w:r>
        <w:t>.</w:t>
      </w:r>
      <w:r>
        <w:tab/>
        <w:t>Issuing subpoenas</w:t>
      </w:r>
      <w:bookmarkEnd w:id="623"/>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An issuing officer must not issue either a subpoena to attend to give evidence or a subpoena to produce —</w:t>
      </w:r>
    </w:p>
    <w:p>
      <w:pPr>
        <w:pStyle w:val="Indenta"/>
      </w:pPr>
      <w:r>
        <w:tab/>
        <w:t>(a)</w:t>
      </w:r>
      <w:r>
        <w:tab/>
        <w:t>if a written law or a law of another Australian jurisdiction prohibits its issue; or</w:t>
      </w:r>
    </w:p>
    <w:p>
      <w:pPr>
        <w:pStyle w:val="Indenta"/>
      </w:pPr>
      <w:r>
        <w:tab/>
        <w:t>(b)</w:t>
      </w:r>
      <w:r>
        <w:tab/>
        <w:t>if a written law or a law of another Australian jurisdiction prohibits its issue except with the Court’s leave and the Court has not given that leave; or</w:t>
      </w:r>
    </w:p>
    <w:p>
      <w:pPr>
        <w:pStyle w:val="Indenta"/>
      </w:pPr>
      <w:r>
        <w:tab/>
        <w:t>(c)</w:t>
      </w:r>
      <w:r>
        <w:tab/>
        <w:t>if the Court has ordered that the subpoena not be issued; or</w:t>
      </w:r>
    </w:p>
    <w:p>
      <w:pPr>
        <w:pStyle w:val="Indenta"/>
      </w:pPr>
      <w:r>
        <w:tab/>
        <w:t>(d)</w:t>
      </w:r>
      <w:r>
        <w:tab/>
        <w:t>if the Court has ordered that the subpoena not be issued without the Court’s leave and the Court has not given that leave.</w:t>
      </w:r>
    </w:p>
    <w:p>
      <w:pPr>
        <w:pStyle w:val="Subsection"/>
      </w:pPr>
      <w:r>
        <w:tab/>
        <w:t>(2A)</w:t>
      </w:r>
      <w:r>
        <w:tab/>
        <w:t>An issuing officer must not issue a subpoena to attend to give evidence unless —</w:t>
      </w:r>
    </w:p>
    <w:p>
      <w:pPr>
        <w:pStyle w:val="Indenta"/>
      </w:pPr>
      <w:r>
        <w:tab/>
        <w:t>(a)</w:t>
      </w:r>
      <w:r>
        <w:tab/>
        <w:t>the oral evidence of the addressee is required at one of the following —</w:t>
      </w:r>
    </w:p>
    <w:p>
      <w:pPr>
        <w:pStyle w:val="Indenti"/>
      </w:pPr>
      <w:r>
        <w:tab/>
        <w:t>(i)</w:t>
      </w:r>
      <w:r>
        <w:tab/>
        <w:t>a trial of substantive issues in a proceeding;</w:t>
      </w:r>
    </w:p>
    <w:p>
      <w:pPr>
        <w:pStyle w:val="Indenti"/>
      </w:pPr>
      <w:r>
        <w:lastRenderedPageBreak/>
        <w:tab/>
        <w:t>(ii)</w:t>
      </w:r>
      <w:r>
        <w:tab/>
        <w:t>an assessment of damages under Order 34 rule 18;</w:t>
      </w:r>
    </w:p>
    <w:p>
      <w:pPr>
        <w:pStyle w:val="Indenti"/>
      </w:pPr>
      <w:r>
        <w:tab/>
        <w:t>(iii)</w:t>
      </w:r>
      <w:r>
        <w:tab/>
        <w:t>a trial ordered under Order 35 to be before a referee or other person;</w:t>
      </w:r>
    </w:p>
    <w:p>
      <w:pPr>
        <w:pStyle w:val="Indenti"/>
      </w:pPr>
      <w:r>
        <w:tab/>
        <w:t>(iv)</w:t>
      </w:r>
      <w:r>
        <w:tab/>
        <w:t>an examination ordered under Order 38 to be before an examiner;</w:t>
      </w:r>
    </w:p>
    <w:p>
      <w:pPr>
        <w:pStyle w:val="Indenti"/>
      </w:pPr>
      <w:r>
        <w:tab/>
        <w:t>(v)</w:t>
      </w:r>
      <w:r>
        <w:tab/>
        <w:t>any other proceeding at which, under an express provision of a written law, the attendance of a person may be enforced by a subpoena;</w:t>
      </w:r>
    </w:p>
    <w:p>
      <w:pPr>
        <w:pStyle w:val="Indenta"/>
      </w:pPr>
      <w:r>
        <w:tab/>
      </w:r>
      <w:r>
        <w:tab/>
        <w:t>and</w:t>
      </w:r>
    </w:p>
    <w:p>
      <w:pPr>
        <w:pStyle w:val="Indenta"/>
      </w:pPr>
      <w:r>
        <w:tab/>
        <w:t>(b)</w:t>
      </w:r>
      <w:r>
        <w:tab/>
        <w:t>a date has been set for the trial, assessment, examination or proceeding.</w:t>
      </w:r>
    </w:p>
    <w:p>
      <w:pPr>
        <w:pStyle w:val="Subsection"/>
      </w:pPr>
      <w:r>
        <w:tab/>
        <w:t>(2B)</w:t>
      </w:r>
      <w:r>
        <w:tab/>
        <w:t>An issuing officer must not issue a subpoena to produce —</w:t>
      </w:r>
    </w:p>
    <w:p>
      <w:pPr>
        <w:pStyle w:val="Indenta"/>
      </w:pPr>
      <w:r>
        <w:tab/>
        <w:t>(a)</w:t>
      </w:r>
      <w:r>
        <w:tab/>
        <w:t>if it would require the production of a document or thing in the custody of the Court or another court; or</w:t>
      </w:r>
    </w:p>
    <w:p>
      <w:pPr>
        <w:pStyle w:val="Indenta"/>
      </w:pPr>
      <w:r>
        <w:tab/>
        <w:t>(b)</w:t>
      </w:r>
      <w:r>
        <w:tab/>
        <w:t>in a proceeding in which a defence is required to be filed, unless —</w:t>
      </w:r>
    </w:p>
    <w:p>
      <w:pPr>
        <w:pStyle w:val="Indenti"/>
      </w:pPr>
      <w:r>
        <w:tab/>
        <w:t>(i)</w:t>
      </w:r>
      <w:r>
        <w:tab/>
        <w:t>the defence has been filed; or</w:t>
      </w:r>
    </w:p>
    <w:p>
      <w:pPr>
        <w:pStyle w:val="Indenti"/>
      </w:pPr>
      <w:r>
        <w:tab/>
        <w:t>(ii)</w:t>
      </w:r>
      <w:r>
        <w:tab/>
        <w:t>the Court has given leave for the subpoena to be issued; or</w:t>
      </w:r>
    </w:p>
    <w:p>
      <w:pPr>
        <w:pStyle w:val="Indenti"/>
      </w:pPr>
      <w:r>
        <w:tab/>
        <w:t>(iii)</w:t>
      </w:r>
      <w:r>
        <w:tab/>
        <w:t>the subpoena is being issued under Order 73 rule 20(2);</w:t>
      </w:r>
    </w:p>
    <w:p>
      <w:pPr>
        <w:pStyle w:val="Indenta"/>
      </w:pPr>
      <w:r>
        <w:tab/>
      </w:r>
      <w:r>
        <w:tab/>
        <w:t>or</w:t>
      </w:r>
    </w:p>
    <w:p>
      <w:pPr>
        <w:pStyle w:val="Indenta"/>
      </w:pPr>
      <w:r>
        <w:tab/>
        <w:t>(c)</w:t>
      </w:r>
      <w:r>
        <w:tab/>
        <w:t>in a proceeding in which a defence is not required to be filed, unless —</w:t>
      </w:r>
    </w:p>
    <w:p>
      <w:pPr>
        <w:pStyle w:val="Indenti"/>
      </w:pPr>
      <w:r>
        <w:tab/>
        <w:t>(i)</w:t>
      </w:r>
      <w:r>
        <w:tab/>
        <w:t>the date and time for production is the date and time of a trial; or</w:t>
      </w:r>
    </w:p>
    <w:p>
      <w:pPr>
        <w:pStyle w:val="Indenti"/>
      </w:pPr>
      <w:r>
        <w:tab/>
        <w:t>(ii)</w:t>
      </w:r>
      <w:r>
        <w:tab/>
        <w:t>the Court has given leave for the subpoena to be issued.</w:t>
      </w:r>
    </w:p>
    <w:p>
      <w:pPr>
        <w:pStyle w:val="Subsection"/>
      </w:pPr>
      <w:r>
        <w:tab/>
        <w:t>(2C)</w:t>
      </w:r>
      <w:r>
        <w:tab/>
        <w:t>A party may apply for leave under subrule (2B)(b) or (c) without notice to any other party.</w:t>
      </w:r>
    </w:p>
    <w:p>
      <w:pPr>
        <w:pStyle w:val="Subsection"/>
      </w:pPr>
      <w:r>
        <w:lastRenderedPageBreak/>
        <w:tab/>
        <w:t>(2D)</w:t>
      </w:r>
      <w:r>
        <w:tab/>
        <w:t>The Court must not give leave under subrule (2B)(b) or (c) unless satisfied there are exceptional circumstances.</w:t>
      </w:r>
    </w:p>
    <w:p>
      <w:pPr>
        <w:pStyle w:val="Subsection"/>
      </w:pPr>
      <w:r>
        <w:tab/>
        <w:t>(2E)</w:t>
      </w:r>
      <w:r>
        <w:tab/>
        <w:t>If the Court gives leave to issue a subpoena to produce, it must set the date and time for production to be specified in the subpoena which must be —</w:t>
      </w:r>
    </w:p>
    <w:p>
      <w:pPr>
        <w:pStyle w:val="Indenta"/>
      </w:pPr>
      <w:r>
        <w:tab/>
        <w:t>(a)</w:t>
      </w:r>
      <w:r>
        <w:tab/>
        <w:t>the date and time of the trial in the proceeding at which production is required; or</w:t>
      </w:r>
    </w:p>
    <w:p>
      <w:pPr>
        <w:pStyle w:val="Indenta"/>
      </w:pPr>
      <w:r>
        <w:tab/>
        <w:t>(b)</w:t>
      </w:r>
      <w:r>
        <w:tab/>
        <w:t>an earlier date and time.</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(3A)</w:t>
      </w:r>
      <w:r>
        <w:tab/>
        <w:t xml:space="preserve">If the issuing officer issued the subpoena by means of the ECMS — </w:t>
      </w:r>
    </w:p>
    <w:p>
      <w:pPr>
        <w:pStyle w:val="Indenta"/>
      </w:pPr>
      <w:r>
        <w:tab/>
        <w:t>(a)</w:t>
      </w:r>
      <w:r>
        <w:tab/>
        <w:t>the issuing party may print from the ECMS 1 or more copies of the subpoena; and</w:t>
      </w:r>
    </w:p>
    <w:p>
      <w:pPr>
        <w:pStyle w:val="Indenta"/>
      </w:pPr>
      <w:r>
        <w:tab/>
        <w:t>(b)</w:t>
      </w:r>
      <w:r>
        <w:tab/>
        <w:t>a printed copy may be treated as a copy of the subpoena authenticated in accordance with subrule (3).</w:t>
      </w:r>
    </w:p>
    <w:p>
      <w:pPr>
        <w:pStyle w:val="Subsection"/>
      </w:pPr>
      <w:r>
        <w:tab/>
        <w:t>(4)</w:t>
      </w:r>
      <w:r>
        <w:tab/>
        <w:t xml:space="preserve">A subpoena is taken to have been issued on its being sealed or otherwise authenticated in accordance with </w:t>
      </w:r>
      <w:r>
        <w:rPr>
          <w:snapToGrid w:val="0"/>
        </w:rPr>
        <w:t>subrule</w:t>
      </w:r>
      <w:r>
        <w:t xml:space="preserve"> (3).</w:t>
      </w:r>
    </w:p>
    <w:p>
      <w:pPr>
        <w:pStyle w:val="Footnotesection"/>
      </w:pPr>
      <w:r>
        <w:tab/>
        <w:t>[Rule 2 inserted: Gazette 21 Feb 2007 p. 541; amended: Gazette 24 May 2017 p. 2566</w:t>
      </w:r>
      <w:r>
        <w:noBreakHyphen/>
        <w:t>8; 27 Feb 2018 p. 562-3; 31 Dec 2019 p. 4677.]</w:t>
      </w:r>
    </w:p>
    <w:p>
      <w:pPr>
        <w:pStyle w:val="Heading5"/>
      </w:pPr>
      <w:bookmarkStart w:id="624" w:name="_Toc163121055"/>
      <w:r>
        <w:rPr>
          <w:rStyle w:val="CharSectno"/>
        </w:rPr>
        <w:t>3</w:t>
      </w:r>
      <w:r>
        <w:t>.</w:t>
      </w:r>
      <w:r>
        <w:tab/>
        <w:t>Form of subpoena</w:t>
      </w:r>
      <w:bookmarkEnd w:id="624"/>
    </w:p>
    <w:p>
      <w:pPr>
        <w:pStyle w:val="Subsection"/>
      </w:pPr>
      <w:r>
        <w:tab/>
        <w:t>(1)</w:t>
      </w:r>
      <w:r>
        <w:tab/>
        <w:t xml:space="preserve">Subject to subrule (1A) — </w:t>
      </w:r>
    </w:p>
    <w:p>
      <w:pPr>
        <w:pStyle w:val="Indenta"/>
      </w:pPr>
      <w:r>
        <w:tab/>
        <w:t>(a)</w:t>
      </w:r>
      <w:r>
        <w:tab/>
        <w:t>a subpoena to attend to give evidence must be in the form of Form 21;</w:t>
      </w:r>
    </w:p>
    <w:p>
      <w:pPr>
        <w:pStyle w:val="Indenta"/>
      </w:pPr>
      <w:r>
        <w:tab/>
        <w:t>(b)</w:t>
      </w:r>
      <w:r>
        <w:tab/>
        <w:t>a subpoena to produce must be in the form of Form 21A;</w:t>
      </w:r>
    </w:p>
    <w:p>
      <w:pPr>
        <w:pStyle w:val="Indenta"/>
      </w:pPr>
      <w:r>
        <w:tab/>
        <w:t>(c)</w:t>
      </w:r>
      <w:r>
        <w:tab/>
        <w:t>a subpoena both to attend to give evidence and to produce must be in the form of Form 21B.</w:t>
      </w:r>
    </w:p>
    <w:p>
      <w:pPr>
        <w:pStyle w:val="Subsection"/>
      </w:pPr>
      <w:r>
        <w:lastRenderedPageBreak/>
        <w:tab/>
        <w:t>(1A)</w:t>
      </w:r>
      <w:r>
        <w:tab/>
        <w:t xml:space="preserve">Subrule (1) does not apply to a subpoena issued in proceedings under the </w:t>
      </w:r>
      <w:r>
        <w:rPr>
          <w:i/>
        </w:rPr>
        <w:t>Trans-Tasman Proceedings Act 2010</w:t>
      </w:r>
      <w:r>
        <w:t xml:space="preserve"> (Commonwealth).</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A subpoena to attend to give evidence must specify the date and time and place at which the addressee is to attend.</w:t>
      </w:r>
    </w:p>
    <w:p>
      <w:pPr>
        <w:pStyle w:val="Subsection"/>
      </w:pPr>
      <w:r>
        <w:tab/>
        <w:t>(5)</w:t>
      </w:r>
      <w:r>
        <w:tab/>
        <w:t>A subpoena to produce must specify —</w:t>
      </w:r>
    </w:p>
    <w:p>
      <w:pPr>
        <w:pStyle w:val="Indenta"/>
      </w:pPr>
      <w:r>
        <w:tab/>
        <w:t>(a)</w:t>
      </w:r>
      <w:r>
        <w:tab/>
        <w:t>the date and time for production which must be —</w:t>
      </w:r>
    </w:p>
    <w:p>
      <w:pPr>
        <w:pStyle w:val="Indenti"/>
      </w:pPr>
      <w:r>
        <w:tab/>
        <w:t>(i)</w:t>
      </w:r>
      <w:r>
        <w:tab/>
        <w:t>if the Court has given leave for the subpoena to be issued, the date and time set by the Court when giving leave; or</w:t>
      </w:r>
    </w:p>
    <w:p>
      <w:pPr>
        <w:pStyle w:val="Indenti"/>
      </w:pPr>
      <w:r>
        <w:tab/>
        <w:t>(ii)</w:t>
      </w:r>
      <w:r>
        <w:tab/>
        <w:t>otherwise, the date and time of the trial which the addressee is to attend, or a date and time permitted by the issuing officer or a registrar;</w:t>
      </w:r>
    </w:p>
    <w:p>
      <w:pPr>
        <w:pStyle w:val="Indenta"/>
      </w:pPr>
      <w:r>
        <w:tab/>
      </w:r>
      <w:r>
        <w:tab/>
        <w:t>and</w:t>
      </w:r>
    </w:p>
    <w:p>
      <w:pPr>
        <w:pStyle w:val="Indenta"/>
      </w:pPr>
      <w:r>
        <w:tab/>
        <w:t>(b)</w:t>
      </w:r>
      <w:r>
        <w:tab/>
        <w:t>the place for production which must be —</w:t>
      </w:r>
    </w:p>
    <w:p>
      <w:pPr>
        <w:pStyle w:val="Indenti"/>
      </w:pPr>
      <w:r>
        <w:tab/>
        <w:t>(i)</w:t>
      </w:r>
      <w:r>
        <w:tab/>
        <w:t>the address of the Court; or</w:t>
      </w:r>
    </w:p>
    <w:p>
      <w:pPr>
        <w:pStyle w:val="Indenti"/>
      </w:pPr>
      <w:r>
        <w:tab/>
        <w:t>(ii)</w:t>
      </w:r>
      <w:r>
        <w:tab/>
        <w:t>the address of a person authorised to take evidence in the proceeding as permitted by the Court.</w:t>
      </w:r>
    </w:p>
    <w:p>
      <w:pPr>
        <w:pStyle w:val="Ednotesubsection"/>
      </w:pPr>
      <w:r>
        <w:tab/>
        <w:t>[(6), (7)</w:t>
      </w:r>
      <w:r>
        <w:tab/>
        <w:t>deleted]</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lastRenderedPageBreak/>
        <w:tab/>
        <w:t>(9)</w:t>
      </w:r>
      <w:r>
        <w:tab/>
        <w:t>If the addressee is a corporation, the corporation must comply with the subpoena by its appropriate or proper officer.</w:t>
      </w:r>
    </w:p>
    <w:p>
      <w:pPr>
        <w:pStyle w:val="Footnotesection"/>
      </w:pPr>
      <w:r>
        <w:tab/>
        <w:t>[Rule 3 inserted: Gazette 21 Feb 2007 p. 541</w:t>
      </w:r>
      <w:r>
        <w:noBreakHyphen/>
        <w:t>2; amended: Gazette 22 Feb 2008 p. 636</w:t>
      </w:r>
      <w:r>
        <w:noBreakHyphen/>
        <w:t>7; 3 Aug 2012 p. 3749; 24 May 2017 p. 2568</w:t>
      </w:r>
      <w:r>
        <w:noBreakHyphen/>
        <w:t>9.]</w:t>
      </w:r>
    </w:p>
    <w:p>
      <w:pPr>
        <w:pStyle w:val="Ednotesection"/>
      </w:pPr>
      <w:r>
        <w:t>[</w:t>
      </w:r>
      <w:r>
        <w:rPr>
          <w:b/>
        </w:rPr>
        <w:t>3A.</w:t>
      </w:r>
      <w:r>
        <w:tab/>
        <w:t>Deleted: Gazette 24 May 2017 p. 2569.]</w:t>
      </w:r>
    </w:p>
    <w:p>
      <w:pPr>
        <w:pStyle w:val="Heading5"/>
      </w:pPr>
      <w:bookmarkStart w:id="625" w:name="_Toc163121056"/>
      <w:r>
        <w:rPr>
          <w:rStyle w:val="CharSectno"/>
        </w:rPr>
        <w:t>4</w:t>
      </w:r>
      <w:r>
        <w:t>.</w:t>
      </w:r>
      <w:r>
        <w:tab/>
        <w:t>Service of subpoenas</w:t>
      </w:r>
      <w:bookmarkEnd w:id="625"/>
    </w:p>
    <w:p>
      <w:pPr>
        <w:pStyle w:val="Subsection"/>
      </w:pPr>
      <w:r>
        <w:tab/>
        <w:t>(1)</w:t>
      </w:r>
      <w:r>
        <w:tab/>
        <w:t>A subpoena must be served personally on the addressee.</w:t>
      </w:r>
    </w:p>
    <w:p>
      <w:pPr>
        <w:pStyle w:val="Subsection"/>
      </w:pPr>
      <w:r>
        <w:tab/>
        <w:t>(2)</w:t>
      </w:r>
      <w:r>
        <w:tab/>
        <w:t>As soon as practicable after a subpoena is served on the addressee, the issuing party must serve a copy of it on each other party.</w:t>
      </w:r>
    </w:p>
    <w:p>
      <w:pPr>
        <w:pStyle w:val="Footnotesection"/>
      </w:pPr>
      <w:r>
        <w:tab/>
        <w:t>[Rule 4 inserted: Gazette 24 May 2017 p. 2569.]</w:t>
      </w:r>
    </w:p>
    <w:p>
      <w:pPr>
        <w:pStyle w:val="Heading5"/>
      </w:pPr>
      <w:bookmarkStart w:id="626" w:name="_Toc163121057"/>
      <w:r>
        <w:rPr>
          <w:rStyle w:val="CharSectno"/>
        </w:rPr>
        <w:t>5</w:t>
      </w:r>
      <w:r>
        <w:t>.</w:t>
      </w:r>
      <w:r>
        <w:tab/>
        <w:t>Party may request notice that subpoena to produce has been obeyed</w:t>
      </w:r>
      <w:bookmarkEnd w:id="626"/>
    </w:p>
    <w:p>
      <w:pPr>
        <w:pStyle w:val="Subsection"/>
      </w:pPr>
      <w:r>
        <w:tab/>
        <w:t>(1)</w:t>
      </w:r>
      <w:r>
        <w:tab/>
        <w:t>A party may, in writing, request the Court to inform the party whether any document or thing has been produced to the court under a subpoena to produce.</w:t>
      </w:r>
    </w:p>
    <w:p>
      <w:pPr>
        <w:pStyle w:val="Subsection"/>
      </w:pPr>
      <w:r>
        <w:tab/>
        <w:t>(2)</w:t>
      </w:r>
      <w:r>
        <w:tab/>
        <w:t>If a party has made a request under subrule (1), a registrar must inform the party whether any document or thing has been produced and, if so, include a description, in general terms, of the documents and things produced.</w:t>
      </w:r>
    </w:p>
    <w:p>
      <w:pPr>
        <w:pStyle w:val="Footnotesection"/>
      </w:pPr>
      <w:r>
        <w:tab/>
        <w:t>[Rule 5 inserted: Gazette 24 May 2017 p. 2570.]</w:t>
      </w:r>
    </w:p>
    <w:p>
      <w:pPr>
        <w:pStyle w:val="Heading5"/>
      </w:pPr>
      <w:bookmarkStart w:id="627" w:name="_Toc163121058"/>
      <w:r>
        <w:rPr>
          <w:rStyle w:val="CharSectno"/>
        </w:rPr>
        <w:t>5A</w:t>
      </w:r>
      <w:r>
        <w:t>.</w:t>
      </w:r>
      <w:r>
        <w:tab/>
        <w:t>Altering date for attendance or production</w:t>
      </w:r>
      <w:bookmarkEnd w:id="627"/>
    </w:p>
    <w:p>
      <w:pPr>
        <w:pStyle w:val="Subsection"/>
      </w:pPr>
      <w:r>
        <w:tab/>
        <w:t>(1)</w:t>
      </w:r>
      <w:r>
        <w:tab/>
        <w:t>This rule does not apply to a subpoena to produce that has been issued with the leave of the Court under rule 2(2B)(b)(ii) or (c)(ii).</w:t>
      </w:r>
    </w:p>
    <w:p>
      <w:pPr>
        <w:pStyle w:val="Subsection"/>
      </w:pPr>
      <w:r>
        <w:tab/>
        <w:t>(2)</w:t>
      </w:r>
      <w:r>
        <w:tab/>
        <w:t xml:space="preserve">The issuing party may give the addressee of a subpoena notice of a date or time later than the date or time specified in the </w:t>
      </w:r>
      <w:r>
        <w:lastRenderedPageBreak/>
        <w:t>subpoena as the date or time for attendance or for production or for both.</w:t>
      </w:r>
    </w:p>
    <w:p>
      <w:pPr>
        <w:pStyle w:val="Subsection"/>
      </w:pPr>
      <w:r>
        <w:tab/>
        <w:t>(3)</w:t>
      </w:r>
      <w:r>
        <w:tab/>
        <w:t>The later date or time specified in a notice given under subrule (2) must be —</w:t>
      </w:r>
    </w:p>
    <w:p>
      <w:pPr>
        <w:pStyle w:val="Indenta"/>
      </w:pPr>
      <w:r>
        <w:tab/>
        <w:t>(a)</w:t>
      </w:r>
      <w:r>
        <w:tab/>
        <w:t>if the subpoena is a subpoena to attend to give evidence, a later date and time of a trial, assessment, examination or proceeding referred to in rule 2(2A);</w:t>
      </w:r>
    </w:p>
    <w:p>
      <w:pPr>
        <w:pStyle w:val="Indenta"/>
      </w:pPr>
      <w:r>
        <w:tab/>
        <w:t>(b)</w:t>
      </w:r>
      <w:r>
        <w:tab/>
        <w:t>if the subpoena is a subpoena to produce in which the date and time for production is the date and time of a trial — a later date and time of a trial;</w:t>
      </w:r>
    </w:p>
    <w:p>
      <w:pPr>
        <w:pStyle w:val="Indenta"/>
      </w:pPr>
      <w:r>
        <w:tab/>
        <w:t>(c)</w:t>
      </w:r>
      <w:r>
        <w:tab/>
        <w:t>if the subpoena is a subpoena to produce in which the date and time for production is not the date and time of a trial — any later date and time.</w:t>
      </w:r>
    </w:p>
    <w:p>
      <w:pPr>
        <w:pStyle w:val="Subsection"/>
        <w:keepNext/>
      </w:pPr>
      <w:r>
        <w:tab/>
        <w:t>(4)</w:t>
      </w:r>
      <w:r>
        <w:tab/>
        <w:t xml:space="preserve">As soon as practicable after giving a notice under subrule (2), the issuing party must — </w:t>
      </w:r>
    </w:p>
    <w:p>
      <w:pPr>
        <w:pStyle w:val="Indenta"/>
      </w:pPr>
      <w:r>
        <w:tab/>
        <w:t>(a)</w:t>
      </w:r>
      <w:r>
        <w:tab/>
        <w:t>file a copy of the notice; and</w:t>
      </w:r>
    </w:p>
    <w:p>
      <w:pPr>
        <w:pStyle w:val="Indenta"/>
      </w:pPr>
      <w:r>
        <w:tab/>
        <w:t>(b)</w:t>
      </w:r>
      <w:r>
        <w:tab/>
        <w:t>serve a copy of the notice on each other party.</w:t>
      </w:r>
    </w:p>
    <w:p>
      <w:pPr>
        <w:pStyle w:val="Subsection"/>
      </w:pPr>
      <w:r>
        <w:tab/>
        <w:t>(5)</w:t>
      </w:r>
      <w:r>
        <w:tab/>
        <w:t>The notice need not be served personally.</w:t>
      </w:r>
    </w:p>
    <w:p>
      <w:pPr>
        <w:pStyle w:val="Subsection"/>
      </w:pPr>
      <w:r>
        <w:tab/>
        <w:t>(6)</w:t>
      </w:r>
      <w:r>
        <w:tab/>
        <w:t>If notice is given under subrule (2), the subpoena has effect as if the date or time notified were specified in the subpoena instead of the date or time originally specified in the subpoena.</w:t>
      </w:r>
    </w:p>
    <w:p>
      <w:pPr>
        <w:pStyle w:val="Footnotesection"/>
      </w:pPr>
      <w:r>
        <w:tab/>
        <w:t>[Rule 5A inserted: Gazette 24 May 2017 p. 2570</w:t>
      </w:r>
      <w:r>
        <w:noBreakHyphen/>
        <w:t>1.]</w:t>
      </w:r>
    </w:p>
    <w:p>
      <w:pPr>
        <w:pStyle w:val="Heading5"/>
      </w:pPr>
      <w:bookmarkStart w:id="628" w:name="_Toc163121059"/>
      <w:r>
        <w:rPr>
          <w:rStyle w:val="CharSectno"/>
        </w:rPr>
        <w:t>6</w:t>
      </w:r>
      <w:r>
        <w:t>.</w:t>
      </w:r>
      <w:r>
        <w:tab/>
        <w:t>Compliance with subpoena</w:t>
      </w:r>
      <w:bookmarkEnd w:id="628"/>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lastRenderedPageBreak/>
        <w:tab/>
        <w:t>(3)</w:t>
      </w:r>
      <w:r>
        <w:tab/>
        <w:t>Despite rule 4(1),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or, if the addressee has received notice of a later date or time from the issuing party, at that later date or time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Registry at the address specified for the purpose in the subpoena, so that they are received not less than 2 clear days before the date specified in the subpoena for attendance and production or, if the addressee has received notice of a later date or time from the issuing party, at that later date.</w:t>
      </w:r>
    </w:p>
    <w:p>
      <w:pPr>
        <w:pStyle w:val="Subsection"/>
      </w:pPr>
      <w:r>
        <w:tab/>
        <w:t>(5)</w:t>
      </w:r>
      <w:r>
        <w:tab/>
        <w:t xml:space="preserve">In the case of a subpoena that is both a subpoena to attend to give evidence and a subpoena to produce, production of the subpoena or a copy of it and of the document or thing in any of the ways permitted by </w:t>
      </w:r>
      <w:r>
        <w:rPr>
          <w:snapToGrid w:val="0"/>
        </w:rPr>
        <w:t>subrule</w:t>
      </w:r>
      <w:r>
        <w:t xml:space="preserve"> (4) does not discharge the addressee from the obligation to attend to give evidence.</w:t>
      </w:r>
    </w:p>
    <w:p>
      <w:pPr>
        <w:pStyle w:val="Subsection"/>
      </w:pPr>
      <w:r>
        <w:tab/>
        <w:t>(5A)</w:t>
      </w:r>
      <w:r>
        <w:tab/>
        <w:t>The addressee cannot comply with the requirement under subrule (4)(b) to deliver or send the subpoena or other document to the Registry by filing it electronically.</w:t>
      </w:r>
    </w:p>
    <w:p>
      <w:pPr>
        <w:pStyle w:val="Subsection"/>
      </w:pPr>
      <w:r>
        <w:tab/>
        <w:t>(6)</w:t>
      </w:r>
      <w:r>
        <w:tab/>
        <w:t>Unless a subpoena specifically requires the production of the original, the addressee may produce a copy of any document required to be produced by the subpoena.</w:t>
      </w:r>
    </w:p>
    <w:p>
      <w:pPr>
        <w:pStyle w:val="Subsection"/>
      </w:pPr>
      <w:r>
        <w:tab/>
        <w:t>(7)</w:t>
      </w:r>
      <w:r>
        <w:tab/>
        <w:t>The copy of a document may be —</w:t>
      </w:r>
    </w:p>
    <w:p>
      <w:pPr>
        <w:pStyle w:val="Indenta"/>
      </w:pPr>
      <w:r>
        <w:tab/>
        <w:t>(a)</w:t>
      </w:r>
      <w:r>
        <w:tab/>
        <w:t>a photocopy; or</w:t>
      </w:r>
    </w:p>
    <w:p>
      <w:pPr>
        <w:pStyle w:val="Indenta"/>
      </w:pPr>
      <w:r>
        <w:lastRenderedPageBreak/>
        <w:tab/>
        <w:t>(b)</w:t>
      </w:r>
      <w:r>
        <w:tab/>
        <w:t>in an electronic format that the subpoena indicates will be acceptable on a CD-ROM, DVD or USB device, unless the Court, on an application made by a party or the addressee, has directed otherwise.</w:t>
      </w:r>
    </w:p>
    <w:p>
      <w:pPr>
        <w:pStyle w:val="Footnotesection"/>
      </w:pPr>
      <w:r>
        <w:tab/>
        <w:t>[Rule 6 inserted: Gazette 21 Feb 2007 p. 542</w:t>
      </w:r>
      <w:r>
        <w:noBreakHyphen/>
        <w:t>3; amended: Gazette 28 Jul 2010 p. 3477-8; 24 May 2017 p. 2571 and 2575</w:t>
      </w:r>
      <w:r>
        <w:noBreakHyphen/>
        <w:t>6; 16 Aug 2017 p. 4415; 27 Feb 2018 p. 563.]</w:t>
      </w:r>
    </w:p>
    <w:p>
      <w:pPr>
        <w:pStyle w:val="Heading5"/>
      </w:pPr>
      <w:bookmarkStart w:id="629" w:name="_Toc163121060"/>
      <w:r>
        <w:rPr>
          <w:rStyle w:val="CharSectno"/>
        </w:rPr>
        <w:t>7</w:t>
      </w:r>
      <w:r>
        <w:t>.</w:t>
      </w:r>
      <w:r>
        <w:tab/>
        <w:t>Production otherwise than at a trial</w:t>
      </w:r>
      <w:bookmarkEnd w:id="629"/>
    </w:p>
    <w:p>
      <w:pPr>
        <w:pStyle w:val="Subsection"/>
      </w:pPr>
      <w:r>
        <w:tab/>
        <w:t>(1)</w:t>
      </w:r>
      <w:r>
        <w:tab/>
        <w:t>This rule applies if, under a subpoena to produce, the addressee produces a document or thing to the Court otherwise than at a trial.</w:t>
      </w:r>
    </w:p>
    <w:p>
      <w:pPr>
        <w:pStyle w:val="Subsection"/>
      </w:pPr>
      <w:r>
        <w:tab/>
        <w:t>(2)</w:t>
      </w:r>
      <w:r>
        <w:tab/>
        <w:t>The Registry must, if requested by the addressee, give a receipt for the document or thing to the addressee.</w:t>
      </w:r>
    </w:p>
    <w:p>
      <w:pPr>
        <w:pStyle w:val="Subsection"/>
      </w:pPr>
      <w:r>
        <w:tab/>
        <w:t>(3)</w:t>
      </w:r>
      <w:r>
        <w:tab/>
        <w:t>If the addressee produces more than 1 document or thing, the addressee must provide a list of them.</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Registry in writing that any document or copy of a document produced need not be returned and may be destroyed.</w:t>
      </w:r>
    </w:p>
    <w:p>
      <w:pPr>
        <w:pStyle w:val="Footnotesection"/>
      </w:pPr>
      <w:r>
        <w:tab/>
        <w:t>[Rule 7 inserted: Gazette 21 Feb 2007 p. 543; amended: Gazette 24 May 2017 p. 2571 and 2575</w:t>
      </w:r>
      <w:r>
        <w:noBreakHyphen/>
        <w:t>6.]</w:t>
      </w:r>
    </w:p>
    <w:p>
      <w:pPr>
        <w:pStyle w:val="Heading5"/>
      </w:pPr>
      <w:bookmarkStart w:id="630" w:name="_Toc163121061"/>
      <w:r>
        <w:rPr>
          <w:rStyle w:val="CharSectno"/>
        </w:rPr>
        <w:t>8</w:t>
      </w:r>
      <w:r>
        <w:t>.</w:t>
      </w:r>
      <w:r>
        <w:tab/>
        <w:t>Setting aside subpoena to attend to give evidence</w:t>
      </w:r>
      <w:bookmarkEnd w:id="630"/>
    </w:p>
    <w:p>
      <w:pPr>
        <w:pStyle w:val="Subsection"/>
      </w:pPr>
      <w:r>
        <w:tab/>
        <w:t>(1)</w:t>
      </w:r>
      <w:r>
        <w:tab/>
        <w:t>This rule applies if a subpoena to attend to give evidence has been issued in a proceeding.</w:t>
      </w:r>
    </w:p>
    <w:p>
      <w:pPr>
        <w:pStyle w:val="Subsection"/>
      </w:pPr>
      <w:r>
        <w:tab/>
        <w:t>(2)</w:t>
      </w:r>
      <w:r>
        <w:tab/>
        <w:t>On a request by the addressee, a party or any other person with a sufficient interest, the Court may set aside the subpoena or grant other relief in respect of it.</w:t>
      </w:r>
    </w:p>
    <w:p>
      <w:pPr>
        <w:pStyle w:val="Subsection"/>
      </w:pPr>
      <w:r>
        <w:lastRenderedPageBreak/>
        <w:tab/>
        <w:t>(3)</w:t>
      </w:r>
      <w:r>
        <w:tab/>
        <w:t>A request under this rule may be made before the date and time for attendance specified in the subpoena.</w:t>
      </w:r>
    </w:p>
    <w:p>
      <w:pPr>
        <w:pStyle w:val="Subsection"/>
      </w:pPr>
      <w:r>
        <w:tab/>
        <w:t>(4)</w:t>
      </w:r>
      <w:r>
        <w:tab/>
        <w:t>Subrule (3) does not limit when a request under this rule may be made.</w:t>
      </w:r>
    </w:p>
    <w:p>
      <w:pPr>
        <w:pStyle w:val="Subsection"/>
      </w:pPr>
      <w:r>
        <w:tab/>
        <w:t>(5)</w:t>
      </w:r>
      <w:r>
        <w:tab/>
        <w:t>A request under this rule must be made in accordance with rule 8B.</w:t>
      </w:r>
    </w:p>
    <w:p>
      <w:pPr>
        <w:pStyle w:val="Footnotesection"/>
      </w:pPr>
      <w:r>
        <w:tab/>
        <w:t>[Rule 8 inserted: Gazette 24 May 2017 p. 2572.]</w:t>
      </w:r>
    </w:p>
    <w:p>
      <w:pPr>
        <w:pStyle w:val="Heading5"/>
      </w:pPr>
      <w:bookmarkStart w:id="631" w:name="_Toc163121062"/>
      <w:r>
        <w:rPr>
          <w:rStyle w:val="CharSectno"/>
        </w:rPr>
        <w:t>8A</w:t>
      </w:r>
      <w:r>
        <w:t>.</w:t>
      </w:r>
      <w:r>
        <w:tab/>
        <w:t>Setting aside subpoena to produce and directions as to things to be produced</w:t>
      </w:r>
      <w:bookmarkEnd w:id="631"/>
    </w:p>
    <w:p>
      <w:pPr>
        <w:pStyle w:val="Subsection"/>
      </w:pPr>
      <w:r>
        <w:tab/>
        <w:t>(1)</w:t>
      </w:r>
      <w:r>
        <w:tab/>
        <w:t>This rule applies if a subpoena to produce has been issued in a proceeding.</w:t>
      </w:r>
    </w:p>
    <w:p>
      <w:pPr>
        <w:pStyle w:val="Subsection"/>
      </w:pPr>
      <w:r>
        <w:tab/>
        <w:t>(2)</w:t>
      </w:r>
      <w:r>
        <w:tab/>
        <w:t>On a request by the addressee, a party or any other person with a sufficient interest, the Court may, by order —</w:t>
      </w:r>
    </w:p>
    <w:p>
      <w:pPr>
        <w:pStyle w:val="Indenta"/>
      </w:pPr>
      <w:r>
        <w:tab/>
        <w:t>(a)</w:t>
      </w:r>
      <w:r>
        <w:tab/>
        <w:t>set aside the subpoena or part of it; or</w:t>
      </w:r>
    </w:p>
    <w:p>
      <w:pPr>
        <w:pStyle w:val="Indenta"/>
      </w:pPr>
      <w:r>
        <w:tab/>
        <w:t>(b)</w:t>
      </w:r>
      <w:r>
        <w:tab/>
        <w:t>make or vary directions in relation to removing from and returning to the Court, and the inspection, copying and disposal, of any document or thing that has been or is to be produced under it; or</w:t>
      </w:r>
    </w:p>
    <w:p>
      <w:pPr>
        <w:pStyle w:val="Indenta"/>
      </w:pPr>
      <w:r>
        <w:tab/>
        <w:t>(c)</w:t>
      </w:r>
      <w:r>
        <w:tab/>
        <w:t>grant other relief in respect of it.</w:t>
      </w:r>
    </w:p>
    <w:p>
      <w:pPr>
        <w:pStyle w:val="Subsection"/>
      </w:pPr>
      <w:r>
        <w:tab/>
        <w:t>(3)</w:t>
      </w:r>
      <w:r>
        <w:tab/>
        <w:t>A request under this rule may be made before the date and time for production specified in the subpoena.</w:t>
      </w:r>
    </w:p>
    <w:p>
      <w:pPr>
        <w:pStyle w:val="Subsection"/>
      </w:pPr>
      <w:r>
        <w:tab/>
        <w:t>(4)</w:t>
      </w:r>
      <w:r>
        <w:tab/>
        <w:t>Subrule (3) does not limit when a request under this rule may be made.</w:t>
      </w:r>
    </w:p>
    <w:p>
      <w:pPr>
        <w:pStyle w:val="Subsection"/>
      </w:pPr>
      <w:r>
        <w:tab/>
        <w:t>(5)</w:t>
      </w:r>
      <w:r>
        <w:tab/>
        <w:t>A request under this rule must be made in accordance with rule 8B.</w:t>
      </w:r>
    </w:p>
    <w:p>
      <w:pPr>
        <w:pStyle w:val="Subsection"/>
      </w:pPr>
      <w:r>
        <w:tab/>
        <w:t>(6)</w:t>
      </w:r>
      <w:r>
        <w:tab/>
        <w:t>While a request made under this rule is pending, the Registry must not permit any, or any further inspection, copying, removal or disposal of any document or thing to which the request relates.</w:t>
      </w:r>
    </w:p>
    <w:p>
      <w:pPr>
        <w:pStyle w:val="Footnotesection"/>
      </w:pPr>
      <w:r>
        <w:lastRenderedPageBreak/>
        <w:tab/>
        <w:t>[Rule 8A inserted: Gazette 24 May 2017 p. 2572</w:t>
      </w:r>
      <w:r>
        <w:noBreakHyphen/>
        <w:t>3.]</w:t>
      </w:r>
    </w:p>
    <w:p>
      <w:pPr>
        <w:pStyle w:val="Heading5"/>
      </w:pPr>
      <w:bookmarkStart w:id="632" w:name="_Toc163121063"/>
      <w:r>
        <w:rPr>
          <w:rStyle w:val="CharSectno"/>
        </w:rPr>
        <w:t>8B</w:t>
      </w:r>
      <w:r>
        <w:t>.</w:t>
      </w:r>
      <w:r>
        <w:tab/>
        <w:t>How requests under r. 8 and 8A to be made</w:t>
      </w:r>
      <w:bookmarkEnd w:id="632"/>
    </w:p>
    <w:p>
      <w:pPr>
        <w:pStyle w:val="Subsection"/>
      </w:pPr>
      <w:r>
        <w:tab/>
        <w:t>(1)</w:t>
      </w:r>
      <w:r>
        <w:tab/>
        <w:t>A request under rule 8 or 8A must be made by way of a letter to the Principal Registrar unless —</w:t>
      </w:r>
    </w:p>
    <w:p>
      <w:pPr>
        <w:pStyle w:val="Indenta"/>
      </w:pPr>
      <w:r>
        <w:tab/>
        <w:t>(a)</w:t>
      </w:r>
      <w:r>
        <w:tab/>
        <w:t>the request is made orally during a case management conference held under Order 4A, or during a hearing, by a party to the proceeding in which the subpoena has been issued; or</w:t>
      </w:r>
    </w:p>
    <w:p>
      <w:pPr>
        <w:pStyle w:val="Indenta"/>
      </w:pPr>
      <w:r>
        <w:tab/>
        <w:t>(b)</w:t>
      </w:r>
      <w:r>
        <w:tab/>
        <w:t>a motion or summons is justified by the circumstances of the particular case or the nature of the request, in which case the request may be made by way of motion or summons; or</w:t>
      </w:r>
    </w:p>
    <w:p>
      <w:pPr>
        <w:pStyle w:val="Indenta"/>
      </w:pPr>
      <w:r>
        <w:tab/>
        <w:t>(c)</w:t>
      </w:r>
      <w:r>
        <w:tab/>
        <w:t xml:space="preserve">the </w:t>
      </w:r>
      <w:r>
        <w:rPr>
          <w:i/>
        </w:rPr>
        <w:t>Supreme Court (Corporations) (WA) Rules 2004</w:t>
      </w:r>
      <w:r>
        <w:t xml:space="preserve"> apply to the proceeding in which the subpoena has been issued, in which case the request must be made under those rules.</w:t>
      </w:r>
    </w:p>
    <w:p>
      <w:pPr>
        <w:pStyle w:val="Subsection"/>
      </w:pPr>
      <w:r>
        <w:tab/>
        <w:t>(2)</w:t>
      </w:r>
      <w:r>
        <w:tab/>
        <w:t>A request under rule 8 or 8A made by letter must state —</w:t>
      </w:r>
    </w:p>
    <w:p>
      <w:pPr>
        <w:pStyle w:val="Indenta"/>
      </w:pPr>
      <w:r>
        <w:tab/>
        <w:t>(a)</w:t>
      </w:r>
      <w:r>
        <w:tab/>
        <w:t>the grounds of the request; and</w:t>
      </w:r>
    </w:p>
    <w:p>
      <w:pPr>
        <w:pStyle w:val="Indenta"/>
      </w:pPr>
      <w:r>
        <w:tab/>
        <w:t>(b)</w:t>
      </w:r>
      <w:r>
        <w:tab/>
        <w:t>the order, direction or relief sought.</w:t>
      </w:r>
    </w:p>
    <w:p>
      <w:pPr>
        <w:pStyle w:val="Subsection"/>
      </w:pPr>
      <w:r>
        <w:tab/>
        <w:t>(3)</w:t>
      </w:r>
      <w:r>
        <w:tab/>
        <w:t>The person making a request under rule 8 or 8A by letter must —</w:t>
      </w:r>
    </w:p>
    <w:p>
      <w:pPr>
        <w:pStyle w:val="Indenta"/>
      </w:pPr>
      <w:r>
        <w:tab/>
        <w:t>(a)</w:t>
      </w:r>
      <w:r>
        <w:tab/>
        <w:t>file it; and</w:t>
      </w:r>
    </w:p>
    <w:p>
      <w:pPr>
        <w:pStyle w:val="Indenta"/>
      </w:pPr>
      <w:r>
        <w:tab/>
        <w:t>(b)</w:t>
      </w:r>
      <w:r>
        <w:tab/>
        <w:t>serve a copy of it on the issuing party.</w:t>
      </w:r>
    </w:p>
    <w:p>
      <w:pPr>
        <w:pStyle w:val="Subsection"/>
      </w:pPr>
      <w:r>
        <w:tab/>
        <w:t>(3A)</w:t>
      </w:r>
      <w:r>
        <w:tab/>
        <w:t xml:space="preserve">A request under rule 8 or 8A cannot be filed electronically unless — </w:t>
      </w:r>
    </w:p>
    <w:p>
      <w:pPr>
        <w:pStyle w:val="Indenta"/>
      </w:pPr>
      <w:r>
        <w:tab/>
        <w:t>(a)</w:t>
      </w:r>
      <w:r>
        <w:tab/>
        <w:t>the request is made by a party; or</w:t>
      </w:r>
    </w:p>
    <w:p>
      <w:pPr>
        <w:pStyle w:val="Indenta"/>
      </w:pPr>
      <w:r>
        <w:tab/>
        <w:t>(b)</w:t>
      </w:r>
      <w:r>
        <w:tab/>
        <w:t>the Principal Registrar has given approval for the request to be filed electronically.</w:t>
      </w:r>
    </w:p>
    <w:p>
      <w:pPr>
        <w:pStyle w:val="Subsection"/>
      </w:pPr>
      <w:r>
        <w:tab/>
        <w:t>(4)</w:t>
      </w:r>
      <w:r>
        <w:tab/>
        <w:t xml:space="preserve">Even if a person has made a request under rule 8 or 8A by letter in accordance with this rule, the Principal Registrar or a case </w:t>
      </w:r>
      <w:r>
        <w:lastRenderedPageBreak/>
        <w:t>manager (as defined in Order 4A rule 1) may direct the person to make the request in some other manner.</w:t>
      </w:r>
    </w:p>
    <w:p>
      <w:pPr>
        <w:pStyle w:val="Footnotesection"/>
      </w:pPr>
      <w:r>
        <w:tab/>
        <w:t>[Rule 8B inserted: Gazette 24 May 2017 p. 2573</w:t>
      </w:r>
      <w:r>
        <w:noBreakHyphen/>
        <w:t>4; amended: Gazette 27 Feb 2018 p. 563.]</w:t>
      </w:r>
    </w:p>
    <w:p>
      <w:pPr>
        <w:pStyle w:val="Heading5"/>
      </w:pPr>
      <w:bookmarkStart w:id="633" w:name="_Toc163121064"/>
      <w:r>
        <w:rPr>
          <w:rStyle w:val="CharSectno"/>
        </w:rPr>
        <w:t>9</w:t>
      </w:r>
      <w:r>
        <w:t>.</w:t>
      </w:r>
      <w:r>
        <w:tab/>
        <w:t>Inspecting and dealing with documents and things produced otherwise than at a trial</w:t>
      </w:r>
      <w:bookmarkEnd w:id="633"/>
    </w:p>
    <w:p>
      <w:pPr>
        <w:pStyle w:val="Subsection"/>
      </w:pPr>
      <w:r>
        <w:tab/>
        <w:t>(1)</w:t>
      </w:r>
      <w:r>
        <w:tab/>
        <w:t>This rule applies if, under a subpoena to produce, the addressee produces a document or thing to the Court otherwise than at a trial.</w:t>
      </w:r>
    </w:p>
    <w:p>
      <w:pPr>
        <w:pStyle w:val="Subsection"/>
      </w:pPr>
      <w:r>
        <w:tab/>
        <w:t>(2)</w:t>
      </w:r>
      <w:r>
        <w:tab/>
        <w:t>After the date and time for production specified in the subpoena, a registrar, subject to —</w:t>
      </w:r>
    </w:p>
    <w:p>
      <w:pPr>
        <w:pStyle w:val="Indenta"/>
      </w:pPr>
      <w:r>
        <w:tab/>
        <w:t>(a)</w:t>
      </w:r>
      <w:r>
        <w:tab/>
        <w:t>any direction made or relief granted under rule 8A; and</w:t>
      </w:r>
    </w:p>
    <w:p>
      <w:pPr>
        <w:pStyle w:val="Indenta"/>
      </w:pPr>
      <w:r>
        <w:tab/>
        <w:t>(b)</w:t>
      </w:r>
      <w:r>
        <w:tab/>
        <w:t>rule 8A(6) and this rule,</w:t>
      </w:r>
    </w:p>
    <w:p>
      <w:pPr>
        <w:pStyle w:val="Subsection"/>
      </w:pPr>
      <w:r>
        <w:tab/>
      </w:r>
      <w:r>
        <w:tab/>
        <w:t>may permit any party to the proceeding to inspect, copy or remove any document or thing produced under the subpoena.</w:t>
      </w:r>
    </w:p>
    <w:p>
      <w:pPr>
        <w:pStyle w:val="Subsection"/>
      </w:pPr>
      <w:r>
        <w:tab/>
        <w:t>(3)</w:t>
      </w:r>
      <w:r>
        <w:tab/>
        <w:t>A document or thing produced cannot be removed from the Registry except on a written application that is signed by the solicitor for a party and approved by —</w:t>
      </w:r>
    </w:p>
    <w:p>
      <w:pPr>
        <w:pStyle w:val="Indenta"/>
      </w:pPr>
      <w:r>
        <w:tab/>
        <w:t>(a)</w:t>
      </w:r>
      <w:r>
        <w:tab/>
        <w:t>a registrar; or</w:t>
      </w:r>
    </w:p>
    <w:p>
      <w:pPr>
        <w:pStyle w:val="Indenta"/>
      </w:pPr>
      <w:r>
        <w:tab/>
        <w:t>(b)</w:t>
      </w:r>
      <w:r>
        <w:tab/>
        <w:t>a Court officer authorised in writing for the purposes of this subrule by the Chief Justice.</w:t>
      </w:r>
    </w:p>
    <w:p>
      <w:pPr>
        <w:pStyle w:val="Subsection"/>
      </w:pPr>
      <w:r>
        <w:tab/>
        <w:t>(4)</w:t>
      </w:r>
      <w:r>
        <w:tab/>
        <w:t>An application made under subrule (3) may be approved with or without conditions, or refused.</w:t>
      </w:r>
    </w:p>
    <w:p>
      <w:pPr>
        <w:pStyle w:val="Subsection"/>
      </w:pPr>
      <w:r>
        <w:tab/>
        <w:t>(5)</w:t>
      </w:r>
      <w:r>
        <w:tab/>
        <w:t>A solicitor who signs an application under subrule (3) and removes a document or thing from the Registry, undertakes to the Court by force of this rule that —</w:t>
      </w:r>
    </w:p>
    <w:p>
      <w:pPr>
        <w:pStyle w:val="Indenta"/>
      </w:pPr>
      <w:r>
        <w:tab/>
        <w:t>(a)</w:t>
      </w:r>
      <w:r>
        <w:tab/>
        <w:t>the document or thing will be kept in the personal custody of the solicitor or a barrister briefed by the solicitor in the proceeding; and</w:t>
      </w:r>
    </w:p>
    <w:p>
      <w:pPr>
        <w:pStyle w:val="Indenta"/>
      </w:pPr>
      <w:r>
        <w:lastRenderedPageBreak/>
        <w:tab/>
        <w:t>(b)</w:t>
      </w:r>
      <w:r>
        <w:tab/>
        <w:t>the document or thing will be returned to the Registry in the same condition, order and packaging in which it was removed, as and when directed by a registrar.</w:t>
      </w:r>
    </w:p>
    <w:p>
      <w:pPr>
        <w:pStyle w:val="Footnotesection"/>
      </w:pPr>
      <w:r>
        <w:tab/>
        <w:t>[Rule 9 inserted: Gazette 24 May 2017 p. 2574</w:t>
      </w:r>
      <w:r>
        <w:noBreakHyphen/>
        <w:t>5.]</w:t>
      </w:r>
    </w:p>
    <w:p>
      <w:pPr>
        <w:pStyle w:val="Heading5"/>
      </w:pPr>
      <w:bookmarkStart w:id="634" w:name="_Toc163121065"/>
      <w:r>
        <w:rPr>
          <w:rStyle w:val="CharSectno"/>
        </w:rPr>
        <w:t>10</w:t>
      </w:r>
      <w:r>
        <w:t>.</w:t>
      </w:r>
      <w:r>
        <w:tab/>
        <w:t>Disposal of documents and things produced</w:t>
      </w:r>
      <w:bookmarkEnd w:id="634"/>
    </w:p>
    <w:p>
      <w:pPr>
        <w:pStyle w:val="Subsection"/>
      </w:pPr>
      <w:r>
        <w:tab/>
        <w:t>(1)</w:t>
      </w:r>
      <w:r>
        <w:tab/>
        <w:t>Unless the Court otherwise orders, a registrar may, in the registrar’s discretion, return to the addressee any document or thing produced in response to the subpoena.</w:t>
      </w:r>
    </w:p>
    <w:p>
      <w:pPr>
        <w:pStyle w:val="Subsection"/>
      </w:pPr>
      <w:r>
        <w:tab/>
        <w:t>(2)</w:t>
      </w:r>
      <w:r>
        <w:tab/>
        <w:t xml:space="preserve">Unless the Court otherwise orders, a registrar must not return any document or thing under </w:t>
      </w:r>
      <w:r>
        <w:rPr>
          <w:snapToGrid w:val="0"/>
        </w:rPr>
        <w:t>subrule</w:t>
      </w:r>
      <w:r>
        <w:t xml:space="preserve"> (1) unless the registrar has given to the issuing party at least 14 days’ notice of the intention to do so and that period has expired.</w:t>
      </w:r>
    </w:p>
    <w:p>
      <w:pPr>
        <w:pStyle w:val="Subsection"/>
      </w:pPr>
      <w:r>
        <w:tab/>
        <w:t>(3)</w:t>
      </w:r>
      <w:r>
        <w:tab/>
        <w:t>The issuing party must attach, to the front of a subpoena to produce to be served on the addressee, a notice and declaration in accordance with Form 22A.</w:t>
      </w:r>
    </w:p>
    <w:p>
      <w:pPr>
        <w:pStyle w:val="Subsection"/>
      </w:pPr>
      <w:r>
        <w:tab/>
        <w:t>(4)</w:t>
      </w:r>
      <w:r>
        <w:tab/>
        <w:t>The addressee must complete the notice and declaration and attach it to the subpoena or copy of the subpoena that accompanies the documents produced to the Court under the subpoena.</w:t>
      </w:r>
    </w:p>
    <w:p>
      <w:pPr>
        <w:pStyle w:val="Subsection"/>
      </w:pPr>
      <w:r>
        <w:tab/>
        <w:t>(5)</w:t>
      </w:r>
      <w:r>
        <w:tab/>
        <w:t xml:space="preserve">Unless the Court orders otherwise, a registrar may, at the registrar’s discretion, cause to be destroyed a document produced in compliance with a subpoena if — </w:t>
      </w:r>
    </w:p>
    <w:p>
      <w:pPr>
        <w:pStyle w:val="Indenta"/>
      </w:pPr>
      <w:r>
        <w:tab/>
        <w:t>(a)</w:t>
      </w:r>
      <w:r>
        <w:tab/>
        <w:t>the document is declared by the addressee to be a copy; and</w:t>
      </w:r>
    </w:p>
    <w:p>
      <w:pPr>
        <w:pStyle w:val="Indenta"/>
      </w:pPr>
      <w:r>
        <w:tab/>
        <w:t>(b)</w:t>
      </w:r>
      <w:r>
        <w:tab/>
        <w:t>the registrar has given the issuing party at least 14 days’ notice of the intention to destroy the document and that period has expired.</w:t>
      </w:r>
    </w:p>
    <w:p>
      <w:pPr>
        <w:pStyle w:val="Subsection"/>
      </w:pPr>
      <w:r>
        <w:tab/>
        <w:t>(6)</w:t>
      </w:r>
      <w:r>
        <w:tab/>
        <w:t>Unless the Court orders otherwise, a registrar must not destroy a document under subrule (5) if the document has become an exhibit in a proceeding and is required in connection with the proceeding, including on any appeal.</w:t>
      </w:r>
    </w:p>
    <w:p>
      <w:pPr>
        <w:pStyle w:val="Footnotesection"/>
      </w:pPr>
      <w:r>
        <w:lastRenderedPageBreak/>
        <w:tab/>
        <w:t>[Rule 10 inserted: Gazette 21 Feb 2007 p. 545; amended: Gazette 28 Jul 2010 p. 3478; 24 May 2017 p. 2575 and 2576; 16 Aug 2017 p. 4415.]</w:t>
      </w:r>
    </w:p>
    <w:p>
      <w:pPr>
        <w:pStyle w:val="Heading5"/>
      </w:pPr>
      <w:bookmarkStart w:id="635" w:name="_Toc163121066"/>
      <w:r>
        <w:rPr>
          <w:rStyle w:val="CharSectno"/>
        </w:rPr>
        <w:t>11</w:t>
      </w:r>
      <w:r>
        <w:t>.</w:t>
      </w:r>
      <w:r>
        <w:tab/>
        <w:t>Costs and expenses of compliance</w:t>
      </w:r>
      <w:bookmarkEnd w:id="635"/>
    </w:p>
    <w:p>
      <w:pPr>
        <w:pStyle w:val="Subsection"/>
      </w:pPr>
      <w:r>
        <w:tab/>
        <w:t>(1)</w:t>
      </w:r>
      <w:r>
        <w:tab/>
        <w:t>The Court may order the issuing party to pay the amount of any reasonable loss or expense incurred in complying with the subpoena.</w:t>
      </w:r>
    </w:p>
    <w:p>
      <w:pPr>
        <w:pStyle w:val="Subsection"/>
      </w:pPr>
      <w:r>
        <w:tab/>
        <w:t>(2)</w:t>
      </w:r>
      <w:r>
        <w:tab/>
        <w:t xml:space="preserve">If an order is made under </w:t>
      </w:r>
      <w:r>
        <w:rPr>
          <w:snapToGrid w:val="0"/>
        </w:rPr>
        <w:t>subrule</w:t>
      </w:r>
      <w:r>
        <w:t xml:space="preserv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r>
        <w:tab/>
        <w:t>[Rule 11 inserted: Gazette 21 Feb 2007 p. 545.]</w:t>
      </w:r>
    </w:p>
    <w:p>
      <w:pPr>
        <w:pStyle w:val="Heading5"/>
      </w:pPr>
      <w:bookmarkStart w:id="636" w:name="_Toc163121067"/>
      <w:r>
        <w:rPr>
          <w:rStyle w:val="CharSectno"/>
        </w:rPr>
        <w:t>12</w:t>
      </w:r>
      <w:r>
        <w:t>.</w:t>
      </w:r>
      <w:r>
        <w:tab/>
        <w:t>Failure to comply with subpoena is contempt of court</w:t>
      </w:r>
      <w:bookmarkEnd w:id="636"/>
    </w:p>
    <w:p>
      <w:pPr>
        <w:pStyle w:val="Subsection"/>
      </w:pPr>
      <w:r>
        <w:tab/>
        <w:t>(1)</w:t>
      </w:r>
      <w:r>
        <w:tab/>
        <w:t>Failure to comply with a subpoena without lawful excuse is a contempt of court and the addressee may be dealt with accordingly.</w:t>
      </w:r>
    </w:p>
    <w:p>
      <w:pPr>
        <w:pStyle w:val="Subsection"/>
      </w:pPr>
      <w:r>
        <w:tab/>
        <w:t>(2)</w:t>
      </w:r>
      <w:r>
        <w:tab/>
        <w:t>Despite rule 4(1),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r>
        <w:lastRenderedPageBreak/>
        <w:tab/>
        <w:t>[Rule 12 inserted: Gazette 21 Feb 2007 p. 546; amended: Gazette 16 Aug 2017 p. 4415.]</w:t>
      </w:r>
    </w:p>
    <w:p>
      <w:pPr>
        <w:pStyle w:val="Heading5"/>
      </w:pPr>
      <w:bookmarkStart w:id="637" w:name="_Toc163121068"/>
      <w:r>
        <w:rPr>
          <w:rStyle w:val="CharSectno"/>
        </w:rPr>
        <w:t>13</w:t>
      </w:r>
      <w:r>
        <w:t>.</w:t>
      </w:r>
      <w:r>
        <w:tab/>
        <w:t>Documents and things in custody of court</w:t>
      </w:r>
      <w:bookmarkEnd w:id="637"/>
    </w:p>
    <w:p>
      <w:pPr>
        <w:pStyle w:val="Subsection"/>
      </w:pPr>
      <w:r>
        <w:tab/>
        <w:t>(1)</w:t>
      </w:r>
      <w:r>
        <w:tab/>
        <w:t>A party who seeks production of a document or thing in the custody of the Court or of another court may inform a registrar in writing accordingly, identifying the document or thing.</w:t>
      </w:r>
    </w:p>
    <w:p>
      <w:pPr>
        <w:pStyle w:val="Subsection"/>
      </w:pPr>
      <w:r>
        <w:tab/>
        <w:t>(2)</w:t>
      </w:r>
      <w:r>
        <w:tab/>
        <w:t xml:space="preserve">If the document or thing is in the custody of the Court, a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a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Gazette 21 Feb 2007 p. 546; amended: Gazette 24 May 2017 p. 2575 and 2576.]</w:t>
      </w:r>
    </w:p>
    <w:p>
      <w:pPr>
        <w:pStyle w:val="Heading2"/>
        <w:rPr>
          <w:b w:val="0"/>
        </w:rPr>
      </w:pPr>
      <w:bookmarkStart w:id="638" w:name="_Toc162940607"/>
      <w:bookmarkStart w:id="639" w:name="_Toc162953396"/>
      <w:bookmarkStart w:id="640" w:name="_Toc163121069"/>
      <w:r>
        <w:rPr>
          <w:rStyle w:val="CharPartNo"/>
        </w:rPr>
        <w:lastRenderedPageBreak/>
        <w:t>Order 37</w:t>
      </w:r>
      <w:r>
        <w:rPr>
          <w:rStyle w:val="CharDivNo"/>
        </w:rPr>
        <w:t> </w:t>
      </w:r>
      <w:r>
        <w:t>—</w:t>
      </w:r>
      <w:r>
        <w:rPr>
          <w:rStyle w:val="CharDivText"/>
        </w:rPr>
        <w:t> </w:t>
      </w:r>
      <w:r>
        <w:rPr>
          <w:rStyle w:val="CharPartText"/>
        </w:rPr>
        <w:t>Affidavits</w:t>
      </w:r>
      <w:bookmarkEnd w:id="638"/>
      <w:bookmarkEnd w:id="639"/>
      <w:bookmarkEnd w:id="640"/>
    </w:p>
    <w:p>
      <w:pPr>
        <w:pStyle w:val="Heading5"/>
        <w:rPr>
          <w:snapToGrid w:val="0"/>
        </w:rPr>
      </w:pPr>
      <w:bookmarkStart w:id="641" w:name="_Toc163121070"/>
      <w:r>
        <w:rPr>
          <w:rStyle w:val="CharSectno"/>
        </w:rPr>
        <w:t>1</w:t>
      </w:r>
      <w:r>
        <w:rPr>
          <w:snapToGrid w:val="0"/>
        </w:rPr>
        <w:t>.</w:t>
      </w:r>
      <w:r>
        <w:rPr>
          <w:snapToGrid w:val="0"/>
        </w:rPr>
        <w:tab/>
        <w:t>Title of affidavits</w:t>
      </w:r>
      <w:bookmarkEnd w:id="641"/>
    </w:p>
    <w:p>
      <w:pPr>
        <w:pStyle w:val="Subsection"/>
        <w:rPr>
          <w:snapToGrid w:val="0"/>
        </w:rPr>
      </w:pPr>
      <w:r>
        <w:rPr>
          <w:snapToGrid w:val="0"/>
        </w:rPr>
        <w:tab/>
        <w:t>(1)</w:t>
      </w:r>
      <w:r>
        <w:rPr>
          <w:snapToGrid w:val="0"/>
        </w:rPr>
        <w:tab/>
        <w:t xml:space="preserve">Subject to </w:t>
      </w:r>
      <w:r>
        <w:t>subrules</w:t>
      </w:r>
      <w:r>
        <w:rPr>
          <w:snapToGrid w:val="0"/>
        </w:rPr>
        <w:t>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[Rule 1 amended: Gazette 17 Sep 1993 p. 5054; 28 Jun 2011 p. 2552</w:t>
      </w:r>
      <w:r>
        <w:noBreakHyphen/>
        <w:t xml:space="preserve">3.] </w:t>
      </w:r>
    </w:p>
    <w:p>
      <w:pPr>
        <w:pStyle w:val="Heading5"/>
        <w:rPr>
          <w:snapToGrid w:val="0"/>
        </w:rPr>
      </w:pPr>
      <w:bookmarkStart w:id="642" w:name="_Toc163121071"/>
      <w:r>
        <w:rPr>
          <w:rStyle w:val="CharSectno"/>
        </w:rPr>
        <w:t>2</w:t>
      </w:r>
      <w:r>
        <w:rPr>
          <w:snapToGrid w:val="0"/>
        </w:rPr>
        <w:t>.</w:t>
      </w:r>
      <w:r>
        <w:rPr>
          <w:snapToGrid w:val="0"/>
        </w:rPr>
        <w:tab/>
        <w:t>Form of affidavits</w:t>
      </w:r>
      <w:bookmarkEnd w:id="642"/>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lastRenderedPageBreak/>
        <w:tab/>
        <w:t>[(5)</w:t>
      </w:r>
      <w:r>
        <w:tab/>
        <w:t>deleted]</w:t>
      </w:r>
    </w:p>
    <w:p>
      <w:pPr>
        <w:pStyle w:val="Subsection"/>
        <w:keepNext/>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pPr>
      <w:r>
        <w:tab/>
        <w:t>(9A)</w:t>
      </w:r>
      <w:r>
        <w:tab/>
        <w:t>If 1 or more volumes of an affidavit and its attachments are filed electronically, subrule (9) does not require them to be bound.</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 xml:space="preserve">attachments, if not filed electronically, </w:t>
      </w:r>
      <w:r>
        <w:rPr>
          <w:snapToGrid w:val="0"/>
        </w:rPr>
        <w:t>must not exceed 40 mm.</w:t>
      </w:r>
    </w:p>
    <w:p>
      <w:pPr>
        <w:pStyle w:val="Subsection"/>
      </w:pPr>
      <w:r>
        <w:tab/>
        <w:t>(11)</w:t>
      </w:r>
      <w:r>
        <w:tab/>
        <w:t>An affidavit and its attachments may be filed electronically if the size of each electronic file to be filed is less than 200 megabytes.</w:t>
      </w:r>
    </w:p>
    <w:p>
      <w:pPr>
        <w:pStyle w:val="Footnotesection"/>
      </w:pPr>
      <w:r>
        <w:tab/>
        <w:t>[Rule 2 amended: Gazette 16 Nov 1990 p. 5698</w:t>
      </w:r>
      <w:r>
        <w:noBreakHyphen/>
        <w:t>9; 23 Jan 2001 p. 562; 21 Feb 2007 p. 550; 27 Feb 2018 p. 563</w:t>
      </w:r>
      <w:r>
        <w:noBreakHyphen/>
        <w:t xml:space="preserve">4; SL 2024/38 r. 14.] </w:t>
      </w:r>
    </w:p>
    <w:p>
      <w:pPr>
        <w:pStyle w:val="Heading5"/>
        <w:rPr>
          <w:snapToGrid w:val="0"/>
        </w:rPr>
      </w:pPr>
      <w:bookmarkStart w:id="643" w:name="_Toc163121072"/>
      <w:r>
        <w:rPr>
          <w:rStyle w:val="CharSectno"/>
        </w:rPr>
        <w:t>3</w:t>
      </w:r>
      <w:r>
        <w:rPr>
          <w:snapToGrid w:val="0"/>
        </w:rPr>
        <w:t>.</w:t>
      </w:r>
      <w:r>
        <w:rPr>
          <w:snapToGrid w:val="0"/>
        </w:rPr>
        <w:tab/>
        <w:t>Affidavits by 2 or more deponents</w:t>
      </w:r>
      <w:bookmarkEnd w:id="643"/>
    </w:p>
    <w:p>
      <w:pPr>
        <w:pStyle w:val="Subsection"/>
        <w:rPr>
          <w:snapToGrid w:val="0"/>
        </w:rPr>
      </w:pPr>
      <w:r>
        <w:rPr>
          <w:snapToGrid w:val="0"/>
        </w:rPr>
        <w:tab/>
      </w:r>
      <w:r>
        <w:rPr>
          <w:snapToGrid w:val="0"/>
        </w:rPr>
        <w:tab/>
        <w:t xml:space="preserve">In every affidavit made by 2 or more deponents the names of the persons making the affidavit must be inserted in the jurat, except that, if the affidavit of all the deponents is taken at one </w:t>
      </w:r>
      <w:r>
        <w:rPr>
          <w:snapToGrid w:val="0"/>
        </w:rPr>
        <w:lastRenderedPageBreak/>
        <w:t>time by the same person it shall be sufficient to state that it was sworn by both (or all) of the “above</w:t>
      </w:r>
      <w:r>
        <w:rPr>
          <w:snapToGrid w:val="0"/>
        </w:rPr>
        <w:noBreakHyphen/>
        <w:t>named” deponents.</w:t>
      </w:r>
    </w:p>
    <w:p>
      <w:pPr>
        <w:pStyle w:val="Ednotesection"/>
      </w:pPr>
      <w:r>
        <w:t>[</w:t>
      </w:r>
      <w:r>
        <w:rPr>
          <w:b/>
        </w:rPr>
        <w:t>4, 4A.</w:t>
      </w:r>
      <w:r>
        <w:tab/>
        <w:t>Deleted: Gazette 21 Feb 2007 p. 550.]</w:t>
      </w:r>
    </w:p>
    <w:p>
      <w:pPr>
        <w:pStyle w:val="Heading5"/>
        <w:rPr>
          <w:snapToGrid w:val="0"/>
        </w:rPr>
      </w:pPr>
      <w:bookmarkStart w:id="644" w:name="_Toc163121073"/>
      <w:r>
        <w:rPr>
          <w:rStyle w:val="CharSectno"/>
        </w:rPr>
        <w:t>5</w:t>
      </w:r>
      <w:r>
        <w:rPr>
          <w:snapToGrid w:val="0"/>
        </w:rPr>
        <w:t>.</w:t>
      </w:r>
      <w:r>
        <w:rPr>
          <w:snapToGrid w:val="0"/>
        </w:rPr>
        <w:tab/>
        <w:t>Irregularity</w:t>
      </w:r>
      <w:bookmarkEnd w:id="644"/>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645" w:name="_Toc163121074"/>
      <w:r>
        <w:rPr>
          <w:rStyle w:val="CharSectno"/>
        </w:rPr>
        <w:t>6</w:t>
      </w:r>
      <w:r>
        <w:rPr>
          <w:snapToGrid w:val="0"/>
        </w:rPr>
        <w:t>.</w:t>
      </w:r>
      <w:r>
        <w:rPr>
          <w:snapToGrid w:val="0"/>
        </w:rPr>
        <w:tab/>
        <w:t>Contents of affidavits</w:t>
      </w:r>
      <w:bookmarkEnd w:id="645"/>
    </w:p>
    <w:p>
      <w:pPr>
        <w:pStyle w:val="Subsection"/>
      </w:pPr>
      <w:r>
        <w:tab/>
        <w:t>(1)</w:t>
      </w:r>
      <w:r>
        <w:tab/>
        <w:t>An affidavit must be confined to such facts as the deponent is able of his or her own knowledge to prove.</w:t>
      </w:r>
    </w:p>
    <w:p>
      <w:pPr>
        <w:pStyle w:val="Subsection"/>
      </w:pPr>
      <w:r>
        <w:tab/>
        <w:t>(2)</w:t>
      </w:r>
      <w:r>
        <w:tab/>
        <w:t xml:space="preserve">Despite </w:t>
      </w:r>
      <w:r>
        <w:rPr>
          <w:snapToGrid w:val="0"/>
        </w:rPr>
        <w:t>subrule</w:t>
      </w:r>
      <w:r>
        <w:t xml:space="preserve"> (1), an affidavit may contain statements of information or belief if —</w:t>
      </w:r>
    </w:p>
    <w:p>
      <w:pPr>
        <w:pStyle w:val="Indenta"/>
      </w:pPr>
      <w:r>
        <w:tab/>
        <w:t>(a)</w:t>
      </w:r>
      <w:r>
        <w:tab/>
        <w:t>the affidavit is made under, and for the purposes of proceedings under, a written law that permits it to contain such statements; or</w:t>
      </w:r>
    </w:p>
    <w:p>
      <w:pPr>
        <w:pStyle w:val="Indenta"/>
      </w:pPr>
      <w:r>
        <w:tab/>
        <w:t>(b)</w:t>
      </w:r>
      <w:r>
        <w:tab/>
        <w:t>the affidavit is made under a provision of these rules that permits it to contain such statements; or</w:t>
      </w:r>
    </w:p>
    <w:p>
      <w:pPr>
        <w:pStyle w:val="Indenta"/>
      </w:pPr>
      <w:r>
        <w:tab/>
        <w:t>(c)</w:t>
      </w:r>
      <w:r>
        <w:tab/>
        <w:t>the affidavit is made for the purposes of interlocutory proceedings; or</w:t>
      </w:r>
    </w:p>
    <w:p>
      <w:pPr>
        <w:pStyle w:val="Indenta"/>
      </w:pPr>
      <w:r>
        <w:tab/>
        <w:t>(d)</w:t>
      </w:r>
      <w:r>
        <w:tab/>
        <w:t>the Court has made an order permitting the affidavit to contain such statements.</w:t>
      </w:r>
    </w:p>
    <w:p>
      <w:pPr>
        <w:pStyle w:val="Subsection"/>
      </w:pPr>
      <w:r>
        <w:tab/>
        <w:t>(3A)</w:t>
      </w:r>
      <w:r>
        <w:tab/>
        <w:t>An affidavit containing statements of information or belief must set out the sources or grounds of that information or belief unless —</w:t>
      </w:r>
    </w:p>
    <w:p>
      <w:pPr>
        <w:pStyle w:val="Indenta"/>
      </w:pPr>
      <w:r>
        <w:tab/>
        <w:t>(a)</w:t>
      </w:r>
      <w:r>
        <w:tab/>
        <w:t xml:space="preserve">the affidavit is made under, and for the purposes of proceedings under, a written law that — </w:t>
      </w:r>
    </w:p>
    <w:p>
      <w:pPr>
        <w:pStyle w:val="Indenti"/>
      </w:pPr>
      <w:r>
        <w:tab/>
        <w:t>(i)</w:t>
      </w:r>
      <w:r>
        <w:tab/>
        <w:t>prevents the deponent from disclosing those sources or grounds or information material to them; or</w:t>
      </w:r>
    </w:p>
    <w:p>
      <w:pPr>
        <w:pStyle w:val="Indenti"/>
        <w:keepNext/>
      </w:pPr>
      <w:r>
        <w:lastRenderedPageBreak/>
        <w:tab/>
        <w:t>(ii)</w:t>
      </w:r>
      <w:r>
        <w:tab/>
        <w:t>does not permit those sources or grounds or information material to them to be made public;</w:t>
      </w:r>
    </w:p>
    <w:p>
      <w:pPr>
        <w:pStyle w:val="Indenta"/>
      </w:pPr>
      <w:r>
        <w:tab/>
      </w:r>
      <w:r>
        <w:tab/>
        <w:t>or</w:t>
      </w:r>
    </w:p>
    <w:p>
      <w:pPr>
        <w:pStyle w:val="Indenta"/>
      </w:pPr>
      <w:r>
        <w:tab/>
        <w:t>(b)</w:t>
      </w:r>
      <w:r>
        <w:tab/>
        <w:t>the Court has made an order permitting the affidavit to omit the sources or grounds.</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Gazette 5 Jun 1992 p. 2281; 26 Aug 1994 p. 4415; 13 Sep 1996 p. 4568; 28 Oct 1996 p. 5698; 16 Jul 1999 p. 3189; 28 Jul 2010 p. 3482-3.] </w:t>
      </w:r>
    </w:p>
    <w:p>
      <w:pPr>
        <w:pStyle w:val="Heading5"/>
        <w:rPr>
          <w:snapToGrid w:val="0"/>
        </w:rPr>
      </w:pPr>
      <w:bookmarkStart w:id="646" w:name="_Toc163121075"/>
      <w:r>
        <w:rPr>
          <w:rStyle w:val="CharSectno"/>
        </w:rPr>
        <w:t>7</w:t>
      </w:r>
      <w:r>
        <w:rPr>
          <w:snapToGrid w:val="0"/>
        </w:rPr>
        <w:t>.</w:t>
      </w:r>
      <w:r>
        <w:rPr>
          <w:snapToGrid w:val="0"/>
        </w:rPr>
        <w:tab/>
        <w:t>Scandalous matter</w:t>
      </w:r>
      <w:bookmarkEnd w:id="646"/>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r>
        <w:t>[</w:t>
      </w:r>
      <w:r>
        <w:rPr>
          <w:b/>
        </w:rPr>
        <w:t>8.</w:t>
      </w:r>
      <w:r>
        <w:tab/>
        <w:t>Deleted: Gazette 21 Feb 2007 p. 550.]</w:t>
      </w:r>
    </w:p>
    <w:p>
      <w:pPr>
        <w:pStyle w:val="Heading5"/>
        <w:rPr>
          <w:snapToGrid w:val="0"/>
        </w:rPr>
      </w:pPr>
      <w:bookmarkStart w:id="647" w:name="_Toc163121076"/>
      <w:r>
        <w:rPr>
          <w:rStyle w:val="CharSectno"/>
        </w:rPr>
        <w:t>9</w:t>
      </w:r>
      <w:r>
        <w:rPr>
          <w:snapToGrid w:val="0"/>
        </w:rPr>
        <w:t>.</w:t>
      </w:r>
      <w:r>
        <w:rPr>
          <w:snapToGrid w:val="0"/>
        </w:rPr>
        <w:tab/>
        <w:t>Exhibits</w:t>
      </w:r>
      <w:bookmarkEnd w:id="647"/>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Subsection"/>
      </w:pPr>
      <w:r>
        <w:tab/>
        <w:t>(3)</w:t>
      </w:r>
      <w:r>
        <w:tab/>
        <w:t>An exhibit to an affidavit cannot be filed electronically.</w:t>
      </w:r>
    </w:p>
    <w:p>
      <w:pPr>
        <w:pStyle w:val="Footnotesection"/>
      </w:pPr>
      <w:r>
        <w:tab/>
        <w:t xml:space="preserve">[Rule 9 amended: Gazette 16 Nov 1990 p. 5699; 21 Feb 2007 p. 551; 27 Feb 2018 p. 564.] </w:t>
      </w:r>
    </w:p>
    <w:p>
      <w:pPr>
        <w:pStyle w:val="Ednotesection"/>
      </w:pPr>
      <w:r>
        <w:lastRenderedPageBreak/>
        <w:t>[</w:t>
      </w:r>
      <w:r>
        <w:rPr>
          <w:b/>
        </w:rPr>
        <w:t>10</w:t>
      </w:r>
      <w:r>
        <w:rPr>
          <w:b/>
        </w:rPr>
        <w:noBreakHyphen/>
        <w:t>12.</w:t>
      </w:r>
      <w:r>
        <w:tab/>
        <w:t>Deleted: Gazette 21 Feb 2007 p. 551.]</w:t>
      </w:r>
    </w:p>
    <w:p>
      <w:pPr>
        <w:pStyle w:val="Heading5"/>
        <w:rPr>
          <w:snapToGrid w:val="0"/>
        </w:rPr>
      </w:pPr>
      <w:bookmarkStart w:id="648" w:name="_Toc163121077"/>
      <w:r>
        <w:rPr>
          <w:rStyle w:val="CharSectno"/>
        </w:rPr>
        <w:t>13</w:t>
      </w:r>
      <w:r>
        <w:rPr>
          <w:snapToGrid w:val="0"/>
        </w:rPr>
        <w:t>.</w:t>
      </w:r>
      <w:r>
        <w:rPr>
          <w:snapToGrid w:val="0"/>
        </w:rPr>
        <w:tab/>
        <w:t>Affidavits to be filed</w:t>
      </w:r>
      <w:bookmarkEnd w:id="648"/>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649" w:name="_Toc163121078"/>
      <w:r>
        <w:rPr>
          <w:rStyle w:val="CharSectno"/>
        </w:rPr>
        <w:t>14</w:t>
      </w:r>
      <w:r>
        <w:rPr>
          <w:snapToGrid w:val="0"/>
        </w:rPr>
        <w:t>.</w:t>
      </w:r>
      <w:r>
        <w:rPr>
          <w:snapToGrid w:val="0"/>
        </w:rPr>
        <w:tab/>
        <w:t>Affidavits not to be filed out of time without leave</w:t>
      </w:r>
      <w:bookmarkEnd w:id="649"/>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650" w:name="_Toc163121079"/>
      <w:r>
        <w:rPr>
          <w:rStyle w:val="CharSectno"/>
        </w:rPr>
        <w:t>15</w:t>
      </w:r>
      <w:r>
        <w:rPr>
          <w:snapToGrid w:val="0"/>
        </w:rPr>
        <w:t>.</w:t>
      </w:r>
      <w:r>
        <w:rPr>
          <w:snapToGrid w:val="0"/>
        </w:rPr>
        <w:tab/>
        <w:t>Alterations in accounts</w:t>
      </w:r>
      <w:bookmarkEnd w:id="650"/>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r>
        <w:tab/>
        <w:t xml:space="preserve">[Rule 15 amended: Gazette 21 Feb 2007 p. 551.] </w:t>
      </w:r>
    </w:p>
    <w:p>
      <w:pPr>
        <w:pStyle w:val="Heading5"/>
      </w:pPr>
      <w:bookmarkStart w:id="651" w:name="_Toc163121080"/>
      <w:r>
        <w:rPr>
          <w:rStyle w:val="CharSectno"/>
        </w:rPr>
        <w:t>16</w:t>
      </w:r>
      <w:r>
        <w:t>.</w:t>
      </w:r>
      <w:r>
        <w:tab/>
        <w:t xml:space="preserve">This Order additional to </w:t>
      </w:r>
      <w:r>
        <w:rPr>
          <w:i/>
        </w:rPr>
        <w:t>Oaths, Affidavits and Statutory Declarations Act 2005</w:t>
      </w:r>
      <w:bookmarkEnd w:id="651"/>
    </w:p>
    <w:p>
      <w:pPr>
        <w:pStyle w:val="Subsection"/>
      </w:pPr>
      <w:r>
        <w:tab/>
      </w:r>
      <w:r>
        <w:tab/>
        <w:t xml:space="preserve">This Order is in addition to the </w:t>
      </w:r>
      <w:r>
        <w:rPr>
          <w:i/>
        </w:rPr>
        <w:t>Oaths, Affidavits and Statutory Declarations Act 2005</w:t>
      </w:r>
      <w:r>
        <w:t>.</w:t>
      </w:r>
    </w:p>
    <w:p>
      <w:pPr>
        <w:pStyle w:val="Footnotesection"/>
      </w:pPr>
      <w:r>
        <w:tab/>
        <w:t>[Rule 16 inserted: Gazette 21 Feb 2007 p. 551.]</w:t>
      </w:r>
    </w:p>
    <w:p>
      <w:pPr>
        <w:pStyle w:val="Heading2"/>
        <w:rPr>
          <w:b w:val="0"/>
        </w:rPr>
      </w:pPr>
      <w:bookmarkStart w:id="652" w:name="_Toc162940619"/>
      <w:bookmarkStart w:id="653" w:name="_Toc162953408"/>
      <w:bookmarkStart w:id="654" w:name="_Toc163121081"/>
      <w:r>
        <w:rPr>
          <w:rStyle w:val="CharPartNo"/>
        </w:rPr>
        <w:lastRenderedPageBreak/>
        <w:t>Order 38</w:t>
      </w:r>
      <w:r>
        <w:rPr>
          <w:rStyle w:val="CharDivNo"/>
        </w:rPr>
        <w:t> </w:t>
      </w:r>
      <w:r>
        <w:t>—</w:t>
      </w:r>
      <w:r>
        <w:rPr>
          <w:rStyle w:val="CharDivText"/>
        </w:rPr>
        <w:t> </w:t>
      </w:r>
      <w:r>
        <w:rPr>
          <w:rStyle w:val="CharPartText"/>
        </w:rPr>
        <w:t>Evidence by deposition</w:t>
      </w:r>
      <w:bookmarkEnd w:id="652"/>
      <w:bookmarkEnd w:id="653"/>
      <w:bookmarkEnd w:id="654"/>
    </w:p>
    <w:p>
      <w:pPr>
        <w:pStyle w:val="Heading5"/>
        <w:rPr>
          <w:snapToGrid w:val="0"/>
        </w:rPr>
      </w:pPr>
      <w:bookmarkStart w:id="655" w:name="_Toc163121082"/>
      <w:r>
        <w:rPr>
          <w:rStyle w:val="CharSectno"/>
        </w:rPr>
        <w:t>1</w:t>
      </w:r>
      <w:r>
        <w:rPr>
          <w:snapToGrid w:val="0"/>
        </w:rPr>
        <w:t>.</w:t>
      </w:r>
      <w:r>
        <w:rPr>
          <w:snapToGrid w:val="0"/>
        </w:rPr>
        <w:tab/>
        <w:t>Power to order depositions to be taken</w:t>
      </w:r>
      <w:bookmarkEnd w:id="655"/>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 xml:space="preserve">An order under </w:t>
      </w:r>
      <w:r>
        <w:t>subrule</w:t>
      </w:r>
      <w:r>
        <w:rPr>
          <w:snapToGrid w:val="0"/>
        </w:rPr>
        <w:t>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Gazette 8 Feb 1991 p. 582; 28 Jun 2011 p. 2552.] </w:t>
      </w:r>
    </w:p>
    <w:p>
      <w:pPr>
        <w:pStyle w:val="Ednotesection"/>
      </w:pPr>
      <w:r>
        <w:t>[</w:t>
      </w:r>
      <w:r>
        <w:rPr>
          <w:b/>
        </w:rPr>
        <w:t>2, 3.</w:t>
      </w:r>
      <w:r>
        <w:rPr>
          <w:b/>
        </w:rPr>
        <w:tab/>
      </w:r>
      <w:r>
        <w:t xml:space="preserve">Deleted: Gazette 8 Feb 1991 p. 582.] </w:t>
      </w:r>
    </w:p>
    <w:p>
      <w:pPr>
        <w:pStyle w:val="Heading5"/>
        <w:rPr>
          <w:snapToGrid w:val="0"/>
        </w:rPr>
      </w:pPr>
      <w:bookmarkStart w:id="656" w:name="_Toc163121083"/>
      <w:r>
        <w:rPr>
          <w:rStyle w:val="CharSectno"/>
        </w:rPr>
        <w:t>4</w:t>
      </w:r>
      <w:r>
        <w:rPr>
          <w:snapToGrid w:val="0"/>
        </w:rPr>
        <w:t>.</w:t>
      </w:r>
      <w:r>
        <w:rPr>
          <w:snapToGrid w:val="0"/>
        </w:rPr>
        <w:tab/>
        <w:t>Enforcing attendance of witness</w:t>
      </w:r>
      <w:bookmarkEnd w:id="656"/>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t xml:space="preserve">the </w:t>
      </w:r>
      <w:r>
        <w:rPr>
          <w:rStyle w:val="CharDefText"/>
        </w:rPr>
        <w:t>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r>
        <w:tab/>
        <w:t>[Rule 4 amended: Gazette 21 Feb 2007 p. 551.]</w:t>
      </w:r>
    </w:p>
    <w:p>
      <w:pPr>
        <w:pStyle w:val="Heading5"/>
        <w:rPr>
          <w:snapToGrid w:val="0"/>
        </w:rPr>
      </w:pPr>
      <w:bookmarkStart w:id="657" w:name="_Toc163121084"/>
      <w:r>
        <w:rPr>
          <w:rStyle w:val="CharSectno"/>
        </w:rPr>
        <w:lastRenderedPageBreak/>
        <w:t>5</w:t>
      </w:r>
      <w:r>
        <w:rPr>
          <w:snapToGrid w:val="0"/>
        </w:rPr>
        <w:t>.</w:t>
      </w:r>
      <w:r>
        <w:rPr>
          <w:snapToGrid w:val="0"/>
        </w:rPr>
        <w:tab/>
        <w:t>Refusal of witness to attend or be sworn</w:t>
      </w:r>
      <w:bookmarkEnd w:id="657"/>
    </w:p>
    <w:p>
      <w:pPr>
        <w:pStyle w:val="Subsection"/>
        <w:rPr>
          <w:snapToGrid w:val="0"/>
        </w:rPr>
      </w:pPr>
      <w:r>
        <w:rPr>
          <w:snapToGrid w:val="0"/>
        </w:rPr>
        <w:tab/>
        <w:t>(1)</w:t>
      </w:r>
      <w:r>
        <w:rPr>
          <w:snapToGrid w:val="0"/>
        </w:rPr>
        <w:tab/>
        <w:t xml:space="preserve">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w:t>
      </w:r>
      <w:r>
        <w:rPr>
          <w:i/>
          <w:snapToGrid w:val="0"/>
        </w:rPr>
        <w:t>ex parte</w:t>
      </w:r>
      <w:r>
        <w:rPr>
          <w:snapToGrid w:val="0"/>
        </w:rPr>
        <w:t xml:space="preserv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w:t>
      </w:r>
      <w:r>
        <w:t xml:space="preserve"> subrule</w:t>
      </w:r>
      <w:r>
        <w:rPr>
          <w:snapToGrid w:val="0"/>
        </w:rPr>
        <w:t> (1) is guilty of contempt of court.</w:t>
      </w:r>
    </w:p>
    <w:p>
      <w:pPr>
        <w:pStyle w:val="Footnotesection"/>
      </w:pPr>
      <w:r>
        <w:tab/>
        <w:t>[Rule 5 amended: Gazette 28 Jun 2011 p. 2552.]</w:t>
      </w:r>
    </w:p>
    <w:p>
      <w:pPr>
        <w:pStyle w:val="Heading5"/>
        <w:rPr>
          <w:snapToGrid w:val="0"/>
        </w:rPr>
      </w:pPr>
      <w:bookmarkStart w:id="658" w:name="_Toc163121085"/>
      <w:r>
        <w:rPr>
          <w:rStyle w:val="CharSectno"/>
        </w:rPr>
        <w:t>6</w:t>
      </w:r>
      <w:r>
        <w:rPr>
          <w:snapToGrid w:val="0"/>
        </w:rPr>
        <w:t>.</w:t>
      </w:r>
      <w:r>
        <w:rPr>
          <w:snapToGrid w:val="0"/>
        </w:rPr>
        <w:tab/>
        <w:t>Time and place of examination, notice of</w:t>
      </w:r>
      <w:bookmarkEnd w:id="658"/>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 xml:space="preserve">In fixing the time appointed under </w:t>
      </w:r>
      <w:r>
        <w:t>subrule</w:t>
      </w:r>
      <w:r>
        <w:rPr>
          <w:snapToGrid w:val="0"/>
        </w:rPr>
        <w:t> (1) the examiner shall have regard to the reasonable convenience of the persons to be examined and all the circumstances of the case, but subject thereto such time shall be as soon as practicable after the making of the order.</w:t>
      </w:r>
    </w:p>
    <w:p>
      <w:pPr>
        <w:pStyle w:val="Footnotesection"/>
      </w:pPr>
      <w:r>
        <w:tab/>
        <w:t>[Rule 6 amended: Gazette 28 Jun 2011 p. 2552.]</w:t>
      </w:r>
    </w:p>
    <w:p>
      <w:pPr>
        <w:pStyle w:val="Heading5"/>
        <w:rPr>
          <w:snapToGrid w:val="0"/>
        </w:rPr>
      </w:pPr>
      <w:bookmarkStart w:id="659" w:name="_Toc163121086"/>
      <w:r>
        <w:rPr>
          <w:rStyle w:val="CharSectno"/>
        </w:rPr>
        <w:t>7</w:t>
      </w:r>
      <w:r>
        <w:rPr>
          <w:snapToGrid w:val="0"/>
        </w:rPr>
        <w:t>.</w:t>
      </w:r>
      <w:r>
        <w:rPr>
          <w:snapToGrid w:val="0"/>
        </w:rPr>
        <w:tab/>
        <w:t>Documents to be given to examiner</w:t>
      </w:r>
      <w:bookmarkEnd w:id="659"/>
    </w:p>
    <w:p>
      <w:pPr>
        <w:pStyle w:val="Subsection"/>
        <w:rPr>
          <w:snapToGrid w:val="0"/>
        </w:rPr>
      </w:pPr>
      <w:r>
        <w:tab/>
        <w:t>(1)</w:t>
      </w:r>
      <w:r>
        <w:tab/>
        <w:t>The</w:t>
      </w:r>
      <w:r>
        <w:rPr>
          <w:snapToGrid w:val="0"/>
        </w:rPr>
        <w:t xml:space="preserve"> party who obtained the order for examination before an examiner must supply to the examiner copies of all such </w:t>
      </w:r>
      <w:r>
        <w:rPr>
          <w:snapToGrid w:val="0"/>
        </w:rPr>
        <w:lastRenderedPageBreak/>
        <w:t>documents in the cause or matter as are necessary to inform the examiner of the questions at issue between the parties.</w:t>
      </w:r>
    </w:p>
    <w:p>
      <w:pPr>
        <w:pStyle w:val="Subsection"/>
      </w:pPr>
      <w:r>
        <w:tab/>
        <w:t>(2)</w:t>
      </w:r>
      <w:r>
        <w:tab/>
        <w:t>The party must supply the copies in the format, or by the means, required by the examiner.</w:t>
      </w:r>
    </w:p>
    <w:p>
      <w:pPr>
        <w:pStyle w:val="Footnotesection"/>
      </w:pPr>
      <w:r>
        <w:tab/>
        <w:t xml:space="preserve">[Rule 7 amended: Gazette 27 Feb 2018 p. 564.] </w:t>
      </w:r>
    </w:p>
    <w:p>
      <w:pPr>
        <w:pStyle w:val="Heading5"/>
        <w:rPr>
          <w:snapToGrid w:val="0"/>
        </w:rPr>
      </w:pPr>
      <w:bookmarkStart w:id="660" w:name="_Toc163121087"/>
      <w:r>
        <w:rPr>
          <w:rStyle w:val="CharSectno"/>
        </w:rPr>
        <w:t>8</w:t>
      </w:r>
      <w:r>
        <w:rPr>
          <w:snapToGrid w:val="0"/>
        </w:rPr>
        <w:t>.</w:t>
      </w:r>
      <w:r>
        <w:rPr>
          <w:snapToGrid w:val="0"/>
        </w:rPr>
        <w:tab/>
        <w:t>Practice on examination</w:t>
      </w:r>
      <w:bookmarkEnd w:id="660"/>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661" w:name="_Toc163121088"/>
      <w:r>
        <w:rPr>
          <w:rStyle w:val="CharSectno"/>
        </w:rPr>
        <w:t>9</w:t>
      </w:r>
      <w:r>
        <w:rPr>
          <w:snapToGrid w:val="0"/>
        </w:rPr>
        <w:t>.</w:t>
      </w:r>
      <w:r>
        <w:rPr>
          <w:snapToGrid w:val="0"/>
        </w:rPr>
        <w:tab/>
        <w:t>Expenses of witnesses</w:t>
      </w:r>
      <w:bookmarkEnd w:id="661"/>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662" w:name="_Toc163121089"/>
      <w:r>
        <w:rPr>
          <w:rStyle w:val="CharSectno"/>
        </w:rPr>
        <w:t>10</w:t>
      </w:r>
      <w:r>
        <w:rPr>
          <w:snapToGrid w:val="0"/>
        </w:rPr>
        <w:t>.</w:t>
      </w:r>
      <w:r>
        <w:rPr>
          <w:snapToGrid w:val="0"/>
        </w:rPr>
        <w:tab/>
        <w:t>Additional witnesses may be examined with parties’ consent</w:t>
      </w:r>
      <w:bookmarkEnd w:id="662"/>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663" w:name="_Toc163121090"/>
      <w:r>
        <w:rPr>
          <w:rStyle w:val="CharSectno"/>
        </w:rPr>
        <w:lastRenderedPageBreak/>
        <w:t>11</w:t>
      </w:r>
      <w:r>
        <w:rPr>
          <w:snapToGrid w:val="0"/>
        </w:rPr>
        <w:t>.</w:t>
      </w:r>
      <w:r>
        <w:rPr>
          <w:snapToGrid w:val="0"/>
        </w:rPr>
        <w:tab/>
        <w:t>How depositions to be taken</w:t>
      </w:r>
      <w:bookmarkEnd w:id="663"/>
    </w:p>
    <w:p>
      <w:pPr>
        <w:pStyle w:val="Subsection"/>
        <w:keepNext/>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 xml:space="preserve">Subject to </w:t>
      </w:r>
      <w:r>
        <w:t>subrule</w:t>
      </w:r>
      <w:r>
        <w:rPr>
          <w:snapToGrid w:val="0"/>
        </w:rPr>
        <w:t xml:space="preserve"> (3) a deposition taken pursuant to </w:t>
      </w:r>
      <w:r>
        <w:t>subrule</w:t>
      </w:r>
      <w:r>
        <w:rPr>
          <w:snapToGrid w:val="0"/>
        </w:rPr>
        <w:t>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 xml:space="preserve">A deposition taken pursuant to </w:t>
      </w:r>
      <w:r>
        <w:t>subrule</w:t>
      </w:r>
      <w:r>
        <w:rPr>
          <w:snapToGrid w:val="0"/>
        </w:rPr>
        <w:t>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 xml:space="preserve">Where the deposition is taken pursuant to </w:t>
      </w:r>
      <w:r>
        <w:t>subrule</w:t>
      </w:r>
      <w:r>
        <w:rPr>
          <w:snapToGrid w:val="0"/>
        </w:rPr>
        <w:t>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 xml:space="preserve">The deposition authenticated by the examiner shall be </w:t>
      </w:r>
      <w:r>
        <w:t>filed by the examiner.</w:t>
      </w:r>
    </w:p>
    <w:p>
      <w:pPr>
        <w:pStyle w:val="Subsection"/>
        <w:keepNext/>
      </w:pPr>
      <w:r>
        <w:lastRenderedPageBreak/>
        <w:tab/>
        <w:t>(10)</w:t>
      </w:r>
      <w:r>
        <w:tab/>
        <w:t>Unless the Principal Registrar has given approval for it to be filed electronically, the deposition cannot be filed electronically by the examiner.</w:t>
      </w:r>
    </w:p>
    <w:p>
      <w:pPr>
        <w:pStyle w:val="Footnotesection"/>
      </w:pPr>
      <w:r>
        <w:tab/>
        <w:t>[Rule 11 amended: Gazette 28 Jun 2011 p. 2552; 27 Feb 2018 p. 564-5.]</w:t>
      </w:r>
    </w:p>
    <w:p>
      <w:pPr>
        <w:pStyle w:val="Heading5"/>
        <w:rPr>
          <w:snapToGrid w:val="0"/>
        </w:rPr>
      </w:pPr>
      <w:bookmarkStart w:id="664" w:name="_Toc163121091"/>
      <w:r>
        <w:rPr>
          <w:rStyle w:val="CharSectno"/>
        </w:rPr>
        <w:t>12</w:t>
      </w:r>
      <w:r>
        <w:rPr>
          <w:snapToGrid w:val="0"/>
        </w:rPr>
        <w:t>.</w:t>
      </w:r>
      <w:r>
        <w:rPr>
          <w:snapToGrid w:val="0"/>
        </w:rPr>
        <w:tab/>
        <w:t>Objection to questions</w:t>
      </w:r>
      <w:bookmarkEnd w:id="664"/>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665" w:name="_Toc163121092"/>
      <w:r>
        <w:rPr>
          <w:rStyle w:val="CharSectno"/>
        </w:rPr>
        <w:t>13</w:t>
      </w:r>
      <w:r>
        <w:rPr>
          <w:snapToGrid w:val="0"/>
        </w:rPr>
        <w:t>.</w:t>
      </w:r>
      <w:r>
        <w:rPr>
          <w:snapToGrid w:val="0"/>
        </w:rPr>
        <w:tab/>
        <w:t>Examiner may give Court special report</w:t>
      </w:r>
      <w:bookmarkEnd w:id="665"/>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666" w:name="_Toc163121093"/>
      <w:r>
        <w:rPr>
          <w:rStyle w:val="CharSectno"/>
        </w:rPr>
        <w:t>14</w:t>
      </w:r>
      <w:r>
        <w:rPr>
          <w:snapToGrid w:val="0"/>
        </w:rPr>
        <w:t>.</w:t>
      </w:r>
      <w:r>
        <w:rPr>
          <w:snapToGrid w:val="0"/>
        </w:rPr>
        <w:tab/>
        <w:t>Oaths</w:t>
      </w:r>
      <w:bookmarkEnd w:id="666"/>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Gazette 8 Feb 1991 p. 582.] </w:t>
      </w:r>
    </w:p>
    <w:p>
      <w:pPr>
        <w:pStyle w:val="Heading5"/>
        <w:spacing w:before="180"/>
        <w:rPr>
          <w:snapToGrid w:val="0"/>
        </w:rPr>
      </w:pPr>
      <w:bookmarkStart w:id="667" w:name="_Toc163121094"/>
      <w:r>
        <w:rPr>
          <w:rStyle w:val="CharSectno"/>
        </w:rPr>
        <w:t>15</w:t>
      </w:r>
      <w:r>
        <w:rPr>
          <w:snapToGrid w:val="0"/>
        </w:rPr>
        <w:t>.</w:t>
      </w:r>
      <w:r>
        <w:rPr>
          <w:snapToGrid w:val="0"/>
        </w:rPr>
        <w:tab/>
        <w:t>Perpetuating testimony</w:t>
      </w:r>
      <w:bookmarkEnd w:id="667"/>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lastRenderedPageBreak/>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668" w:name="_Toc163121095"/>
      <w:r>
        <w:rPr>
          <w:rStyle w:val="CharSectno"/>
        </w:rPr>
        <w:t>16</w:t>
      </w:r>
      <w:r>
        <w:rPr>
          <w:snapToGrid w:val="0"/>
        </w:rPr>
        <w:t>.</w:t>
      </w:r>
      <w:r>
        <w:rPr>
          <w:snapToGrid w:val="0"/>
        </w:rPr>
        <w:tab/>
        <w:t>Examiner’s fees</w:t>
      </w:r>
      <w:bookmarkEnd w:id="668"/>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THeadingNAm"/>
      </w:pPr>
      <w: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NAm"/>
            </w:pPr>
          </w:p>
        </w:tc>
        <w:tc>
          <w:tcPr>
            <w:tcW w:w="1559" w:type="dxa"/>
          </w:tcPr>
          <w:p>
            <w:pPr>
              <w:pStyle w:val="TableNAm"/>
              <w:jc w:val="center"/>
              <w:rPr>
                <w:b/>
              </w:rPr>
            </w:pPr>
            <w:r>
              <w:rPr>
                <w:b/>
              </w:rPr>
              <w:t>$</w:t>
            </w:r>
          </w:p>
        </w:tc>
      </w:tr>
      <w:tr>
        <w:tc>
          <w:tcPr>
            <w:tcW w:w="4634" w:type="dxa"/>
          </w:tcPr>
          <w:p>
            <w:pPr>
              <w:pStyle w:val="TableNAm"/>
              <w:ind w:left="573" w:hanging="573"/>
            </w:pPr>
            <w:r>
              <w:t>(a)</w:t>
            </w:r>
            <w:r>
              <w:tab/>
              <w:t>Upon giving an appointment to take an examination ...................................</w:t>
            </w:r>
          </w:p>
        </w:tc>
        <w:tc>
          <w:tcPr>
            <w:tcW w:w="1559" w:type="dxa"/>
          </w:tcPr>
          <w:p>
            <w:pPr>
              <w:pStyle w:val="TableNAm"/>
              <w:jc w:val="center"/>
            </w:pPr>
            <w:r>
              <w:br/>
              <w:t>21.00</w:t>
            </w:r>
          </w:p>
        </w:tc>
      </w:tr>
      <w:tr>
        <w:tc>
          <w:tcPr>
            <w:tcW w:w="4634" w:type="dxa"/>
          </w:tcPr>
          <w:p>
            <w:pPr>
              <w:pStyle w:val="TableNAm"/>
            </w:pPr>
            <w:r>
              <w:t>(b)</w:t>
            </w:r>
            <w:r>
              <w:tab/>
              <w:t>for the examination — </w:t>
            </w:r>
          </w:p>
        </w:tc>
        <w:tc>
          <w:tcPr>
            <w:tcW w:w="1559" w:type="dxa"/>
          </w:tcPr>
          <w:p>
            <w:pPr>
              <w:pStyle w:val="TableNAm"/>
              <w:jc w:val="center"/>
            </w:pPr>
          </w:p>
        </w:tc>
      </w:tr>
      <w:tr>
        <w:tc>
          <w:tcPr>
            <w:tcW w:w="4634" w:type="dxa"/>
          </w:tcPr>
          <w:p>
            <w:pPr>
              <w:pStyle w:val="TableNAm"/>
            </w:pPr>
            <w:r>
              <w:tab/>
              <w:t>for the first hour .................................</w:t>
            </w:r>
          </w:p>
        </w:tc>
        <w:tc>
          <w:tcPr>
            <w:tcW w:w="1559" w:type="dxa"/>
          </w:tcPr>
          <w:p>
            <w:pPr>
              <w:pStyle w:val="TableNAm"/>
              <w:jc w:val="center"/>
            </w:pPr>
            <w:r>
              <w:t>28.00</w:t>
            </w:r>
          </w:p>
        </w:tc>
      </w:tr>
      <w:tr>
        <w:tc>
          <w:tcPr>
            <w:tcW w:w="4634" w:type="dxa"/>
          </w:tcPr>
          <w:p>
            <w:pPr>
              <w:pStyle w:val="TableNAm"/>
            </w:pPr>
            <w:r>
              <w:tab/>
              <w:t>for every hour after the first ...............</w:t>
            </w:r>
          </w:p>
        </w:tc>
        <w:tc>
          <w:tcPr>
            <w:tcW w:w="1559" w:type="dxa"/>
          </w:tcPr>
          <w:p>
            <w:pPr>
              <w:pStyle w:val="TableNAm"/>
              <w:jc w:val="center"/>
            </w:pPr>
            <w: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lastRenderedPageBreak/>
        <w:tab/>
        <w:t>(5)</w:t>
      </w:r>
      <w:r>
        <w:rPr>
          <w:snapToGrid w:val="0"/>
        </w:rPr>
        <w:tab/>
        <w:t>A judge or a master may authorise the charging of fees at a higher hourly rate than the hourly rate specified in the</w:t>
      </w:r>
      <w:r>
        <w:t xml:space="preserve"> Table to subrule (1).</w:t>
      </w:r>
    </w:p>
    <w:p>
      <w:pPr>
        <w:pStyle w:val="Subsection"/>
        <w:keepNext/>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Gazette 21 Mar 1980 p. 960</w:t>
      </w:r>
      <w:r>
        <w:noBreakHyphen/>
        <w:t>1; amended: Gazette 30 Nov 1984 p. 3951</w:t>
      </w:r>
      <w:r>
        <w:noBreakHyphen/>
        <w:t>3; 28 Jun 2011 p. 2554.]</w:t>
      </w:r>
    </w:p>
    <w:p>
      <w:pPr>
        <w:pStyle w:val="Heading5"/>
        <w:rPr>
          <w:snapToGrid w:val="0"/>
        </w:rPr>
      </w:pPr>
      <w:bookmarkStart w:id="669" w:name="_Toc163121096"/>
      <w:r>
        <w:rPr>
          <w:rStyle w:val="CharSectno"/>
        </w:rPr>
        <w:t>17</w:t>
      </w:r>
      <w:r>
        <w:rPr>
          <w:snapToGrid w:val="0"/>
        </w:rPr>
        <w:t>.</w:t>
      </w:r>
      <w:r>
        <w:rPr>
          <w:snapToGrid w:val="0"/>
        </w:rPr>
        <w:tab/>
        <w:t>Payment of examiner’s fees</w:t>
      </w:r>
      <w:bookmarkEnd w:id="669"/>
    </w:p>
    <w:p>
      <w:pPr>
        <w:pStyle w:val="Subsection"/>
      </w:pPr>
      <w:r>
        <w:tab/>
        <w:t>(1)</w:t>
      </w:r>
      <w:r>
        <w:tab/>
        <w:t>An examiner shall not be required to file any deposition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Footnotesection"/>
      </w:pPr>
      <w:r>
        <w:tab/>
        <w:t>[Rule 17 amended: Gazette 27 Feb 2018 p. 565.]</w:t>
      </w:r>
    </w:p>
    <w:p>
      <w:pPr>
        <w:pStyle w:val="Ednotesection"/>
      </w:pPr>
      <w:r>
        <w:t>[</w:t>
      </w:r>
      <w:r>
        <w:rPr>
          <w:b/>
        </w:rPr>
        <w:t>18.</w:t>
      </w:r>
      <w:r>
        <w:tab/>
        <w:t>Deleted: Gazette 21 Feb 2007 p. 551.]</w:t>
      </w:r>
    </w:p>
    <w:p>
      <w:pPr>
        <w:pStyle w:val="Heading2"/>
        <w:rPr>
          <w:b w:val="0"/>
        </w:rPr>
      </w:pPr>
      <w:bookmarkStart w:id="670" w:name="_Toc162940635"/>
      <w:bookmarkStart w:id="671" w:name="_Toc162953424"/>
      <w:bookmarkStart w:id="672" w:name="_Toc163121097"/>
      <w:r>
        <w:rPr>
          <w:rStyle w:val="CharPartNo"/>
        </w:rPr>
        <w:lastRenderedPageBreak/>
        <w:t>Order 38A</w:t>
      </w:r>
      <w:r>
        <w:rPr>
          <w:rStyle w:val="CharDivNo"/>
        </w:rPr>
        <w:t> </w:t>
      </w:r>
      <w:r>
        <w:t>—</w:t>
      </w:r>
      <w:r>
        <w:rPr>
          <w:rStyle w:val="CharDivText"/>
        </w:rPr>
        <w:t> </w:t>
      </w:r>
      <w:r>
        <w:rPr>
          <w:rStyle w:val="CharPartText"/>
        </w:rPr>
        <w:t>Examination of witnesses outside the State</w:t>
      </w:r>
      <w:bookmarkEnd w:id="670"/>
      <w:bookmarkEnd w:id="671"/>
      <w:bookmarkEnd w:id="672"/>
    </w:p>
    <w:p>
      <w:pPr>
        <w:pStyle w:val="Footnoteheading"/>
        <w:ind w:left="890"/>
      </w:pPr>
      <w:r>
        <w:tab/>
        <w:t>[Heading inserted: Gazette 8 Feb 1991 p. 582; amended: Gazette 22 Feb 2008 p. 637.]</w:t>
      </w:r>
    </w:p>
    <w:p>
      <w:pPr>
        <w:pStyle w:val="Heading5"/>
        <w:spacing w:before="180"/>
        <w:rPr>
          <w:sz w:val="20"/>
        </w:rPr>
      </w:pPr>
      <w:bookmarkStart w:id="673" w:name="_Toc163121098"/>
      <w:r>
        <w:rPr>
          <w:rStyle w:val="CharSectno"/>
        </w:rPr>
        <w:t>1</w:t>
      </w:r>
      <w:r>
        <w:rPr>
          <w:snapToGrid w:val="0"/>
        </w:rPr>
        <w:t>.</w:t>
      </w:r>
      <w:r>
        <w:rPr>
          <w:snapToGrid w:val="0"/>
        </w:rPr>
        <w:tab/>
        <w:t>Terms used</w:t>
      </w:r>
      <w:bookmarkEnd w:id="673"/>
    </w:p>
    <w:p>
      <w:pPr>
        <w:pStyle w:val="Subsection"/>
        <w:spacing w:before="120"/>
      </w:pPr>
      <w:r>
        <w:tab/>
      </w:r>
      <w:r>
        <w:tab/>
        <w:t>In this Order — </w:t>
      </w:r>
    </w:p>
    <w:p>
      <w:pPr>
        <w:pStyle w:val="Indenta"/>
      </w:pPr>
      <w:r>
        <w:tab/>
        <w:t>(a)</w:t>
      </w:r>
      <w:r>
        <w:rPr>
          <w:b/>
        </w:rPr>
        <w:tab/>
      </w:r>
      <w:r>
        <w:t xml:space="preserve">the </w:t>
      </w:r>
      <w:r>
        <w:rPr>
          <w:rStyle w:val="CharDefText"/>
        </w:rPr>
        <w:t>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Gazette 8 Feb 1991 p. 582.]</w:t>
      </w:r>
    </w:p>
    <w:p>
      <w:pPr>
        <w:pStyle w:val="Heading5"/>
      </w:pPr>
      <w:bookmarkStart w:id="674" w:name="_Toc163121099"/>
      <w:r>
        <w:rPr>
          <w:rStyle w:val="CharSectno"/>
        </w:rPr>
        <w:t>2</w:t>
      </w:r>
      <w:r>
        <w:t>.</w:t>
      </w:r>
      <w:r>
        <w:tab/>
        <w:t>Order applies to Act s. 110 and 111</w:t>
      </w:r>
      <w:bookmarkEnd w:id="674"/>
    </w:p>
    <w:p>
      <w:pPr>
        <w:pStyle w:val="Subsection"/>
      </w:pPr>
      <w:r>
        <w:tab/>
      </w:r>
      <w:r>
        <w:tab/>
        <w:t>This Order applies to applications made under section 110 or 111 of the Act.</w:t>
      </w:r>
    </w:p>
    <w:p>
      <w:pPr>
        <w:pStyle w:val="Footnotesection"/>
      </w:pPr>
      <w:r>
        <w:tab/>
        <w:t>[Rule 2 inserted: Gazette 21 Feb 2007 p. 551.]</w:t>
      </w:r>
    </w:p>
    <w:p>
      <w:pPr>
        <w:pStyle w:val="Heading5"/>
        <w:rPr>
          <w:snapToGrid w:val="0"/>
        </w:rPr>
      </w:pPr>
      <w:bookmarkStart w:id="675" w:name="_Toc163121100"/>
      <w:r>
        <w:rPr>
          <w:rStyle w:val="CharSectno"/>
        </w:rPr>
        <w:t>3</w:t>
      </w:r>
      <w:r>
        <w:rPr>
          <w:snapToGrid w:val="0"/>
        </w:rPr>
        <w:t>.</w:t>
      </w:r>
      <w:r>
        <w:rPr>
          <w:snapToGrid w:val="0"/>
        </w:rPr>
        <w:tab/>
        <w:t>Applications under Act s. 110 and 111 in civil proceedings</w:t>
      </w:r>
      <w:bookmarkEnd w:id="675"/>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lastRenderedPageBreak/>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Gazette 8 Feb 1991 p. 583.] </w:t>
      </w:r>
    </w:p>
    <w:p>
      <w:pPr>
        <w:pStyle w:val="Heading5"/>
        <w:rPr>
          <w:snapToGrid w:val="0"/>
        </w:rPr>
      </w:pPr>
      <w:bookmarkStart w:id="676" w:name="_Toc163121101"/>
      <w:r>
        <w:rPr>
          <w:rStyle w:val="CharSectno"/>
        </w:rPr>
        <w:t>4</w:t>
      </w:r>
      <w:r>
        <w:rPr>
          <w:snapToGrid w:val="0"/>
        </w:rPr>
        <w:t>.</w:t>
      </w:r>
      <w:r>
        <w:rPr>
          <w:snapToGrid w:val="0"/>
        </w:rPr>
        <w:tab/>
        <w:t>Application under Act s. 110 and 111 in criminal proceedings</w:t>
      </w:r>
      <w:bookmarkEnd w:id="676"/>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Gazette 8 Feb 1991 p. 583.] </w:t>
      </w:r>
    </w:p>
    <w:p>
      <w:pPr>
        <w:pStyle w:val="Heading5"/>
        <w:rPr>
          <w:snapToGrid w:val="0"/>
        </w:rPr>
      </w:pPr>
      <w:bookmarkStart w:id="677" w:name="_Toc163121102"/>
      <w:r>
        <w:rPr>
          <w:rStyle w:val="CharSectno"/>
        </w:rPr>
        <w:t>5</w:t>
      </w:r>
      <w:r>
        <w:rPr>
          <w:snapToGrid w:val="0"/>
        </w:rPr>
        <w:t>.</w:t>
      </w:r>
      <w:r>
        <w:rPr>
          <w:snapToGrid w:val="0"/>
        </w:rPr>
        <w:tab/>
        <w:t>Orders under Act s. 110 and 111</w:t>
      </w:r>
      <w:bookmarkEnd w:id="677"/>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Gazette 8 Feb 1991 p. 583.] </w:t>
      </w:r>
    </w:p>
    <w:p>
      <w:pPr>
        <w:pStyle w:val="Heading5"/>
        <w:rPr>
          <w:snapToGrid w:val="0"/>
        </w:rPr>
      </w:pPr>
      <w:bookmarkStart w:id="678" w:name="_Toc163121103"/>
      <w:r>
        <w:rPr>
          <w:rStyle w:val="CharSectno"/>
        </w:rPr>
        <w:lastRenderedPageBreak/>
        <w:t>6</w:t>
      </w:r>
      <w:r>
        <w:rPr>
          <w:snapToGrid w:val="0"/>
        </w:rPr>
        <w:t>.</w:t>
      </w:r>
      <w:r>
        <w:rPr>
          <w:snapToGrid w:val="0"/>
        </w:rPr>
        <w:tab/>
        <w:t>Manner of examination</w:t>
      </w:r>
      <w:bookmarkEnd w:id="678"/>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Gazette 8 Feb 1991 p. 583.] </w:t>
      </w:r>
    </w:p>
    <w:p>
      <w:pPr>
        <w:pStyle w:val="Heading5"/>
        <w:rPr>
          <w:snapToGrid w:val="0"/>
        </w:rPr>
      </w:pPr>
      <w:bookmarkStart w:id="679" w:name="_Toc163121104"/>
      <w:r>
        <w:rPr>
          <w:rStyle w:val="CharSectno"/>
        </w:rPr>
        <w:t>7</w:t>
      </w:r>
      <w:r>
        <w:rPr>
          <w:snapToGrid w:val="0"/>
        </w:rPr>
        <w:t>.</w:t>
      </w:r>
      <w:r>
        <w:rPr>
          <w:snapToGrid w:val="0"/>
        </w:rPr>
        <w:tab/>
        <w:t>Examiner’s remuneration</w:t>
      </w:r>
      <w:bookmarkEnd w:id="679"/>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Gazette 8 Feb 1991 p. 583.] </w:t>
      </w:r>
    </w:p>
    <w:p>
      <w:pPr>
        <w:pStyle w:val="Heading2"/>
        <w:rPr>
          <w:b w:val="0"/>
        </w:rPr>
      </w:pPr>
      <w:bookmarkStart w:id="680" w:name="_Toc162940643"/>
      <w:bookmarkStart w:id="681" w:name="_Toc162953432"/>
      <w:bookmarkStart w:id="682" w:name="_Toc163121105"/>
      <w:r>
        <w:rPr>
          <w:rStyle w:val="CharPartNo"/>
        </w:rPr>
        <w:lastRenderedPageBreak/>
        <w:t>Order 39</w:t>
      </w:r>
      <w:r>
        <w:rPr>
          <w:rStyle w:val="CharDivNo"/>
        </w:rPr>
        <w:t> </w:t>
      </w:r>
      <w:r>
        <w:t>—</w:t>
      </w:r>
      <w:r>
        <w:rPr>
          <w:rStyle w:val="CharDivText"/>
        </w:rPr>
        <w:t> </w:t>
      </w:r>
      <w:r>
        <w:rPr>
          <w:rStyle w:val="CharPartText"/>
        </w:rPr>
        <w:t>Taking of evidence for foreign and Australian courts</w:t>
      </w:r>
      <w:bookmarkEnd w:id="680"/>
      <w:bookmarkEnd w:id="681"/>
      <w:bookmarkEnd w:id="682"/>
    </w:p>
    <w:p>
      <w:pPr>
        <w:pStyle w:val="Footnoteheading"/>
        <w:ind w:left="890"/>
        <w:rPr>
          <w:snapToGrid w:val="0"/>
        </w:rPr>
      </w:pPr>
      <w:r>
        <w:rPr>
          <w:snapToGrid w:val="0"/>
        </w:rPr>
        <w:tab/>
        <w:t>[Heading inserted: Gazette 8 Feb 1991 p. 586; amended: Gazette 22 Feb 2008 p. 637.]</w:t>
      </w:r>
    </w:p>
    <w:p>
      <w:pPr>
        <w:pStyle w:val="Heading5"/>
        <w:spacing w:before="180"/>
        <w:rPr>
          <w:snapToGrid w:val="0"/>
        </w:rPr>
      </w:pPr>
      <w:bookmarkStart w:id="683" w:name="_Toc163121106"/>
      <w:r>
        <w:rPr>
          <w:rStyle w:val="CharSectno"/>
        </w:rPr>
        <w:t>1</w:t>
      </w:r>
      <w:r>
        <w:rPr>
          <w:snapToGrid w:val="0"/>
        </w:rPr>
        <w:t>.</w:t>
      </w:r>
      <w:r>
        <w:rPr>
          <w:snapToGrid w:val="0"/>
        </w:rPr>
        <w:tab/>
        <w:t>Terms used</w:t>
      </w:r>
      <w:bookmarkEnd w:id="683"/>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t xml:space="preserve">the </w:t>
      </w:r>
      <w:r>
        <w:rPr>
          <w:rStyle w:val="CharDefText"/>
        </w:rPr>
        <w:t>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Gazette 8 Feb 1991 p. 586.] </w:t>
      </w:r>
    </w:p>
    <w:p>
      <w:pPr>
        <w:pStyle w:val="Heading5"/>
        <w:spacing w:before="180"/>
        <w:rPr>
          <w:snapToGrid w:val="0"/>
        </w:rPr>
      </w:pPr>
      <w:bookmarkStart w:id="684" w:name="_Toc163121107"/>
      <w:r>
        <w:rPr>
          <w:rStyle w:val="CharSectno"/>
        </w:rPr>
        <w:t>2</w:t>
      </w:r>
      <w:r>
        <w:rPr>
          <w:snapToGrid w:val="0"/>
        </w:rPr>
        <w:t>.</w:t>
      </w:r>
      <w:r>
        <w:rPr>
          <w:snapToGrid w:val="0"/>
        </w:rPr>
        <w:tab/>
        <w:t>Applications under Act s. 116</w:t>
      </w:r>
      <w:bookmarkEnd w:id="684"/>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 xml:space="preserve">The application must be made </w:t>
      </w:r>
      <w:r>
        <w:rPr>
          <w:i/>
          <w:snapToGrid w:val="0"/>
        </w:rPr>
        <w:t>ex parte</w:t>
      </w:r>
      <w:r>
        <w:rPr>
          <w:snapToGrid w:val="0"/>
        </w:rPr>
        <w:t xml:space="preserv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Subsection"/>
      </w:pPr>
      <w:r>
        <w:tab/>
        <w:t>(4)</w:t>
      </w:r>
      <w:r>
        <w:tab/>
        <w:t>An application, affidavit or summons referred to in this rule cannot be filed electronically.</w:t>
      </w:r>
    </w:p>
    <w:p>
      <w:pPr>
        <w:pStyle w:val="Footnotesection"/>
      </w:pPr>
      <w:r>
        <w:tab/>
        <w:t xml:space="preserve">[Rule 2 inserted: Gazette 8 Feb 1991 p. 586; amended: Gazette 27 Feb 2018 p. 565.] </w:t>
      </w:r>
    </w:p>
    <w:p>
      <w:pPr>
        <w:pStyle w:val="Heading5"/>
        <w:spacing w:before="180"/>
        <w:rPr>
          <w:snapToGrid w:val="0"/>
        </w:rPr>
      </w:pPr>
      <w:bookmarkStart w:id="685" w:name="_Toc163121108"/>
      <w:r>
        <w:rPr>
          <w:rStyle w:val="CharSectno"/>
        </w:rPr>
        <w:t>3</w:t>
      </w:r>
      <w:r>
        <w:rPr>
          <w:snapToGrid w:val="0"/>
        </w:rPr>
        <w:t>.</w:t>
      </w:r>
      <w:r>
        <w:rPr>
          <w:snapToGrid w:val="0"/>
        </w:rPr>
        <w:tab/>
        <w:t>Orders under Act s. 117</w:t>
      </w:r>
      <w:bookmarkEnd w:id="685"/>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w:t>
      </w:r>
    </w:p>
    <w:p>
      <w:pPr>
        <w:pStyle w:val="Indenta"/>
        <w:rPr>
          <w:snapToGrid w:val="0"/>
        </w:rPr>
      </w:pPr>
      <w:r>
        <w:rPr>
          <w:snapToGrid w:val="0"/>
        </w:rPr>
        <w:tab/>
        <w:t>(a)</w:t>
      </w:r>
      <w:r>
        <w:rPr>
          <w:snapToGrid w:val="0"/>
        </w:rPr>
        <w:tab/>
        <w:t xml:space="preserve">may order any fit and proper person nominated by the applicant, or any officer of the Court, or such other </w:t>
      </w:r>
      <w:r>
        <w:rPr>
          <w:snapToGrid w:val="0"/>
        </w:rPr>
        <w:lastRenderedPageBreak/>
        <w:t>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 or</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Gazette 8 Feb 1991 p. 586.] </w:t>
      </w:r>
    </w:p>
    <w:p>
      <w:pPr>
        <w:pStyle w:val="Heading5"/>
        <w:rPr>
          <w:snapToGrid w:val="0"/>
        </w:rPr>
      </w:pPr>
      <w:bookmarkStart w:id="686" w:name="_Toc163121109"/>
      <w:r>
        <w:rPr>
          <w:rStyle w:val="CharSectno"/>
        </w:rPr>
        <w:t>4</w:t>
      </w:r>
      <w:r>
        <w:rPr>
          <w:snapToGrid w:val="0"/>
        </w:rPr>
        <w:t>.</w:t>
      </w:r>
      <w:r>
        <w:rPr>
          <w:snapToGrid w:val="0"/>
        </w:rPr>
        <w:tab/>
        <w:t>Examiner’s remuneration</w:t>
      </w:r>
      <w:bookmarkEnd w:id="686"/>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Gazette 8 Feb 1991 p. 586; amended: Gazette 26 Aug 1994 p. 4415.] </w:t>
      </w:r>
    </w:p>
    <w:p>
      <w:pPr>
        <w:pStyle w:val="Heading5"/>
        <w:rPr>
          <w:snapToGrid w:val="0"/>
        </w:rPr>
      </w:pPr>
      <w:bookmarkStart w:id="687" w:name="_Toc163121110"/>
      <w:r>
        <w:rPr>
          <w:rStyle w:val="CharSectno"/>
        </w:rPr>
        <w:t>4A</w:t>
      </w:r>
      <w:r>
        <w:rPr>
          <w:snapToGrid w:val="0"/>
        </w:rPr>
        <w:t>.</w:t>
      </w:r>
      <w:r>
        <w:rPr>
          <w:snapToGrid w:val="0"/>
        </w:rPr>
        <w:tab/>
        <w:t>Examiner’s power to administer oaths</w:t>
      </w:r>
      <w:bookmarkEnd w:id="687"/>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Gazette 8 Feb 1991 p. 586.] </w:t>
      </w:r>
    </w:p>
    <w:p>
      <w:pPr>
        <w:pStyle w:val="Heading5"/>
        <w:rPr>
          <w:snapToGrid w:val="0"/>
        </w:rPr>
      </w:pPr>
      <w:bookmarkStart w:id="688" w:name="_Toc163121111"/>
      <w:r>
        <w:rPr>
          <w:rStyle w:val="CharSectno"/>
        </w:rPr>
        <w:lastRenderedPageBreak/>
        <w:t>5</w:t>
      </w:r>
      <w:r>
        <w:rPr>
          <w:snapToGrid w:val="0"/>
        </w:rPr>
        <w:t>.</w:t>
      </w:r>
      <w:r>
        <w:rPr>
          <w:snapToGrid w:val="0"/>
        </w:rPr>
        <w:tab/>
        <w:t>Transmission of depositions</w:t>
      </w:r>
      <w:bookmarkEnd w:id="688"/>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pPr>
      <w:r>
        <w:tab/>
        <w:t>(1A)</w:t>
      </w:r>
      <w:r>
        <w:tab/>
        <w:t>The deposition cannot be filed electronically by the examiner.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 xml:space="preserve">The Principal Registrar shall send the certificate referred to in </w:t>
      </w:r>
      <w:r>
        <w:t>subrule</w:t>
      </w:r>
      <w:r>
        <w:rPr>
          <w:snapToGrid w:val="0"/>
        </w:rPr>
        <w:t>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Gazette 14 Dec 1979 p. 3870; 8 Feb 1991 p. 586</w:t>
      </w:r>
      <w:r>
        <w:noBreakHyphen/>
        <w:t xml:space="preserve">7; 28 Jun 2011 p. 2552; 27 Feb 2018 p. 565.] </w:t>
      </w:r>
    </w:p>
    <w:p>
      <w:pPr>
        <w:pStyle w:val="Heading5"/>
        <w:rPr>
          <w:snapToGrid w:val="0"/>
        </w:rPr>
      </w:pPr>
      <w:bookmarkStart w:id="689" w:name="_Toc163121112"/>
      <w:r>
        <w:rPr>
          <w:rStyle w:val="CharSectno"/>
        </w:rPr>
        <w:t>6</w:t>
      </w:r>
      <w:r>
        <w:rPr>
          <w:snapToGrid w:val="0"/>
        </w:rPr>
        <w:t>.</w:t>
      </w:r>
      <w:r>
        <w:rPr>
          <w:snapToGrid w:val="0"/>
        </w:rPr>
        <w:tab/>
        <w:t>Procedure where witness claims privilege</w:t>
      </w:r>
      <w:bookmarkEnd w:id="689"/>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 xml:space="preserve">The examiner may require the person to give the evidence to which the claim relates and, if the examiner does not do so, the Court may do so on the </w:t>
      </w:r>
      <w:r>
        <w:rPr>
          <w:i/>
          <w:snapToGrid w:val="0"/>
        </w:rPr>
        <w:t>ex parte</w:t>
      </w:r>
      <w:r>
        <w:rPr>
          <w:snapToGrid w:val="0"/>
        </w:rPr>
        <w:t xml:space="preserv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lastRenderedPageBreak/>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Subsection"/>
      </w:pPr>
      <w:r>
        <w:tab/>
        <w:t>(4)</w:t>
      </w:r>
      <w:r>
        <w:tab/>
        <w:t>The deposition and document referred to in subrule (3)(b) cannot be filed electronically by the examiner.</w:t>
      </w:r>
    </w:p>
    <w:p>
      <w:pPr>
        <w:pStyle w:val="Footnotesection"/>
      </w:pPr>
      <w:r>
        <w:tab/>
        <w:t>[Rule 6 inserted: Gazette 8 Feb 1991 p. 587; amended: Gazette 27 Feb 2018 p. 565.]</w:t>
      </w:r>
    </w:p>
    <w:p>
      <w:pPr>
        <w:pStyle w:val="Heading2"/>
      </w:pPr>
      <w:bookmarkStart w:id="690" w:name="_Toc162940651"/>
      <w:bookmarkStart w:id="691" w:name="_Toc162953440"/>
      <w:bookmarkStart w:id="692" w:name="_Toc163121113"/>
      <w:r>
        <w:rPr>
          <w:rStyle w:val="CharPartNo"/>
        </w:rPr>
        <w:lastRenderedPageBreak/>
        <w:t>Order 39A</w:t>
      </w:r>
      <w:r>
        <w:rPr>
          <w:b w:val="0"/>
        </w:rPr>
        <w:t> </w:t>
      </w:r>
      <w:r>
        <w:t>—</w:t>
      </w:r>
      <w:r>
        <w:rPr>
          <w:b w:val="0"/>
        </w:rPr>
        <w:t> </w:t>
      </w:r>
      <w:r>
        <w:rPr>
          <w:rStyle w:val="CharPartText"/>
          <w:i/>
        </w:rPr>
        <w:t>Trans</w:t>
      </w:r>
      <w:r>
        <w:rPr>
          <w:rStyle w:val="CharPartText"/>
          <w:i/>
        </w:rPr>
        <w:noBreakHyphen/>
        <w:t>Tasman Proceedings Act 2010</w:t>
      </w:r>
      <w:r>
        <w:rPr>
          <w:rStyle w:val="CharPartText"/>
        </w:rPr>
        <w:t xml:space="preserve"> (Commonwealth) rules</w:t>
      </w:r>
      <w:bookmarkEnd w:id="690"/>
      <w:bookmarkEnd w:id="691"/>
      <w:bookmarkEnd w:id="692"/>
    </w:p>
    <w:p>
      <w:pPr>
        <w:pStyle w:val="Footnoteheading"/>
      </w:pPr>
      <w:r>
        <w:rPr>
          <w:snapToGrid w:val="0"/>
        </w:rPr>
        <w:tab/>
        <w:t>[Heading inserted: Gazette 3 Aug 2012 p. 3749.]</w:t>
      </w:r>
    </w:p>
    <w:p>
      <w:pPr>
        <w:pStyle w:val="Heading3"/>
        <w:spacing w:before="200"/>
      </w:pPr>
      <w:bookmarkStart w:id="693" w:name="_Toc162940652"/>
      <w:bookmarkStart w:id="694" w:name="_Toc162953441"/>
      <w:bookmarkStart w:id="695" w:name="_Toc163121114"/>
      <w:r>
        <w:rPr>
          <w:rStyle w:val="CharDivNo"/>
        </w:rPr>
        <w:t>Division 1</w:t>
      </w:r>
      <w:r>
        <w:t> — </w:t>
      </w:r>
      <w:r>
        <w:rPr>
          <w:rStyle w:val="CharDivText"/>
        </w:rPr>
        <w:t>General</w:t>
      </w:r>
      <w:bookmarkEnd w:id="693"/>
      <w:bookmarkEnd w:id="694"/>
      <w:bookmarkEnd w:id="695"/>
    </w:p>
    <w:p>
      <w:pPr>
        <w:pStyle w:val="Footnoteheading"/>
      </w:pPr>
      <w:r>
        <w:rPr>
          <w:snapToGrid w:val="0"/>
        </w:rPr>
        <w:tab/>
        <w:t>[Heading inserted: Gazette 3 Aug 2012 p. 3749.]</w:t>
      </w:r>
    </w:p>
    <w:p>
      <w:pPr>
        <w:pStyle w:val="Heading5"/>
        <w:spacing w:before="180"/>
      </w:pPr>
      <w:bookmarkStart w:id="696" w:name="_Toc163121115"/>
      <w:r>
        <w:rPr>
          <w:rStyle w:val="CharSectno"/>
        </w:rPr>
        <w:t>1</w:t>
      </w:r>
      <w:r>
        <w:t>.</w:t>
      </w:r>
      <w:r>
        <w:tab/>
        <w:t>Term used: Act</w:t>
      </w:r>
      <w:bookmarkEnd w:id="696"/>
    </w:p>
    <w:p>
      <w:pPr>
        <w:pStyle w:val="Subsection"/>
        <w:spacing w:before="120"/>
      </w:pPr>
      <w:r>
        <w:tab/>
        <w:t>(1)</w:t>
      </w:r>
      <w:r>
        <w:tab/>
        <w:t xml:space="preserve">In this Order, unless the contrary intention appears — </w:t>
      </w:r>
    </w:p>
    <w:p>
      <w:pPr>
        <w:pStyle w:val="Defstart"/>
      </w:pPr>
      <w:r>
        <w:tab/>
      </w:r>
      <w:r>
        <w:rPr>
          <w:rStyle w:val="CharDefText"/>
        </w:rPr>
        <w:t>Act</w:t>
      </w:r>
      <w:r>
        <w:t xml:space="preserve"> means the </w:t>
      </w:r>
      <w:r>
        <w:rPr>
          <w:i/>
        </w:rPr>
        <w:t>Trans</w:t>
      </w:r>
      <w:r>
        <w:rPr>
          <w:i/>
        </w:rPr>
        <w:noBreakHyphen/>
        <w:t>Tasman Proceedings Act 2010</w:t>
      </w:r>
      <w:r>
        <w:t xml:space="preserve"> (Commonwealth).</w:t>
      </w:r>
    </w:p>
    <w:p>
      <w:pPr>
        <w:pStyle w:val="Subsection"/>
        <w:spacing w:before="120"/>
      </w:pPr>
      <w:r>
        <w:tab/>
        <w:t>(2)</w:t>
      </w:r>
      <w:r>
        <w:tab/>
        <w:t>Unless the contrary intention appears, an expression used in this Order and in the Act has the same meaning as in the Act.</w:t>
      </w:r>
    </w:p>
    <w:p>
      <w:pPr>
        <w:pStyle w:val="Footnotesection"/>
      </w:pPr>
      <w:r>
        <w:tab/>
        <w:t>[Rule 1 inserted: Gazette 16 Jul 1999 p. 3189; amended: Gazette 3 Aug 2012 p. 3749.]</w:t>
      </w:r>
    </w:p>
    <w:p>
      <w:pPr>
        <w:pStyle w:val="Heading5"/>
        <w:spacing w:before="180"/>
      </w:pPr>
      <w:bookmarkStart w:id="697" w:name="_Toc163121116"/>
      <w:r>
        <w:rPr>
          <w:rStyle w:val="CharSectno"/>
        </w:rPr>
        <w:t>2</w:t>
      </w:r>
      <w:r>
        <w:t>.</w:t>
      </w:r>
      <w:r>
        <w:tab/>
        <w:t>Application of this Order</w:t>
      </w:r>
      <w:bookmarkEnd w:id="697"/>
    </w:p>
    <w:p>
      <w:pPr>
        <w:pStyle w:val="Subsection"/>
      </w:pPr>
      <w:r>
        <w:tab/>
        <w:t>(1)</w:t>
      </w:r>
      <w:r>
        <w:tab/>
        <w:t>This Order applies to proceedings and NZ judgments to which the Act applies.</w:t>
      </w:r>
    </w:p>
    <w:p>
      <w:pPr>
        <w:pStyle w:val="Subsection"/>
      </w:pPr>
      <w:r>
        <w:tab/>
        <w:t>(2)</w:t>
      </w:r>
      <w:r>
        <w:tab/>
        <w:t>Subject to this Order, unless the contrary intention appears, these rules apply to proceedings and NZ judgments referred to in this Order.</w:t>
      </w:r>
    </w:p>
    <w:p>
      <w:pPr>
        <w:pStyle w:val="Footnotesection"/>
      </w:pPr>
      <w:r>
        <w:tab/>
        <w:t>[Rule 2 inserted: Gazette 16 Jul 1999 p. 3190; amended: Gazette 3 Aug 2012 p. 3749.]</w:t>
      </w:r>
    </w:p>
    <w:p>
      <w:pPr>
        <w:pStyle w:val="Heading3"/>
        <w:spacing w:before="200"/>
      </w:pPr>
      <w:bookmarkStart w:id="698" w:name="_Toc162940655"/>
      <w:bookmarkStart w:id="699" w:name="_Toc162953444"/>
      <w:bookmarkStart w:id="700" w:name="_Toc163121117"/>
      <w:r>
        <w:rPr>
          <w:rStyle w:val="CharDivNo"/>
        </w:rPr>
        <w:t>Division 2</w:t>
      </w:r>
      <w:r>
        <w:t> — </w:t>
      </w:r>
      <w:r>
        <w:rPr>
          <w:rStyle w:val="CharDivText"/>
        </w:rPr>
        <w:t>Subpoenas to be served in New Zealand</w:t>
      </w:r>
      <w:bookmarkEnd w:id="698"/>
      <w:bookmarkEnd w:id="699"/>
      <w:bookmarkEnd w:id="700"/>
    </w:p>
    <w:p>
      <w:pPr>
        <w:pStyle w:val="Footnoteheading"/>
        <w:keepNext/>
      </w:pPr>
      <w:r>
        <w:rPr>
          <w:snapToGrid w:val="0"/>
        </w:rPr>
        <w:tab/>
        <w:t>[Heading inserted: Gazette 3 Aug 2012 p. 3750.]</w:t>
      </w:r>
    </w:p>
    <w:p>
      <w:pPr>
        <w:pStyle w:val="Heading5"/>
      </w:pPr>
      <w:bookmarkStart w:id="701" w:name="_Toc163121118"/>
      <w:r>
        <w:rPr>
          <w:rStyle w:val="CharSectno"/>
        </w:rPr>
        <w:t>2A</w:t>
      </w:r>
      <w:r>
        <w:t>.</w:t>
      </w:r>
      <w:r>
        <w:tab/>
        <w:t>Form of subpoenas</w:t>
      </w:r>
      <w:bookmarkEnd w:id="701"/>
    </w:p>
    <w:p>
      <w:pPr>
        <w:pStyle w:val="Subsection"/>
      </w:pPr>
      <w:r>
        <w:tab/>
      </w:r>
      <w:r>
        <w:tab/>
        <w:t xml:space="preserve">If it is to be served in New Zealand — </w:t>
      </w:r>
    </w:p>
    <w:p>
      <w:pPr>
        <w:pStyle w:val="Indenta"/>
      </w:pPr>
      <w:r>
        <w:tab/>
        <w:t>(a)</w:t>
      </w:r>
      <w:r>
        <w:tab/>
        <w:t>a subpoena to attend to give evidence must be in the form of Form 23;</w:t>
      </w:r>
    </w:p>
    <w:p>
      <w:pPr>
        <w:pStyle w:val="Indenta"/>
      </w:pPr>
      <w:r>
        <w:lastRenderedPageBreak/>
        <w:tab/>
        <w:t>(b)</w:t>
      </w:r>
      <w:r>
        <w:tab/>
        <w:t>a subpoena to produce the subpoena and a document or thing must be in the form of Form 23A;</w:t>
      </w:r>
    </w:p>
    <w:p>
      <w:pPr>
        <w:pStyle w:val="Indenta"/>
      </w:pPr>
      <w:r>
        <w:tab/>
        <w:t>(c)</w:t>
      </w:r>
      <w:r>
        <w:tab/>
        <w:t>a subpoena both to attend to give evidence and to produce the subpoena and a document or thing must be in the form of Form 23B.</w:t>
      </w:r>
    </w:p>
    <w:p>
      <w:pPr>
        <w:pStyle w:val="Footnotesection"/>
      </w:pPr>
      <w:r>
        <w:tab/>
        <w:t>[Rule 2A inserted: Gazette 24 May 2017 p. 2576.]</w:t>
      </w:r>
    </w:p>
    <w:p>
      <w:pPr>
        <w:pStyle w:val="Heading5"/>
        <w:spacing w:before="180"/>
      </w:pPr>
      <w:bookmarkStart w:id="702" w:name="_Toc163121119"/>
      <w:r>
        <w:rPr>
          <w:rStyle w:val="CharSectno"/>
        </w:rPr>
        <w:t>3</w:t>
      </w:r>
      <w:r>
        <w:t>.</w:t>
      </w:r>
      <w:r>
        <w:tab/>
        <w:t>Leave to serve subpoena (Act s. 31)</w:t>
      </w:r>
      <w:bookmarkEnd w:id="702"/>
    </w:p>
    <w:p>
      <w:pPr>
        <w:pStyle w:val="Subsection"/>
      </w:pPr>
      <w:r>
        <w:tab/>
        <w:t>(1)</w:t>
      </w:r>
      <w:r>
        <w:tab/>
        <w:t xml:space="preserve">For the purposes of section 31 of the Act, leave to serve a subpoena in New Zealand must be sought by filing — </w:t>
      </w:r>
    </w:p>
    <w:p>
      <w:pPr>
        <w:pStyle w:val="Indenta"/>
      </w:pPr>
      <w:r>
        <w:tab/>
        <w:t>(a)</w:t>
      </w:r>
      <w:r>
        <w:tab/>
        <w:t>if the subpoena was issued by the Court, a motion in that proceeding; or</w:t>
      </w:r>
    </w:p>
    <w:p>
      <w:pPr>
        <w:pStyle w:val="Indenta"/>
      </w:pPr>
      <w:r>
        <w:tab/>
        <w:t>(b)</w:t>
      </w:r>
      <w:r>
        <w:tab/>
        <w:t xml:space="preserve">if the subpoena was issued by an inferior court, an originating motion to be heard </w:t>
      </w:r>
      <w:r>
        <w:rPr>
          <w:i/>
        </w:rPr>
        <w:t>ex parte</w:t>
      </w:r>
      <w:r>
        <w:t>.</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 and</w:t>
      </w:r>
    </w:p>
    <w:p>
      <w:pPr>
        <w:pStyle w:val="Indenta"/>
      </w:pPr>
      <w:r>
        <w:tab/>
        <w:t>(b)</w:t>
      </w:r>
      <w:r>
        <w:tab/>
        <w:t>the nature and significance of the evidence required from the person named, or of the document or thing required to be produced by the person; and</w:t>
      </w:r>
    </w:p>
    <w:p>
      <w:pPr>
        <w:pStyle w:val="Indenta"/>
      </w:pPr>
      <w:r>
        <w:tab/>
        <w:t>(c)</w:t>
      </w:r>
      <w:r>
        <w:tab/>
        <w:t>details of the steps taken to ascertain whether the evidence, document or thing could be obtained by other means without significantly greater expense, and with less inconvenience, to the person named; and</w:t>
      </w:r>
    </w:p>
    <w:p>
      <w:pPr>
        <w:pStyle w:val="Indenta"/>
      </w:pPr>
      <w:r>
        <w:tab/>
        <w:t>(d)</w:t>
      </w:r>
      <w:r>
        <w:tab/>
        <w:t>the date by which it is intended to serve the subpoena; and</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lastRenderedPageBreak/>
        <w:tab/>
        <w:t>(ii)</w:t>
      </w:r>
      <w:r>
        <w:tab/>
        <w:t>how those expenses are to be paid, or tendered, to the person named, in money or in vouchers;</w:t>
      </w:r>
    </w:p>
    <w:p>
      <w:pPr>
        <w:pStyle w:val="Indenta"/>
      </w:pPr>
      <w:r>
        <w:tab/>
      </w:r>
      <w:r>
        <w:tab/>
        <w:t>and</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36 of the Act.</w:t>
      </w:r>
    </w:p>
    <w:p>
      <w:pPr>
        <w:pStyle w:val="Ednotesubsection"/>
      </w:pPr>
      <w:r>
        <w:tab/>
        <w:t>[(3)</w:t>
      </w:r>
      <w:r>
        <w:tab/>
        <w:t>deleted]</w:t>
      </w:r>
    </w:p>
    <w:p>
      <w:pPr>
        <w:pStyle w:val="Subsection"/>
        <w:keepNext/>
      </w:pPr>
      <w:r>
        <w:tab/>
        <w:t>(4)</w:t>
      </w:r>
      <w:r>
        <w:tab/>
        <w:t>No document relating to an application under this rule is to be searched, inspected or copied without leave of a judge.</w:t>
      </w:r>
    </w:p>
    <w:p>
      <w:pPr>
        <w:pStyle w:val="Footnotesection"/>
      </w:pPr>
      <w:r>
        <w:tab/>
        <w:t>[Rule 3 inserted: Gazette 16 Jul 1999 p. 3190</w:t>
      </w:r>
      <w:r>
        <w:noBreakHyphen/>
        <w:t>1; amended: Gazette 3 Aug 2012 p. 3750.]</w:t>
      </w:r>
    </w:p>
    <w:p>
      <w:pPr>
        <w:pStyle w:val="Heading5"/>
      </w:pPr>
      <w:bookmarkStart w:id="703" w:name="_Toc163121120"/>
      <w:r>
        <w:rPr>
          <w:rStyle w:val="CharSectno"/>
        </w:rPr>
        <w:t>4</w:t>
      </w:r>
      <w:r>
        <w:t>.</w:t>
      </w:r>
      <w:r>
        <w:tab/>
        <w:t>Setting aside subpoena (Act s. 35 and 36)</w:t>
      </w:r>
      <w:bookmarkEnd w:id="703"/>
    </w:p>
    <w:p>
      <w:pPr>
        <w:pStyle w:val="Subsection"/>
      </w:pPr>
      <w:r>
        <w:tab/>
        <w:t>(1)</w:t>
      </w:r>
      <w:r>
        <w:tab/>
        <w:t>An application to the Court under section 35(1) of the Act must be made by filing an application in the form of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The filed application must be headed with the heading on the order of the Court granting leave to serve the subpoena.</w:t>
      </w:r>
    </w:p>
    <w:p>
      <w:pPr>
        <w:pStyle w:val="Subsection"/>
      </w:pPr>
      <w:r>
        <w:tab/>
        <w:t>(4)</w:t>
      </w:r>
      <w:r>
        <w:tab/>
        <w:t>In addition to the requirements of section 35(3) of the Act, the application must contain the applicant’s telephone number.</w:t>
      </w:r>
    </w:p>
    <w:p>
      <w:pPr>
        <w:pStyle w:val="Ednotesubsection"/>
      </w:pPr>
      <w:r>
        <w:tab/>
        <w:t>[(5)</w:t>
      </w:r>
      <w:r>
        <w:tab/>
        <w:t>deleted]</w:t>
      </w:r>
    </w:p>
    <w:p>
      <w:pPr>
        <w:pStyle w:val="Subsection"/>
      </w:pPr>
      <w:r>
        <w:tab/>
        <w:t>(6)</w:t>
      </w:r>
      <w:r>
        <w:tab/>
        <w:t>For the purposes of section 35(4) of the Act, the Principal Registrar must serve the copy of the application, and any accompanying affidavit, in accordance with Order 72 rule 6.</w:t>
      </w:r>
    </w:p>
    <w:p>
      <w:pPr>
        <w:pStyle w:val="Subsection"/>
      </w:pPr>
      <w:r>
        <w:tab/>
        <w:t>(7)</w:t>
      </w:r>
      <w:r>
        <w:tab/>
        <w:t>An application made under this rule is to be determined at a date, time and place and in a manner directed by the Court.</w:t>
      </w:r>
    </w:p>
    <w:p>
      <w:pPr>
        <w:pStyle w:val="Subsection"/>
      </w:pPr>
      <w:r>
        <w:lastRenderedPageBreak/>
        <w:tab/>
        <w:t>(8)</w:t>
      </w:r>
      <w:r>
        <w:tab/>
        <w:t xml:space="preserve">A request made under section 36(5) of the Act must be made by filing a notice in the form of Form No. 31B not later than 7 days after — </w:t>
      </w:r>
    </w:p>
    <w:p>
      <w:pPr>
        <w:pStyle w:val="Indenta"/>
      </w:pPr>
      <w:r>
        <w:tab/>
        <w:t>(a)</w:t>
      </w:r>
      <w:r>
        <w:tab/>
        <w:t>if the request is made by the person named in the subpoena, the date on which the application was filed; or</w:t>
      </w:r>
    </w:p>
    <w:p>
      <w:pPr>
        <w:pStyle w:val="Indenta"/>
      </w:pPr>
      <w:r>
        <w:tab/>
        <w:t>(b)</w:t>
      </w:r>
      <w:r>
        <w:tab/>
        <w:t>otherwise, the date on which the application is served on the party who obtained leave to serve the subpoena.</w:t>
      </w:r>
    </w:p>
    <w:p>
      <w:pPr>
        <w:pStyle w:val="Subsection"/>
      </w:pPr>
      <w:r>
        <w:tab/>
        <w:t>(9)</w:t>
      </w:r>
      <w:r>
        <w:tab/>
        <w:t>A request made under section 36(6)(b) of the Act that is not made in the application must be made by filing a request in the form of Form No. 31C.</w:t>
      </w:r>
    </w:p>
    <w:p>
      <w:pPr>
        <w:pStyle w:val="Footnotesection"/>
      </w:pPr>
      <w:r>
        <w:tab/>
        <w:t>[Rule 4 inserted: Gazette 16 Jul 1999 p. 3191</w:t>
      </w:r>
      <w:r>
        <w:noBreakHyphen/>
        <w:t>2; amended: Gazette 3 Aug 2012 p. 3750</w:t>
      </w:r>
      <w:r>
        <w:noBreakHyphen/>
        <w:t>1; 27 Feb 2018 p. 566.]</w:t>
      </w:r>
    </w:p>
    <w:p>
      <w:pPr>
        <w:pStyle w:val="Heading5"/>
      </w:pPr>
      <w:bookmarkStart w:id="704" w:name="_Toc163121121"/>
      <w:r>
        <w:rPr>
          <w:rStyle w:val="CharSectno"/>
        </w:rPr>
        <w:t>5</w:t>
      </w:r>
      <w:r>
        <w:t>.</w:t>
      </w:r>
      <w:r>
        <w:tab/>
        <w:t>Failure to comply with subpoena (Act s. 38)</w:t>
      </w:r>
      <w:bookmarkEnd w:id="704"/>
    </w:p>
    <w:p>
      <w:pPr>
        <w:pStyle w:val="Subsection"/>
      </w:pPr>
      <w:r>
        <w:tab/>
        <w:t>(1A)</w:t>
      </w:r>
      <w:r>
        <w:tab/>
        <w:t xml:space="preserve">In this rule — </w:t>
      </w:r>
    </w:p>
    <w:p>
      <w:pPr>
        <w:pStyle w:val="Defstart"/>
      </w:pPr>
      <w:r>
        <w:tab/>
      </w:r>
      <w:r>
        <w:rPr>
          <w:rStyle w:val="CharDefText"/>
        </w:rPr>
        <w:t>certificate</w:t>
      </w:r>
      <w:r>
        <w:t xml:space="preserve"> means a certificate referred to in section 38 of the Act.</w:t>
      </w:r>
    </w:p>
    <w:p>
      <w:pPr>
        <w:pStyle w:val="Subsection"/>
      </w:pPr>
      <w:r>
        <w:tab/>
        <w:t>(1)</w:t>
      </w:r>
      <w:r>
        <w:tab/>
        <w:t>A certificate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the form of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 xml:space="preserve">an affidavit of service of — </w:t>
      </w:r>
    </w:p>
    <w:p>
      <w:pPr>
        <w:pStyle w:val="Indenti"/>
      </w:pPr>
      <w:r>
        <w:tab/>
        <w:t>(i)</w:t>
      </w:r>
      <w:r>
        <w:tab/>
        <w:t>the subpoena; and</w:t>
      </w:r>
    </w:p>
    <w:p>
      <w:pPr>
        <w:pStyle w:val="Indenti"/>
      </w:pPr>
      <w:r>
        <w:tab/>
        <w:t>(ii)</w:t>
      </w:r>
      <w:r>
        <w:tab/>
        <w:t>the order giving leave for the subpoena to be served in New Zealand; and</w:t>
      </w:r>
    </w:p>
    <w:p>
      <w:pPr>
        <w:pStyle w:val="Indenti"/>
        <w:keepNext/>
      </w:pPr>
      <w:r>
        <w:lastRenderedPageBreak/>
        <w:tab/>
        <w:t>(iii)</w:t>
      </w:r>
      <w:r>
        <w:tab/>
        <w:t>the notice referred to in section 32(2) of the Act;</w:t>
      </w:r>
    </w:p>
    <w:p>
      <w:pPr>
        <w:pStyle w:val="Indenta"/>
      </w:pPr>
      <w:r>
        <w:tab/>
      </w:r>
      <w:r>
        <w:tab/>
        <w:t>and</w:t>
      </w:r>
    </w:p>
    <w:p>
      <w:pPr>
        <w:pStyle w:val="Indenta"/>
      </w:pPr>
      <w:r>
        <w:tab/>
        <w:t>(b)</w:t>
      </w:r>
      <w:r>
        <w:tab/>
        <w:t xml:space="preserve">an affidavit stating — </w:t>
      </w:r>
    </w:p>
    <w:p>
      <w:pPr>
        <w:pStyle w:val="Ednotepensubpara"/>
      </w:pPr>
      <w:r>
        <w:tab/>
        <w:t>[(i)</w:t>
      </w:r>
      <w:r>
        <w:tab/>
        <w:t>deleted]</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Subsection"/>
      </w:pPr>
      <w:r>
        <w:tab/>
        <w:t>(4)</w:t>
      </w:r>
      <w:r>
        <w:tab/>
        <w:t>It is not necessary to attach the documents referred to in subrule (3)(a) to the affidavit of service.</w:t>
      </w:r>
    </w:p>
    <w:p>
      <w:pPr>
        <w:pStyle w:val="Subsection"/>
      </w:pPr>
      <w:r>
        <w:tab/>
        <w:t>(5)</w:t>
      </w:r>
      <w:r>
        <w:tab/>
        <w:t>A certificate must be in the form of Form No. 31D.</w:t>
      </w:r>
    </w:p>
    <w:p>
      <w:pPr>
        <w:pStyle w:val="Footnotesection"/>
      </w:pPr>
      <w:r>
        <w:tab/>
        <w:t>[Rule 5 inserted: Gazette 16 Jul 1999 p. 3192; amended: Gazette 3 Aug 2012 p. 3751.]</w:t>
      </w:r>
    </w:p>
    <w:p>
      <w:pPr>
        <w:pStyle w:val="Heading3"/>
      </w:pPr>
      <w:bookmarkStart w:id="705" w:name="_Toc162940660"/>
      <w:bookmarkStart w:id="706" w:name="_Toc162953449"/>
      <w:bookmarkStart w:id="707" w:name="_Toc163121122"/>
      <w:r>
        <w:rPr>
          <w:rStyle w:val="CharDivNo"/>
        </w:rPr>
        <w:t>Division 3</w:t>
      </w:r>
      <w:r>
        <w:t> — </w:t>
      </w:r>
      <w:r>
        <w:rPr>
          <w:rStyle w:val="CharDivText"/>
        </w:rPr>
        <w:t>Remote appearances from New Zealand</w:t>
      </w:r>
      <w:bookmarkEnd w:id="705"/>
      <w:bookmarkEnd w:id="706"/>
      <w:bookmarkEnd w:id="707"/>
    </w:p>
    <w:p>
      <w:pPr>
        <w:pStyle w:val="Footnoteheading"/>
        <w:keepNext/>
      </w:pPr>
      <w:r>
        <w:rPr>
          <w:snapToGrid w:val="0"/>
        </w:rPr>
        <w:tab/>
        <w:t>[Heading inserted: Gazette 3 Aug 2012 p. 3752.]</w:t>
      </w:r>
    </w:p>
    <w:p>
      <w:pPr>
        <w:pStyle w:val="Heading5"/>
      </w:pPr>
      <w:bookmarkStart w:id="708" w:name="_Toc163121123"/>
      <w:r>
        <w:rPr>
          <w:rStyle w:val="CharSectno"/>
        </w:rPr>
        <w:t>6A</w:t>
      </w:r>
      <w:r>
        <w:t>.</w:t>
      </w:r>
      <w:r>
        <w:tab/>
        <w:t>Appearances by audio link or audiovisual link (Act s. 48)</w:t>
      </w:r>
      <w:bookmarkEnd w:id="708"/>
    </w:p>
    <w:p>
      <w:pPr>
        <w:pStyle w:val="Subsection"/>
      </w:pPr>
      <w:r>
        <w:tab/>
        <w:t>(1)</w:t>
      </w:r>
      <w:r>
        <w:tab/>
        <w:t>An application for leave under section 48(1) of the Act may be made orally or by summons.</w:t>
      </w:r>
    </w:p>
    <w:p>
      <w:pPr>
        <w:pStyle w:val="Subsection"/>
      </w:pPr>
      <w:r>
        <w:tab/>
        <w:t>(2)</w:t>
      </w:r>
      <w:r>
        <w:tab/>
        <w:t xml:space="preserve">The application must be supported by an affidavit stating the following — </w:t>
      </w:r>
    </w:p>
    <w:p>
      <w:pPr>
        <w:pStyle w:val="Indenta"/>
      </w:pPr>
      <w:r>
        <w:tab/>
        <w:t>(a)</w:t>
      </w:r>
      <w:r>
        <w:tab/>
        <w:t xml:space="preserve">the reasons why the applicant or the applicant’s lawyer can more conveniently participate in the hearing from New Zealand; </w:t>
      </w:r>
    </w:p>
    <w:p>
      <w:pPr>
        <w:pStyle w:val="Indenta"/>
      </w:pPr>
      <w:r>
        <w:tab/>
        <w:t>(b)</w:t>
      </w:r>
      <w:r>
        <w:tab/>
        <w:t xml:space="preserve">which audio link or audiovisual link facilities are available for the hearing or can reasonably be made available; </w:t>
      </w:r>
    </w:p>
    <w:p>
      <w:pPr>
        <w:pStyle w:val="Indenta"/>
      </w:pPr>
      <w:r>
        <w:tab/>
        <w:t>(c)</w:t>
      </w:r>
      <w:r>
        <w:tab/>
        <w:t xml:space="preserve">that the requirements of section 51 or 52, as the case requires, of the Act can be met; </w:t>
      </w:r>
    </w:p>
    <w:p>
      <w:pPr>
        <w:pStyle w:val="Indenta"/>
      </w:pPr>
      <w:r>
        <w:lastRenderedPageBreak/>
        <w:tab/>
        <w:t>(d)</w:t>
      </w:r>
      <w:r>
        <w:tab/>
        <w:t xml:space="preserve">if leave is sought for the applicant’s lawyer to appear before the Court, and the lawyer is not entitled to appear before the Court — </w:t>
      </w:r>
    </w:p>
    <w:p>
      <w:pPr>
        <w:pStyle w:val="Indenti"/>
      </w:pPr>
      <w:r>
        <w:tab/>
        <w:t>(i)</w:t>
      </w:r>
      <w:r>
        <w:tab/>
        <w:t>that the lawyer is a qualified NZ lawyer; and</w:t>
      </w:r>
    </w:p>
    <w:p>
      <w:pPr>
        <w:pStyle w:val="Indenti"/>
      </w:pPr>
      <w:r>
        <w:tab/>
        <w:t>(ii)</w:t>
      </w:r>
      <w:r>
        <w:tab/>
        <w:t>the applicant ordinarily resides or, if the applicant is not an individual, has its principal place of business, in New Zealand.</w:t>
      </w:r>
    </w:p>
    <w:p>
      <w:pPr>
        <w:pStyle w:val="Footnotesection"/>
        <w:spacing w:before="100"/>
        <w:ind w:left="890" w:hanging="890"/>
      </w:pPr>
      <w:r>
        <w:tab/>
        <w:t>[Rule 6A inserted: Gazette 3 Aug 2012 p. 3752.]</w:t>
      </w:r>
    </w:p>
    <w:p>
      <w:pPr>
        <w:pStyle w:val="Heading5"/>
      </w:pPr>
      <w:bookmarkStart w:id="709" w:name="_Toc163121124"/>
      <w:r>
        <w:rPr>
          <w:rStyle w:val="CharSectno"/>
        </w:rPr>
        <w:t>6</w:t>
      </w:r>
      <w:r>
        <w:t>.</w:t>
      </w:r>
      <w:r>
        <w:tab/>
        <w:t>Evidence by audio link or audiovisual link (Act s. 50)</w:t>
      </w:r>
      <w:bookmarkEnd w:id="709"/>
    </w:p>
    <w:p>
      <w:pPr>
        <w:pStyle w:val="Subsection"/>
      </w:pPr>
      <w:r>
        <w:tab/>
        <w:t>(1)</w:t>
      </w:r>
      <w:r>
        <w:tab/>
        <w:t>An application for leave under section 50(1)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 and</w:t>
      </w:r>
    </w:p>
    <w:p>
      <w:pPr>
        <w:pStyle w:val="Indenta"/>
      </w:pPr>
      <w:r>
        <w:tab/>
        <w:t>(b)</w:t>
      </w:r>
      <w:r>
        <w:tab/>
        <w:t>the nature of the evidence to be taken; and</w:t>
      </w:r>
    </w:p>
    <w:p>
      <w:pPr>
        <w:pStyle w:val="Indenta"/>
      </w:pPr>
      <w:r>
        <w:tab/>
        <w:t>(c)</w:t>
      </w:r>
      <w:r>
        <w:tab/>
        <w:t>the number of witnesses to be examined; and</w:t>
      </w:r>
    </w:p>
    <w:p>
      <w:pPr>
        <w:pStyle w:val="Indenta"/>
      </w:pPr>
      <w:r>
        <w:tab/>
        <w:t>(d)</w:t>
      </w:r>
      <w:r>
        <w:tab/>
        <w:t>the expected duration of the evidence; and</w:t>
      </w:r>
    </w:p>
    <w:p>
      <w:pPr>
        <w:pStyle w:val="Indenta"/>
      </w:pPr>
      <w:r>
        <w:tab/>
        <w:t>(e)</w:t>
      </w:r>
      <w:r>
        <w:tab/>
        <w:t>whether issues of character are likely to be raised; and</w:t>
      </w:r>
    </w:p>
    <w:p>
      <w:pPr>
        <w:pStyle w:val="Indenta"/>
      </w:pPr>
      <w:r>
        <w:tab/>
        <w:t>(f)</w:t>
      </w:r>
      <w:r>
        <w:tab/>
        <w:t>in the case of submissions, the expected duration of the submissions; and</w:t>
      </w:r>
    </w:p>
    <w:p>
      <w:pPr>
        <w:pStyle w:val="Indenta"/>
      </w:pPr>
      <w:r>
        <w:tab/>
        <w:t>(g)</w:t>
      </w:r>
      <w:r>
        <w:tab/>
        <w:t>the audio link or audiovisual link facilities available for such a procedure or that can reasonably be made available; and</w:t>
      </w:r>
    </w:p>
    <w:p>
      <w:pPr>
        <w:pStyle w:val="Indenta"/>
      </w:pPr>
      <w:r>
        <w:tab/>
        <w:t>(h)</w:t>
      </w:r>
      <w:r>
        <w:tab/>
        <w:t>that the requirements of section 51 or 52, as the case requires, of the Act can be met.</w:t>
      </w:r>
    </w:p>
    <w:p>
      <w:pPr>
        <w:pStyle w:val="Subsection"/>
      </w:pPr>
      <w:r>
        <w:tab/>
        <w:t>(3)</w:t>
      </w:r>
      <w:r>
        <w:tab/>
        <w:t>In deciding whether to grant leave, the Court may take account of the matters set out in the applicant’s affidavit in addition to any other matters considered to be material, including cost and convenience to witnesses and all parties.</w:t>
      </w:r>
    </w:p>
    <w:p>
      <w:pPr>
        <w:pStyle w:val="Subsection"/>
      </w:pPr>
      <w:r>
        <w:tab/>
        <w:t>(4)</w:t>
      </w:r>
      <w:r>
        <w:tab/>
        <w:t xml:space="preserve">If the Court determines that it is appropriate to hear evidence or receive submissions by audio link or audiovisual link, the Court </w:t>
      </w:r>
      <w:r>
        <w:lastRenderedPageBreak/>
        <w:t>may direct the Principal Registrar to arrange and coordinate the appropriate facilities in Australia and New Zealand.</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 and</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Gazette 16 Jul 1999 p. 3192</w:t>
      </w:r>
      <w:r>
        <w:noBreakHyphen/>
        <w:t>3; amended: Gazette 3 Aug 2012 p. 3752</w:t>
      </w:r>
      <w:r>
        <w:noBreakHyphen/>
        <w:t>3.]</w:t>
      </w:r>
    </w:p>
    <w:p>
      <w:pPr>
        <w:pStyle w:val="Heading3"/>
      </w:pPr>
      <w:bookmarkStart w:id="710" w:name="_Toc162940663"/>
      <w:bookmarkStart w:id="711" w:name="_Toc162953452"/>
      <w:bookmarkStart w:id="712" w:name="_Toc163121125"/>
      <w:r>
        <w:rPr>
          <w:rStyle w:val="CharDivNo"/>
        </w:rPr>
        <w:t>Division 4</w:t>
      </w:r>
      <w:r>
        <w:t> — </w:t>
      </w:r>
      <w:r>
        <w:rPr>
          <w:rStyle w:val="CharDivText"/>
        </w:rPr>
        <w:t>Registration and enforcement of NZ judgments</w:t>
      </w:r>
      <w:bookmarkEnd w:id="710"/>
      <w:bookmarkEnd w:id="711"/>
      <w:bookmarkEnd w:id="712"/>
    </w:p>
    <w:p>
      <w:pPr>
        <w:pStyle w:val="Footnoteheading"/>
        <w:keepNext/>
      </w:pPr>
      <w:r>
        <w:rPr>
          <w:snapToGrid w:val="0"/>
        </w:rPr>
        <w:tab/>
        <w:t>[Heading inserted: Gazette 3 Aug 2012 p. 3753.]</w:t>
      </w:r>
    </w:p>
    <w:p>
      <w:pPr>
        <w:pStyle w:val="Heading5"/>
      </w:pPr>
      <w:bookmarkStart w:id="713" w:name="_Toc163121126"/>
      <w:r>
        <w:rPr>
          <w:rStyle w:val="CharSectno"/>
        </w:rPr>
        <w:t>7</w:t>
      </w:r>
      <w:r>
        <w:t>.</w:t>
      </w:r>
      <w:r>
        <w:tab/>
        <w:t>Setting aside registration of NZ judgment (Act s. 72)</w:t>
      </w:r>
      <w:bookmarkEnd w:id="713"/>
    </w:p>
    <w:p>
      <w:pPr>
        <w:pStyle w:val="Subsection"/>
      </w:pPr>
      <w:r>
        <w:tab/>
        <w:t>(1)</w:t>
      </w:r>
      <w:r>
        <w:tab/>
        <w:t>An application under section 72(2)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 xml:space="preserve">The notice of originating motion and the accompanying affidavit must be served on the entitled person not less than </w:t>
      </w:r>
      <w:r>
        <w:lastRenderedPageBreak/>
        <w:t>7 clear days before the day named in the notice for hearing the motion.</w:t>
      </w:r>
    </w:p>
    <w:p>
      <w:pPr>
        <w:pStyle w:val="Footnotesection"/>
        <w:spacing w:before="100"/>
        <w:ind w:left="890" w:hanging="890"/>
      </w:pPr>
      <w:r>
        <w:tab/>
        <w:t>[Rule 7 inserted: Gazette 3 Aug 2012 p. 3753.]</w:t>
      </w:r>
    </w:p>
    <w:p>
      <w:pPr>
        <w:pStyle w:val="Heading5"/>
      </w:pPr>
      <w:bookmarkStart w:id="714" w:name="_Toc163121127"/>
      <w:r>
        <w:rPr>
          <w:rStyle w:val="CharSectno"/>
        </w:rPr>
        <w:t>8</w:t>
      </w:r>
      <w:r>
        <w:t>.</w:t>
      </w:r>
      <w:r>
        <w:tab/>
        <w:t>Stay of enforcement of registered NZ judgment (Act s. 76)</w:t>
      </w:r>
      <w:bookmarkEnd w:id="714"/>
    </w:p>
    <w:p>
      <w:pPr>
        <w:pStyle w:val="Subsection"/>
      </w:pPr>
      <w:r>
        <w:tab/>
        <w:t>(1)</w:t>
      </w:r>
      <w:r>
        <w:tab/>
        <w:t>An application under section 76(3)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8 inserted: Gazette 3 Aug 2012 p. 3753.]</w:t>
      </w:r>
    </w:p>
    <w:p>
      <w:pPr>
        <w:pStyle w:val="Heading2"/>
        <w:rPr>
          <w:b w:val="0"/>
        </w:rPr>
      </w:pPr>
      <w:bookmarkStart w:id="715" w:name="_Toc162940666"/>
      <w:bookmarkStart w:id="716" w:name="_Toc162953455"/>
      <w:bookmarkStart w:id="717" w:name="_Toc163121128"/>
      <w:r>
        <w:rPr>
          <w:rStyle w:val="CharPartNo"/>
        </w:rPr>
        <w:lastRenderedPageBreak/>
        <w:t>Order 40</w:t>
      </w:r>
      <w:r>
        <w:rPr>
          <w:rStyle w:val="CharDivNo"/>
        </w:rPr>
        <w:t> </w:t>
      </w:r>
      <w:r>
        <w:t>—</w:t>
      </w:r>
      <w:r>
        <w:rPr>
          <w:rStyle w:val="CharDivText"/>
        </w:rPr>
        <w:t> </w:t>
      </w:r>
      <w:r>
        <w:rPr>
          <w:rStyle w:val="CharPartText"/>
        </w:rPr>
        <w:t>Court experts</w:t>
      </w:r>
      <w:bookmarkEnd w:id="715"/>
      <w:bookmarkEnd w:id="716"/>
      <w:bookmarkEnd w:id="717"/>
    </w:p>
    <w:p>
      <w:pPr>
        <w:pStyle w:val="Heading5"/>
        <w:rPr>
          <w:snapToGrid w:val="0"/>
        </w:rPr>
      </w:pPr>
      <w:bookmarkStart w:id="718" w:name="_Toc163121129"/>
      <w:r>
        <w:rPr>
          <w:rStyle w:val="CharSectno"/>
        </w:rPr>
        <w:t>1</w:t>
      </w:r>
      <w:r>
        <w:rPr>
          <w:snapToGrid w:val="0"/>
        </w:rPr>
        <w:t>.</w:t>
      </w:r>
      <w:r>
        <w:rPr>
          <w:snapToGrid w:val="0"/>
        </w:rPr>
        <w:tab/>
        <w:t>Terms used</w:t>
      </w:r>
      <w:bookmarkEnd w:id="718"/>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719" w:name="_Toc163121130"/>
      <w:r>
        <w:rPr>
          <w:rStyle w:val="CharSectno"/>
        </w:rPr>
        <w:t>2</w:t>
      </w:r>
      <w:r>
        <w:rPr>
          <w:snapToGrid w:val="0"/>
        </w:rPr>
        <w:t>.</w:t>
      </w:r>
      <w:r>
        <w:rPr>
          <w:snapToGrid w:val="0"/>
        </w:rPr>
        <w:tab/>
        <w:t>Court expert, appointment of etc.</w:t>
      </w:r>
      <w:bookmarkEnd w:id="719"/>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 and</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 xml:space="preserve">Instructions pursuant to </w:t>
      </w:r>
      <w:r>
        <w:t>subrule</w:t>
      </w:r>
      <w:r>
        <w:rPr>
          <w:snapToGrid w:val="0"/>
        </w:rPr>
        <w:t> (1)(c) may make provision concerning any experiment or test necessary to enable the Court expert to make a satisfactory report.</w:t>
      </w:r>
    </w:p>
    <w:p>
      <w:pPr>
        <w:pStyle w:val="Footnotesection"/>
      </w:pPr>
      <w:r>
        <w:tab/>
        <w:t>[Rule 2 amended: Gazette 28 Jun 2011 p. 2552.]</w:t>
      </w:r>
    </w:p>
    <w:p>
      <w:pPr>
        <w:pStyle w:val="Heading5"/>
        <w:rPr>
          <w:snapToGrid w:val="0"/>
        </w:rPr>
      </w:pPr>
      <w:bookmarkStart w:id="720" w:name="_Toc163121131"/>
      <w:r>
        <w:rPr>
          <w:rStyle w:val="CharSectno"/>
        </w:rPr>
        <w:lastRenderedPageBreak/>
        <w:t>3</w:t>
      </w:r>
      <w:r>
        <w:rPr>
          <w:snapToGrid w:val="0"/>
        </w:rPr>
        <w:t>.</w:t>
      </w:r>
      <w:r>
        <w:rPr>
          <w:snapToGrid w:val="0"/>
        </w:rPr>
        <w:tab/>
        <w:t>Report of Court expert</w:t>
      </w:r>
      <w:bookmarkEnd w:id="720"/>
    </w:p>
    <w:p>
      <w:pPr>
        <w:pStyle w:val="Subsection"/>
        <w:rPr>
          <w:snapToGrid w:val="0"/>
        </w:rPr>
      </w:pPr>
      <w:r>
        <w:rPr>
          <w:snapToGrid w:val="0"/>
        </w:rPr>
        <w:tab/>
        <w:t>(1)</w:t>
      </w:r>
      <w:r>
        <w:rPr>
          <w:snapToGrid w:val="0"/>
        </w:rPr>
        <w:tab/>
        <w:t xml:space="preserve">The Court expert must </w:t>
      </w:r>
      <w:r>
        <w:t>file the expert’s report</w:t>
      </w:r>
      <w:r>
        <w:rPr>
          <w:snapToGrid w:val="0"/>
        </w:rPr>
        <w:t xml:space="preserve"> with such copies thereof as the Court requires and the proper officer must send a copy of the report to each party or his solicitor.</w:t>
      </w:r>
    </w:p>
    <w:p>
      <w:pPr>
        <w:pStyle w:val="Subsection"/>
      </w:pPr>
      <w:r>
        <w:tab/>
        <w:t>(1A)</w:t>
      </w:r>
      <w:r>
        <w:tab/>
        <w:t>Unless the Principal Registrar has given approval for it to be filed electronically, the Court expert’s report cannot be filed electronically.</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Footnotesection"/>
      </w:pPr>
      <w:r>
        <w:tab/>
        <w:t>[Rule 3 amended: Gazette 27 Feb 2018 p. 566.]</w:t>
      </w:r>
    </w:p>
    <w:p>
      <w:pPr>
        <w:pStyle w:val="Heading5"/>
        <w:rPr>
          <w:snapToGrid w:val="0"/>
        </w:rPr>
      </w:pPr>
      <w:bookmarkStart w:id="721" w:name="_Toc163121132"/>
      <w:r>
        <w:rPr>
          <w:rStyle w:val="CharSectno"/>
        </w:rPr>
        <w:t>4</w:t>
      </w:r>
      <w:r>
        <w:rPr>
          <w:snapToGrid w:val="0"/>
        </w:rPr>
        <w:t>.</w:t>
      </w:r>
      <w:r>
        <w:rPr>
          <w:snapToGrid w:val="0"/>
        </w:rPr>
        <w:tab/>
        <w:t>Cross</w:t>
      </w:r>
      <w:r>
        <w:rPr>
          <w:snapToGrid w:val="0"/>
        </w:rPr>
        <w:noBreakHyphen/>
        <w:t>examination of Court expert</w:t>
      </w:r>
      <w:bookmarkEnd w:id="721"/>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722" w:name="_Toc163121133"/>
      <w:r>
        <w:rPr>
          <w:rStyle w:val="CharSectno"/>
        </w:rPr>
        <w:t>5</w:t>
      </w:r>
      <w:r>
        <w:rPr>
          <w:snapToGrid w:val="0"/>
        </w:rPr>
        <w:t>.</w:t>
      </w:r>
      <w:r>
        <w:rPr>
          <w:snapToGrid w:val="0"/>
        </w:rPr>
        <w:tab/>
        <w:t>Remuneration of Court expert</w:t>
      </w:r>
      <w:bookmarkEnd w:id="722"/>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lastRenderedPageBreak/>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723" w:name="_Toc163121134"/>
      <w:r>
        <w:rPr>
          <w:rStyle w:val="CharSectno"/>
        </w:rPr>
        <w:t>6</w:t>
      </w:r>
      <w:r>
        <w:rPr>
          <w:snapToGrid w:val="0"/>
        </w:rPr>
        <w:t>.</w:t>
      </w:r>
      <w:r>
        <w:rPr>
          <w:snapToGrid w:val="0"/>
        </w:rPr>
        <w:tab/>
        <w:t>Further expert witnesses</w:t>
      </w:r>
      <w:bookmarkEnd w:id="723"/>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 xml:space="preserve">Except as provided by </w:t>
      </w:r>
      <w:r>
        <w:t>subrule</w:t>
      </w:r>
      <w:r>
        <w:rPr>
          <w:snapToGrid w:val="0"/>
        </w:rPr>
        <w:t> (1) no other expert witness shall be called by any party without the leave of the Court, and such leave shall not be granted unless the Court considers the circumstances of the case to be exceptional.</w:t>
      </w:r>
    </w:p>
    <w:p>
      <w:pPr>
        <w:pStyle w:val="Footnotesection"/>
      </w:pPr>
      <w:r>
        <w:tab/>
        <w:t>[Rule 6 amended: Gazette 28 Jun 2011 p. 2552.]</w:t>
      </w:r>
    </w:p>
    <w:p>
      <w:pPr>
        <w:pStyle w:val="Heading2"/>
        <w:rPr>
          <w:b w:val="0"/>
        </w:rPr>
      </w:pPr>
      <w:bookmarkStart w:id="724" w:name="_Toc162940673"/>
      <w:bookmarkStart w:id="725" w:name="_Toc162953462"/>
      <w:bookmarkStart w:id="726" w:name="_Toc163121135"/>
      <w:r>
        <w:rPr>
          <w:rStyle w:val="CharPartNo"/>
        </w:rPr>
        <w:lastRenderedPageBreak/>
        <w:t>Order 41</w:t>
      </w:r>
      <w:r>
        <w:rPr>
          <w:rStyle w:val="CharDivNo"/>
        </w:rPr>
        <w:t> </w:t>
      </w:r>
      <w:r>
        <w:t>—</w:t>
      </w:r>
      <w:r>
        <w:rPr>
          <w:rStyle w:val="CharDivText"/>
        </w:rPr>
        <w:t> </w:t>
      </w:r>
      <w:r>
        <w:rPr>
          <w:rStyle w:val="CharPartText"/>
        </w:rPr>
        <w:t>Motion for judgment</w:t>
      </w:r>
      <w:bookmarkEnd w:id="724"/>
      <w:bookmarkEnd w:id="725"/>
      <w:bookmarkEnd w:id="726"/>
    </w:p>
    <w:p>
      <w:pPr>
        <w:pStyle w:val="Heading5"/>
        <w:rPr>
          <w:snapToGrid w:val="0"/>
        </w:rPr>
      </w:pPr>
      <w:bookmarkStart w:id="727" w:name="_Toc163121136"/>
      <w:r>
        <w:rPr>
          <w:rStyle w:val="CharSectno"/>
        </w:rPr>
        <w:t>1</w:t>
      </w:r>
      <w:r>
        <w:rPr>
          <w:snapToGrid w:val="0"/>
        </w:rPr>
        <w:t>.</w:t>
      </w:r>
      <w:r>
        <w:rPr>
          <w:snapToGrid w:val="0"/>
        </w:rPr>
        <w:tab/>
        <w:t>Judgment to be on motion</w:t>
      </w:r>
      <w:bookmarkEnd w:id="727"/>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728" w:name="_Toc163121137"/>
      <w:r>
        <w:rPr>
          <w:rStyle w:val="CharSectno"/>
        </w:rPr>
        <w:t>2</w:t>
      </w:r>
      <w:r>
        <w:rPr>
          <w:snapToGrid w:val="0"/>
        </w:rPr>
        <w:t>.</w:t>
      </w:r>
      <w:r>
        <w:rPr>
          <w:snapToGrid w:val="0"/>
        </w:rPr>
        <w:tab/>
        <w:t>When motion for judgment may be set down after trial etc.</w:t>
      </w:r>
      <w:bookmarkEnd w:id="728"/>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729" w:name="_Toc163121138"/>
      <w:r>
        <w:rPr>
          <w:rStyle w:val="CharSectno"/>
        </w:rPr>
        <w:t>3</w:t>
      </w:r>
      <w:r>
        <w:rPr>
          <w:snapToGrid w:val="0"/>
        </w:rPr>
        <w:t>.</w:t>
      </w:r>
      <w:r>
        <w:rPr>
          <w:snapToGrid w:val="0"/>
        </w:rPr>
        <w:tab/>
        <w:t>Motion for judgment before trial etc. of all issues</w:t>
      </w:r>
      <w:bookmarkEnd w:id="729"/>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730" w:name="_Toc163121139"/>
      <w:r>
        <w:rPr>
          <w:rStyle w:val="CharSectno"/>
        </w:rPr>
        <w:lastRenderedPageBreak/>
        <w:t>4</w:t>
      </w:r>
      <w:r>
        <w:rPr>
          <w:snapToGrid w:val="0"/>
        </w:rPr>
        <w:t>.</w:t>
      </w:r>
      <w:r>
        <w:rPr>
          <w:snapToGrid w:val="0"/>
        </w:rPr>
        <w:tab/>
        <w:t>Motion for judgment to be set down within one year</w:t>
      </w:r>
      <w:bookmarkEnd w:id="730"/>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731" w:name="_Toc163121140"/>
      <w:r>
        <w:rPr>
          <w:rStyle w:val="CharSectno"/>
        </w:rPr>
        <w:t>5</w:t>
      </w:r>
      <w:r>
        <w:rPr>
          <w:snapToGrid w:val="0"/>
        </w:rPr>
        <w:t>.</w:t>
      </w:r>
      <w:r>
        <w:rPr>
          <w:snapToGrid w:val="0"/>
        </w:rPr>
        <w:tab/>
        <w:t>Court may draw inferences and determine questions</w:t>
      </w:r>
      <w:bookmarkEnd w:id="731"/>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732" w:name="_Toc162940679"/>
      <w:bookmarkStart w:id="733" w:name="_Toc162953468"/>
      <w:bookmarkStart w:id="734" w:name="_Toc163121141"/>
      <w:r>
        <w:rPr>
          <w:rStyle w:val="CharPartNo"/>
        </w:rPr>
        <w:lastRenderedPageBreak/>
        <w:t>Order 42</w:t>
      </w:r>
      <w:r>
        <w:rPr>
          <w:rStyle w:val="CharDivNo"/>
        </w:rPr>
        <w:t> </w:t>
      </w:r>
      <w:r>
        <w:t>—</w:t>
      </w:r>
      <w:r>
        <w:rPr>
          <w:rStyle w:val="CharDivText"/>
        </w:rPr>
        <w:t> </w:t>
      </w:r>
      <w:r>
        <w:rPr>
          <w:rStyle w:val="CharPartText"/>
        </w:rPr>
        <w:t>Entry of judgment</w:t>
      </w:r>
      <w:bookmarkEnd w:id="732"/>
      <w:bookmarkEnd w:id="733"/>
      <w:bookmarkEnd w:id="734"/>
    </w:p>
    <w:p>
      <w:pPr>
        <w:pStyle w:val="Heading5"/>
        <w:rPr>
          <w:snapToGrid w:val="0"/>
        </w:rPr>
      </w:pPr>
      <w:bookmarkStart w:id="735" w:name="_Toc163121142"/>
      <w:r>
        <w:rPr>
          <w:rStyle w:val="CharSectno"/>
        </w:rPr>
        <w:t>1</w:t>
      </w:r>
      <w:r>
        <w:rPr>
          <w:snapToGrid w:val="0"/>
        </w:rPr>
        <w:t>.</w:t>
      </w:r>
      <w:r>
        <w:rPr>
          <w:snapToGrid w:val="0"/>
        </w:rPr>
        <w:tab/>
        <w:t>Mode and form of entry</w:t>
      </w:r>
      <w:bookmarkEnd w:id="735"/>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pPr>
      <w:r>
        <w:tab/>
        <w:t>(1A)</w:t>
      </w:r>
      <w:r>
        <w:tab/>
        <w:t>The book must be kept in the manner directed by the Chief Justice from time to time.</w:t>
      </w:r>
    </w:p>
    <w:p>
      <w:pPr>
        <w:pStyle w:val="Subsection"/>
        <w:rPr>
          <w:snapToGrid w:val="0"/>
        </w:rPr>
      </w:pPr>
      <w:r>
        <w:rPr>
          <w:snapToGrid w:val="0"/>
        </w:rPr>
        <w:tab/>
        <w:t>(2)</w:t>
      </w:r>
      <w:r>
        <w:rPr>
          <w:snapToGrid w:val="0"/>
        </w:rPr>
        <w:tab/>
        <w:t xml:space="preserve">If a form of judgment is prescribed in </w:t>
      </w:r>
      <w:r>
        <w:t xml:space="preserve">Schedule 2 </w:t>
      </w:r>
      <w:r>
        <w:rPr>
          <w:snapToGrid w:val="0"/>
        </w:rPr>
        <w:t>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Gazette 14 Dec 1979 p. 3870; 28 Jun 2011 p. 2554; 27 Feb 2018 p. 566.] </w:t>
      </w:r>
    </w:p>
    <w:p>
      <w:pPr>
        <w:pStyle w:val="Heading5"/>
        <w:rPr>
          <w:snapToGrid w:val="0"/>
        </w:rPr>
      </w:pPr>
      <w:bookmarkStart w:id="736" w:name="_Toc163121143"/>
      <w:r>
        <w:rPr>
          <w:rStyle w:val="CharSectno"/>
        </w:rPr>
        <w:t>2</w:t>
      </w:r>
      <w:r>
        <w:rPr>
          <w:snapToGrid w:val="0"/>
        </w:rPr>
        <w:t>.</w:t>
      </w:r>
      <w:r>
        <w:rPr>
          <w:snapToGrid w:val="0"/>
        </w:rPr>
        <w:tab/>
        <w:t>Date from which judgment or order takes effect</w:t>
      </w:r>
      <w:bookmarkEnd w:id="736"/>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737" w:name="_Toc163121144"/>
      <w:r>
        <w:rPr>
          <w:rStyle w:val="CharSectno"/>
        </w:rPr>
        <w:t>3</w:t>
      </w:r>
      <w:r>
        <w:rPr>
          <w:snapToGrid w:val="0"/>
        </w:rPr>
        <w:t>.</w:t>
      </w:r>
      <w:r>
        <w:rPr>
          <w:snapToGrid w:val="0"/>
        </w:rPr>
        <w:tab/>
        <w:t>Orders to do an act, time for obeying to be specified</w:t>
      </w:r>
      <w:bookmarkEnd w:id="737"/>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738" w:name="_Toc163121145"/>
      <w:r>
        <w:rPr>
          <w:rStyle w:val="CharSectno"/>
        </w:rPr>
        <w:lastRenderedPageBreak/>
        <w:t>4</w:t>
      </w:r>
      <w:r>
        <w:rPr>
          <w:snapToGrid w:val="0"/>
        </w:rPr>
        <w:t>.</w:t>
      </w:r>
      <w:r>
        <w:rPr>
          <w:snapToGrid w:val="0"/>
        </w:rPr>
        <w:tab/>
        <w:t>Entering judgment on filing of affidavit etc.</w:t>
      </w:r>
      <w:bookmarkEnd w:id="738"/>
    </w:p>
    <w:p>
      <w:pPr>
        <w:pStyle w:val="Subsection"/>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739" w:name="_Toc163121146"/>
      <w:r>
        <w:rPr>
          <w:rStyle w:val="CharSectno"/>
        </w:rPr>
        <w:t>5</w:t>
      </w:r>
      <w:r>
        <w:rPr>
          <w:snapToGrid w:val="0"/>
        </w:rPr>
        <w:t>.</w:t>
      </w:r>
      <w:r>
        <w:rPr>
          <w:snapToGrid w:val="0"/>
        </w:rPr>
        <w:tab/>
        <w:t>Entering judgment pursuant to order etc.</w:t>
      </w:r>
      <w:bookmarkEnd w:id="739"/>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740" w:name="_Toc163121147"/>
      <w:r>
        <w:rPr>
          <w:rStyle w:val="CharSectno"/>
        </w:rPr>
        <w:t>6</w:t>
      </w:r>
      <w:r>
        <w:rPr>
          <w:snapToGrid w:val="0"/>
        </w:rPr>
        <w:t>.</w:t>
      </w:r>
      <w:r>
        <w:rPr>
          <w:snapToGrid w:val="0"/>
        </w:rPr>
        <w:tab/>
        <w:t>Entering judgment on certificate of master or registrar</w:t>
      </w:r>
      <w:bookmarkEnd w:id="740"/>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when judgment is entered.</w:t>
      </w:r>
    </w:p>
    <w:p>
      <w:pPr>
        <w:pStyle w:val="Footnotesection"/>
      </w:pPr>
      <w:r>
        <w:tab/>
        <w:t xml:space="preserve">[Rule 6 amended: Gazette 14 Dec 1979 p. 3870; 30 Nov 1984 p. 3951; 27 Feb 2018 p. 566.] </w:t>
      </w:r>
    </w:p>
    <w:p>
      <w:pPr>
        <w:pStyle w:val="Heading5"/>
        <w:rPr>
          <w:snapToGrid w:val="0"/>
        </w:rPr>
      </w:pPr>
      <w:bookmarkStart w:id="741" w:name="_Toc163121148"/>
      <w:r>
        <w:rPr>
          <w:rStyle w:val="CharSectno"/>
        </w:rPr>
        <w:t>7</w:t>
      </w:r>
      <w:r>
        <w:rPr>
          <w:snapToGrid w:val="0"/>
        </w:rPr>
        <w:t>.</w:t>
      </w:r>
      <w:r>
        <w:rPr>
          <w:snapToGrid w:val="0"/>
        </w:rPr>
        <w:tab/>
        <w:t>Entering judgment by consent when party appears by solicitor</w:t>
      </w:r>
      <w:bookmarkEnd w:id="741"/>
    </w:p>
    <w:p>
      <w:pPr>
        <w:pStyle w:val="Subsection"/>
        <w:rPr>
          <w:snapToGrid w:val="0"/>
        </w:rPr>
      </w:pPr>
      <w:r>
        <w:rPr>
          <w:snapToGrid w:val="0"/>
        </w:rPr>
        <w:tab/>
      </w:r>
      <w:r>
        <w:rPr>
          <w:snapToGrid w:val="0"/>
        </w:rPr>
        <w:tab/>
        <w:t xml:space="preserve">In any cause or matter where the defendant has appeared by a solicitor, no order for entering judgment shall be made by consent unless the consent of the defendant is given by </w:t>
      </w:r>
      <w:r>
        <w:t>the defendant’s solicitor.</w:t>
      </w:r>
    </w:p>
    <w:p>
      <w:pPr>
        <w:pStyle w:val="Footnotesection"/>
      </w:pPr>
      <w:r>
        <w:tab/>
        <w:t xml:space="preserve">[Rule 7 amended: Gazette 27 Feb 2018 p. 567.] </w:t>
      </w:r>
    </w:p>
    <w:p>
      <w:pPr>
        <w:pStyle w:val="Heading5"/>
        <w:rPr>
          <w:snapToGrid w:val="0"/>
        </w:rPr>
      </w:pPr>
      <w:bookmarkStart w:id="742" w:name="_Toc163121149"/>
      <w:r>
        <w:rPr>
          <w:rStyle w:val="CharSectno"/>
        </w:rPr>
        <w:lastRenderedPageBreak/>
        <w:t>8</w:t>
      </w:r>
      <w:r>
        <w:rPr>
          <w:snapToGrid w:val="0"/>
        </w:rPr>
        <w:t>.</w:t>
      </w:r>
      <w:r>
        <w:rPr>
          <w:snapToGrid w:val="0"/>
        </w:rPr>
        <w:tab/>
        <w:t>Entering judgment by consent where defendant has not appeared or is self</w:t>
      </w:r>
      <w:r>
        <w:rPr>
          <w:snapToGrid w:val="0"/>
        </w:rPr>
        <w:noBreakHyphen/>
        <w:t>represented</w:t>
      </w:r>
      <w:bookmarkEnd w:id="742"/>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743" w:name="_Toc163121150"/>
      <w:r>
        <w:rPr>
          <w:rStyle w:val="CharSectno"/>
        </w:rPr>
        <w:t>9</w:t>
      </w:r>
      <w:r>
        <w:rPr>
          <w:snapToGrid w:val="0"/>
        </w:rPr>
        <w:t>.</w:t>
      </w:r>
      <w:r>
        <w:rPr>
          <w:snapToGrid w:val="0"/>
        </w:rPr>
        <w:tab/>
        <w:t>Satisfaction of judgments</w:t>
      </w:r>
      <w:bookmarkEnd w:id="743"/>
    </w:p>
    <w:p>
      <w:pPr>
        <w:pStyle w:val="Subsection"/>
        <w:rPr>
          <w:snapToGrid w:val="0"/>
        </w:rPr>
      </w:pPr>
      <w:r>
        <w:rPr>
          <w:snapToGrid w:val="0"/>
        </w:rPr>
        <w:tab/>
        <w:t>(1)</w:t>
      </w:r>
      <w:r>
        <w:rPr>
          <w:snapToGrid w:val="0"/>
        </w:rPr>
        <w:tab/>
        <w:t xml:space="preserve">A memorandum of satisfaction of a judgment may be entered upon a consent to the entry being </w:t>
      </w:r>
      <w:r>
        <w:t>filed.</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Gazette 30 Nov 1984 p. 3951; 27 Feb 2018 p. 567.] </w:t>
      </w:r>
    </w:p>
    <w:p>
      <w:pPr>
        <w:pStyle w:val="Heading2"/>
        <w:rPr>
          <w:b w:val="0"/>
        </w:rPr>
      </w:pPr>
      <w:bookmarkStart w:id="744" w:name="_Toc162940689"/>
      <w:bookmarkStart w:id="745" w:name="_Toc162953478"/>
      <w:bookmarkStart w:id="746" w:name="_Toc163121151"/>
      <w:r>
        <w:rPr>
          <w:rStyle w:val="CharPartNo"/>
        </w:rPr>
        <w:lastRenderedPageBreak/>
        <w:t>Order 43</w:t>
      </w:r>
      <w:r>
        <w:rPr>
          <w:rStyle w:val="CharDivNo"/>
        </w:rPr>
        <w:t> </w:t>
      </w:r>
      <w:r>
        <w:t>—</w:t>
      </w:r>
      <w:r>
        <w:rPr>
          <w:rStyle w:val="CharDivText"/>
        </w:rPr>
        <w:t> </w:t>
      </w:r>
      <w:r>
        <w:rPr>
          <w:rStyle w:val="CharPartText"/>
        </w:rPr>
        <w:t>Drawing up judgments and orders</w:t>
      </w:r>
      <w:bookmarkEnd w:id="744"/>
      <w:bookmarkEnd w:id="745"/>
      <w:bookmarkEnd w:id="746"/>
    </w:p>
    <w:p>
      <w:pPr>
        <w:pStyle w:val="Heading5"/>
        <w:rPr>
          <w:snapToGrid w:val="0"/>
        </w:rPr>
      </w:pPr>
      <w:bookmarkStart w:id="747" w:name="_Toc163121152"/>
      <w:r>
        <w:rPr>
          <w:rStyle w:val="CharSectno"/>
        </w:rPr>
        <w:t>1</w:t>
      </w:r>
      <w:r>
        <w:rPr>
          <w:snapToGrid w:val="0"/>
        </w:rPr>
        <w:t>.</w:t>
      </w:r>
      <w:r>
        <w:rPr>
          <w:snapToGrid w:val="0"/>
        </w:rPr>
        <w:tab/>
        <w:t>Drawing up etc. judgments etc.</w:t>
      </w:r>
      <w:bookmarkEnd w:id="747"/>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Gazette 14 Dec 1979 p. 3870.] </w:t>
      </w:r>
    </w:p>
    <w:p>
      <w:pPr>
        <w:pStyle w:val="Heading5"/>
        <w:rPr>
          <w:snapToGrid w:val="0"/>
        </w:rPr>
      </w:pPr>
      <w:bookmarkStart w:id="748" w:name="_Toc163121153"/>
      <w:r>
        <w:rPr>
          <w:rStyle w:val="CharSectno"/>
        </w:rPr>
        <w:t>2</w:t>
      </w:r>
      <w:r>
        <w:rPr>
          <w:snapToGrid w:val="0"/>
        </w:rPr>
        <w:t>.</w:t>
      </w:r>
      <w:r>
        <w:rPr>
          <w:snapToGrid w:val="0"/>
        </w:rPr>
        <w:tab/>
        <w:t>When order need not be drawn up</w:t>
      </w:r>
      <w:bookmarkEnd w:id="748"/>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 xml:space="preserve">gives leave to do any of the acts mentioned in </w:t>
      </w:r>
      <w:r>
        <w:t>subrule</w:t>
      </w:r>
      <w:r>
        <w:rPr>
          <w:snapToGrid w:val="0"/>
        </w:rPr>
        <w:t>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 xml:space="preserve">The acts referred to in </w:t>
      </w:r>
      <w:r>
        <w:t>subrule</w:t>
      </w:r>
      <w:r>
        <w:rPr>
          <w:snapToGrid w:val="0"/>
        </w:rPr>
        <w:t> (1)(b) are — </w:t>
      </w:r>
    </w:p>
    <w:p>
      <w:pPr>
        <w:pStyle w:val="Indenta"/>
        <w:rPr>
          <w:snapToGrid w:val="0"/>
        </w:rPr>
      </w:pPr>
      <w:r>
        <w:rPr>
          <w:snapToGrid w:val="0"/>
        </w:rPr>
        <w:tab/>
        <w:t>(a)</w:t>
      </w:r>
      <w:r>
        <w:rPr>
          <w:snapToGrid w:val="0"/>
        </w:rPr>
        <w:tab/>
        <w:t xml:space="preserve">the issue of any writ, other than a writ of summons for service out of </w:t>
      </w:r>
      <w:r>
        <w:t xml:space="preserve">Australia, </w:t>
      </w:r>
      <w:r>
        <w:rPr>
          <w:snapToGrid w:val="0"/>
        </w:rPr>
        <w:t>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lastRenderedPageBreak/>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 xml:space="preserve">When under </w:t>
      </w:r>
      <w:r>
        <w:t>subrule</w:t>
      </w:r>
      <w:r>
        <w:rPr>
          <w:snapToGrid w:val="0"/>
        </w:rPr>
        <w:t>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Gazette 30 Nov 1984 p. 3951; 28 Jun 2011 p. 2552; 12 Jun 2012 p. 2451.] </w:t>
      </w:r>
    </w:p>
    <w:p>
      <w:pPr>
        <w:pStyle w:val="Heading5"/>
        <w:rPr>
          <w:snapToGrid w:val="0"/>
        </w:rPr>
      </w:pPr>
      <w:bookmarkStart w:id="749" w:name="_Toc163121154"/>
      <w:r>
        <w:rPr>
          <w:rStyle w:val="CharSectno"/>
        </w:rPr>
        <w:t>3</w:t>
      </w:r>
      <w:r>
        <w:rPr>
          <w:snapToGrid w:val="0"/>
        </w:rPr>
        <w:t>.</w:t>
      </w:r>
      <w:r>
        <w:rPr>
          <w:snapToGrid w:val="0"/>
        </w:rPr>
        <w:tab/>
        <w:t>Authentication of judgments and orders</w:t>
      </w:r>
      <w:bookmarkEnd w:id="749"/>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750" w:name="_Toc163121155"/>
      <w:r>
        <w:rPr>
          <w:rStyle w:val="CharSectno"/>
        </w:rPr>
        <w:t>4</w:t>
      </w:r>
      <w:r>
        <w:rPr>
          <w:snapToGrid w:val="0"/>
        </w:rPr>
        <w:t>.</w:t>
      </w:r>
      <w:r>
        <w:rPr>
          <w:snapToGrid w:val="0"/>
        </w:rPr>
        <w:tab/>
        <w:t>Judgments and orders to be court record; issue and use of duplicates</w:t>
      </w:r>
      <w:bookmarkEnd w:id="750"/>
    </w:p>
    <w:p>
      <w:pPr>
        <w:pStyle w:val="Subsection"/>
        <w:rPr>
          <w:snapToGrid w:val="0"/>
        </w:rPr>
      </w:pPr>
      <w:r>
        <w:rPr>
          <w:snapToGrid w:val="0"/>
        </w:rPr>
        <w:tab/>
        <w:t>(1)</w:t>
      </w:r>
      <w:r>
        <w:rPr>
          <w:snapToGrid w:val="0"/>
        </w:rPr>
        <w:tab/>
        <w:t xml:space="preserve">Every judgment and order shall be kept </w:t>
      </w:r>
      <w:r>
        <w:t>by the Court as a record in the manner directed by the Chief Justice from time to time.</w:t>
      </w:r>
    </w:p>
    <w:p>
      <w:pPr>
        <w:pStyle w:val="Subsection"/>
        <w:rPr>
          <w:snapToGrid w:val="0"/>
        </w:rPr>
      </w:pPr>
      <w:r>
        <w:rPr>
          <w:snapToGrid w:val="0"/>
        </w:rPr>
        <w:tab/>
        <w:t>(2)</w:t>
      </w:r>
      <w:r>
        <w:rPr>
          <w:snapToGrid w:val="0"/>
        </w:rPr>
        <w:tab/>
        <w:t>A duplicate of an order shall, on the day it has been entered, be sealed without fee and delivered to the party extracting the order.</w:t>
      </w:r>
    </w:p>
    <w:p>
      <w:pPr>
        <w:pStyle w:val="Subsection"/>
        <w:rPr>
          <w:snapToGrid w:val="0"/>
        </w:rPr>
      </w:pPr>
      <w:r>
        <w:rPr>
          <w:snapToGrid w:val="0"/>
        </w:rPr>
        <w:lastRenderedPageBreak/>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Subsection"/>
      </w:pPr>
      <w:r>
        <w:tab/>
        <w:t>(5)</w:t>
      </w:r>
      <w:r>
        <w:tab/>
        <w:t xml:space="preserve">If an order is issued by means of the ECMS — </w:t>
      </w:r>
    </w:p>
    <w:p>
      <w:pPr>
        <w:pStyle w:val="Indenta"/>
      </w:pPr>
      <w:r>
        <w:tab/>
        <w:t>(a)</w:t>
      </w:r>
      <w:r>
        <w:tab/>
        <w:t>an authorised user may print from the ECMS 1 or more copies of the order; and</w:t>
      </w:r>
    </w:p>
    <w:p>
      <w:pPr>
        <w:pStyle w:val="Indenta"/>
      </w:pPr>
      <w:r>
        <w:tab/>
        <w:t>(b)</w:t>
      </w:r>
      <w:r>
        <w:tab/>
        <w:t>a printed copy may be treated as a duplicate of the order for the purposes of this rule.</w:t>
      </w:r>
    </w:p>
    <w:p>
      <w:pPr>
        <w:pStyle w:val="Footnotesection"/>
      </w:pPr>
      <w:r>
        <w:tab/>
        <w:t xml:space="preserve">[Rule 4 amended: Gazette 1 Aug 1980 p. 2558; 27 Feb 2018 p. 567; 31 Dec 2019 p. 4677.] </w:t>
      </w:r>
    </w:p>
    <w:p>
      <w:pPr>
        <w:pStyle w:val="Heading5"/>
        <w:rPr>
          <w:snapToGrid w:val="0"/>
        </w:rPr>
      </w:pPr>
      <w:bookmarkStart w:id="751" w:name="_Toc163121156"/>
      <w:r>
        <w:rPr>
          <w:rStyle w:val="CharSectno"/>
        </w:rPr>
        <w:t>5</w:t>
      </w:r>
      <w:r>
        <w:rPr>
          <w:snapToGrid w:val="0"/>
        </w:rPr>
        <w:t>.</w:t>
      </w:r>
      <w:r>
        <w:rPr>
          <w:snapToGrid w:val="0"/>
        </w:rPr>
        <w:tab/>
        <w:t>Amending orders</w:t>
      </w:r>
      <w:bookmarkEnd w:id="751"/>
    </w:p>
    <w:p>
      <w:pPr>
        <w:pStyle w:val="Subsection"/>
        <w:rPr>
          <w:snapToGrid w:val="0"/>
        </w:rPr>
      </w:pPr>
      <w:r>
        <w:tab/>
        <w:t>(1)</w:t>
      </w:r>
      <w:r>
        <w:tab/>
        <w:t>An</w:t>
      </w:r>
      <w:r>
        <w:rPr>
          <w:snapToGrid w:val="0"/>
        </w:rPr>
        <w:t xml:space="preserve">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Subsection"/>
      </w:pPr>
      <w:r>
        <w:tab/>
        <w:t>(2)</w:t>
      </w:r>
      <w:r>
        <w:tab/>
        <w:t>The registrar may dispense with the requirement under subrule (1) to produce the duplicate or the duplicate last issued, subject to any conditions the registrar considers appropriate.</w:t>
      </w:r>
    </w:p>
    <w:p>
      <w:pPr>
        <w:pStyle w:val="Footnotesection"/>
      </w:pPr>
      <w:r>
        <w:tab/>
        <w:t xml:space="preserve">[Rule 5 amended: Gazette 27 Feb 2018 p. 567-8.] </w:t>
      </w:r>
    </w:p>
    <w:p>
      <w:pPr>
        <w:pStyle w:val="Heading5"/>
        <w:rPr>
          <w:snapToGrid w:val="0"/>
        </w:rPr>
      </w:pPr>
      <w:bookmarkStart w:id="752" w:name="_Toc163121157"/>
      <w:r>
        <w:rPr>
          <w:rStyle w:val="CharSectno"/>
        </w:rPr>
        <w:t>6</w:t>
      </w:r>
      <w:r>
        <w:rPr>
          <w:snapToGrid w:val="0"/>
        </w:rPr>
        <w:t>.</w:t>
      </w:r>
      <w:r>
        <w:rPr>
          <w:snapToGrid w:val="0"/>
        </w:rPr>
        <w:tab/>
        <w:t>Draft judgment or order to be filed</w:t>
      </w:r>
      <w:bookmarkEnd w:id="752"/>
    </w:p>
    <w:p>
      <w:pPr>
        <w:pStyle w:val="Subsection"/>
        <w:rPr>
          <w:snapToGrid w:val="0"/>
        </w:rPr>
      </w:pPr>
      <w:r>
        <w:rPr>
          <w:snapToGrid w:val="0"/>
        </w:rPr>
        <w:tab/>
        <w:t>(1)</w:t>
      </w:r>
      <w:r>
        <w:rPr>
          <w:snapToGrid w:val="0"/>
        </w:rPr>
        <w:tab/>
        <w:t xml:space="preserve">The party bespeaking a judgment or order shall </w:t>
      </w:r>
      <w:r>
        <w:t>file a draft of the judgment or order</w:t>
      </w:r>
      <w:r>
        <w:rPr>
          <w:snapToGrid w:val="0"/>
        </w:rPr>
        <w:t xml:space="preserve"> unless the registrar dispenses with the draft and permits </w:t>
      </w:r>
      <w:r>
        <w:t>filing</w:t>
      </w:r>
      <w:r>
        <w:rPr>
          <w:snapToGrid w:val="0"/>
        </w:rPr>
        <w:t xml:space="preserve"> of the engrossment in the first instance, and, if so required by the registrar, the party shall leave with the registrar his counsel’s brief and any other documents which the </w:t>
      </w:r>
      <w:r>
        <w:rPr>
          <w:snapToGrid w:val="0"/>
        </w:rPr>
        <w:lastRenderedPageBreak/>
        <w:t>registrar may require for the purpose of drawing up, or settling such judgment or order.</w:t>
      </w:r>
    </w:p>
    <w:p>
      <w:pPr>
        <w:pStyle w:val="Subsection"/>
        <w:rPr>
          <w:snapToGrid w:val="0"/>
        </w:rPr>
      </w:pPr>
      <w:r>
        <w:rPr>
          <w:snapToGrid w:val="0"/>
        </w:rPr>
        <w:tab/>
        <w:t>(2)</w:t>
      </w:r>
      <w:r>
        <w:rPr>
          <w:snapToGrid w:val="0"/>
        </w:rPr>
        <w:tab/>
        <w:t xml:space="preserve">If the judgment or order is not bespoken and the draft and any documents required by the registrar </w:t>
      </w:r>
      <w:r>
        <w:t>filed</w:t>
      </w:r>
      <w:r>
        <w:rPr>
          <w:snapToGrid w:val="0"/>
        </w:rPr>
        <w:t xml:space="preserve">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Gazette 14 Dec 1979 p. 3870; 27 Feb 2018 p. 568.] </w:t>
      </w:r>
    </w:p>
    <w:p>
      <w:pPr>
        <w:pStyle w:val="Heading5"/>
        <w:rPr>
          <w:snapToGrid w:val="0"/>
        </w:rPr>
      </w:pPr>
      <w:bookmarkStart w:id="753" w:name="_Toc163121158"/>
      <w:r>
        <w:rPr>
          <w:rStyle w:val="CharSectno"/>
        </w:rPr>
        <w:t>7</w:t>
      </w:r>
      <w:r>
        <w:rPr>
          <w:snapToGrid w:val="0"/>
        </w:rPr>
        <w:t>.</w:t>
      </w:r>
      <w:r>
        <w:rPr>
          <w:snapToGrid w:val="0"/>
        </w:rPr>
        <w:tab/>
        <w:t>Appointment to settle draft</w:t>
      </w:r>
      <w:bookmarkEnd w:id="753"/>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Gazette 14 Dec 1979 p. 3870.] </w:t>
      </w:r>
    </w:p>
    <w:p>
      <w:pPr>
        <w:pStyle w:val="Heading5"/>
        <w:rPr>
          <w:snapToGrid w:val="0"/>
        </w:rPr>
      </w:pPr>
      <w:bookmarkStart w:id="754" w:name="_Toc163121159"/>
      <w:r>
        <w:rPr>
          <w:rStyle w:val="CharSectno"/>
        </w:rPr>
        <w:t>8</w:t>
      </w:r>
      <w:r>
        <w:rPr>
          <w:snapToGrid w:val="0"/>
        </w:rPr>
        <w:t>.</w:t>
      </w:r>
      <w:r>
        <w:rPr>
          <w:snapToGrid w:val="0"/>
        </w:rPr>
        <w:tab/>
        <w:t>Attendance on settling draft</w:t>
      </w:r>
      <w:bookmarkEnd w:id="754"/>
    </w:p>
    <w:p>
      <w:pPr>
        <w:pStyle w:val="Subsection"/>
        <w:rPr>
          <w:snapToGrid w:val="0"/>
        </w:rPr>
      </w:pPr>
      <w:r>
        <w:rPr>
          <w:snapToGrid w:val="0"/>
        </w:rPr>
        <w:tab/>
        <w:t>(1)</w:t>
      </w:r>
      <w:r>
        <w:rPr>
          <w:snapToGrid w:val="0"/>
        </w:rPr>
        <w:tab/>
        <w:t xml:space="preserve">The party bespeaking the judgment or order and all parties served with notice under </w:t>
      </w:r>
      <w:r>
        <w:t xml:space="preserve">rule 7 </w:t>
      </w:r>
      <w:r>
        <w:rPr>
          <w:snapToGrid w:val="0"/>
        </w:rPr>
        <w:t>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lastRenderedPageBreak/>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Gazette 14 Dec 1979 p. 3870; 28 Jun 2011 p. 2554.] </w:t>
      </w:r>
    </w:p>
    <w:p>
      <w:pPr>
        <w:pStyle w:val="Heading5"/>
        <w:rPr>
          <w:snapToGrid w:val="0"/>
        </w:rPr>
      </w:pPr>
      <w:bookmarkStart w:id="755" w:name="_Toc163121160"/>
      <w:r>
        <w:rPr>
          <w:rStyle w:val="CharSectno"/>
        </w:rPr>
        <w:t>9</w:t>
      </w:r>
      <w:r>
        <w:rPr>
          <w:snapToGrid w:val="0"/>
        </w:rPr>
        <w:t>.</w:t>
      </w:r>
      <w:r>
        <w:rPr>
          <w:snapToGrid w:val="0"/>
        </w:rPr>
        <w:tab/>
        <w:t>Default of attendance on settling draft</w:t>
      </w:r>
      <w:bookmarkEnd w:id="755"/>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 xml:space="preserve">Where the registrar proceeds under </w:t>
      </w:r>
      <w:r>
        <w:t xml:space="preserve">subrule (1) </w:t>
      </w:r>
      <w:r>
        <w:rPr>
          <w:snapToGrid w:val="0"/>
        </w:rPr>
        <w:t>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Gazette 14 Dec 1979 p. 3870; 28 Jun 2011 p. 2554.] </w:t>
      </w:r>
    </w:p>
    <w:p>
      <w:pPr>
        <w:pStyle w:val="Heading5"/>
        <w:rPr>
          <w:snapToGrid w:val="0"/>
        </w:rPr>
      </w:pPr>
      <w:bookmarkStart w:id="756" w:name="_Toc163121161"/>
      <w:r>
        <w:rPr>
          <w:rStyle w:val="CharSectno"/>
        </w:rPr>
        <w:t>10</w:t>
      </w:r>
      <w:r>
        <w:rPr>
          <w:snapToGrid w:val="0"/>
        </w:rPr>
        <w:t>.</w:t>
      </w:r>
      <w:r>
        <w:rPr>
          <w:snapToGrid w:val="0"/>
        </w:rPr>
        <w:tab/>
        <w:t>Dispensing with appointment</w:t>
      </w:r>
      <w:bookmarkEnd w:id="756"/>
    </w:p>
    <w:p>
      <w:pPr>
        <w:pStyle w:val="Subsection"/>
        <w:rPr>
          <w:snapToGrid w:val="0"/>
        </w:rPr>
      </w:pPr>
      <w:r>
        <w:rPr>
          <w:snapToGrid w:val="0"/>
        </w:rPr>
        <w:tab/>
      </w:r>
      <w:r>
        <w:rPr>
          <w:snapToGrid w:val="0"/>
        </w:rPr>
        <w:tab/>
        <w:t xml:space="preserve">Notwithstanding </w:t>
      </w:r>
      <w:r>
        <w:t xml:space="preserve">rules 1 to 9, </w:t>
      </w:r>
      <w:r>
        <w:rPr>
          <w:snapToGrid w:val="0"/>
        </w:rPr>
        <w:t>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Gazette 14 Dec 1979 p. 3870; 28 Jun 2011 p. 2554.] </w:t>
      </w:r>
    </w:p>
    <w:p>
      <w:pPr>
        <w:pStyle w:val="Heading5"/>
        <w:rPr>
          <w:snapToGrid w:val="0"/>
        </w:rPr>
      </w:pPr>
      <w:bookmarkStart w:id="757" w:name="_Toc163121162"/>
      <w:r>
        <w:rPr>
          <w:rStyle w:val="CharSectno"/>
        </w:rPr>
        <w:t>11</w:t>
      </w:r>
      <w:r>
        <w:rPr>
          <w:snapToGrid w:val="0"/>
        </w:rPr>
        <w:t>.</w:t>
      </w:r>
      <w:r>
        <w:rPr>
          <w:snapToGrid w:val="0"/>
        </w:rPr>
        <w:tab/>
        <w:t>Registrar’s and Court’s powers to settle judgments etc.</w:t>
      </w:r>
      <w:bookmarkEnd w:id="757"/>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lastRenderedPageBreak/>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 in order to give expression to the intent of the judgment or order and also to include any ancillary details which may have been omitted, and may finally settle the draft.</w:t>
      </w:r>
    </w:p>
    <w:p>
      <w:pPr>
        <w:pStyle w:val="Subsection"/>
        <w:keepNext/>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Gazette 14 Dec 1979 p. 3870.] </w:t>
      </w:r>
    </w:p>
    <w:p>
      <w:pPr>
        <w:pStyle w:val="Heading5"/>
        <w:spacing w:before="180"/>
        <w:rPr>
          <w:snapToGrid w:val="0"/>
        </w:rPr>
      </w:pPr>
      <w:bookmarkStart w:id="758" w:name="_Toc163121163"/>
      <w:r>
        <w:rPr>
          <w:rStyle w:val="CharSectno"/>
        </w:rPr>
        <w:t>12</w:t>
      </w:r>
      <w:r>
        <w:rPr>
          <w:snapToGrid w:val="0"/>
        </w:rPr>
        <w:t>.</w:t>
      </w:r>
      <w:r>
        <w:rPr>
          <w:snapToGrid w:val="0"/>
        </w:rPr>
        <w:tab/>
        <w:t>Party to engross settled judgment or order</w:t>
      </w:r>
      <w:bookmarkEnd w:id="758"/>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759" w:name="_Toc163121164"/>
      <w:r>
        <w:rPr>
          <w:rStyle w:val="CharSectno"/>
        </w:rPr>
        <w:t>13</w:t>
      </w:r>
      <w:r>
        <w:rPr>
          <w:snapToGrid w:val="0"/>
        </w:rPr>
        <w:t>.</w:t>
      </w:r>
      <w:r>
        <w:rPr>
          <w:snapToGrid w:val="0"/>
        </w:rPr>
        <w:tab/>
        <w:t>Certificate for special allowance on taxation of costs</w:t>
      </w:r>
      <w:bookmarkEnd w:id="759"/>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Gazette 14 Dec 1979 p. 3870.] </w:t>
      </w:r>
    </w:p>
    <w:p>
      <w:pPr>
        <w:pStyle w:val="Heading5"/>
        <w:rPr>
          <w:snapToGrid w:val="0"/>
        </w:rPr>
      </w:pPr>
      <w:bookmarkStart w:id="760" w:name="_Toc163121165"/>
      <w:r>
        <w:rPr>
          <w:rStyle w:val="CharSectno"/>
        </w:rPr>
        <w:lastRenderedPageBreak/>
        <w:t>14</w:t>
      </w:r>
      <w:r>
        <w:rPr>
          <w:snapToGrid w:val="0"/>
        </w:rPr>
        <w:t>.</w:t>
      </w:r>
      <w:r>
        <w:rPr>
          <w:snapToGrid w:val="0"/>
        </w:rPr>
        <w:tab/>
        <w:t>Entry of judgments and orders</w:t>
      </w:r>
      <w:bookmarkEnd w:id="760"/>
    </w:p>
    <w:p>
      <w:pPr>
        <w:pStyle w:val="Subsection"/>
        <w:keepNext/>
      </w:pPr>
      <w:r>
        <w:tab/>
        <w:t>(1)</w:t>
      </w:r>
      <w:r>
        <w:tab/>
        <w:t>A judgment or order, when settled and passed, is to be filed by the party entering or extracting it.</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Footnotesection"/>
      </w:pPr>
      <w:r>
        <w:tab/>
        <w:t>[Rule 14 amended: Gazette 27 Feb 2018 p. 568.]</w:t>
      </w:r>
    </w:p>
    <w:p>
      <w:pPr>
        <w:pStyle w:val="Heading5"/>
        <w:rPr>
          <w:snapToGrid w:val="0"/>
        </w:rPr>
      </w:pPr>
      <w:bookmarkStart w:id="761" w:name="_Toc163121166"/>
      <w:r>
        <w:rPr>
          <w:rStyle w:val="CharSectno"/>
        </w:rPr>
        <w:t>15</w:t>
      </w:r>
      <w:r>
        <w:rPr>
          <w:snapToGrid w:val="0"/>
        </w:rPr>
        <w:t>.</w:t>
      </w:r>
      <w:r>
        <w:rPr>
          <w:snapToGrid w:val="0"/>
        </w:rPr>
        <w:tab/>
        <w:t>Application to vary</w:t>
      </w:r>
      <w:bookmarkEnd w:id="761"/>
    </w:p>
    <w:p>
      <w:pPr>
        <w:pStyle w:val="Subsection"/>
        <w:rPr>
          <w:snapToGrid w:val="0"/>
        </w:rPr>
      </w:pPr>
      <w:r>
        <w:rPr>
          <w:snapToGrid w:val="0"/>
        </w:rPr>
        <w:tab/>
      </w:r>
      <w:r>
        <w:rPr>
          <w:snapToGrid w:val="0"/>
        </w:rPr>
        <w:tab/>
        <w:t xml:space="preserve">A party may, within 7 days after a draft judgment or order has been </w:t>
      </w:r>
      <w:r>
        <w:t xml:space="preserve">settled, </w:t>
      </w:r>
      <w:r>
        <w:rPr>
          <w:snapToGrid w:val="0"/>
        </w:rPr>
        <w:t>apply to the Court to add to or alter it for the purpose of making it correspond with the judgment or order as pronounced.</w:t>
      </w:r>
    </w:p>
    <w:p>
      <w:pPr>
        <w:pStyle w:val="Footnotesection"/>
        <w:keepLines w:val="0"/>
      </w:pPr>
      <w:r>
        <w:tab/>
        <w:t xml:space="preserve">[Rule 15 amended: Gazette 14 Dec 1979 p. 3870; 27 Feb 2018 p. 569.] </w:t>
      </w:r>
    </w:p>
    <w:p>
      <w:pPr>
        <w:pStyle w:val="Heading5"/>
        <w:rPr>
          <w:snapToGrid w:val="0"/>
        </w:rPr>
      </w:pPr>
      <w:bookmarkStart w:id="762" w:name="_Toc163121167"/>
      <w:r>
        <w:rPr>
          <w:rStyle w:val="CharSectno"/>
        </w:rPr>
        <w:t>16</w:t>
      </w:r>
      <w:r>
        <w:rPr>
          <w:snapToGrid w:val="0"/>
        </w:rPr>
        <w:t>.</w:t>
      </w:r>
      <w:r>
        <w:rPr>
          <w:snapToGrid w:val="0"/>
        </w:rPr>
        <w:tab/>
        <w:t>Consent orders</w:t>
      </w:r>
      <w:bookmarkEnd w:id="762"/>
    </w:p>
    <w:p>
      <w:pPr>
        <w:pStyle w:val="Subsection"/>
      </w:pPr>
      <w:r>
        <w:tab/>
        <w:t>(1)</w:t>
      </w:r>
      <w:r>
        <w:tab/>
        <w:t>The parties to proceedings or their legal practitioners may file a written consent to the making of an order in those proceedings.</w:t>
      </w:r>
    </w:p>
    <w:p>
      <w:pPr>
        <w:pStyle w:val="Subsection"/>
        <w:rPr>
          <w:snapToGrid w:val="0"/>
        </w:rPr>
      </w:pPr>
      <w:r>
        <w:rPr>
          <w:snapToGrid w:val="0"/>
        </w:rPr>
        <w:tab/>
        <w:t>(2)</w:t>
      </w:r>
      <w:r>
        <w:rPr>
          <w:snapToGrid w:val="0"/>
        </w:rPr>
        <w:tab/>
        <w:t xml:space="preserve">Upon the written consent being filed, the </w:t>
      </w:r>
      <w:r>
        <w:t>registrar, a master or a judge may</w:t>
      </w:r>
      <w:r>
        <w:rPr>
          <w:snapToGrid w:val="0"/>
        </w:rPr>
        <w:t xml:space="preserve"> settle, sign and seal the order without any other application being made in any case in </w:t>
      </w:r>
      <w:r>
        <w:t xml:space="preserve">which, in the opinion of the registrar, master or judge, </w:t>
      </w:r>
      <w:r>
        <w:rPr>
          <w:snapToGrid w:val="0"/>
        </w:rPr>
        <w:t>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keepNext/>
        <w:rPr>
          <w:snapToGrid w:val="0"/>
        </w:rPr>
      </w:pPr>
      <w:r>
        <w:rPr>
          <w:snapToGrid w:val="0"/>
        </w:rPr>
        <w:lastRenderedPageBreak/>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Gazette 3 Oct 1975 p. 3769; amended: Gazette 26 Mar 1993 p. 1845; 28 Oct 1996 p. 5699; 28 Jul 2010 p. 3466-7; 16 Aug 2017 p. 4416; 27 Feb 2018 p. 569; SL 2022/74 r. 15.] </w:t>
      </w:r>
    </w:p>
    <w:p>
      <w:pPr>
        <w:pStyle w:val="Ednotepart"/>
      </w:pPr>
      <w:r>
        <w:t>[Order 44 deleted: Gazette 21 Feb 2007 p. 551.]</w:t>
      </w:r>
    </w:p>
    <w:p>
      <w:pPr>
        <w:pStyle w:val="Heading2"/>
      </w:pPr>
      <w:bookmarkStart w:id="763" w:name="_Toc162940706"/>
      <w:bookmarkStart w:id="764" w:name="_Toc162953495"/>
      <w:bookmarkStart w:id="765" w:name="_Toc163121168"/>
      <w:r>
        <w:rPr>
          <w:rStyle w:val="CharPartNo"/>
        </w:rPr>
        <w:lastRenderedPageBreak/>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763"/>
      <w:bookmarkEnd w:id="764"/>
      <w:bookmarkEnd w:id="765"/>
    </w:p>
    <w:p>
      <w:pPr>
        <w:pStyle w:val="Footnoteheading"/>
      </w:pPr>
      <w:r>
        <w:tab/>
        <w:t>[Heading inserted: Gazette 22 Feb 2008 p. 637.]</w:t>
      </w:r>
    </w:p>
    <w:p>
      <w:pPr>
        <w:pStyle w:val="Heading5"/>
        <w:rPr>
          <w:snapToGrid w:val="0"/>
        </w:rPr>
      </w:pPr>
      <w:bookmarkStart w:id="766" w:name="_Toc163121169"/>
      <w:r>
        <w:rPr>
          <w:rStyle w:val="CharSectno"/>
        </w:rPr>
        <w:t>1</w:t>
      </w:r>
      <w:r>
        <w:rPr>
          <w:snapToGrid w:val="0"/>
        </w:rPr>
        <w:t>.</w:t>
      </w:r>
      <w:r>
        <w:rPr>
          <w:snapToGrid w:val="0"/>
        </w:rPr>
        <w:tab/>
        <w:t>Terms used</w:t>
      </w:r>
      <w:bookmarkEnd w:id="766"/>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t xml:space="preserve">the </w:t>
      </w:r>
      <w:r>
        <w:rPr>
          <w:rStyle w:val="CharDefText"/>
        </w:rPr>
        <w:t>Act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Gazette 26 Aug 1994 p. 4414.] </w:t>
      </w:r>
    </w:p>
    <w:p>
      <w:pPr>
        <w:pStyle w:val="Heading5"/>
        <w:rPr>
          <w:snapToGrid w:val="0"/>
        </w:rPr>
      </w:pPr>
      <w:bookmarkStart w:id="767" w:name="_Toc163121170"/>
      <w:r>
        <w:rPr>
          <w:rStyle w:val="CharSectno"/>
        </w:rPr>
        <w:t>2</w:t>
      </w:r>
      <w:r>
        <w:rPr>
          <w:snapToGrid w:val="0"/>
        </w:rPr>
        <w:t>.</w:t>
      </w:r>
      <w:r>
        <w:rPr>
          <w:snapToGrid w:val="0"/>
        </w:rPr>
        <w:tab/>
        <w:t>Application of this Order</w:t>
      </w:r>
      <w:bookmarkEnd w:id="767"/>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Gazette 26 Jan 1993 p. 824.] </w:t>
      </w:r>
    </w:p>
    <w:p>
      <w:pPr>
        <w:pStyle w:val="Heading5"/>
        <w:rPr>
          <w:snapToGrid w:val="0"/>
        </w:rPr>
      </w:pPr>
      <w:bookmarkStart w:id="768" w:name="_Toc163121171"/>
      <w:r>
        <w:rPr>
          <w:rStyle w:val="CharSectno"/>
        </w:rPr>
        <w:t>3</w:t>
      </w:r>
      <w:r>
        <w:rPr>
          <w:snapToGrid w:val="0"/>
        </w:rPr>
        <w:t>.</w:t>
      </w:r>
      <w:r>
        <w:rPr>
          <w:snapToGrid w:val="0"/>
        </w:rPr>
        <w:tab/>
        <w:t>Application for registration (Act s. 6)</w:t>
      </w:r>
      <w:bookmarkEnd w:id="768"/>
    </w:p>
    <w:p>
      <w:pPr>
        <w:pStyle w:val="Subsection"/>
        <w:rPr>
          <w:snapToGrid w:val="0"/>
        </w:rPr>
      </w:pPr>
      <w:r>
        <w:rPr>
          <w:snapToGrid w:val="0"/>
        </w:rPr>
        <w:tab/>
        <w:t>(1)</w:t>
      </w:r>
      <w:r>
        <w:rPr>
          <w:snapToGrid w:val="0"/>
        </w:rPr>
        <w:tab/>
        <w:t xml:space="preserve">An application under section 6 of the Act, to have a judgment to which Part 2 of the Act applies registered in the Supreme Court may be made on motion </w:t>
      </w:r>
      <w:r>
        <w:rPr>
          <w:i/>
          <w:snapToGrid w:val="0"/>
        </w:rPr>
        <w:t>ex parte</w:t>
      </w:r>
      <w:r>
        <w:rPr>
          <w:snapToGrid w:val="0"/>
        </w:rPr>
        <w:t xml:space="preserve"> to the Court.</w:t>
      </w:r>
    </w:p>
    <w:p>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r>
        <w:br/>
        <w:t>of                                           20                   ”.</w:t>
      </w:r>
    </w:p>
    <w:p>
      <w:pPr>
        <w:pStyle w:val="Subsection"/>
        <w:rPr>
          <w:snapToGrid w:val="0"/>
        </w:rPr>
      </w:pPr>
      <w:r>
        <w:rPr>
          <w:snapToGrid w:val="0"/>
        </w:rPr>
        <w:tab/>
        <w:t>(3)</w:t>
      </w:r>
      <w:r>
        <w:rPr>
          <w:snapToGrid w:val="0"/>
        </w:rPr>
        <w:tab/>
        <w:t xml:space="preserve">Where the judgment is in respect of different matters, and some, but not all of the provisions of the judgment are such that if those provisions had been contained in separate judgments, those judgments could properly have been registered, the </w:t>
      </w:r>
      <w:r>
        <w:rPr>
          <w:snapToGrid w:val="0"/>
        </w:rPr>
        <w:lastRenderedPageBreak/>
        <w:t>motion paper shall state the provisions in respect of which it is sought to register the judgment.</w:t>
      </w:r>
    </w:p>
    <w:p>
      <w:pPr>
        <w:pStyle w:val="Footnotesection"/>
      </w:pPr>
      <w:r>
        <w:tab/>
        <w:t xml:space="preserve">[Rule 3 inserted: Gazette 26 Jan 1993 p. 824.] </w:t>
      </w:r>
    </w:p>
    <w:p>
      <w:pPr>
        <w:pStyle w:val="Heading5"/>
        <w:rPr>
          <w:snapToGrid w:val="0"/>
        </w:rPr>
      </w:pPr>
      <w:bookmarkStart w:id="769" w:name="_Toc163121172"/>
      <w:r>
        <w:rPr>
          <w:rStyle w:val="CharSectno"/>
        </w:rPr>
        <w:t>4</w:t>
      </w:r>
      <w:r>
        <w:rPr>
          <w:snapToGrid w:val="0"/>
        </w:rPr>
        <w:t>.</w:t>
      </w:r>
      <w:r>
        <w:rPr>
          <w:snapToGrid w:val="0"/>
        </w:rPr>
        <w:tab/>
        <w:t>Evidence in support of application</w:t>
      </w:r>
      <w:bookmarkEnd w:id="769"/>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 and</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 and</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 and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lastRenderedPageBreak/>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Australia, the affidavit shall also state the amount which that sum represents in the currency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Gazette 26 Jan 1993 p. 825; amended: Gazette 12 Jun 2012 p. 2453.] </w:t>
      </w:r>
    </w:p>
    <w:p>
      <w:pPr>
        <w:pStyle w:val="Heading5"/>
        <w:rPr>
          <w:snapToGrid w:val="0"/>
        </w:rPr>
      </w:pPr>
      <w:bookmarkStart w:id="770" w:name="_Toc163121173"/>
      <w:r>
        <w:rPr>
          <w:rStyle w:val="CharSectno"/>
        </w:rPr>
        <w:t>5</w:t>
      </w:r>
      <w:r>
        <w:rPr>
          <w:snapToGrid w:val="0"/>
        </w:rPr>
        <w:t>.</w:t>
      </w:r>
      <w:r>
        <w:rPr>
          <w:snapToGrid w:val="0"/>
        </w:rPr>
        <w:tab/>
        <w:t>Security for costs</w:t>
      </w:r>
      <w:bookmarkEnd w:id="770"/>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Gazette 26 Jan 1993 p. 825.] </w:t>
      </w:r>
    </w:p>
    <w:p>
      <w:pPr>
        <w:pStyle w:val="Heading5"/>
        <w:rPr>
          <w:snapToGrid w:val="0"/>
        </w:rPr>
      </w:pPr>
      <w:bookmarkStart w:id="771" w:name="_Toc163121174"/>
      <w:r>
        <w:rPr>
          <w:rStyle w:val="CharSectno"/>
        </w:rPr>
        <w:t>6</w:t>
      </w:r>
      <w:r>
        <w:rPr>
          <w:snapToGrid w:val="0"/>
        </w:rPr>
        <w:t>.</w:t>
      </w:r>
      <w:r>
        <w:rPr>
          <w:snapToGrid w:val="0"/>
        </w:rPr>
        <w:tab/>
        <w:t>Order for registration</w:t>
      </w:r>
      <w:bookmarkEnd w:id="771"/>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lastRenderedPageBreak/>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Gazette 26 Jan 1993 p. 825.] </w:t>
      </w:r>
    </w:p>
    <w:p>
      <w:pPr>
        <w:pStyle w:val="Heading5"/>
      </w:pPr>
      <w:bookmarkStart w:id="772" w:name="_Toc163121175"/>
      <w:r>
        <w:rPr>
          <w:rStyle w:val="CharSectno"/>
        </w:rPr>
        <w:t>7</w:t>
      </w:r>
      <w:r>
        <w:t>.</w:t>
      </w:r>
      <w:r>
        <w:tab/>
        <w:t>Record to be kept of registered judgments</w:t>
      </w:r>
      <w:bookmarkEnd w:id="772"/>
    </w:p>
    <w:p>
      <w:pPr>
        <w:pStyle w:val="Subsection"/>
      </w:pPr>
      <w:r>
        <w:tab/>
      </w:r>
      <w:r>
        <w:tab/>
        <w:t>A record must be kept at the Supreme Court, in the manner directed by the Chief Justice from time to time, of the judgments ordered to be registered under the Act.</w:t>
      </w:r>
    </w:p>
    <w:p>
      <w:pPr>
        <w:pStyle w:val="Footnotesection"/>
      </w:pPr>
      <w:r>
        <w:tab/>
        <w:t xml:space="preserve">[Rule 7 inserted: Gazette 27 Feb 2018 p. 569.] </w:t>
      </w:r>
    </w:p>
    <w:p>
      <w:pPr>
        <w:pStyle w:val="Heading5"/>
        <w:spacing w:before="180"/>
        <w:rPr>
          <w:snapToGrid w:val="0"/>
        </w:rPr>
      </w:pPr>
      <w:bookmarkStart w:id="773" w:name="_Toc163121176"/>
      <w:r>
        <w:rPr>
          <w:rStyle w:val="CharSectno"/>
        </w:rPr>
        <w:t>8</w:t>
      </w:r>
      <w:r>
        <w:rPr>
          <w:snapToGrid w:val="0"/>
        </w:rPr>
        <w:t>.</w:t>
      </w:r>
      <w:r>
        <w:rPr>
          <w:snapToGrid w:val="0"/>
        </w:rPr>
        <w:tab/>
        <w:t>Notice of registration</w:t>
      </w:r>
      <w:bookmarkEnd w:id="773"/>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 and</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 and</w:t>
      </w:r>
    </w:p>
    <w:p>
      <w:pPr>
        <w:pStyle w:val="Indenta"/>
        <w:rPr>
          <w:snapToGrid w:val="0"/>
        </w:rPr>
      </w:pPr>
      <w:r>
        <w:rPr>
          <w:snapToGrid w:val="0"/>
        </w:rPr>
        <w:tab/>
        <w:t>(c)</w:t>
      </w:r>
      <w:r>
        <w:rPr>
          <w:snapToGrid w:val="0"/>
        </w:rPr>
        <w:tab/>
        <w:t>the right of the judgment debtor to apply on the grounds provided in the Act to have the registration set aside; and</w:t>
      </w:r>
    </w:p>
    <w:p>
      <w:pPr>
        <w:pStyle w:val="Indenta"/>
        <w:rPr>
          <w:snapToGrid w:val="0"/>
        </w:rPr>
      </w:pPr>
      <w:r>
        <w:rPr>
          <w:snapToGrid w:val="0"/>
        </w:rPr>
        <w:tab/>
        <w:t>(d)</w:t>
      </w:r>
      <w:r>
        <w:rPr>
          <w:snapToGrid w:val="0"/>
        </w:rPr>
        <w:tab/>
        <w:t xml:space="preserve">in accordance with the term of the order giving leave to register, the period of time from the date of service of </w:t>
      </w:r>
      <w:r>
        <w:rPr>
          <w:snapToGrid w:val="0"/>
        </w:rPr>
        <w:lastRenderedPageBreak/>
        <w:t>the notice within which an application to set aside the registration, may be made; and</w:t>
      </w:r>
    </w:p>
    <w:p>
      <w:pPr>
        <w:pStyle w:val="Indenta"/>
        <w:keepNext/>
        <w:rPr>
          <w:snapToGrid w:val="0"/>
        </w:rPr>
      </w:pPr>
      <w:r>
        <w:rPr>
          <w:snapToGrid w:val="0"/>
        </w:rPr>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Gazette 26 Jan 1993 p. 826; amended: Gazette 1 Mar 1994 p. 787.] </w:t>
      </w:r>
    </w:p>
    <w:p>
      <w:pPr>
        <w:pStyle w:val="Heading5"/>
        <w:rPr>
          <w:snapToGrid w:val="0"/>
        </w:rPr>
      </w:pPr>
      <w:bookmarkStart w:id="774" w:name="_Toc163121177"/>
      <w:r>
        <w:rPr>
          <w:rStyle w:val="CharSectno"/>
        </w:rPr>
        <w:t>9</w:t>
      </w:r>
      <w:r>
        <w:rPr>
          <w:snapToGrid w:val="0"/>
        </w:rPr>
        <w:t>.</w:t>
      </w:r>
      <w:r>
        <w:rPr>
          <w:snapToGrid w:val="0"/>
        </w:rPr>
        <w:tab/>
        <w:t>Indorsement of service</w:t>
      </w:r>
      <w:bookmarkEnd w:id="774"/>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 xml:space="preserve">Every affidavit of service of a notice referred to in </w:t>
      </w:r>
      <w:r>
        <w:t>subrule</w:t>
      </w:r>
      <w:r>
        <w:rPr>
          <w:snapToGrid w:val="0"/>
        </w:rPr>
        <w:t xml:space="preserve"> (1) shall state the date on which the indorsement was made.</w:t>
      </w:r>
    </w:p>
    <w:p>
      <w:pPr>
        <w:pStyle w:val="Footnotesection"/>
      </w:pPr>
      <w:r>
        <w:tab/>
        <w:t xml:space="preserve">[Rule 9 inserted: Gazette 26 Jan 1993 p. 826.] </w:t>
      </w:r>
    </w:p>
    <w:p>
      <w:pPr>
        <w:pStyle w:val="Heading5"/>
        <w:rPr>
          <w:snapToGrid w:val="0"/>
        </w:rPr>
      </w:pPr>
      <w:bookmarkStart w:id="775" w:name="_Toc163121178"/>
      <w:r>
        <w:rPr>
          <w:rStyle w:val="CharSectno"/>
        </w:rPr>
        <w:t>10</w:t>
      </w:r>
      <w:r>
        <w:rPr>
          <w:snapToGrid w:val="0"/>
        </w:rPr>
        <w:t>.</w:t>
      </w:r>
      <w:r>
        <w:rPr>
          <w:snapToGrid w:val="0"/>
        </w:rPr>
        <w:tab/>
        <w:t>Application to set aside registration</w:t>
      </w:r>
      <w:bookmarkEnd w:id="775"/>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Gazette 26 Jan 1993 p. 826.] </w:t>
      </w:r>
    </w:p>
    <w:p>
      <w:pPr>
        <w:pStyle w:val="Heading5"/>
        <w:rPr>
          <w:snapToGrid w:val="0"/>
        </w:rPr>
      </w:pPr>
      <w:bookmarkStart w:id="776" w:name="_Toc163121179"/>
      <w:r>
        <w:rPr>
          <w:rStyle w:val="CharSectno"/>
        </w:rPr>
        <w:lastRenderedPageBreak/>
        <w:t>11</w:t>
      </w:r>
      <w:r>
        <w:rPr>
          <w:snapToGrid w:val="0"/>
        </w:rPr>
        <w:t>.</w:t>
      </w:r>
      <w:r>
        <w:rPr>
          <w:snapToGrid w:val="0"/>
        </w:rPr>
        <w:tab/>
        <w:t>Enforcing registered judgment</w:t>
      </w:r>
      <w:bookmarkEnd w:id="776"/>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Gazette 26 Jan 1993 p. 827.] </w:t>
      </w:r>
    </w:p>
    <w:p>
      <w:pPr>
        <w:pStyle w:val="Heading5"/>
        <w:rPr>
          <w:snapToGrid w:val="0"/>
        </w:rPr>
      </w:pPr>
      <w:bookmarkStart w:id="777" w:name="_Toc163121180"/>
      <w:r>
        <w:rPr>
          <w:rStyle w:val="CharSectno"/>
        </w:rPr>
        <w:t>12</w:t>
      </w:r>
      <w:r>
        <w:rPr>
          <w:snapToGrid w:val="0"/>
        </w:rPr>
        <w:t>.</w:t>
      </w:r>
      <w:r>
        <w:rPr>
          <w:snapToGrid w:val="0"/>
        </w:rPr>
        <w:tab/>
        <w:t>Determination of certain questions</w:t>
      </w:r>
      <w:bookmarkEnd w:id="777"/>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Gazette 26 Jan 1993 p. 827.] </w:t>
      </w:r>
    </w:p>
    <w:p>
      <w:pPr>
        <w:pStyle w:val="Heading5"/>
        <w:rPr>
          <w:snapToGrid w:val="0"/>
        </w:rPr>
      </w:pPr>
      <w:bookmarkStart w:id="778" w:name="_Toc163121181"/>
      <w:r>
        <w:rPr>
          <w:rStyle w:val="CharSectno"/>
        </w:rPr>
        <w:t>13</w:t>
      </w:r>
      <w:r>
        <w:rPr>
          <w:snapToGrid w:val="0"/>
        </w:rPr>
        <w:t>.</w:t>
      </w:r>
      <w:r>
        <w:rPr>
          <w:snapToGrid w:val="0"/>
        </w:rPr>
        <w:tab/>
        <w:t>Certified copy of judgment obtained in this State</w:t>
      </w:r>
      <w:bookmarkEnd w:id="778"/>
      <w:r>
        <w:rPr>
          <w:snapToGrid w:val="0"/>
        </w:rPr>
        <w:t xml:space="preserve"> </w:t>
      </w:r>
    </w:p>
    <w:p>
      <w:pPr>
        <w:pStyle w:val="Subsection"/>
        <w:rPr>
          <w:snapToGrid w:val="0"/>
        </w:rPr>
      </w:pPr>
      <w:r>
        <w:rPr>
          <w:snapToGrid w:val="0"/>
        </w:rPr>
        <w:tab/>
        <w:t>(1)</w:t>
      </w:r>
      <w:r>
        <w:rPr>
          <w:snapToGrid w:val="0"/>
        </w:rPr>
        <w:tab/>
        <w:t xml:space="preserve">An application under section 15 of the Act for a certified copy of a judgment obtained in the Supreme Court shall be made </w:t>
      </w:r>
      <w:r>
        <w:rPr>
          <w:i/>
          <w:snapToGrid w:val="0"/>
        </w:rPr>
        <w:t>ex parte</w:t>
      </w:r>
      <w:r>
        <w:rPr>
          <w:snapToGrid w:val="0"/>
        </w:rPr>
        <w:t xml:space="preserve"> to the Principal Registrar on an affidavit made by the judgment creditor or his solicitor.</w:t>
      </w:r>
    </w:p>
    <w:p>
      <w:pPr>
        <w:pStyle w:val="Subsection"/>
        <w:keepNext/>
        <w:keepLines/>
        <w:rPr>
          <w:snapToGrid w:val="0"/>
        </w:rPr>
      </w:pPr>
      <w:r>
        <w:rPr>
          <w:snapToGrid w:val="0"/>
        </w:rPr>
        <w:lastRenderedPageBreak/>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 and</w:t>
      </w:r>
    </w:p>
    <w:p>
      <w:pPr>
        <w:pStyle w:val="Indenta"/>
        <w:rPr>
          <w:snapToGrid w:val="0"/>
        </w:rPr>
      </w:pPr>
      <w:r>
        <w:rPr>
          <w:snapToGrid w:val="0"/>
        </w:rPr>
        <w:tab/>
        <w:t>(b)</w:t>
      </w:r>
      <w:r>
        <w:rPr>
          <w:snapToGrid w:val="0"/>
        </w:rPr>
        <w:tab/>
        <w:t>contain a statement of the grounds on which the judgment was based; and</w:t>
      </w:r>
    </w:p>
    <w:p>
      <w:pPr>
        <w:pStyle w:val="Indenta"/>
        <w:rPr>
          <w:snapToGrid w:val="0"/>
        </w:rPr>
      </w:pPr>
      <w:r>
        <w:rPr>
          <w:snapToGrid w:val="0"/>
        </w:rPr>
        <w:tab/>
        <w:t>(c)</w:t>
      </w:r>
      <w:r>
        <w:rPr>
          <w:snapToGrid w:val="0"/>
        </w:rPr>
        <w:tab/>
        <w:t>state whether the defendant did or did not object to the jurisdiction, and, if so, the grounds of such objection; and</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Principal Registrar of the Supreme Court of Western Australia.</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 xml:space="preserve">particulars of the proceedings in which the judgment was obtained having annexed to it a copy of the writ of </w:t>
      </w:r>
      <w:r>
        <w:rPr>
          <w:snapToGrid w:val="0"/>
        </w:rPr>
        <w:lastRenderedPageBreak/>
        <w:t>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Gazette 26 Jan 1993 p. 827</w:t>
      </w:r>
      <w:r>
        <w:noBreakHyphen/>
        <w:t xml:space="preserve">8.] </w:t>
      </w:r>
    </w:p>
    <w:p>
      <w:pPr>
        <w:pStyle w:val="Heading2"/>
        <w:rPr>
          <w:b w:val="0"/>
        </w:rPr>
      </w:pPr>
      <w:bookmarkStart w:id="779" w:name="_Toc162940720"/>
      <w:bookmarkStart w:id="780" w:name="_Toc162953509"/>
      <w:bookmarkStart w:id="781" w:name="_Toc163121182"/>
      <w:r>
        <w:rPr>
          <w:rStyle w:val="CharPartNo"/>
        </w:rPr>
        <w:lastRenderedPageBreak/>
        <w:t>Order 45</w:t>
      </w:r>
      <w:r>
        <w:rPr>
          <w:rStyle w:val="CharDivNo"/>
        </w:rPr>
        <w:t> </w:t>
      </w:r>
      <w:r>
        <w:t>—</w:t>
      </w:r>
      <w:r>
        <w:rPr>
          <w:rStyle w:val="CharDivText"/>
        </w:rPr>
        <w:t> </w:t>
      </w:r>
      <w:r>
        <w:rPr>
          <w:rStyle w:val="CharPartText"/>
        </w:rPr>
        <w:t>Accounts and inquiries</w:t>
      </w:r>
      <w:bookmarkEnd w:id="779"/>
      <w:bookmarkEnd w:id="780"/>
      <w:bookmarkEnd w:id="781"/>
    </w:p>
    <w:p>
      <w:pPr>
        <w:pStyle w:val="Heading5"/>
        <w:rPr>
          <w:snapToGrid w:val="0"/>
        </w:rPr>
      </w:pPr>
      <w:bookmarkStart w:id="782" w:name="_Toc163121183"/>
      <w:r>
        <w:rPr>
          <w:rStyle w:val="CharSectno"/>
        </w:rPr>
        <w:t>1</w:t>
      </w:r>
      <w:r>
        <w:rPr>
          <w:snapToGrid w:val="0"/>
        </w:rPr>
        <w:t>.</w:t>
      </w:r>
      <w:r>
        <w:rPr>
          <w:snapToGrid w:val="0"/>
        </w:rPr>
        <w:tab/>
        <w:t>Summary order for account to be taken</w:t>
      </w:r>
      <w:bookmarkEnd w:id="782"/>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783" w:name="_Toc163121184"/>
      <w:r>
        <w:rPr>
          <w:rStyle w:val="CharSectno"/>
        </w:rPr>
        <w:t>2</w:t>
      </w:r>
      <w:r>
        <w:rPr>
          <w:snapToGrid w:val="0"/>
        </w:rPr>
        <w:t>.</w:t>
      </w:r>
      <w:r>
        <w:rPr>
          <w:snapToGrid w:val="0"/>
        </w:rPr>
        <w:tab/>
        <w:t>Direction for accounts etc. may be made at any stage</w:t>
      </w:r>
      <w:bookmarkEnd w:id="783"/>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784" w:name="_Toc163121185"/>
      <w:r>
        <w:rPr>
          <w:rStyle w:val="CharSectno"/>
        </w:rPr>
        <w:t>3</w:t>
      </w:r>
      <w:r>
        <w:rPr>
          <w:snapToGrid w:val="0"/>
        </w:rPr>
        <w:t>.</w:t>
      </w:r>
      <w:r>
        <w:rPr>
          <w:snapToGrid w:val="0"/>
        </w:rPr>
        <w:tab/>
        <w:t>Directions to be numbered</w:t>
      </w:r>
      <w:bookmarkEnd w:id="784"/>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785" w:name="_Toc163121186"/>
      <w:r>
        <w:rPr>
          <w:rStyle w:val="CharSectno"/>
        </w:rPr>
        <w:t>4</w:t>
      </w:r>
      <w:r>
        <w:rPr>
          <w:snapToGrid w:val="0"/>
        </w:rPr>
        <w:t>.</w:t>
      </w:r>
      <w:r>
        <w:rPr>
          <w:snapToGrid w:val="0"/>
        </w:rPr>
        <w:tab/>
        <w:t>Directions as to mode of taking account</w:t>
      </w:r>
      <w:bookmarkEnd w:id="785"/>
    </w:p>
    <w:p>
      <w:pPr>
        <w:pStyle w:val="Subsection"/>
        <w:rPr>
          <w:snapToGrid w:val="0"/>
        </w:rPr>
      </w:pPr>
      <w:r>
        <w:rPr>
          <w:snapToGrid w:val="0"/>
        </w:rPr>
        <w:tab/>
      </w:r>
      <w:r>
        <w:rPr>
          <w:snapToGrid w:val="0"/>
        </w:rPr>
        <w:tab/>
        <w:t xml:space="preserve">The Court may, either by the judgment or order directing an account to be taken or by any subsequent order, give special directions with regard to the mode in which the account is to be taken or vouched, and in particular may direct that in taking the </w:t>
      </w:r>
      <w:r>
        <w:rPr>
          <w:snapToGrid w:val="0"/>
        </w:rPr>
        <w:lastRenderedPageBreak/>
        <w:t>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786" w:name="_Toc163121187"/>
      <w:r>
        <w:rPr>
          <w:rStyle w:val="CharSectno"/>
        </w:rPr>
        <w:t>5</w:t>
      </w:r>
      <w:r>
        <w:rPr>
          <w:snapToGrid w:val="0"/>
        </w:rPr>
        <w:t>.</w:t>
      </w:r>
      <w:r>
        <w:rPr>
          <w:snapToGrid w:val="0"/>
        </w:rPr>
        <w:tab/>
        <w:t>Account to be verified</w:t>
      </w:r>
      <w:bookmarkEnd w:id="786"/>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 xml:space="preserve">Unless the order for the taking of the account otherwise directs, the accounting party must </w:t>
      </w:r>
      <w:r>
        <w:t xml:space="preserve">file the account, </w:t>
      </w:r>
      <w:r>
        <w:rPr>
          <w:snapToGrid w:val="0"/>
        </w:rPr>
        <w:t xml:space="preserve">and must notify the other parties forthwith that he has so </w:t>
      </w:r>
      <w:r>
        <w:t>filed</w:t>
      </w:r>
      <w:r>
        <w:rPr>
          <w:snapToGrid w:val="0"/>
        </w:rPr>
        <w:t xml:space="preserve"> the account, and of the filing of the affidavit verifying the account, and any supporting affidavit.</w:t>
      </w:r>
    </w:p>
    <w:p>
      <w:pPr>
        <w:pStyle w:val="Footnotesection"/>
      </w:pPr>
      <w:r>
        <w:tab/>
        <w:t xml:space="preserve">[Rule 5 amended: Gazette 27 Feb 2018 p. 569-70.] </w:t>
      </w:r>
    </w:p>
    <w:p>
      <w:pPr>
        <w:pStyle w:val="Heading5"/>
        <w:rPr>
          <w:snapToGrid w:val="0"/>
        </w:rPr>
      </w:pPr>
      <w:bookmarkStart w:id="787" w:name="_Toc163121188"/>
      <w:r>
        <w:rPr>
          <w:rStyle w:val="CharSectno"/>
        </w:rPr>
        <w:t>6</w:t>
      </w:r>
      <w:r>
        <w:rPr>
          <w:snapToGrid w:val="0"/>
        </w:rPr>
        <w:t>.</w:t>
      </w:r>
      <w:r>
        <w:rPr>
          <w:snapToGrid w:val="0"/>
        </w:rPr>
        <w:tab/>
        <w:t>Vouchers and contested etc. items, directions as to</w:t>
      </w:r>
      <w:bookmarkEnd w:id="787"/>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788" w:name="_Toc163121189"/>
      <w:r>
        <w:rPr>
          <w:rStyle w:val="CharSectno"/>
        </w:rPr>
        <w:t>7</w:t>
      </w:r>
      <w:r>
        <w:rPr>
          <w:snapToGrid w:val="0"/>
        </w:rPr>
        <w:t>.</w:t>
      </w:r>
      <w:r>
        <w:rPr>
          <w:snapToGrid w:val="0"/>
        </w:rPr>
        <w:tab/>
        <w:t>Surcharge or error, notice of</w:t>
      </w:r>
      <w:bookmarkEnd w:id="788"/>
    </w:p>
    <w:p>
      <w:pPr>
        <w:pStyle w:val="Subsection"/>
        <w:rPr>
          <w:snapToGrid w:val="0"/>
        </w:rPr>
      </w:pPr>
      <w:r>
        <w:rPr>
          <w:snapToGrid w:val="0"/>
        </w:rPr>
        <w:tab/>
      </w:r>
      <w:r>
        <w:rPr>
          <w:snapToGrid w:val="0"/>
        </w:rPr>
        <w:tab/>
        <w:t xml:space="preserve">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w:t>
      </w:r>
      <w:r>
        <w:rPr>
          <w:snapToGrid w:val="0"/>
        </w:rPr>
        <w:lastRenderedPageBreak/>
        <w:t>sought to be charged with brief particulars thereof, or as the case may be, the grounds for alleging that the item is erroneous.</w:t>
      </w:r>
    </w:p>
    <w:p>
      <w:pPr>
        <w:pStyle w:val="Heading5"/>
        <w:rPr>
          <w:snapToGrid w:val="0"/>
        </w:rPr>
      </w:pPr>
      <w:bookmarkStart w:id="789" w:name="_Toc163121190"/>
      <w:r>
        <w:rPr>
          <w:rStyle w:val="CharSectno"/>
        </w:rPr>
        <w:t>8</w:t>
      </w:r>
      <w:r>
        <w:rPr>
          <w:snapToGrid w:val="0"/>
        </w:rPr>
        <w:t>.</w:t>
      </w:r>
      <w:r>
        <w:rPr>
          <w:snapToGrid w:val="0"/>
        </w:rPr>
        <w:tab/>
        <w:t>Allowances that can be made without direction</w:t>
      </w:r>
      <w:bookmarkEnd w:id="789"/>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790" w:name="_Toc163121191"/>
      <w:r>
        <w:rPr>
          <w:rStyle w:val="CharSectno"/>
        </w:rPr>
        <w:t>9</w:t>
      </w:r>
      <w:r>
        <w:rPr>
          <w:snapToGrid w:val="0"/>
        </w:rPr>
        <w:t>.</w:t>
      </w:r>
      <w:r>
        <w:rPr>
          <w:snapToGrid w:val="0"/>
        </w:rPr>
        <w:tab/>
        <w:t>Expediting proceedings</w:t>
      </w:r>
      <w:bookmarkEnd w:id="790"/>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Gazette 2 Jul 1982 p. 2316.] </w:t>
      </w:r>
    </w:p>
    <w:p>
      <w:pPr>
        <w:pStyle w:val="Heading5"/>
        <w:rPr>
          <w:snapToGrid w:val="0"/>
        </w:rPr>
      </w:pPr>
      <w:bookmarkStart w:id="791" w:name="_Toc163121192"/>
      <w:r>
        <w:rPr>
          <w:rStyle w:val="CharSectno"/>
        </w:rPr>
        <w:t>10</w:t>
      </w:r>
      <w:r>
        <w:rPr>
          <w:snapToGrid w:val="0"/>
        </w:rPr>
        <w:t>.</w:t>
      </w:r>
      <w:r>
        <w:rPr>
          <w:snapToGrid w:val="0"/>
        </w:rPr>
        <w:tab/>
        <w:t>Distributing fund before all persons entitled are ascertained</w:t>
      </w:r>
      <w:bookmarkEnd w:id="791"/>
    </w:p>
    <w:p>
      <w:pPr>
        <w:pStyle w:val="Subsection"/>
        <w:spacing w:before="100"/>
        <w:rPr>
          <w:snapToGrid w:val="0"/>
        </w:rPr>
      </w:pPr>
      <w:r>
        <w:rPr>
          <w:snapToGrid w:val="0"/>
        </w:rPr>
        <w:tab/>
      </w:r>
      <w:r>
        <w:rPr>
          <w:snapToGrid w:val="0"/>
        </w:rPr>
        <w:tab/>
        <w:t xml:space="preserve">Where some of the persons entitled to share in property are ascertained and there is, or is likely to be, difficulty in ascertaining the remaining persons entitled, the Court may authorise immediate payment of the shares of the persons </w:t>
      </w:r>
      <w:r>
        <w:rPr>
          <w:snapToGrid w:val="0"/>
        </w:rPr>
        <w:lastRenderedPageBreak/>
        <w:t>ascertained without reserving any part of their shares to answer the costs subsequently to be incurred in ascertaining the remaining persons entitled.</w:t>
      </w:r>
    </w:p>
    <w:p>
      <w:pPr>
        <w:pStyle w:val="Heading5"/>
      </w:pPr>
      <w:bookmarkStart w:id="792" w:name="_Toc163121193"/>
      <w:r>
        <w:rPr>
          <w:rStyle w:val="CharSectno"/>
        </w:rPr>
        <w:t>11</w:t>
      </w:r>
      <w:r>
        <w:t>.</w:t>
      </w:r>
      <w:r>
        <w:tab/>
        <w:t>Master etc. may be ordered to take accounts or make inquiries</w:t>
      </w:r>
      <w:bookmarkEnd w:id="792"/>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Gazette 21 Feb 2007 p. 551</w:t>
      </w:r>
      <w:r>
        <w:noBreakHyphen/>
        <w:t>2.]</w:t>
      </w:r>
    </w:p>
    <w:p>
      <w:pPr>
        <w:pStyle w:val="Heading5"/>
      </w:pPr>
      <w:bookmarkStart w:id="793" w:name="_Toc163121194"/>
      <w:r>
        <w:rPr>
          <w:rStyle w:val="CharSectno"/>
        </w:rPr>
        <w:t>12</w:t>
      </w:r>
      <w:r>
        <w:t>.</w:t>
      </w:r>
      <w:r>
        <w:tab/>
        <w:t>Right to adjournment from registrar etc.</w:t>
      </w:r>
      <w:bookmarkEnd w:id="793"/>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Gazette 21 Feb 2007 p. 552.]</w:t>
      </w:r>
    </w:p>
    <w:p>
      <w:pPr>
        <w:pStyle w:val="Heading2"/>
      </w:pPr>
      <w:bookmarkStart w:id="794" w:name="_Toc162940733"/>
      <w:bookmarkStart w:id="795" w:name="_Toc162953522"/>
      <w:bookmarkStart w:id="796" w:name="_Toc163121195"/>
      <w:r>
        <w:rPr>
          <w:rStyle w:val="CharPartNo"/>
        </w:rPr>
        <w:lastRenderedPageBreak/>
        <w:t>Order 46</w:t>
      </w:r>
      <w:r>
        <w:rPr>
          <w:b w:val="0"/>
        </w:rPr>
        <w:t> </w:t>
      </w:r>
      <w:r>
        <w:t>—</w:t>
      </w:r>
      <w:r>
        <w:rPr>
          <w:b w:val="0"/>
        </w:rPr>
        <w:t> </w:t>
      </w:r>
      <w:r>
        <w:rPr>
          <w:rStyle w:val="CharPartText"/>
          <w:i/>
          <w:iCs/>
        </w:rPr>
        <w:t>Civil Judgments Enforcement Act 2004</w:t>
      </w:r>
      <w:r>
        <w:rPr>
          <w:rStyle w:val="CharPartText"/>
        </w:rPr>
        <w:t xml:space="preserve"> rules</w:t>
      </w:r>
      <w:bookmarkEnd w:id="794"/>
      <w:bookmarkEnd w:id="795"/>
      <w:bookmarkEnd w:id="796"/>
    </w:p>
    <w:p>
      <w:pPr>
        <w:pStyle w:val="Footnoteheading"/>
      </w:pPr>
      <w:r>
        <w:tab/>
        <w:t>[Heading inserted: Gazette 21 Feb 2007 p. 552.]</w:t>
      </w:r>
    </w:p>
    <w:p>
      <w:pPr>
        <w:pStyle w:val="Heading5"/>
      </w:pPr>
      <w:bookmarkStart w:id="797" w:name="_Toc163121196"/>
      <w:r>
        <w:rPr>
          <w:rStyle w:val="CharSectno"/>
        </w:rPr>
        <w:t>1</w:t>
      </w:r>
      <w:r>
        <w:t>.</w:t>
      </w:r>
      <w:r>
        <w:tab/>
        <w:t>Terms used</w:t>
      </w:r>
      <w:bookmarkEnd w:id="797"/>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r>
        <w:tab/>
        <w:t>[Rule 1 inserted: Gazette 21 Feb 2007 p. 552.]</w:t>
      </w:r>
    </w:p>
    <w:p>
      <w:pPr>
        <w:pStyle w:val="Heading5"/>
      </w:pPr>
      <w:bookmarkStart w:id="798" w:name="_Toc163121197"/>
      <w:r>
        <w:rPr>
          <w:rStyle w:val="CharSectno"/>
        </w:rPr>
        <w:t>2</w:t>
      </w:r>
      <w:r>
        <w:t>.</w:t>
      </w:r>
      <w:r>
        <w:tab/>
        <w:t>Applications that may be dealt with by registrar</w:t>
      </w:r>
      <w:bookmarkEnd w:id="798"/>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THeadingNAm"/>
      </w:pPr>
      <w: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NAm"/>
            </w:pPr>
            <w:r>
              <w:t>s. 15(1)</w:t>
            </w:r>
          </w:p>
        </w:tc>
        <w:tc>
          <w:tcPr>
            <w:tcW w:w="1984" w:type="dxa"/>
          </w:tcPr>
          <w:p>
            <w:pPr>
              <w:pStyle w:val="TableNAm"/>
            </w:pPr>
            <w:r>
              <w:t>s. 41(2)</w:t>
            </w:r>
          </w:p>
        </w:tc>
        <w:tc>
          <w:tcPr>
            <w:tcW w:w="1418" w:type="dxa"/>
          </w:tcPr>
          <w:p>
            <w:pPr>
              <w:pStyle w:val="TableNAm"/>
            </w:pPr>
            <w:r>
              <w:t>s. 59(1)</w:t>
            </w:r>
          </w:p>
        </w:tc>
      </w:tr>
      <w:tr>
        <w:tc>
          <w:tcPr>
            <w:tcW w:w="1843" w:type="dxa"/>
          </w:tcPr>
          <w:p>
            <w:pPr>
              <w:pStyle w:val="TableNAm"/>
            </w:pPr>
            <w:r>
              <w:t>s. 27</w:t>
            </w:r>
          </w:p>
        </w:tc>
        <w:tc>
          <w:tcPr>
            <w:tcW w:w="1984" w:type="dxa"/>
          </w:tcPr>
          <w:p>
            <w:pPr>
              <w:pStyle w:val="TableNAm"/>
            </w:pPr>
            <w:r>
              <w:t>s. 42(1)</w:t>
            </w:r>
          </w:p>
        </w:tc>
        <w:tc>
          <w:tcPr>
            <w:tcW w:w="1418" w:type="dxa"/>
          </w:tcPr>
          <w:p>
            <w:pPr>
              <w:pStyle w:val="TableNAm"/>
            </w:pPr>
            <w:r>
              <w:t>s. 95(1)</w:t>
            </w:r>
          </w:p>
        </w:tc>
      </w:tr>
      <w:tr>
        <w:tc>
          <w:tcPr>
            <w:tcW w:w="1843" w:type="dxa"/>
          </w:tcPr>
          <w:p>
            <w:pPr>
              <w:pStyle w:val="TableNAm"/>
            </w:pPr>
            <w:r>
              <w:t>s. 28</w:t>
            </w:r>
          </w:p>
        </w:tc>
        <w:tc>
          <w:tcPr>
            <w:tcW w:w="1984" w:type="dxa"/>
          </w:tcPr>
          <w:p>
            <w:pPr>
              <w:pStyle w:val="TableNAm"/>
            </w:pPr>
            <w:r>
              <w:t>s. 49(1)</w:t>
            </w:r>
          </w:p>
        </w:tc>
        <w:tc>
          <w:tcPr>
            <w:tcW w:w="1418" w:type="dxa"/>
          </w:tcPr>
          <w:p>
            <w:pPr>
              <w:pStyle w:val="TableNAm"/>
            </w:pPr>
            <w:r>
              <w:t>s. 101(1)</w:t>
            </w:r>
          </w:p>
        </w:tc>
      </w:tr>
      <w:tr>
        <w:tc>
          <w:tcPr>
            <w:tcW w:w="1843" w:type="dxa"/>
          </w:tcPr>
          <w:p>
            <w:pPr>
              <w:pStyle w:val="TableNAm"/>
            </w:pPr>
            <w:r>
              <w:t>s. 32</w:t>
            </w:r>
          </w:p>
        </w:tc>
        <w:tc>
          <w:tcPr>
            <w:tcW w:w="1984" w:type="dxa"/>
          </w:tcPr>
          <w:p>
            <w:pPr>
              <w:pStyle w:val="TableNAm"/>
            </w:pPr>
            <w:r>
              <w:t>s. 55(2)</w:t>
            </w:r>
          </w:p>
        </w:tc>
        <w:tc>
          <w:tcPr>
            <w:tcW w:w="1418" w:type="dxa"/>
          </w:tcPr>
          <w:p>
            <w:pPr>
              <w:pStyle w:val="TableNAm"/>
            </w:pPr>
            <w:r>
              <w:t>s. 102(2)</w:t>
            </w:r>
          </w:p>
        </w:tc>
      </w:tr>
      <w:tr>
        <w:tc>
          <w:tcPr>
            <w:tcW w:w="1843" w:type="dxa"/>
          </w:tcPr>
          <w:p>
            <w:pPr>
              <w:pStyle w:val="TableNAm"/>
            </w:pPr>
            <w:r>
              <w:t>s. 33</w:t>
            </w:r>
          </w:p>
        </w:tc>
        <w:tc>
          <w:tcPr>
            <w:tcW w:w="1984" w:type="dxa"/>
          </w:tcPr>
          <w:p>
            <w:pPr>
              <w:pStyle w:val="TableNAm"/>
            </w:pPr>
            <w:r>
              <w:t>s. 56(1)</w:t>
            </w:r>
          </w:p>
        </w:tc>
        <w:tc>
          <w:tcPr>
            <w:tcW w:w="1418" w:type="dxa"/>
          </w:tcPr>
          <w:p>
            <w:pPr>
              <w:pStyle w:val="TableNAm"/>
            </w:pPr>
            <w:r>
              <w:t>s. 103(2)</w:t>
            </w:r>
          </w:p>
        </w:tc>
      </w:tr>
      <w:tr>
        <w:tc>
          <w:tcPr>
            <w:tcW w:w="1843" w:type="dxa"/>
          </w:tcPr>
          <w:p>
            <w:pPr>
              <w:pStyle w:val="TableNAm"/>
            </w:pPr>
            <w:r>
              <w:t>s. 35(1)</w:t>
            </w:r>
          </w:p>
        </w:tc>
        <w:tc>
          <w:tcPr>
            <w:tcW w:w="1984" w:type="dxa"/>
          </w:tcPr>
          <w:p>
            <w:pPr>
              <w:pStyle w:val="TableNAm"/>
            </w:pPr>
            <w:r>
              <w:t>s. 58(1)</w:t>
            </w:r>
          </w:p>
        </w:tc>
        <w:tc>
          <w:tcPr>
            <w:tcW w:w="1418" w:type="dxa"/>
          </w:tcPr>
          <w:p>
            <w:pPr>
              <w:pStyle w:val="TableNAm"/>
            </w:pPr>
          </w:p>
        </w:tc>
      </w:tr>
    </w:tbl>
    <w:p>
      <w:pPr>
        <w:pStyle w:val="Subsection"/>
        <w:spacing w:before="240"/>
      </w:pPr>
      <w:r>
        <w:tab/>
        <w:t>(2)</w:t>
      </w:r>
      <w:r>
        <w:tab/>
        <w:t>A registrar who is dealing with an application or request may exercise any power conferred by the Act on the Court in respect of the application.</w:t>
      </w:r>
    </w:p>
    <w:p>
      <w:pPr>
        <w:pStyle w:val="Subsection"/>
      </w:pPr>
      <w:r>
        <w:lastRenderedPageBreak/>
        <w:tab/>
        <w:t>(3)</w:t>
      </w:r>
      <w:r>
        <w:tab/>
        <w:t>A registrar may conduct a means inquiry under section 30 and for that purpose exercise any power in section 30 or 31.</w:t>
      </w:r>
    </w:p>
    <w:p>
      <w:pPr>
        <w:pStyle w:val="Footnotesection"/>
      </w:pPr>
      <w:r>
        <w:tab/>
        <w:t>[Rule 2 inserted: Gazette 21 Feb 2007 p. 552.]</w:t>
      </w:r>
    </w:p>
    <w:p>
      <w:pPr>
        <w:pStyle w:val="Heading5"/>
      </w:pPr>
      <w:bookmarkStart w:id="799" w:name="_Toc163121198"/>
      <w:r>
        <w:rPr>
          <w:rStyle w:val="CharSectno"/>
        </w:rPr>
        <w:t>3</w:t>
      </w:r>
      <w:r>
        <w:t>.</w:t>
      </w:r>
      <w:r>
        <w:tab/>
        <w:t>Enforcing judgment in action between partners</w:t>
      </w:r>
      <w:bookmarkEnd w:id="799"/>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Gazette 22 Feb 2008 p. 637.]</w:t>
      </w:r>
    </w:p>
    <w:p>
      <w:pPr>
        <w:pStyle w:val="Ednotepart"/>
        <w:tabs>
          <w:tab w:val="left" w:pos="1260"/>
        </w:tabs>
        <w:ind w:left="1260" w:hanging="1260"/>
      </w:pPr>
      <w:r>
        <w:t>[Order 47.</w:t>
      </w:r>
      <w:r>
        <w:tab/>
        <w:t>Rules 1</w:t>
      </w:r>
      <w:r>
        <w:noBreakHyphen/>
        <w:t>8 and 10</w:t>
      </w:r>
      <w:r>
        <w:noBreakHyphen/>
        <w:t>15 deleted: Gazette 21 Feb 2007 p. 553;</w:t>
      </w:r>
      <w:r>
        <w:br/>
        <w:t>Rule 9 deleted: Gazette 15 Jun 1973 p. 2248.]</w:t>
      </w:r>
    </w:p>
    <w:p>
      <w:pPr>
        <w:pStyle w:val="Ednotepart"/>
      </w:pPr>
      <w:r>
        <w:t>[Orders 48-50 deleted: Gazette 21 Feb 2007 p. 553.]</w:t>
      </w:r>
    </w:p>
    <w:p>
      <w:pPr>
        <w:pStyle w:val="Heading2"/>
        <w:rPr>
          <w:b w:val="0"/>
        </w:rPr>
      </w:pPr>
      <w:bookmarkStart w:id="800" w:name="_Toc162940737"/>
      <w:bookmarkStart w:id="801" w:name="_Toc162953526"/>
      <w:bookmarkStart w:id="802" w:name="_Toc163121199"/>
      <w:r>
        <w:rPr>
          <w:rStyle w:val="CharPartNo"/>
        </w:rPr>
        <w:lastRenderedPageBreak/>
        <w:t>Order 51</w:t>
      </w:r>
      <w:r>
        <w:rPr>
          <w:rStyle w:val="CharDivNo"/>
        </w:rPr>
        <w:t> </w:t>
      </w:r>
      <w:r>
        <w:t>—</w:t>
      </w:r>
      <w:r>
        <w:rPr>
          <w:rStyle w:val="CharDivText"/>
        </w:rPr>
        <w:t> </w:t>
      </w:r>
      <w:r>
        <w:rPr>
          <w:rStyle w:val="CharPartText"/>
        </w:rPr>
        <w:t>Receivers</w:t>
      </w:r>
      <w:bookmarkEnd w:id="800"/>
      <w:bookmarkEnd w:id="801"/>
      <w:bookmarkEnd w:id="802"/>
    </w:p>
    <w:p>
      <w:pPr>
        <w:pStyle w:val="Heading5"/>
        <w:rPr>
          <w:snapToGrid w:val="0"/>
        </w:rPr>
      </w:pPr>
      <w:bookmarkStart w:id="803" w:name="_Toc163121200"/>
      <w:r>
        <w:rPr>
          <w:rStyle w:val="CharSectno"/>
        </w:rPr>
        <w:t>1</w:t>
      </w:r>
      <w:r>
        <w:rPr>
          <w:snapToGrid w:val="0"/>
        </w:rPr>
        <w:t>.</w:t>
      </w:r>
      <w:r>
        <w:rPr>
          <w:snapToGrid w:val="0"/>
        </w:rPr>
        <w:tab/>
        <w:t>Application for receiver and injunction</w:t>
      </w:r>
      <w:bookmarkEnd w:id="803"/>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 xml:space="preserve">An application for an injunction ancillary or incidental to an order appointing a receiver may be joined with the application for an order under </w:t>
      </w:r>
      <w:r>
        <w:t>subrule</w:t>
      </w:r>
      <w:r>
        <w:rPr>
          <w:snapToGrid w:val="0"/>
        </w:rPr>
        <w:t> (1).</w:t>
      </w:r>
    </w:p>
    <w:p>
      <w:pPr>
        <w:pStyle w:val="Subsection"/>
        <w:rPr>
          <w:snapToGrid w:val="0"/>
        </w:rPr>
      </w:pPr>
      <w:r>
        <w:rPr>
          <w:snapToGrid w:val="0"/>
        </w:rPr>
        <w:tab/>
        <w:t>(3)</w:t>
      </w:r>
      <w:r>
        <w:rPr>
          <w:snapToGrid w:val="0"/>
        </w:rPr>
        <w:tab/>
        <w:t xml:space="preserve">In special circumstances the application for such injunction may be made </w:t>
      </w:r>
      <w:r>
        <w:rPr>
          <w:i/>
          <w:snapToGrid w:val="0"/>
        </w:rPr>
        <w:t>ex parte</w:t>
      </w:r>
      <w:r>
        <w:rPr>
          <w:snapToGrid w:val="0"/>
        </w:rPr>
        <w:t xml:space="preserve"> on affidavit.</w:t>
      </w:r>
    </w:p>
    <w:p>
      <w:pPr>
        <w:pStyle w:val="Subsection"/>
        <w:rPr>
          <w:snapToGrid w:val="0"/>
        </w:rPr>
      </w:pPr>
      <w:r>
        <w:rPr>
          <w:snapToGrid w:val="0"/>
        </w:rPr>
        <w:tab/>
        <w:t>(4)</w:t>
      </w:r>
      <w:r>
        <w:rPr>
          <w:snapToGrid w:val="0"/>
        </w:rPr>
        <w:tab/>
        <w:t xml:space="preserve">On the hearing of an application under </w:t>
      </w:r>
      <w:r>
        <w:t>subrule</w:t>
      </w:r>
      <w:r>
        <w:rPr>
          <w:snapToGrid w:val="0"/>
        </w:rPr>
        <w:t>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Footnotesection"/>
      </w:pPr>
      <w:r>
        <w:tab/>
        <w:t>[Rule 1 amended: Gazette 28 Jun 2011 p. 2552.]</w:t>
      </w:r>
    </w:p>
    <w:p>
      <w:pPr>
        <w:pStyle w:val="Ednotesection"/>
      </w:pPr>
      <w:r>
        <w:t>[</w:t>
      </w:r>
      <w:r>
        <w:rPr>
          <w:b/>
        </w:rPr>
        <w:t>2.</w:t>
      </w:r>
      <w:r>
        <w:tab/>
        <w:t>Deleted: Gazette 21 Feb 2007 p. 553.]</w:t>
      </w:r>
    </w:p>
    <w:p>
      <w:pPr>
        <w:pStyle w:val="Heading5"/>
        <w:rPr>
          <w:snapToGrid w:val="0"/>
        </w:rPr>
      </w:pPr>
      <w:bookmarkStart w:id="804" w:name="_Toc163121201"/>
      <w:r>
        <w:rPr>
          <w:rStyle w:val="CharSectno"/>
        </w:rPr>
        <w:t>3</w:t>
      </w:r>
      <w:r>
        <w:rPr>
          <w:snapToGrid w:val="0"/>
        </w:rPr>
        <w:t>.</w:t>
      </w:r>
      <w:r>
        <w:rPr>
          <w:snapToGrid w:val="0"/>
        </w:rPr>
        <w:tab/>
        <w:t>Security to be given by receiver</w:t>
      </w:r>
      <w:bookmarkEnd w:id="804"/>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Ednotesubsection"/>
      </w:pPr>
      <w:r>
        <w:lastRenderedPageBreak/>
        <w:tab/>
        <w:t>[(3)</w:t>
      </w:r>
      <w:r>
        <w:tab/>
        <w:t>deleted]</w:t>
      </w:r>
    </w:p>
    <w:p>
      <w:pPr>
        <w:pStyle w:val="Subsection"/>
        <w:rPr>
          <w:snapToGrid w:val="0"/>
        </w:rPr>
      </w:pPr>
      <w:r>
        <w:rPr>
          <w:snapToGrid w:val="0"/>
        </w:rPr>
        <w:tab/>
        <w:t>(4)</w:t>
      </w:r>
      <w:r>
        <w:rPr>
          <w:snapToGrid w:val="0"/>
        </w:rPr>
        <w:tab/>
        <w:t xml:space="preserve">The </w:t>
      </w:r>
      <w:r>
        <w:t xml:space="preserve">security referred to in subrule (2) </w:t>
      </w:r>
      <w:r>
        <w:rPr>
          <w:snapToGrid w:val="0"/>
        </w:rPr>
        <w:t xml:space="preserve">must be </w:t>
      </w:r>
      <w:r>
        <w:t>filed</w:t>
      </w:r>
      <w:r>
        <w:rPr>
          <w:snapToGrid w:val="0"/>
        </w:rPr>
        <w:t xml:space="preserve"> and shall be kept as of record until duly vacated.</w:t>
      </w:r>
    </w:p>
    <w:p>
      <w:pPr>
        <w:pStyle w:val="Footnotesection"/>
      </w:pPr>
      <w:r>
        <w:tab/>
        <w:t xml:space="preserve">[Rule 3 amended: Gazette 30 Nov 1984 p. 3953; 28 Jun 2011 p. 2552; 16 Aug 2017 p. 4416; 27 Feb 2018 p. 570.] </w:t>
      </w:r>
    </w:p>
    <w:p>
      <w:pPr>
        <w:pStyle w:val="Heading5"/>
        <w:rPr>
          <w:snapToGrid w:val="0"/>
        </w:rPr>
      </w:pPr>
      <w:bookmarkStart w:id="805" w:name="_Toc163121202"/>
      <w:r>
        <w:rPr>
          <w:rStyle w:val="CharSectno"/>
        </w:rPr>
        <w:t>4</w:t>
      </w:r>
      <w:r>
        <w:rPr>
          <w:snapToGrid w:val="0"/>
        </w:rPr>
        <w:t>.</w:t>
      </w:r>
      <w:r>
        <w:rPr>
          <w:snapToGrid w:val="0"/>
        </w:rPr>
        <w:tab/>
        <w:t>Remuneration of receiver</w:t>
      </w:r>
      <w:bookmarkEnd w:id="805"/>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806" w:name="_Toc163121203"/>
      <w:r>
        <w:rPr>
          <w:rStyle w:val="CharSectno"/>
        </w:rPr>
        <w:t>5</w:t>
      </w:r>
      <w:r>
        <w:rPr>
          <w:snapToGrid w:val="0"/>
        </w:rPr>
        <w:t>.</w:t>
      </w:r>
      <w:r>
        <w:rPr>
          <w:snapToGrid w:val="0"/>
        </w:rPr>
        <w:tab/>
        <w:t>Accounts by receiver</w:t>
      </w:r>
      <w:bookmarkEnd w:id="806"/>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pPr>
      <w:r>
        <w:tab/>
        <w:t>(1A)</w:t>
      </w:r>
      <w:r>
        <w:tab/>
        <w:t>Unless the Principal Registrar has given approval for them to be filed electronically, the accounts (including the final accounts referred to in rule 8) cannot be filed electronically by a receiver.</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Gazette 2 Jul 1982 p. 2316; 27 Feb 2018 p. 570.] </w:t>
      </w:r>
    </w:p>
    <w:p>
      <w:pPr>
        <w:pStyle w:val="Heading5"/>
        <w:rPr>
          <w:snapToGrid w:val="0"/>
        </w:rPr>
      </w:pPr>
      <w:bookmarkStart w:id="807" w:name="_Toc163121204"/>
      <w:r>
        <w:rPr>
          <w:rStyle w:val="CharSectno"/>
        </w:rPr>
        <w:t>6</w:t>
      </w:r>
      <w:r>
        <w:rPr>
          <w:snapToGrid w:val="0"/>
        </w:rPr>
        <w:t>.</w:t>
      </w:r>
      <w:r>
        <w:rPr>
          <w:snapToGrid w:val="0"/>
        </w:rPr>
        <w:tab/>
        <w:t>Payment of balances by receiver</w:t>
      </w:r>
      <w:bookmarkEnd w:id="807"/>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808" w:name="_Toc163121205"/>
      <w:r>
        <w:rPr>
          <w:rStyle w:val="CharSectno"/>
        </w:rPr>
        <w:lastRenderedPageBreak/>
        <w:t>7</w:t>
      </w:r>
      <w:r>
        <w:rPr>
          <w:snapToGrid w:val="0"/>
        </w:rPr>
        <w:t>.</w:t>
      </w:r>
      <w:r>
        <w:rPr>
          <w:snapToGrid w:val="0"/>
        </w:rPr>
        <w:tab/>
        <w:t>Default by receiver</w:t>
      </w:r>
      <w:bookmarkEnd w:id="808"/>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 or</w:t>
      </w:r>
    </w:p>
    <w:p>
      <w:pPr>
        <w:pStyle w:val="Indenta"/>
        <w:rPr>
          <w:snapToGrid w:val="0"/>
        </w:rPr>
      </w:pPr>
      <w:r>
        <w:rPr>
          <w:snapToGrid w:val="0"/>
        </w:rPr>
        <w:tab/>
        <w:t>(b)</w:t>
      </w:r>
      <w:r>
        <w:rPr>
          <w:snapToGrid w:val="0"/>
        </w:rPr>
        <w:tab/>
        <w:t>to attend for the passing of any account of his; or</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w:t>
      </w:r>
      <w:r>
        <w:t xml:space="preserve"> subrule</w:t>
      </w:r>
      <w:r>
        <w:rPr>
          <w:snapToGrid w:val="0"/>
        </w:rPr>
        <w:t>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Gazette 2 Jul 1982 p. 2316; 21 Feb 2007 p. 553; 28 Jun 2011 p. 2552.]</w:t>
      </w:r>
    </w:p>
    <w:p>
      <w:pPr>
        <w:pStyle w:val="Heading5"/>
      </w:pPr>
      <w:bookmarkStart w:id="809" w:name="_Toc163121206"/>
      <w:r>
        <w:rPr>
          <w:rStyle w:val="CharSectno"/>
        </w:rPr>
        <w:t>8</w:t>
      </w:r>
      <w:r>
        <w:t>.</w:t>
      </w:r>
      <w:r>
        <w:tab/>
        <w:t>Final accounts to be filed</w:t>
      </w:r>
      <w:bookmarkEnd w:id="809"/>
    </w:p>
    <w:p>
      <w:pPr>
        <w:pStyle w:val="Subsection"/>
      </w:pPr>
      <w:r>
        <w:tab/>
      </w:r>
      <w:r>
        <w:tab/>
        <w:t>When a receivership has been completed, the receiver must file the receiver’s final accounts.</w:t>
      </w:r>
    </w:p>
    <w:p>
      <w:pPr>
        <w:pStyle w:val="Footnotesection"/>
      </w:pPr>
      <w:r>
        <w:tab/>
        <w:t xml:space="preserve">[Rule 8 inserted: Gazette 27 Feb 2018 p. 570.] </w:t>
      </w:r>
    </w:p>
    <w:p>
      <w:pPr>
        <w:pStyle w:val="Heading5"/>
        <w:rPr>
          <w:snapToGrid w:val="0"/>
        </w:rPr>
      </w:pPr>
      <w:bookmarkStart w:id="810" w:name="_Toc163121207"/>
      <w:r>
        <w:rPr>
          <w:rStyle w:val="CharSectno"/>
        </w:rPr>
        <w:lastRenderedPageBreak/>
        <w:t>9</w:t>
      </w:r>
      <w:r>
        <w:rPr>
          <w:snapToGrid w:val="0"/>
        </w:rPr>
        <w:t>.</w:t>
      </w:r>
      <w:r>
        <w:rPr>
          <w:snapToGrid w:val="0"/>
        </w:rPr>
        <w:tab/>
        <w:t>Compensation to party restrained</w:t>
      </w:r>
      <w:bookmarkEnd w:id="810"/>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Gazette 5 Jun 1992 p. 2282.] </w:t>
      </w:r>
    </w:p>
    <w:p>
      <w:pPr>
        <w:pStyle w:val="Heading5"/>
        <w:rPr>
          <w:snapToGrid w:val="0"/>
        </w:rPr>
      </w:pPr>
      <w:bookmarkStart w:id="811" w:name="_Toc163121208"/>
      <w:r>
        <w:rPr>
          <w:rStyle w:val="CharSectno"/>
        </w:rPr>
        <w:t>10</w:t>
      </w:r>
      <w:r>
        <w:rPr>
          <w:snapToGrid w:val="0"/>
        </w:rPr>
        <w:t>.</w:t>
      </w:r>
      <w:r>
        <w:rPr>
          <w:snapToGrid w:val="0"/>
        </w:rPr>
        <w:tab/>
        <w:t>Compensation by applicant to party restrained</w:t>
      </w:r>
      <w:bookmarkEnd w:id="811"/>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Gazette 5 Jun 1992 p. 2282.] </w:t>
      </w:r>
    </w:p>
    <w:p>
      <w:pPr>
        <w:pStyle w:val="Heading5"/>
      </w:pPr>
      <w:bookmarkStart w:id="812" w:name="_Toc163121209"/>
      <w:r>
        <w:rPr>
          <w:rStyle w:val="CharSectno"/>
        </w:rPr>
        <w:t>11</w:t>
      </w:r>
      <w:r>
        <w:t>.</w:t>
      </w:r>
      <w:r>
        <w:tab/>
        <w:t xml:space="preserve">Application to </w:t>
      </w:r>
      <w:r>
        <w:rPr>
          <w:i/>
        </w:rPr>
        <w:t>Civil Judgments Enforcement Act 2004</w:t>
      </w:r>
      <w:bookmarkEnd w:id="812"/>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Gazette 21 Feb 2007 p. 553.]</w:t>
      </w:r>
    </w:p>
    <w:p>
      <w:pPr>
        <w:pStyle w:val="Heading2"/>
        <w:rPr>
          <w:b w:val="0"/>
        </w:rPr>
      </w:pPr>
      <w:bookmarkStart w:id="813" w:name="_Toc162940748"/>
      <w:bookmarkStart w:id="814" w:name="_Toc162953537"/>
      <w:bookmarkStart w:id="815" w:name="_Toc163121210"/>
      <w:r>
        <w:rPr>
          <w:rStyle w:val="CharPartNo"/>
        </w:rPr>
        <w:lastRenderedPageBreak/>
        <w:t>Order 52</w:t>
      </w:r>
      <w:r>
        <w:rPr>
          <w:rStyle w:val="CharDivNo"/>
        </w:rPr>
        <w:t> </w:t>
      </w:r>
      <w:r>
        <w:t>—</w:t>
      </w:r>
      <w:r>
        <w:rPr>
          <w:rStyle w:val="CharDivText"/>
        </w:rPr>
        <w:t> </w:t>
      </w:r>
      <w:r>
        <w:rPr>
          <w:rStyle w:val="CharPartText"/>
        </w:rPr>
        <w:t>Interlocutory injunctions, interim preservation of property</w:t>
      </w:r>
      <w:bookmarkEnd w:id="813"/>
      <w:bookmarkEnd w:id="814"/>
      <w:bookmarkEnd w:id="815"/>
    </w:p>
    <w:p>
      <w:pPr>
        <w:pStyle w:val="Heading5"/>
        <w:rPr>
          <w:snapToGrid w:val="0"/>
        </w:rPr>
      </w:pPr>
      <w:bookmarkStart w:id="816" w:name="_Toc163121211"/>
      <w:r>
        <w:rPr>
          <w:rStyle w:val="CharSectno"/>
        </w:rPr>
        <w:t>1</w:t>
      </w:r>
      <w:r>
        <w:rPr>
          <w:snapToGrid w:val="0"/>
        </w:rPr>
        <w:t>.</w:t>
      </w:r>
      <w:r>
        <w:rPr>
          <w:snapToGrid w:val="0"/>
        </w:rPr>
        <w:tab/>
        <w:t>Application for injunction</w:t>
      </w:r>
      <w:bookmarkEnd w:id="816"/>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 xml:space="preserve">If the case is one of urgency the plaintiff may make the application </w:t>
      </w:r>
      <w:r>
        <w:rPr>
          <w:i/>
          <w:snapToGrid w:val="0"/>
        </w:rPr>
        <w:t xml:space="preserve">ex parte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817" w:name="_Toc163121212"/>
      <w:r>
        <w:rPr>
          <w:rStyle w:val="CharSectno"/>
        </w:rPr>
        <w:t>2</w:t>
      </w:r>
      <w:r>
        <w:rPr>
          <w:snapToGrid w:val="0"/>
        </w:rPr>
        <w:t>.</w:t>
      </w:r>
      <w:r>
        <w:rPr>
          <w:snapToGrid w:val="0"/>
        </w:rPr>
        <w:tab/>
        <w:t>Detention etc. of property; securing funds in dispute</w:t>
      </w:r>
      <w:bookmarkEnd w:id="817"/>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 xml:space="preserve">For the purpose of enabling an order under </w:t>
      </w:r>
      <w:r>
        <w:t>subrule</w:t>
      </w:r>
      <w:r>
        <w:rPr>
          <w:snapToGrid w:val="0"/>
        </w:rPr>
        <w:t>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lastRenderedPageBreak/>
        <w:tab/>
        <w:t>(4)</w:t>
      </w:r>
      <w:r>
        <w:rPr>
          <w:snapToGrid w:val="0"/>
        </w:rPr>
        <w:tab/>
        <w:t>An order under this rule shall be subject to such terms, if any, as the Court thinks just.</w:t>
      </w:r>
    </w:p>
    <w:p>
      <w:pPr>
        <w:pStyle w:val="Footnotesection"/>
      </w:pPr>
      <w:r>
        <w:tab/>
        <w:t xml:space="preserve">[Rule 2 amended: Gazette 26 Aug 1994 p. 4415; 28 Oct 1996 p. 5699; 28 Jun 2011 p. 2552.] </w:t>
      </w:r>
    </w:p>
    <w:p>
      <w:pPr>
        <w:pStyle w:val="Heading5"/>
        <w:spacing w:before="240"/>
        <w:rPr>
          <w:snapToGrid w:val="0"/>
        </w:rPr>
      </w:pPr>
      <w:bookmarkStart w:id="818" w:name="_Toc163121213"/>
      <w:r>
        <w:rPr>
          <w:rStyle w:val="CharSectno"/>
        </w:rPr>
        <w:t>3</w:t>
      </w:r>
      <w:r>
        <w:rPr>
          <w:snapToGrid w:val="0"/>
        </w:rPr>
        <w:t>.</w:t>
      </w:r>
      <w:r>
        <w:rPr>
          <w:snapToGrid w:val="0"/>
        </w:rPr>
        <w:tab/>
        <w:t>Power to order taking of samples etc.</w:t>
      </w:r>
      <w:bookmarkEnd w:id="818"/>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 or</w:t>
      </w:r>
    </w:p>
    <w:p>
      <w:pPr>
        <w:pStyle w:val="Indenta"/>
        <w:rPr>
          <w:snapToGrid w:val="0"/>
        </w:rPr>
      </w:pPr>
      <w:r>
        <w:rPr>
          <w:snapToGrid w:val="0"/>
        </w:rPr>
        <w:tab/>
        <w:t>(b)</w:t>
      </w:r>
      <w:r>
        <w:rPr>
          <w:snapToGrid w:val="0"/>
        </w:rPr>
        <w:tab/>
        <w:t>the making of any observation of any property; or</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 xml:space="preserve">An order under </w:t>
      </w:r>
      <w:r>
        <w:t>subrule</w:t>
      </w:r>
      <w:r>
        <w:rPr>
          <w:snapToGrid w:val="0"/>
        </w:rPr>
        <w:t> (1) may authorise any person to enter upon or into any land or building in the possession of any party, or to do any other thing for the purpose of getting access to the property.</w:t>
      </w:r>
    </w:p>
    <w:p>
      <w:pPr>
        <w:pStyle w:val="Footnotesection"/>
      </w:pPr>
      <w:r>
        <w:tab/>
        <w:t xml:space="preserve">[Rule 3 amended: Gazette 28 Oct 1996 p. 5699; 28 Jun 2011 p. 2552.] </w:t>
      </w:r>
    </w:p>
    <w:p>
      <w:pPr>
        <w:pStyle w:val="Heading5"/>
        <w:spacing w:before="240"/>
        <w:rPr>
          <w:snapToGrid w:val="0"/>
        </w:rPr>
      </w:pPr>
      <w:bookmarkStart w:id="819" w:name="_Toc163121214"/>
      <w:r>
        <w:rPr>
          <w:rStyle w:val="CharSectno"/>
        </w:rPr>
        <w:t>4</w:t>
      </w:r>
      <w:r>
        <w:rPr>
          <w:snapToGrid w:val="0"/>
        </w:rPr>
        <w:t>.</w:t>
      </w:r>
      <w:r>
        <w:rPr>
          <w:snapToGrid w:val="0"/>
        </w:rPr>
        <w:tab/>
        <w:t>Disposal of perishable property etc.</w:t>
      </w:r>
      <w:bookmarkEnd w:id="819"/>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 or</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lastRenderedPageBreak/>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Gazette 26 Aug 1994 p. 4415; 28 Oct 1996 p. 5699.] </w:t>
      </w:r>
    </w:p>
    <w:p>
      <w:pPr>
        <w:pStyle w:val="Heading5"/>
        <w:rPr>
          <w:snapToGrid w:val="0"/>
        </w:rPr>
      </w:pPr>
      <w:bookmarkStart w:id="820" w:name="_Toc163121215"/>
      <w:r>
        <w:rPr>
          <w:rStyle w:val="CharSectno"/>
        </w:rPr>
        <w:t>5</w:t>
      </w:r>
      <w:r>
        <w:rPr>
          <w:snapToGrid w:val="0"/>
        </w:rPr>
        <w:t>.</w:t>
      </w:r>
      <w:r>
        <w:rPr>
          <w:snapToGrid w:val="0"/>
        </w:rPr>
        <w:tab/>
        <w:t>Order for early trial on application for receiver, injunction etc.</w:t>
      </w:r>
      <w:bookmarkEnd w:id="820"/>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821" w:name="_Toc163121216"/>
      <w:r>
        <w:rPr>
          <w:rStyle w:val="CharSectno"/>
        </w:rPr>
        <w:t>6</w:t>
      </w:r>
      <w:r>
        <w:rPr>
          <w:snapToGrid w:val="0"/>
        </w:rPr>
        <w:t>.</w:t>
      </w:r>
      <w:r>
        <w:rPr>
          <w:snapToGrid w:val="0"/>
        </w:rPr>
        <w:tab/>
        <w:t>Recovering personal property subject to lien</w:t>
      </w:r>
      <w:bookmarkEnd w:id="821"/>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 xml:space="preserve">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w:t>
      </w:r>
      <w:r>
        <w:rPr>
          <w:snapToGrid w:val="0"/>
        </w:rPr>
        <w:lastRenderedPageBreak/>
        <w:t>directs, and that upon such payment being made, the property claimed be given up to the party claiming it.</w:t>
      </w:r>
    </w:p>
    <w:p>
      <w:pPr>
        <w:pStyle w:val="Heading5"/>
        <w:rPr>
          <w:snapToGrid w:val="0"/>
        </w:rPr>
      </w:pPr>
      <w:bookmarkStart w:id="822" w:name="_Toc163121217"/>
      <w:r>
        <w:rPr>
          <w:rStyle w:val="CharSectno"/>
        </w:rPr>
        <w:t>7</w:t>
      </w:r>
      <w:r>
        <w:rPr>
          <w:snapToGrid w:val="0"/>
        </w:rPr>
        <w:t>.</w:t>
      </w:r>
      <w:r>
        <w:rPr>
          <w:snapToGrid w:val="0"/>
        </w:rPr>
        <w:tab/>
        <w:t>Directions</w:t>
      </w:r>
      <w:bookmarkEnd w:id="822"/>
    </w:p>
    <w:p>
      <w:pPr>
        <w:pStyle w:val="Subsection"/>
        <w:rPr>
          <w:snapToGrid w:val="0"/>
        </w:rPr>
      </w:pPr>
      <w:r>
        <w:rPr>
          <w:snapToGrid w:val="0"/>
        </w:rPr>
        <w:tab/>
        <w:t>(1)</w:t>
      </w:r>
      <w:r>
        <w:rPr>
          <w:snapToGrid w:val="0"/>
        </w:rPr>
        <w:tab/>
        <w:t xml:space="preserve">The Court, on the hearing of an application made under any of </w:t>
      </w:r>
      <w:r>
        <w:t xml:space="preserve">rules 1 to 6, </w:t>
      </w:r>
      <w:r>
        <w:rPr>
          <w:snapToGrid w:val="0"/>
        </w:rPr>
        <w:t>may give directions as to the further proceedings in the cause or matter.</w:t>
      </w:r>
    </w:p>
    <w:p>
      <w:pPr>
        <w:pStyle w:val="Ednotesubsection"/>
      </w:pPr>
      <w:r>
        <w:tab/>
        <w:t>[(2)</w:t>
      </w:r>
      <w:r>
        <w:tab/>
        <w:t>deleted]</w:t>
      </w:r>
    </w:p>
    <w:p>
      <w:pPr>
        <w:pStyle w:val="Footnotesection"/>
      </w:pPr>
      <w:r>
        <w:tab/>
        <w:t>[Rule 7 amended: Gazette 28 Jun 2011 p. 2554; 16 Aug 2017 p. 4416.]</w:t>
      </w:r>
    </w:p>
    <w:p>
      <w:pPr>
        <w:pStyle w:val="Heading5"/>
        <w:spacing w:before="240"/>
        <w:rPr>
          <w:snapToGrid w:val="0"/>
        </w:rPr>
      </w:pPr>
      <w:bookmarkStart w:id="823" w:name="_Toc163121218"/>
      <w:r>
        <w:rPr>
          <w:rStyle w:val="CharSectno"/>
        </w:rPr>
        <w:t>8</w:t>
      </w:r>
      <w:r>
        <w:rPr>
          <w:snapToGrid w:val="0"/>
        </w:rPr>
        <w:t>.</w:t>
      </w:r>
      <w:r>
        <w:rPr>
          <w:snapToGrid w:val="0"/>
        </w:rPr>
        <w:tab/>
        <w:t>Allowance of income or transfer of property during case</w:t>
      </w:r>
      <w:bookmarkEnd w:id="823"/>
    </w:p>
    <w:p>
      <w:pPr>
        <w:pStyle w:val="Subsection"/>
        <w:spacing w:before="120"/>
        <w:rPr>
          <w:snapToGrid w:val="0"/>
        </w:rPr>
      </w:pPr>
      <w:r>
        <w:rPr>
          <w:snapToGrid w:val="0"/>
        </w:rPr>
        <w:tab/>
      </w:r>
      <w:r>
        <w:rPr>
          <w:snapToGrid w:val="0"/>
        </w:rPr>
        <w:tab/>
        <w:t>Where — </w:t>
      </w:r>
    </w:p>
    <w:p>
      <w:pPr>
        <w:pStyle w:val="Indenta"/>
        <w:spacing w:before="100"/>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spacing w:before="100"/>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240"/>
        <w:rPr>
          <w:snapToGrid w:val="0"/>
        </w:rPr>
      </w:pPr>
      <w:bookmarkStart w:id="824" w:name="_Toc163121219"/>
      <w:r>
        <w:rPr>
          <w:rStyle w:val="CharSectno"/>
        </w:rPr>
        <w:t>9</w:t>
      </w:r>
      <w:r>
        <w:rPr>
          <w:snapToGrid w:val="0"/>
        </w:rPr>
        <w:t>.</w:t>
      </w:r>
      <w:r>
        <w:rPr>
          <w:snapToGrid w:val="0"/>
        </w:rPr>
        <w:tab/>
        <w:t>Injunction to include undertaking as to compensation to party restrained</w:t>
      </w:r>
      <w:bookmarkEnd w:id="824"/>
      <w:r>
        <w:rPr>
          <w:snapToGrid w:val="0"/>
        </w:rPr>
        <w:t xml:space="preserve"> </w:t>
      </w:r>
    </w:p>
    <w:p>
      <w:pPr>
        <w:pStyle w:val="Subsection"/>
        <w:rPr>
          <w:snapToGrid w:val="0"/>
        </w:rPr>
      </w:pPr>
      <w:r>
        <w:rPr>
          <w:snapToGrid w:val="0"/>
        </w:rPr>
        <w:tab/>
      </w:r>
      <w:r>
        <w:rPr>
          <w:snapToGrid w:val="0"/>
        </w:rPr>
        <w:tab/>
        <w:t xml:space="preserve">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w:t>
      </w:r>
      <w:r>
        <w:rPr>
          <w:snapToGrid w:val="0"/>
        </w:rPr>
        <w:lastRenderedPageBreak/>
        <w:t>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Gazette 28 Feb 1992 p. 996</w:t>
      </w:r>
      <w:r>
        <w:noBreakHyphen/>
        <w:t xml:space="preserve">7.] </w:t>
      </w:r>
    </w:p>
    <w:p>
      <w:pPr>
        <w:pStyle w:val="Heading5"/>
        <w:rPr>
          <w:snapToGrid w:val="0"/>
        </w:rPr>
      </w:pPr>
      <w:bookmarkStart w:id="825" w:name="_Toc163121220"/>
      <w:r>
        <w:rPr>
          <w:rStyle w:val="CharSectno"/>
        </w:rPr>
        <w:t>10</w:t>
      </w:r>
      <w:r>
        <w:rPr>
          <w:snapToGrid w:val="0"/>
        </w:rPr>
        <w:t>.</w:t>
      </w:r>
      <w:r>
        <w:rPr>
          <w:snapToGrid w:val="0"/>
        </w:rPr>
        <w:tab/>
        <w:t>Compensation to party restrained by undertaking</w:t>
      </w:r>
      <w:bookmarkEnd w:id="825"/>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ind w:left="890" w:hanging="890"/>
      </w:pPr>
      <w:r>
        <w:tab/>
        <w:t xml:space="preserve">[Rule 10 inserted: Gazette 28 Feb 1992 p. 997.] </w:t>
      </w:r>
    </w:p>
    <w:p>
      <w:pPr>
        <w:pStyle w:val="Heading2"/>
      </w:pPr>
      <w:bookmarkStart w:id="826" w:name="_Toc162940759"/>
      <w:bookmarkStart w:id="827" w:name="_Toc162953548"/>
      <w:bookmarkStart w:id="828" w:name="_Toc163121221"/>
      <w:r>
        <w:rPr>
          <w:rStyle w:val="CharPartNo"/>
        </w:rPr>
        <w:lastRenderedPageBreak/>
        <w:t>Order 52A</w:t>
      </w:r>
      <w:r>
        <w:rPr>
          <w:b w:val="0"/>
        </w:rPr>
        <w:t> </w:t>
      </w:r>
      <w:r>
        <w:t>—</w:t>
      </w:r>
      <w:r>
        <w:rPr>
          <w:b w:val="0"/>
        </w:rPr>
        <w:t> </w:t>
      </w:r>
      <w:r>
        <w:rPr>
          <w:rStyle w:val="CharPartText"/>
        </w:rPr>
        <w:t>Freezing orders</w:t>
      </w:r>
      <w:bookmarkEnd w:id="826"/>
      <w:bookmarkEnd w:id="827"/>
      <w:bookmarkEnd w:id="828"/>
    </w:p>
    <w:p>
      <w:pPr>
        <w:pStyle w:val="Footnoteheading"/>
      </w:pPr>
      <w:r>
        <w:tab/>
        <w:t>[Heading inserted: Gazette 21 Feb 2007 p. 554.]</w:t>
      </w:r>
    </w:p>
    <w:p>
      <w:pPr>
        <w:pStyle w:val="Heading5"/>
      </w:pPr>
      <w:bookmarkStart w:id="829" w:name="_Toc163121222"/>
      <w:r>
        <w:rPr>
          <w:rStyle w:val="CharSectno"/>
        </w:rPr>
        <w:t>1</w:t>
      </w:r>
      <w:r>
        <w:t>.</w:t>
      </w:r>
      <w:r>
        <w:tab/>
        <w:t>Terms used</w:t>
      </w:r>
      <w:bookmarkEnd w:id="829"/>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Australia, or a court in Australia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r>
        <w:tab/>
        <w:t xml:space="preserve">[Rule 1 inserted: Gazette 21 Feb 2007 p. 554.] </w:t>
      </w:r>
    </w:p>
    <w:p>
      <w:pPr>
        <w:pStyle w:val="Heading5"/>
      </w:pPr>
      <w:bookmarkStart w:id="830" w:name="_Toc163121223"/>
      <w:r>
        <w:rPr>
          <w:rStyle w:val="CharSectno"/>
        </w:rPr>
        <w:t>2</w:t>
      </w:r>
      <w:r>
        <w:t>.</w:t>
      </w:r>
      <w:r>
        <w:tab/>
        <w:t>Freezing order</w:t>
      </w:r>
      <w:bookmarkEnd w:id="830"/>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A freezing order may be an order restraining a respondent from removing any assets located in or outside Australia or from disposing of, dealing with, or diminishing the value of, those assets.</w:t>
      </w:r>
    </w:p>
    <w:p>
      <w:pPr>
        <w:pStyle w:val="Footnotesection"/>
      </w:pPr>
      <w:r>
        <w:tab/>
        <w:t xml:space="preserve">[Rule 2 inserted: Gazette 21 Feb 2007 p. 554.] </w:t>
      </w:r>
    </w:p>
    <w:p>
      <w:pPr>
        <w:pStyle w:val="Heading5"/>
      </w:pPr>
      <w:bookmarkStart w:id="831" w:name="_Toc163121224"/>
      <w:r>
        <w:rPr>
          <w:rStyle w:val="CharSectno"/>
        </w:rPr>
        <w:t>3</w:t>
      </w:r>
      <w:r>
        <w:t>.</w:t>
      </w:r>
      <w:r>
        <w:tab/>
        <w:t>Ancillary order</w:t>
      </w:r>
      <w:bookmarkEnd w:id="831"/>
    </w:p>
    <w:p>
      <w:pPr>
        <w:pStyle w:val="Subsection"/>
      </w:pPr>
      <w:r>
        <w:tab/>
        <w:t>(1)</w:t>
      </w:r>
      <w:r>
        <w:tab/>
        <w:t>The Court may make an order (an ancillary order) ancillary to a freezing order or prospective freezing order as the Court considers appropriate.</w:t>
      </w:r>
    </w:p>
    <w:p>
      <w:pPr>
        <w:pStyle w:val="Subsection"/>
      </w:pPr>
      <w:r>
        <w:lastRenderedPageBreak/>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r>
        <w:tab/>
        <w:t>[Rule 3 inserted: Gazette 21 Feb 2007 p. 554</w:t>
      </w:r>
      <w:r>
        <w:noBreakHyphen/>
        <w:t xml:space="preserve">5.] </w:t>
      </w:r>
    </w:p>
    <w:p>
      <w:pPr>
        <w:pStyle w:val="Heading5"/>
      </w:pPr>
      <w:bookmarkStart w:id="832" w:name="_Toc163121225"/>
      <w:r>
        <w:rPr>
          <w:rStyle w:val="CharSectno"/>
        </w:rPr>
        <w:t>4</w:t>
      </w:r>
      <w:r>
        <w:t>.</w:t>
      </w:r>
      <w:r>
        <w:tab/>
        <w:t>Respondent need not be party to proceeding</w:t>
      </w:r>
      <w:bookmarkEnd w:id="832"/>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r>
        <w:tab/>
        <w:t xml:space="preserve">[Rule 4 inserted: Gazette 21 Feb 2007 p. 555.] </w:t>
      </w:r>
    </w:p>
    <w:p>
      <w:pPr>
        <w:pStyle w:val="Heading5"/>
      </w:pPr>
      <w:bookmarkStart w:id="833" w:name="_Toc163121226"/>
      <w:r>
        <w:rPr>
          <w:rStyle w:val="CharSectno"/>
        </w:rPr>
        <w:t>5</w:t>
      </w:r>
      <w:r>
        <w:t>.</w:t>
      </w:r>
      <w:r>
        <w:tab/>
        <w:t>Order against judgment debtor, prospective judgment debtor or third party</w:t>
      </w:r>
      <w:bookmarkEnd w:id="833"/>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lastRenderedPageBreak/>
        <w:tab/>
        <w:t>(3)</w:t>
      </w:r>
      <w:r>
        <w:tab/>
        <w:t>This subrule applies to a cause of action if —</w:t>
      </w:r>
    </w:p>
    <w:p>
      <w:pPr>
        <w:pStyle w:val="Indenta"/>
        <w:spacing w:before="60"/>
      </w:pPr>
      <w:r>
        <w:tab/>
        <w:t>(a)</w:t>
      </w:r>
      <w:r>
        <w:tab/>
        <w:t>there is a sufficient prospect that the other court will give judgment in favour of the applicant; and</w:t>
      </w:r>
    </w:p>
    <w:p>
      <w:pPr>
        <w:pStyle w:val="Indenta"/>
        <w:spacing w:before="60"/>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spacing w:before="60"/>
      </w:pPr>
      <w:r>
        <w:tab/>
        <w:t>(a)</w:t>
      </w:r>
      <w:r>
        <w:tab/>
        <w:t>the judgment debtor, prospective judgment debtor or another person absconds; or</w:t>
      </w:r>
    </w:p>
    <w:p>
      <w:pPr>
        <w:pStyle w:val="Indenta"/>
        <w:spacing w:before="60"/>
      </w:pPr>
      <w:r>
        <w:tab/>
        <w:t>(b)</w:t>
      </w:r>
      <w:r>
        <w:tab/>
        <w:t xml:space="preserve">the assets of the judgment debtor, prospective judgment debtor or another person are — </w:t>
      </w:r>
    </w:p>
    <w:p>
      <w:pPr>
        <w:pStyle w:val="Indenti"/>
        <w:spacing w:before="60"/>
      </w:pPr>
      <w:r>
        <w:tab/>
        <w:t>(i)</w:t>
      </w:r>
      <w:r>
        <w:tab/>
        <w:t>removed from Australia or from a place inside or outside Australia; or</w:t>
      </w:r>
    </w:p>
    <w:p>
      <w:pPr>
        <w:pStyle w:val="Indenti"/>
        <w:spacing w:before="60"/>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spacing w:before="60"/>
      </w:pPr>
      <w:r>
        <w:tab/>
        <w:t>(a)</w:t>
      </w:r>
      <w:r>
        <w:tab/>
        <w:t xml:space="preserve">there is a danger that a judgment or prospective judgment will be wholly or partly unsatisfied because — </w:t>
      </w:r>
    </w:p>
    <w:p>
      <w:pPr>
        <w:pStyle w:val="Indenti"/>
        <w:spacing w:before="60"/>
      </w:pPr>
      <w:r>
        <w:tab/>
        <w:t>(i)</w:t>
      </w:r>
      <w:r>
        <w:tab/>
        <w:t>the third party holds or is using, or has exercised or is exercising, a power of disposition over assets (including claims and expectancies) of the judgment debtor or prospective judgment debtor; or</w:t>
      </w:r>
    </w:p>
    <w:p>
      <w:pPr>
        <w:pStyle w:val="Indenti"/>
        <w:keepNext/>
        <w:spacing w:before="60"/>
      </w:pPr>
      <w:r>
        <w:tab/>
        <w:t>(ii)</w:t>
      </w:r>
      <w:r>
        <w:tab/>
        <w:t xml:space="preserve">the third party is in possession of, or in a position of control or influence concerning, assets </w:t>
      </w:r>
      <w:r>
        <w:lastRenderedPageBreak/>
        <w:t>(including claims and expectancies) of the judgment debtor or prospective judgment debtor;</w:t>
      </w:r>
    </w:p>
    <w:p>
      <w:pPr>
        <w:pStyle w:val="Indenta"/>
        <w:spacing w:before="60"/>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r>
        <w:tab/>
        <w:t>[Rule 5 inserted: Gazette 21 Feb 2007 p. 555</w:t>
      </w:r>
      <w:r>
        <w:noBreakHyphen/>
        <w:t xml:space="preserve">6.] </w:t>
      </w:r>
    </w:p>
    <w:p>
      <w:pPr>
        <w:pStyle w:val="Heading5"/>
      </w:pPr>
      <w:bookmarkStart w:id="834" w:name="_Toc163121227"/>
      <w:r>
        <w:rPr>
          <w:rStyle w:val="CharSectno"/>
        </w:rPr>
        <w:t>6</w:t>
      </w:r>
      <w:r>
        <w:t>.</w:t>
      </w:r>
      <w:r>
        <w:tab/>
        <w:t>Court’s other jurisdiction not affected</w:t>
      </w:r>
      <w:bookmarkEnd w:id="834"/>
    </w:p>
    <w:p>
      <w:pPr>
        <w:pStyle w:val="Subsection"/>
      </w:pPr>
      <w:r>
        <w:tab/>
      </w:r>
      <w:r>
        <w:tab/>
        <w:t>Nothing in this Order diminishes the inherent, implied or statutory jurisdiction of the Court to make a freezing order or ancillary order.</w:t>
      </w:r>
    </w:p>
    <w:p>
      <w:pPr>
        <w:pStyle w:val="Footnotesection"/>
      </w:pPr>
      <w:r>
        <w:tab/>
        <w:t xml:space="preserve">[Rule 6 inserted: Gazette 21 Feb 2007 p. 556.] </w:t>
      </w:r>
    </w:p>
    <w:p>
      <w:pPr>
        <w:pStyle w:val="Heading5"/>
      </w:pPr>
      <w:bookmarkStart w:id="835" w:name="_Toc163121228"/>
      <w:r>
        <w:rPr>
          <w:rStyle w:val="CharSectno"/>
        </w:rPr>
        <w:t>7</w:t>
      </w:r>
      <w:r>
        <w:t>.</w:t>
      </w:r>
      <w:r>
        <w:tab/>
        <w:t>Service outside Australia of application for order</w:t>
      </w:r>
      <w:bookmarkEnd w:id="835"/>
    </w:p>
    <w:p>
      <w:pPr>
        <w:pStyle w:val="Subsection"/>
      </w:pPr>
      <w:r>
        <w:tab/>
      </w:r>
      <w:r>
        <w:tab/>
        <w:t>An application for a freezing order or an ancillary order may be served on a person who is outside Australia (whether or not the person is domiciled or resident in Australia) under Order 10 and, if the country is a Convention country, under Order 11A.</w:t>
      </w:r>
    </w:p>
    <w:p>
      <w:pPr>
        <w:pStyle w:val="Footnotesection"/>
      </w:pPr>
      <w:r>
        <w:tab/>
        <w:t xml:space="preserve">[Rule 7 inserted: Gazette 21 Feb 2007 p. 556; amended: SL 2024/38 r. 15.] </w:t>
      </w:r>
    </w:p>
    <w:p>
      <w:pPr>
        <w:pStyle w:val="Heading5"/>
      </w:pPr>
      <w:bookmarkStart w:id="836" w:name="_Toc163121229"/>
      <w:r>
        <w:rPr>
          <w:rStyle w:val="CharSectno"/>
        </w:rPr>
        <w:t>8</w:t>
      </w:r>
      <w:r>
        <w:t>.</w:t>
      </w:r>
      <w:r>
        <w:tab/>
        <w:t>Costs</w:t>
      </w:r>
      <w:bookmarkEnd w:id="836"/>
    </w:p>
    <w:p>
      <w:pPr>
        <w:pStyle w:val="Subsection"/>
      </w:pPr>
      <w:r>
        <w:tab/>
        <w:t>(1)</w:t>
      </w:r>
      <w:r>
        <w:tab/>
        <w:t>The Court may make any order as to costs as it considers appropriate in relation to an order made under this Order.</w:t>
      </w:r>
    </w:p>
    <w:p>
      <w:pPr>
        <w:pStyle w:val="Subsection"/>
        <w:keepNext/>
      </w:pPr>
      <w:r>
        <w:lastRenderedPageBreak/>
        <w:tab/>
        <w:t>(2)</w:t>
      </w:r>
      <w:r>
        <w:tab/>
        <w:t>Without limiting the generality of subrule (1), an order as to costs includes an order as to the costs of any person affected by a freezing order or ancillary order.</w:t>
      </w:r>
    </w:p>
    <w:p>
      <w:pPr>
        <w:pStyle w:val="Footnotesection"/>
      </w:pPr>
      <w:r>
        <w:tab/>
        <w:t>[Rule 8 inserted: Gazette 21 Feb 2007 p. 556</w:t>
      </w:r>
      <w:r>
        <w:noBreakHyphen/>
        <w:t xml:space="preserve">7.] </w:t>
      </w:r>
    </w:p>
    <w:p>
      <w:pPr>
        <w:pStyle w:val="Heading2"/>
      </w:pPr>
      <w:bookmarkStart w:id="837" w:name="_Toc162940768"/>
      <w:bookmarkStart w:id="838" w:name="_Toc162953557"/>
      <w:bookmarkStart w:id="839" w:name="_Toc163121230"/>
      <w:r>
        <w:rPr>
          <w:rStyle w:val="CharPartNo"/>
        </w:rPr>
        <w:lastRenderedPageBreak/>
        <w:t>Order 52B</w:t>
      </w:r>
      <w:r>
        <w:rPr>
          <w:b w:val="0"/>
        </w:rPr>
        <w:t> </w:t>
      </w:r>
      <w:r>
        <w:t>—</w:t>
      </w:r>
      <w:r>
        <w:rPr>
          <w:b w:val="0"/>
        </w:rPr>
        <w:t> </w:t>
      </w:r>
      <w:r>
        <w:rPr>
          <w:rStyle w:val="CharPartText"/>
        </w:rPr>
        <w:t>Search orders</w:t>
      </w:r>
      <w:bookmarkEnd w:id="837"/>
      <w:bookmarkEnd w:id="838"/>
      <w:bookmarkEnd w:id="839"/>
    </w:p>
    <w:p>
      <w:pPr>
        <w:pStyle w:val="Footnoteheading"/>
      </w:pPr>
      <w:r>
        <w:tab/>
        <w:t>[Heading inserted: Gazette 21 Feb 2007 p. 557.]</w:t>
      </w:r>
    </w:p>
    <w:p>
      <w:pPr>
        <w:pStyle w:val="Heading5"/>
      </w:pPr>
      <w:bookmarkStart w:id="840" w:name="_Toc163121231"/>
      <w:r>
        <w:rPr>
          <w:rStyle w:val="CharSectno"/>
        </w:rPr>
        <w:t>1</w:t>
      </w:r>
      <w:r>
        <w:t>.</w:t>
      </w:r>
      <w:r>
        <w:tab/>
        <w:t>Terms used</w:t>
      </w:r>
      <w:bookmarkEnd w:id="840"/>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r>
        <w:tab/>
        <w:t xml:space="preserve">[Rule 1 inserted: Gazette 21 Feb 2007 p. 557.] </w:t>
      </w:r>
    </w:p>
    <w:p>
      <w:pPr>
        <w:pStyle w:val="Heading5"/>
      </w:pPr>
      <w:bookmarkStart w:id="841" w:name="_Toc163121232"/>
      <w:r>
        <w:rPr>
          <w:rStyle w:val="CharSectno"/>
        </w:rPr>
        <w:t>2</w:t>
      </w:r>
      <w:r>
        <w:t>.</w:t>
      </w:r>
      <w:r>
        <w:tab/>
        <w:t>Search order</w:t>
      </w:r>
      <w:bookmarkEnd w:id="841"/>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r>
        <w:tab/>
        <w:t xml:space="preserve">[Rule 2 inserted: Gazette 21 Feb 2007 p. 557.] </w:t>
      </w:r>
    </w:p>
    <w:p>
      <w:pPr>
        <w:pStyle w:val="Heading5"/>
      </w:pPr>
      <w:bookmarkStart w:id="842" w:name="_Toc163121233"/>
      <w:r>
        <w:rPr>
          <w:rStyle w:val="CharSectno"/>
        </w:rPr>
        <w:t>3</w:t>
      </w:r>
      <w:r>
        <w:t>.</w:t>
      </w:r>
      <w:r>
        <w:tab/>
        <w:t>Requirements for making of search order</w:t>
      </w:r>
      <w:bookmarkEnd w:id="842"/>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lastRenderedPageBreak/>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r>
        <w:tab/>
        <w:t xml:space="preserve">[Rule 3 inserted: Gazette 21 Feb 2007 p. 557.] </w:t>
      </w:r>
    </w:p>
    <w:p>
      <w:pPr>
        <w:pStyle w:val="Heading5"/>
      </w:pPr>
      <w:bookmarkStart w:id="843" w:name="_Toc163121234"/>
      <w:r>
        <w:rPr>
          <w:rStyle w:val="CharSectno"/>
        </w:rPr>
        <w:t>4</w:t>
      </w:r>
      <w:r>
        <w:t>.</w:t>
      </w:r>
      <w:r>
        <w:tab/>
        <w:t>Court’s other jurisdiction not affected</w:t>
      </w:r>
      <w:bookmarkEnd w:id="843"/>
    </w:p>
    <w:p>
      <w:pPr>
        <w:pStyle w:val="Subsection"/>
      </w:pPr>
      <w:r>
        <w:tab/>
      </w:r>
      <w:r>
        <w:tab/>
        <w:t>Nothing in this Order diminishes the inherent, implied or statutory jurisdiction of the Court to make a search order.</w:t>
      </w:r>
    </w:p>
    <w:p>
      <w:pPr>
        <w:pStyle w:val="Footnotesection"/>
      </w:pPr>
      <w:r>
        <w:tab/>
        <w:t xml:space="preserve">[Rule 4 inserted: Gazette 21 Feb 2007 p. 558.] </w:t>
      </w:r>
    </w:p>
    <w:p>
      <w:pPr>
        <w:pStyle w:val="Heading5"/>
      </w:pPr>
      <w:bookmarkStart w:id="844" w:name="_Toc163121235"/>
      <w:r>
        <w:rPr>
          <w:rStyle w:val="CharSectno"/>
        </w:rPr>
        <w:t>5</w:t>
      </w:r>
      <w:r>
        <w:t>.</w:t>
      </w:r>
      <w:r>
        <w:tab/>
        <w:t>Terms of search order</w:t>
      </w:r>
      <w:bookmarkEnd w:id="844"/>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lastRenderedPageBreak/>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r>
        <w:tab/>
        <w:t xml:space="preserve">[Rule 5 inserted: Gazette 21 Feb 2007 p. 558.] </w:t>
      </w:r>
    </w:p>
    <w:p>
      <w:pPr>
        <w:pStyle w:val="Heading5"/>
      </w:pPr>
      <w:bookmarkStart w:id="845" w:name="_Toc163121236"/>
      <w:r>
        <w:rPr>
          <w:rStyle w:val="CharSectno"/>
        </w:rPr>
        <w:t>6</w:t>
      </w:r>
      <w:r>
        <w:t>.</w:t>
      </w:r>
      <w:r>
        <w:tab/>
        <w:t>Independent solicitors, appointment of etc.</w:t>
      </w:r>
      <w:bookmarkEnd w:id="845"/>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r>
        <w:tab/>
        <w:t>[Rule 6 inserted: Gazette 21 Feb 2007 p. 558</w:t>
      </w:r>
      <w:r>
        <w:noBreakHyphen/>
        <w:t xml:space="preserve">9.] </w:t>
      </w:r>
    </w:p>
    <w:p>
      <w:pPr>
        <w:pStyle w:val="Heading5"/>
      </w:pPr>
      <w:bookmarkStart w:id="846" w:name="_Toc163121237"/>
      <w:r>
        <w:rPr>
          <w:rStyle w:val="CharSectno"/>
        </w:rPr>
        <w:lastRenderedPageBreak/>
        <w:t>7</w:t>
      </w:r>
      <w:r>
        <w:t>.</w:t>
      </w:r>
      <w:r>
        <w:tab/>
        <w:t>Costs</w:t>
      </w:r>
      <w:bookmarkEnd w:id="846"/>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Gazette 21 Feb 2007 p. 559.] </w:t>
      </w:r>
    </w:p>
    <w:p>
      <w:pPr>
        <w:pStyle w:val="Heading2"/>
        <w:rPr>
          <w:b w:val="0"/>
        </w:rPr>
      </w:pPr>
      <w:bookmarkStart w:id="847" w:name="_Toc162940776"/>
      <w:bookmarkStart w:id="848" w:name="_Toc162953565"/>
      <w:bookmarkStart w:id="849" w:name="_Toc163121238"/>
      <w:r>
        <w:rPr>
          <w:rStyle w:val="CharPartNo"/>
        </w:rPr>
        <w:lastRenderedPageBreak/>
        <w:t>Order 53</w:t>
      </w:r>
      <w:r>
        <w:rPr>
          <w:rStyle w:val="CharDivNo"/>
        </w:rPr>
        <w:t> </w:t>
      </w:r>
      <w:r>
        <w:t>—</w:t>
      </w:r>
      <w:r>
        <w:rPr>
          <w:rStyle w:val="CharDivText"/>
        </w:rPr>
        <w:t> </w:t>
      </w:r>
      <w:r>
        <w:rPr>
          <w:rStyle w:val="CharPartText"/>
        </w:rPr>
        <w:t>Sales of land by the Court</w:t>
      </w:r>
      <w:bookmarkEnd w:id="847"/>
      <w:bookmarkEnd w:id="848"/>
      <w:bookmarkEnd w:id="849"/>
    </w:p>
    <w:p>
      <w:pPr>
        <w:pStyle w:val="Heading5"/>
        <w:rPr>
          <w:snapToGrid w:val="0"/>
        </w:rPr>
      </w:pPr>
      <w:bookmarkStart w:id="850" w:name="_Toc163121239"/>
      <w:r>
        <w:rPr>
          <w:rStyle w:val="CharSectno"/>
        </w:rPr>
        <w:t>1</w:t>
      </w:r>
      <w:r>
        <w:rPr>
          <w:snapToGrid w:val="0"/>
        </w:rPr>
        <w:t>.</w:t>
      </w:r>
      <w:r>
        <w:rPr>
          <w:snapToGrid w:val="0"/>
        </w:rPr>
        <w:tab/>
        <w:t>Term used: land</w:t>
      </w:r>
      <w:bookmarkEnd w:id="850"/>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851" w:name="_Toc163121240"/>
      <w:r>
        <w:rPr>
          <w:rStyle w:val="CharSectno"/>
        </w:rPr>
        <w:t>2</w:t>
      </w:r>
      <w:r>
        <w:rPr>
          <w:snapToGrid w:val="0"/>
        </w:rPr>
        <w:t>.</w:t>
      </w:r>
      <w:r>
        <w:rPr>
          <w:snapToGrid w:val="0"/>
        </w:rPr>
        <w:tab/>
        <w:t>Power to order sale of land</w:t>
      </w:r>
      <w:bookmarkEnd w:id="851"/>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852" w:name="_Toc163121241"/>
      <w:r>
        <w:rPr>
          <w:rStyle w:val="CharSectno"/>
        </w:rPr>
        <w:t>3</w:t>
      </w:r>
      <w:r>
        <w:rPr>
          <w:snapToGrid w:val="0"/>
        </w:rPr>
        <w:t>.</w:t>
      </w:r>
      <w:r>
        <w:rPr>
          <w:snapToGrid w:val="0"/>
        </w:rPr>
        <w:tab/>
        <w:t>Manner of sale</w:t>
      </w:r>
      <w:bookmarkEnd w:id="852"/>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853" w:name="_Toc163121242"/>
      <w:r>
        <w:rPr>
          <w:rStyle w:val="CharSectno"/>
        </w:rPr>
        <w:t>4</w:t>
      </w:r>
      <w:r>
        <w:rPr>
          <w:snapToGrid w:val="0"/>
        </w:rPr>
        <w:t>.</w:t>
      </w:r>
      <w:r>
        <w:rPr>
          <w:snapToGrid w:val="0"/>
        </w:rPr>
        <w:tab/>
        <w:t>Directions</w:t>
      </w:r>
      <w:bookmarkEnd w:id="853"/>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 xml:space="preserve">fixing the manner of sale, that is to say, whether the sale is to be by contract conditional on the approval of the </w:t>
      </w:r>
      <w:r>
        <w:rPr>
          <w:snapToGrid w:val="0"/>
        </w:rPr>
        <w:lastRenderedPageBreak/>
        <w:t>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 xml:space="preserve">An application under </w:t>
      </w:r>
      <w:r>
        <w:t>subrule</w:t>
      </w:r>
      <w:r>
        <w:rPr>
          <w:snapToGrid w:val="0"/>
        </w:rPr>
        <w:t> (1) which is made subsequent to the order for sale may be made by summons.</w:t>
      </w:r>
    </w:p>
    <w:p>
      <w:pPr>
        <w:pStyle w:val="Footnotesection"/>
      </w:pPr>
      <w:r>
        <w:tab/>
        <w:t>[Rule 4 amended: Gazette 28 Jun 2011 p. 2552.]</w:t>
      </w:r>
    </w:p>
    <w:p>
      <w:pPr>
        <w:pStyle w:val="Heading5"/>
        <w:rPr>
          <w:snapToGrid w:val="0"/>
        </w:rPr>
      </w:pPr>
      <w:bookmarkStart w:id="854" w:name="_Toc163121243"/>
      <w:r>
        <w:rPr>
          <w:rStyle w:val="CharSectno"/>
        </w:rPr>
        <w:t>5</w:t>
      </w:r>
      <w:r>
        <w:rPr>
          <w:snapToGrid w:val="0"/>
        </w:rPr>
        <w:t>.</w:t>
      </w:r>
      <w:r>
        <w:rPr>
          <w:snapToGrid w:val="0"/>
        </w:rPr>
        <w:tab/>
        <w:t>Certificate of sale</w:t>
      </w:r>
      <w:bookmarkEnd w:id="854"/>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855" w:name="_Toc163121244"/>
      <w:r>
        <w:rPr>
          <w:rStyle w:val="CharSectno"/>
        </w:rPr>
        <w:t>6</w:t>
      </w:r>
      <w:r>
        <w:rPr>
          <w:snapToGrid w:val="0"/>
        </w:rPr>
        <w:t>.</w:t>
      </w:r>
      <w:r>
        <w:rPr>
          <w:snapToGrid w:val="0"/>
        </w:rPr>
        <w:tab/>
        <w:t>Mortgage, exchange or partition</w:t>
      </w:r>
      <w:bookmarkEnd w:id="855"/>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856" w:name="_Toc163121245"/>
      <w:r>
        <w:rPr>
          <w:rStyle w:val="CharSectno"/>
        </w:rPr>
        <w:lastRenderedPageBreak/>
        <w:t>7</w:t>
      </w:r>
      <w:r>
        <w:rPr>
          <w:snapToGrid w:val="0"/>
        </w:rPr>
        <w:t>.</w:t>
      </w:r>
      <w:r>
        <w:rPr>
          <w:snapToGrid w:val="0"/>
        </w:rPr>
        <w:tab/>
        <w:t>Reference of matters to counsel</w:t>
      </w:r>
      <w:bookmarkEnd w:id="856"/>
    </w:p>
    <w:p>
      <w:pPr>
        <w:pStyle w:val="Subsection"/>
        <w:rPr>
          <w:snapToGrid w:val="0"/>
        </w:rPr>
      </w:pPr>
      <w:r>
        <w:tab/>
        <w:t>(1)</w:t>
      </w:r>
      <w:r>
        <w:tab/>
        <w:t>The</w:t>
      </w:r>
      <w:r>
        <w:rPr>
          <w:snapToGrid w:val="0"/>
        </w:rPr>
        <w:t xml:space="preserv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 and</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Subsection"/>
      </w:pPr>
      <w:r>
        <w:tab/>
        <w:t>(2)</w:t>
      </w:r>
      <w:r>
        <w:tab/>
        <w:t>Unless the Principal Registrar has given approval for it to be filed electronically, the opinion given by counsel cannot be filed electronically.</w:t>
      </w:r>
    </w:p>
    <w:p>
      <w:pPr>
        <w:pStyle w:val="Footnotesection"/>
      </w:pPr>
      <w:r>
        <w:tab/>
        <w:t xml:space="preserve">[Rule 7 amended: Gazette 27 Feb 2018 p. 570-1.] </w:t>
      </w:r>
    </w:p>
    <w:p>
      <w:pPr>
        <w:pStyle w:val="Heading5"/>
        <w:rPr>
          <w:snapToGrid w:val="0"/>
        </w:rPr>
      </w:pPr>
      <w:bookmarkStart w:id="857" w:name="_Toc163121246"/>
      <w:r>
        <w:rPr>
          <w:rStyle w:val="CharSectno"/>
        </w:rPr>
        <w:t>8</w:t>
      </w:r>
      <w:r>
        <w:rPr>
          <w:snapToGrid w:val="0"/>
        </w:rPr>
        <w:t>.</w:t>
      </w:r>
      <w:r>
        <w:rPr>
          <w:snapToGrid w:val="0"/>
        </w:rPr>
        <w:tab/>
        <w:t>Objection to counsel’s opinion</w:t>
      </w:r>
      <w:bookmarkEnd w:id="857"/>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858" w:name="_Toc162940785"/>
      <w:bookmarkStart w:id="859" w:name="_Toc162953574"/>
      <w:bookmarkStart w:id="860" w:name="_Toc163121247"/>
      <w:r>
        <w:rPr>
          <w:rStyle w:val="CharPartNo"/>
        </w:rPr>
        <w:lastRenderedPageBreak/>
        <w:t>Order 54</w:t>
      </w:r>
      <w:r>
        <w:rPr>
          <w:rStyle w:val="CharDivNo"/>
        </w:rPr>
        <w:t> </w:t>
      </w:r>
      <w:r>
        <w:t>—</w:t>
      </w:r>
      <w:r>
        <w:rPr>
          <w:rStyle w:val="CharDivText"/>
        </w:rPr>
        <w:t> </w:t>
      </w:r>
      <w:r>
        <w:rPr>
          <w:rStyle w:val="CharPartText"/>
        </w:rPr>
        <w:t>Originating and other motions</w:t>
      </w:r>
      <w:bookmarkEnd w:id="858"/>
      <w:bookmarkEnd w:id="859"/>
      <w:bookmarkEnd w:id="860"/>
    </w:p>
    <w:p>
      <w:pPr>
        <w:pStyle w:val="Heading5"/>
        <w:rPr>
          <w:snapToGrid w:val="0"/>
        </w:rPr>
      </w:pPr>
      <w:bookmarkStart w:id="861" w:name="_Toc163121248"/>
      <w:r>
        <w:rPr>
          <w:rStyle w:val="CharSectno"/>
        </w:rPr>
        <w:t>1</w:t>
      </w:r>
      <w:r>
        <w:rPr>
          <w:snapToGrid w:val="0"/>
        </w:rPr>
        <w:t>.</w:t>
      </w:r>
      <w:r>
        <w:rPr>
          <w:snapToGrid w:val="0"/>
        </w:rPr>
        <w:tab/>
        <w:t>Application of this Order</w:t>
      </w:r>
      <w:bookmarkEnd w:id="861"/>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862" w:name="_Toc163121249"/>
      <w:r>
        <w:rPr>
          <w:rStyle w:val="CharSectno"/>
        </w:rPr>
        <w:t>2</w:t>
      </w:r>
      <w:r>
        <w:rPr>
          <w:snapToGrid w:val="0"/>
        </w:rPr>
        <w:t>.</w:t>
      </w:r>
      <w:r>
        <w:rPr>
          <w:snapToGrid w:val="0"/>
        </w:rPr>
        <w:tab/>
        <w:t>Which applications to be made by motion</w:t>
      </w:r>
      <w:bookmarkEnd w:id="862"/>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863" w:name="_Toc163121250"/>
      <w:r>
        <w:rPr>
          <w:rStyle w:val="CharSectno"/>
        </w:rPr>
        <w:t>3</w:t>
      </w:r>
      <w:r>
        <w:rPr>
          <w:snapToGrid w:val="0"/>
        </w:rPr>
        <w:t>.</w:t>
      </w:r>
      <w:r>
        <w:rPr>
          <w:snapToGrid w:val="0"/>
        </w:rPr>
        <w:tab/>
        <w:t>Notice of motion</w:t>
      </w:r>
      <w:bookmarkEnd w:id="863"/>
    </w:p>
    <w:p>
      <w:pPr>
        <w:pStyle w:val="Subsection"/>
        <w:rPr>
          <w:snapToGrid w:val="0"/>
        </w:rPr>
      </w:pPr>
      <w:r>
        <w:rPr>
          <w:snapToGrid w:val="0"/>
        </w:rPr>
        <w:tab/>
        <w:t>(1)</w:t>
      </w:r>
      <w:r>
        <w:rPr>
          <w:snapToGrid w:val="0"/>
        </w:rPr>
        <w:tab/>
        <w:t xml:space="preserve">Except where an application by motion may properly be made </w:t>
      </w:r>
      <w:r>
        <w:rPr>
          <w:i/>
          <w:snapToGrid w:val="0"/>
        </w:rPr>
        <w:t>ex parte</w:t>
      </w:r>
      <w:r>
        <w:rPr>
          <w:snapToGrid w:val="0"/>
        </w:rPr>
        <w:t xml:space="preserve">, a motion shall not be made without previous notice to the party to be affected thereby, but the Court, if satisfied that the delay caused by giving notice would or might entail irreparable or serious mischief, may make an order </w:t>
      </w:r>
      <w:r>
        <w:rPr>
          <w:i/>
          <w:snapToGrid w:val="0"/>
        </w:rPr>
        <w:t>ex parte</w:t>
      </w:r>
      <w:r>
        <w:rPr>
          <w:snapToGrid w:val="0"/>
        </w:rPr>
        <w:t xml:space="preserv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864" w:name="_Toc163121251"/>
      <w:r>
        <w:rPr>
          <w:rStyle w:val="CharSectno"/>
        </w:rPr>
        <w:t>4</w:t>
      </w:r>
      <w:r>
        <w:rPr>
          <w:snapToGrid w:val="0"/>
        </w:rPr>
        <w:t>.</w:t>
      </w:r>
      <w:r>
        <w:rPr>
          <w:snapToGrid w:val="0"/>
        </w:rPr>
        <w:tab/>
        <w:t>Time of notice of motion</w:t>
      </w:r>
      <w:bookmarkEnd w:id="864"/>
    </w:p>
    <w:p>
      <w:pPr>
        <w:pStyle w:val="Subsection"/>
        <w:rPr>
          <w:snapToGrid w:val="0"/>
        </w:rPr>
      </w:pPr>
      <w:r>
        <w:rPr>
          <w:snapToGrid w:val="0"/>
        </w:rPr>
        <w:tab/>
      </w:r>
      <w:r>
        <w:rPr>
          <w:snapToGrid w:val="0"/>
        </w:rPr>
        <w:tab/>
        <w:t xml:space="preserve">Unless upon application, which may be made </w:t>
      </w:r>
      <w:r>
        <w:rPr>
          <w:i/>
          <w:snapToGrid w:val="0"/>
        </w:rPr>
        <w:t>ex parte</w:t>
      </w:r>
      <w:r>
        <w:rPr>
          <w:snapToGrid w:val="0"/>
        </w:rPr>
        <w:t>, the Court otherwise orders, there must be at least 2 clear days between the service of a notice of motion and the day named in the notice for hearing the motion.</w:t>
      </w:r>
    </w:p>
    <w:p>
      <w:pPr>
        <w:pStyle w:val="Heading5"/>
        <w:rPr>
          <w:snapToGrid w:val="0"/>
        </w:rPr>
      </w:pPr>
      <w:bookmarkStart w:id="865" w:name="_Toc163121252"/>
      <w:r>
        <w:rPr>
          <w:rStyle w:val="CharSectno"/>
        </w:rPr>
        <w:t>5</w:t>
      </w:r>
      <w:r>
        <w:rPr>
          <w:snapToGrid w:val="0"/>
        </w:rPr>
        <w:t>.</w:t>
      </w:r>
      <w:r>
        <w:rPr>
          <w:snapToGrid w:val="0"/>
        </w:rPr>
        <w:tab/>
        <w:t>Form of notice of motion</w:t>
      </w:r>
      <w:bookmarkEnd w:id="865"/>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lastRenderedPageBreak/>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866" w:name="_Toc163121253"/>
      <w:r>
        <w:rPr>
          <w:rStyle w:val="CharSectno"/>
        </w:rPr>
        <w:t>6</w:t>
      </w:r>
      <w:r>
        <w:rPr>
          <w:snapToGrid w:val="0"/>
        </w:rPr>
        <w:t>.</w:t>
      </w:r>
      <w:r>
        <w:rPr>
          <w:snapToGrid w:val="0"/>
        </w:rPr>
        <w:tab/>
        <w:t>Issue of notice of motion</w:t>
      </w:r>
      <w:bookmarkEnd w:id="866"/>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867" w:name="_Toc163121254"/>
      <w:r>
        <w:rPr>
          <w:rStyle w:val="CharSectno"/>
        </w:rPr>
        <w:t>7</w:t>
      </w:r>
      <w:r>
        <w:rPr>
          <w:snapToGrid w:val="0"/>
        </w:rPr>
        <w:t>.</w:t>
      </w:r>
      <w:r>
        <w:rPr>
          <w:snapToGrid w:val="0"/>
        </w:rPr>
        <w:tab/>
        <w:t>Service of notice of motion with writ etc.</w:t>
      </w:r>
      <w:bookmarkEnd w:id="867"/>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868" w:name="_Toc163121255"/>
      <w:r>
        <w:rPr>
          <w:rStyle w:val="CharSectno"/>
        </w:rPr>
        <w:t>8</w:t>
      </w:r>
      <w:r>
        <w:rPr>
          <w:snapToGrid w:val="0"/>
        </w:rPr>
        <w:t>.</w:t>
      </w:r>
      <w:r>
        <w:rPr>
          <w:snapToGrid w:val="0"/>
        </w:rPr>
        <w:tab/>
        <w:t>Adjournment etc.</w:t>
      </w:r>
      <w:bookmarkEnd w:id="868"/>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Gazette 9 Nov 1973 p. 4164.] </w:t>
      </w:r>
    </w:p>
    <w:p>
      <w:pPr>
        <w:pStyle w:val="Heading2"/>
        <w:rPr>
          <w:b w:val="0"/>
        </w:rPr>
      </w:pPr>
      <w:bookmarkStart w:id="869" w:name="_Toc162940794"/>
      <w:bookmarkStart w:id="870" w:name="_Toc162953583"/>
      <w:bookmarkStart w:id="871" w:name="_Toc163121256"/>
      <w:r>
        <w:rPr>
          <w:rStyle w:val="CharPartNo"/>
        </w:rPr>
        <w:lastRenderedPageBreak/>
        <w:t>Order 55</w:t>
      </w:r>
      <w:r>
        <w:rPr>
          <w:rStyle w:val="CharDivNo"/>
        </w:rPr>
        <w:t> </w:t>
      </w:r>
      <w:r>
        <w:t>—</w:t>
      </w:r>
      <w:r>
        <w:rPr>
          <w:rStyle w:val="CharDivText"/>
        </w:rPr>
        <w:t> </w:t>
      </w:r>
      <w:r>
        <w:rPr>
          <w:rStyle w:val="CharPartText"/>
        </w:rPr>
        <w:t>Committal and attachment</w:t>
      </w:r>
      <w:bookmarkEnd w:id="869"/>
      <w:bookmarkEnd w:id="870"/>
      <w:bookmarkEnd w:id="871"/>
    </w:p>
    <w:p>
      <w:pPr>
        <w:pStyle w:val="Heading5"/>
        <w:rPr>
          <w:snapToGrid w:val="0"/>
        </w:rPr>
      </w:pPr>
      <w:bookmarkStart w:id="872" w:name="_Toc163121257"/>
      <w:r>
        <w:rPr>
          <w:rStyle w:val="CharSectno"/>
        </w:rPr>
        <w:t>1</w:t>
      </w:r>
      <w:r>
        <w:rPr>
          <w:snapToGrid w:val="0"/>
        </w:rPr>
        <w:t>.</w:t>
      </w:r>
      <w:r>
        <w:rPr>
          <w:snapToGrid w:val="0"/>
        </w:rPr>
        <w:tab/>
        <w:t>Term used: contemnor</w:t>
      </w:r>
      <w:bookmarkEnd w:id="872"/>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873" w:name="_Toc163121258"/>
      <w:r>
        <w:rPr>
          <w:rStyle w:val="CharSectno"/>
        </w:rPr>
        <w:t>2</w:t>
      </w:r>
      <w:r>
        <w:t>.</w:t>
      </w:r>
      <w:r>
        <w:tab/>
        <w:t>Committal for contempt of court</w:t>
      </w:r>
      <w:bookmarkEnd w:id="873"/>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Gazette 29 Apr 2005 p. 1792.]</w:t>
      </w:r>
    </w:p>
    <w:p>
      <w:pPr>
        <w:pStyle w:val="Heading5"/>
        <w:rPr>
          <w:snapToGrid w:val="0"/>
        </w:rPr>
      </w:pPr>
      <w:bookmarkStart w:id="874" w:name="_Toc163121259"/>
      <w:r>
        <w:rPr>
          <w:rStyle w:val="CharSectno"/>
        </w:rPr>
        <w:t>3</w:t>
      </w:r>
      <w:r>
        <w:rPr>
          <w:snapToGrid w:val="0"/>
        </w:rPr>
        <w:t>.</w:t>
      </w:r>
      <w:r>
        <w:rPr>
          <w:snapToGrid w:val="0"/>
        </w:rPr>
        <w:tab/>
        <w:t>Contempt in face of Court</w:t>
      </w:r>
      <w:bookmarkEnd w:id="874"/>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 and</w:t>
      </w:r>
    </w:p>
    <w:p>
      <w:pPr>
        <w:pStyle w:val="Indenta"/>
        <w:rPr>
          <w:snapToGrid w:val="0"/>
        </w:rPr>
      </w:pPr>
      <w:r>
        <w:rPr>
          <w:snapToGrid w:val="0"/>
        </w:rPr>
        <w:tab/>
        <w:t>(b)</w:t>
      </w:r>
      <w:r>
        <w:rPr>
          <w:snapToGrid w:val="0"/>
        </w:rPr>
        <w:tab/>
        <w:t>require him to make his defence to the charge; and</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keepNext/>
        <w:rPr>
          <w:snapToGrid w:val="0"/>
        </w:rPr>
      </w:pPr>
      <w:r>
        <w:rPr>
          <w:snapToGrid w:val="0"/>
        </w:rPr>
        <w:lastRenderedPageBreak/>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875" w:name="_Toc163121260"/>
      <w:r>
        <w:rPr>
          <w:rStyle w:val="CharSectno"/>
        </w:rPr>
        <w:t>4</w:t>
      </w:r>
      <w:r>
        <w:rPr>
          <w:snapToGrid w:val="0"/>
        </w:rPr>
        <w:t>.</w:t>
      </w:r>
      <w:r>
        <w:rPr>
          <w:snapToGrid w:val="0"/>
        </w:rPr>
        <w:tab/>
        <w:t>Other cases of contempt</w:t>
      </w:r>
      <w:bookmarkEnd w:id="875"/>
    </w:p>
    <w:p>
      <w:pPr>
        <w:pStyle w:val="Subsection"/>
        <w:rPr>
          <w:snapToGrid w:val="0"/>
        </w:rPr>
      </w:pPr>
      <w:r>
        <w:rPr>
          <w:snapToGrid w:val="0"/>
        </w:rPr>
        <w:tab/>
        <w:t>(1)</w:t>
      </w:r>
      <w:r>
        <w:rPr>
          <w:snapToGrid w:val="0"/>
        </w:rPr>
        <w:tab/>
        <w:t xml:space="preserve">In a case to which </w:t>
      </w:r>
      <w:r>
        <w:t xml:space="preserve">rule 3 </w:t>
      </w:r>
      <w:r>
        <w:rPr>
          <w:snapToGrid w:val="0"/>
        </w:rPr>
        <w:t xml:space="preserve">does not apply, and subject to </w:t>
      </w:r>
      <w:r>
        <w:t>subrule</w:t>
      </w:r>
      <w:r>
        <w:rPr>
          <w:snapToGrid w:val="0"/>
        </w:rPr>
        <w:t>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Footnotesection"/>
      </w:pPr>
      <w:r>
        <w:tab/>
        <w:t>[Rule 4 amended: Gazette 28 Jun 2011 p. 2552 and 2554.]</w:t>
      </w:r>
    </w:p>
    <w:p>
      <w:pPr>
        <w:pStyle w:val="Heading5"/>
        <w:rPr>
          <w:snapToGrid w:val="0"/>
        </w:rPr>
      </w:pPr>
      <w:bookmarkStart w:id="876" w:name="_Toc163121261"/>
      <w:r>
        <w:rPr>
          <w:rStyle w:val="CharSectno"/>
        </w:rPr>
        <w:t>5</w:t>
      </w:r>
      <w:r>
        <w:rPr>
          <w:snapToGrid w:val="0"/>
        </w:rPr>
        <w:t>.</w:t>
      </w:r>
      <w:r>
        <w:rPr>
          <w:snapToGrid w:val="0"/>
        </w:rPr>
        <w:tab/>
        <w:t>Form and service of notice or summons</w:t>
      </w:r>
      <w:bookmarkEnd w:id="876"/>
    </w:p>
    <w:p>
      <w:pPr>
        <w:pStyle w:val="Subsection"/>
        <w:rPr>
          <w:snapToGrid w:val="0"/>
        </w:rPr>
      </w:pPr>
      <w:r>
        <w:rPr>
          <w:snapToGrid w:val="0"/>
        </w:rPr>
        <w:tab/>
        <w:t>(1)</w:t>
      </w:r>
      <w:r>
        <w:rPr>
          <w:snapToGrid w:val="0"/>
        </w:rPr>
        <w:tab/>
        <w:t xml:space="preserve">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w:t>
      </w:r>
      <w:r>
        <w:rPr>
          <w:i/>
          <w:snapToGrid w:val="0"/>
        </w:rPr>
        <w:t>ex parte</w:t>
      </w:r>
      <w:r>
        <w:rPr>
          <w:snapToGrid w:val="0"/>
        </w:rPr>
        <w:t xml:space="preserv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r>
        <w:tab/>
        <w:t xml:space="preserve">[Rule 5 amended: Gazette 19 Apr 2005 p. 1299.] </w:t>
      </w:r>
    </w:p>
    <w:p>
      <w:pPr>
        <w:pStyle w:val="Heading5"/>
        <w:rPr>
          <w:snapToGrid w:val="0"/>
        </w:rPr>
      </w:pPr>
      <w:bookmarkStart w:id="877" w:name="_Toc163121262"/>
      <w:r>
        <w:rPr>
          <w:rStyle w:val="CharSectno"/>
        </w:rPr>
        <w:lastRenderedPageBreak/>
        <w:t>6</w:t>
      </w:r>
      <w:r>
        <w:rPr>
          <w:snapToGrid w:val="0"/>
        </w:rPr>
        <w:t>.</w:t>
      </w:r>
      <w:r>
        <w:rPr>
          <w:snapToGrid w:val="0"/>
        </w:rPr>
        <w:tab/>
        <w:t>Arresting contemnors</w:t>
      </w:r>
      <w:bookmarkEnd w:id="877"/>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878" w:name="_Toc163121263"/>
      <w:r>
        <w:rPr>
          <w:rStyle w:val="CharSectno"/>
        </w:rPr>
        <w:t>7</w:t>
      </w:r>
      <w:r>
        <w:rPr>
          <w:snapToGrid w:val="0"/>
        </w:rPr>
        <w:t>.</w:t>
      </w:r>
      <w:r>
        <w:rPr>
          <w:snapToGrid w:val="0"/>
        </w:rPr>
        <w:tab/>
        <w:t>Punishing contemnors</w:t>
      </w:r>
      <w:bookmarkEnd w:id="878"/>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rPr>
          <w:snapToGrid w:val="0"/>
        </w:rPr>
      </w:pPr>
      <w:bookmarkStart w:id="879" w:name="_Toc163121264"/>
      <w:r>
        <w:rPr>
          <w:rStyle w:val="CharSectno"/>
        </w:rPr>
        <w:t>8</w:t>
      </w:r>
      <w:r>
        <w:rPr>
          <w:snapToGrid w:val="0"/>
        </w:rPr>
        <w:t>.</w:t>
      </w:r>
      <w:r>
        <w:rPr>
          <w:snapToGrid w:val="0"/>
        </w:rPr>
        <w:tab/>
        <w:t>Execution of committal order may be suspended</w:t>
      </w:r>
      <w:bookmarkEnd w:id="879"/>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880" w:name="_Toc163121265"/>
      <w:r>
        <w:rPr>
          <w:rStyle w:val="CharSectno"/>
        </w:rPr>
        <w:lastRenderedPageBreak/>
        <w:t>9</w:t>
      </w:r>
      <w:r>
        <w:rPr>
          <w:snapToGrid w:val="0"/>
        </w:rPr>
        <w:t>.</w:t>
      </w:r>
      <w:r>
        <w:rPr>
          <w:snapToGrid w:val="0"/>
        </w:rPr>
        <w:tab/>
        <w:t>Discharge from committal</w:t>
      </w:r>
      <w:bookmarkEnd w:id="880"/>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Gazette 14 Dec 1979 p. 3870.] </w:t>
      </w:r>
    </w:p>
    <w:p>
      <w:pPr>
        <w:pStyle w:val="Heading5"/>
        <w:rPr>
          <w:snapToGrid w:val="0"/>
        </w:rPr>
      </w:pPr>
      <w:bookmarkStart w:id="881" w:name="_Toc163121266"/>
      <w:r>
        <w:rPr>
          <w:rStyle w:val="CharSectno"/>
        </w:rPr>
        <w:t>10</w:t>
      </w:r>
      <w:r>
        <w:rPr>
          <w:snapToGrid w:val="0"/>
        </w:rPr>
        <w:t>.</w:t>
      </w:r>
      <w:r>
        <w:rPr>
          <w:snapToGrid w:val="0"/>
        </w:rPr>
        <w:tab/>
        <w:t>Saving for other powers</w:t>
      </w:r>
      <w:bookmarkEnd w:id="881"/>
    </w:p>
    <w:p>
      <w:pPr>
        <w:pStyle w:val="Subsection"/>
        <w:rPr>
          <w:snapToGrid w:val="0"/>
        </w:rPr>
      </w:pPr>
      <w:r>
        <w:rPr>
          <w:snapToGrid w:val="0"/>
        </w:rPr>
        <w:tab/>
        <w:t>(1)</w:t>
      </w:r>
      <w:r>
        <w:rPr>
          <w:snapToGrid w:val="0"/>
        </w:rPr>
        <w:tab/>
        <w:t xml:space="preserve">Nothing in </w:t>
      </w:r>
      <w:r>
        <w:t xml:space="preserve">rules 1 to 9 </w:t>
      </w:r>
      <w:r>
        <w:rPr>
          <w:snapToGrid w:val="0"/>
        </w:rPr>
        <w:t>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Footnotesection"/>
      </w:pPr>
      <w:r>
        <w:tab/>
        <w:t>[Rule 10 amended: Gazette 28 Jun 2011 p. 2554.]</w:t>
      </w:r>
    </w:p>
    <w:p>
      <w:pPr>
        <w:pStyle w:val="Heading5"/>
        <w:rPr>
          <w:snapToGrid w:val="0"/>
        </w:rPr>
      </w:pPr>
      <w:bookmarkStart w:id="882" w:name="_Toc163121267"/>
      <w:r>
        <w:rPr>
          <w:rStyle w:val="CharSectno"/>
        </w:rPr>
        <w:t>11</w:t>
      </w:r>
      <w:r>
        <w:rPr>
          <w:snapToGrid w:val="0"/>
        </w:rPr>
        <w:t>.</w:t>
      </w:r>
      <w:r>
        <w:rPr>
          <w:snapToGrid w:val="0"/>
        </w:rPr>
        <w:tab/>
        <w:t>Court may make peremptory order in first instance</w:t>
      </w:r>
      <w:bookmarkEnd w:id="882"/>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Gazette 9 Nov 1973 p. 4164.] </w:t>
      </w:r>
    </w:p>
    <w:p>
      <w:pPr>
        <w:pStyle w:val="Heading5"/>
        <w:rPr>
          <w:snapToGrid w:val="0"/>
        </w:rPr>
      </w:pPr>
      <w:bookmarkStart w:id="883" w:name="_Toc163121268"/>
      <w:r>
        <w:rPr>
          <w:rStyle w:val="CharSectno"/>
        </w:rPr>
        <w:lastRenderedPageBreak/>
        <w:t>12</w:t>
      </w:r>
      <w:r>
        <w:rPr>
          <w:snapToGrid w:val="0"/>
        </w:rPr>
        <w:t>.</w:t>
      </w:r>
      <w:r>
        <w:rPr>
          <w:snapToGrid w:val="0"/>
        </w:rPr>
        <w:tab/>
        <w:t>Application of r. 6 to 9 to attachment etc.</w:t>
      </w:r>
      <w:bookmarkEnd w:id="883"/>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884" w:name="_Toc162940807"/>
      <w:bookmarkStart w:id="885" w:name="_Toc162953596"/>
      <w:bookmarkStart w:id="886" w:name="_Toc163121269"/>
      <w:r>
        <w:rPr>
          <w:rStyle w:val="CharPartNo"/>
        </w:rPr>
        <w:lastRenderedPageBreak/>
        <w:t>Order 56</w:t>
      </w:r>
      <w:r>
        <w:rPr>
          <w:b w:val="0"/>
        </w:rPr>
        <w:t> </w:t>
      </w:r>
      <w:r>
        <w:t>—</w:t>
      </w:r>
      <w:r>
        <w:rPr>
          <w:b w:val="0"/>
        </w:rPr>
        <w:t> </w:t>
      </w:r>
      <w:r>
        <w:rPr>
          <w:rStyle w:val="CharPartText"/>
        </w:rPr>
        <w:t>Judicial review</w:t>
      </w:r>
      <w:bookmarkEnd w:id="884"/>
      <w:bookmarkEnd w:id="885"/>
      <w:bookmarkEnd w:id="886"/>
    </w:p>
    <w:p>
      <w:pPr>
        <w:pStyle w:val="Footnoteheading"/>
      </w:pPr>
      <w:r>
        <w:tab/>
        <w:t>[Heading inserted: Gazette 17 Dec 2013 p. 6231.]</w:t>
      </w:r>
    </w:p>
    <w:p>
      <w:pPr>
        <w:pStyle w:val="Heading3"/>
      </w:pPr>
      <w:bookmarkStart w:id="887" w:name="_Toc162940808"/>
      <w:bookmarkStart w:id="888" w:name="_Toc162953597"/>
      <w:bookmarkStart w:id="889" w:name="_Toc163121270"/>
      <w:r>
        <w:rPr>
          <w:rStyle w:val="CharDivNo"/>
        </w:rPr>
        <w:t>Division 1</w:t>
      </w:r>
      <w:r>
        <w:t> — </w:t>
      </w:r>
      <w:r>
        <w:rPr>
          <w:rStyle w:val="CharDivText"/>
        </w:rPr>
        <w:t>General</w:t>
      </w:r>
      <w:bookmarkEnd w:id="887"/>
      <w:bookmarkEnd w:id="888"/>
      <w:bookmarkEnd w:id="889"/>
    </w:p>
    <w:p>
      <w:pPr>
        <w:pStyle w:val="Footnoteheading"/>
      </w:pPr>
      <w:r>
        <w:tab/>
        <w:t>[Heading inserted: Gazette 21 Feb 2007 p. 559.]</w:t>
      </w:r>
    </w:p>
    <w:p>
      <w:pPr>
        <w:pStyle w:val="Heading5"/>
      </w:pPr>
      <w:bookmarkStart w:id="890" w:name="_Toc163121271"/>
      <w:r>
        <w:rPr>
          <w:rStyle w:val="CharSectno"/>
        </w:rPr>
        <w:t>1</w:t>
      </w:r>
      <w:r>
        <w:t>.</w:t>
      </w:r>
      <w:r>
        <w:tab/>
        <w:t>Terms used</w:t>
      </w:r>
      <w:bookmarkEnd w:id="890"/>
    </w:p>
    <w:p>
      <w:pPr>
        <w:pStyle w:val="Subsection"/>
      </w:pPr>
      <w:r>
        <w:tab/>
        <w:t>(1)</w:t>
      </w:r>
      <w:r>
        <w:tab/>
        <w:t>In this Order, unless the contrary intention appears —</w:t>
      </w:r>
    </w:p>
    <w:p>
      <w:pPr>
        <w:pStyle w:val="Defstart"/>
      </w:pPr>
      <w:r>
        <w:tab/>
      </w:r>
      <w:r>
        <w:rPr>
          <w:rStyle w:val="CharDefText"/>
        </w:rPr>
        <w:t>application</w:t>
      </w:r>
      <w:r>
        <w:t xml:space="preserve"> means an application for judicial review of a reviewable decision or of reviewable conduct;</w:t>
      </w:r>
    </w:p>
    <w:p>
      <w:pPr>
        <w:pStyle w:val="Defstart"/>
      </w:pPr>
      <w:r>
        <w:tab/>
      </w:r>
      <w:r>
        <w:rPr>
          <w:rStyle w:val="CharDefText"/>
        </w:rPr>
        <w:t xml:space="preserve">challenged conduct </w:t>
      </w:r>
      <w:r>
        <w:t>means reviewable conduct in respect of which an application is made;</w:t>
      </w:r>
    </w:p>
    <w:p>
      <w:pPr>
        <w:pStyle w:val="Defstart"/>
      </w:pPr>
      <w:r>
        <w:tab/>
      </w:r>
      <w:r>
        <w:rPr>
          <w:rStyle w:val="CharDefText"/>
        </w:rPr>
        <w:t>challenged decision</w:t>
      </w:r>
      <w:r>
        <w:t xml:space="preserve"> means a reviewable decision in respect of which an application is made;</w:t>
      </w:r>
    </w:p>
    <w:p>
      <w:pPr>
        <w:pStyle w:val="Defstart"/>
      </w:pPr>
      <w:r>
        <w:tab/>
      </w:r>
      <w:r>
        <w:rPr>
          <w:rStyle w:val="CharDefText"/>
        </w:rPr>
        <w:t>conduct</w:t>
      </w:r>
      <w:r>
        <w:t xml:space="preserve"> includes any act and any omission;</w:t>
      </w:r>
    </w:p>
    <w:p>
      <w:pPr>
        <w:pStyle w:val="Defstart"/>
      </w:pPr>
      <w:r>
        <w:tab/>
      </w:r>
      <w:r>
        <w:rPr>
          <w:rStyle w:val="CharDefText"/>
        </w:rPr>
        <w:t>limitation period</w:t>
      </w:r>
      <w:r>
        <w:t xml:space="preserve"> — </w:t>
      </w:r>
    </w:p>
    <w:p>
      <w:pPr>
        <w:pStyle w:val="Defpara"/>
      </w:pPr>
      <w:r>
        <w:tab/>
        <w:t>(a)</w:t>
      </w:r>
      <w:r>
        <w:tab/>
        <w:t>for an application for judicial review of a reviewable decision, means 6 months after the later of —</w:t>
      </w:r>
    </w:p>
    <w:p>
      <w:pPr>
        <w:pStyle w:val="Defsubpara"/>
      </w:pPr>
      <w:r>
        <w:tab/>
        <w:t>(i)</w:t>
      </w:r>
      <w:r>
        <w:tab/>
        <w:t>the date on which the decision is made; or</w:t>
      </w:r>
    </w:p>
    <w:p>
      <w:pPr>
        <w:pStyle w:val="Defsubpara"/>
      </w:pPr>
      <w:r>
        <w:tab/>
        <w:t>(ii)</w:t>
      </w:r>
      <w:r>
        <w:tab/>
        <w:t>the date on which the applicant became aware of it;</w:t>
      </w:r>
    </w:p>
    <w:p>
      <w:pPr>
        <w:pStyle w:val="Defpara"/>
      </w:pPr>
      <w:r>
        <w:tab/>
        <w:t>(b)</w:t>
      </w:r>
      <w:r>
        <w:tab/>
        <w:t>for an application for judicial review of reviewable conduct, other than a failure to make a decision, means 6 months after the later of —</w:t>
      </w:r>
    </w:p>
    <w:p>
      <w:pPr>
        <w:pStyle w:val="Defsubpara"/>
      </w:pPr>
      <w:r>
        <w:tab/>
        <w:t>(i)</w:t>
      </w:r>
      <w:r>
        <w:tab/>
        <w:t>the date on which the conduct occurred; or</w:t>
      </w:r>
    </w:p>
    <w:p>
      <w:pPr>
        <w:pStyle w:val="Defsubpara"/>
      </w:pPr>
      <w:r>
        <w:tab/>
        <w:t>(ii)</w:t>
      </w:r>
      <w:r>
        <w:tab/>
        <w:t>the date on which an applicant became aware of it,</w:t>
      </w:r>
    </w:p>
    <w:p>
      <w:pPr>
        <w:pStyle w:val="Defstart"/>
      </w:pPr>
      <w:r>
        <w:tab/>
        <w:t>unless a written law sets a different period, in which case it means that period;</w:t>
      </w:r>
    </w:p>
    <w:p>
      <w:pPr>
        <w:pStyle w:val="Defstart"/>
      </w:pPr>
      <w:r>
        <w:tab/>
      </w:r>
      <w:r>
        <w:rPr>
          <w:rStyle w:val="CharDefText"/>
        </w:rPr>
        <w:t>remedy</w:t>
      </w:r>
      <w:r>
        <w:t xml:space="preserve"> includes relief;</w:t>
      </w:r>
    </w:p>
    <w:p>
      <w:pPr>
        <w:pStyle w:val="Defstart"/>
      </w:pPr>
      <w:r>
        <w:lastRenderedPageBreak/>
        <w:tab/>
      </w:r>
      <w:r>
        <w:rPr>
          <w:rStyle w:val="CharDefText"/>
        </w:rPr>
        <w:t>reviewable conduct</w:t>
      </w:r>
      <w:r>
        <w:t xml:space="preserve"> means any conduct, including conduct for the purpose of making a decision and a failure to make a decision, that the Court, under the common law or in equity, has jurisdiction to review and to grant relief in respect of by way of a writ, a declaration or an injunction;</w:t>
      </w:r>
    </w:p>
    <w:p>
      <w:pPr>
        <w:pStyle w:val="Defstart"/>
      </w:pPr>
      <w:r>
        <w:tab/>
      </w:r>
      <w:r>
        <w:rPr>
          <w:rStyle w:val="CharDefText"/>
        </w:rPr>
        <w:t>reviewable decision</w:t>
      </w:r>
      <w:r>
        <w:t xml:space="preserve"> means any decision that the Court, under the common law or in equity, has jurisdiction to review and to grant relief in respect of by way of a writ, a declaration or an injunction;</w:t>
      </w:r>
    </w:p>
    <w:p>
      <w:pPr>
        <w:pStyle w:val="Defstart"/>
      </w:pPr>
      <w:r>
        <w:tab/>
      </w:r>
      <w:r>
        <w:rPr>
          <w:rStyle w:val="CharDefText"/>
        </w:rPr>
        <w:t>writ</w:t>
      </w:r>
      <w:r>
        <w:t xml:space="preserve"> means a writ of certiorari, mandamus, prohibition or </w:t>
      </w:r>
      <w:r>
        <w:rPr>
          <w:i/>
        </w:rPr>
        <w:t>procedendo</w:t>
      </w:r>
      <w:r>
        <w:t xml:space="preserve"> or an information of </w:t>
      </w:r>
      <w:r>
        <w:rPr>
          <w:i/>
        </w:rPr>
        <w:t>quo warranto</w:t>
      </w:r>
      <w:r>
        <w:t>.</w:t>
      </w:r>
    </w:p>
    <w:p>
      <w:pPr>
        <w:pStyle w:val="Subsection"/>
      </w:pPr>
      <w:r>
        <w:tab/>
        <w:t>(2)</w:t>
      </w:r>
      <w:r>
        <w:tab/>
        <w:t xml:space="preserve">For the purposes of paragraph (a) of the definition of </w:t>
      </w:r>
      <w:r>
        <w:rPr>
          <w:b/>
          <w:i/>
        </w:rPr>
        <w:t>limitation period</w:t>
      </w:r>
      <w:r>
        <w:t xml:space="preserve"> in subrule (1), it does not matter if on the relevant date the reviewable decision is not or had not been extracted or given in writing.</w:t>
      </w:r>
    </w:p>
    <w:p>
      <w:pPr>
        <w:pStyle w:val="Footnotesection"/>
      </w:pPr>
      <w:r>
        <w:tab/>
        <w:t>[Rule 1 inserted: Gazette 17 Dec 2013 p. 6232</w:t>
      </w:r>
      <w:r>
        <w:noBreakHyphen/>
        <w:t>3.]</w:t>
      </w:r>
    </w:p>
    <w:p>
      <w:pPr>
        <w:pStyle w:val="Heading5"/>
      </w:pPr>
      <w:bookmarkStart w:id="891" w:name="_Toc163121272"/>
      <w:r>
        <w:rPr>
          <w:rStyle w:val="CharSectno"/>
        </w:rPr>
        <w:t>2</w:t>
      </w:r>
      <w:r>
        <w:t>.</w:t>
      </w:r>
      <w:r>
        <w:tab/>
        <w:t>Making an application</w:t>
      </w:r>
      <w:bookmarkEnd w:id="891"/>
    </w:p>
    <w:p>
      <w:pPr>
        <w:pStyle w:val="Subsection"/>
      </w:pPr>
      <w:r>
        <w:tab/>
        <w:t>(1)</w:t>
      </w:r>
      <w:r>
        <w:tab/>
        <w:t>To make an application, a person must file an application in Form No. 67A.</w:t>
      </w:r>
    </w:p>
    <w:p>
      <w:pPr>
        <w:pStyle w:val="Subsection"/>
      </w:pPr>
      <w:r>
        <w:tab/>
        <w:t>(2)</w:t>
      </w:r>
      <w:r>
        <w:tab/>
        <w:t>In one application a person may apply for any or a combination of these remedies —</w:t>
      </w:r>
    </w:p>
    <w:p>
      <w:pPr>
        <w:pStyle w:val="Indenta"/>
      </w:pPr>
      <w:r>
        <w:tab/>
        <w:t>(a)</w:t>
      </w:r>
      <w:r>
        <w:tab/>
        <w:t>one or more writs;</w:t>
      </w:r>
    </w:p>
    <w:p>
      <w:pPr>
        <w:pStyle w:val="Indenta"/>
      </w:pPr>
      <w:r>
        <w:tab/>
        <w:t>(b)</w:t>
      </w:r>
      <w:r>
        <w:tab/>
        <w:t>either a declaration or an injunction or both;</w:t>
      </w:r>
    </w:p>
    <w:p>
      <w:pPr>
        <w:pStyle w:val="Indenta"/>
      </w:pPr>
      <w:r>
        <w:tab/>
        <w:t>(c)</w:t>
      </w:r>
      <w:r>
        <w:tab/>
        <w:t>an order having the same effect as a remedy that could be provided by means of a writ.</w:t>
      </w:r>
    </w:p>
    <w:p>
      <w:pPr>
        <w:pStyle w:val="Subsection"/>
      </w:pPr>
      <w:r>
        <w:tab/>
        <w:t>(3A)</w:t>
      </w:r>
      <w:r>
        <w:tab/>
        <w:t xml:space="preserve">An application must, in accordance with Order 71A, state — </w:t>
      </w:r>
    </w:p>
    <w:p>
      <w:pPr>
        <w:pStyle w:val="Indenta"/>
      </w:pPr>
      <w:r>
        <w:tab/>
        <w:t>(a)</w:t>
      </w:r>
      <w:r>
        <w:tab/>
        <w:t>the applicant’s geographical address; and</w:t>
      </w:r>
    </w:p>
    <w:p>
      <w:pPr>
        <w:pStyle w:val="Indenta"/>
      </w:pPr>
      <w:r>
        <w:tab/>
        <w:t>(b)</w:t>
      </w:r>
      <w:r>
        <w:tab/>
        <w:t>the applicant’s service details.</w:t>
      </w:r>
    </w:p>
    <w:p>
      <w:pPr>
        <w:pStyle w:val="Subsection"/>
      </w:pPr>
      <w:r>
        <w:tab/>
        <w:t>(3)</w:t>
      </w:r>
      <w:r>
        <w:tab/>
        <w:t>An application must state the grounds on which it is made.</w:t>
      </w:r>
    </w:p>
    <w:p>
      <w:pPr>
        <w:pStyle w:val="Subsection"/>
        <w:keepNext/>
      </w:pPr>
      <w:r>
        <w:lastRenderedPageBreak/>
        <w:tab/>
        <w:t>(4)</w:t>
      </w:r>
      <w:r>
        <w:tab/>
        <w:t>If an application is made outside the limitation period for the application —</w:t>
      </w:r>
    </w:p>
    <w:p>
      <w:pPr>
        <w:pStyle w:val="Indenta"/>
      </w:pPr>
      <w:r>
        <w:tab/>
        <w:t>(a)</w:t>
      </w:r>
      <w:r>
        <w:tab/>
        <w:t>the application must include an application for leave to proceed with the application; and</w:t>
      </w:r>
    </w:p>
    <w:p>
      <w:pPr>
        <w:pStyle w:val="Indenta"/>
      </w:pPr>
      <w:r>
        <w:tab/>
        <w:t>(b)</w:t>
      </w:r>
      <w:r>
        <w:tab/>
        <w:t>the applicant must file an affidavit explaining why the application was not made within the limitation period.</w:t>
      </w:r>
    </w:p>
    <w:p>
      <w:pPr>
        <w:pStyle w:val="Footnotesection"/>
      </w:pPr>
      <w:r>
        <w:tab/>
        <w:t>[Rule 2 inserted: Gazette 17 Dec 2013 p. 6233; amended: Gazette 13 Nov 2015 p. 4645.]</w:t>
      </w:r>
    </w:p>
    <w:p>
      <w:pPr>
        <w:pStyle w:val="Heading5"/>
      </w:pPr>
      <w:bookmarkStart w:id="892" w:name="_Toc163121273"/>
      <w:r>
        <w:rPr>
          <w:rStyle w:val="CharSectno"/>
        </w:rPr>
        <w:t>3</w:t>
      </w:r>
      <w:r>
        <w:t>.</w:t>
      </w:r>
      <w:r>
        <w:tab/>
        <w:t>Serving an application</w:t>
      </w:r>
      <w:bookmarkEnd w:id="892"/>
    </w:p>
    <w:p>
      <w:pPr>
        <w:pStyle w:val="Subsection"/>
      </w:pPr>
      <w:r>
        <w:tab/>
      </w:r>
      <w:r>
        <w:tab/>
        <w:t>After making an application, the applicant must serve it, by personal service, on —</w:t>
      </w:r>
    </w:p>
    <w:p>
      <w:pPr>
        <w:pStyle w:val="Indenta"/>
      </w:pPr>
      <w:r>
        <w:tab/>
        <w:t>(a)</w:t>
      </w:r>
      <w:r>
        <w:tab/>
        <w:t>the person who made the challenged decision or engaged in the challenged conduct; and</w:t>
      </w:r>
    </w:p>
    <w:p>
      <w:pPr>
        <w:pStyle w:val="Indenta"/>
      </w:pPr>
      <w:r>
        <w:tab/>
        <w:t>(b)</w:t>
      </w:r>
      <w:r>
        <w:tab/>
        <w:t>any person who was a party to the proceedings in which the challenged decision was made or the challenged conduct occurred.</w:t>
      </w:r>
    </w:p>
    <w:p>
      <w:pPr>
        <w:pStyle w:val="Footnotesection"/>
      </w:pPr>
      <w:r>
        <w:tab/>
        <w:t>[Rule 3 inserted: Gazette 17 Dec 2013 p. 6233.]</w:t>
      </w:r>
    </w:p>
    <w:p>
      <w:pPr>
        <w:pStyle w:val="Heading5"/>
      </w:pPr>
      <w:bookmarkStart w:id="893" w:name="_Toc163121274"/>
      <w:r>
        <w:rPr>
          <w:rStyle w:val="CharSectno"/>
        </w:rPr>
        <w:t>4</w:t>
      </w:r>
      <w:r>
        <w:t>.</w:t>
      </w:r>
      <w:r>
        <w:tab/>
        <w:t>Options of person served with application</w:t>
      </w:r>
      <w:bookmarkEnd w:id="893"/>
    </w:p>
    <w:p>
      <w:pPr>
        <w:pStyle w:val="Subsection"/>
      </w:pPr>
      <w:r>
        <w:tab/>
      </w:r>
      <w:r>
        <w:tab/>
        <w:t>A person served with an application may —</w:t>
      </w:r>
    </w:p>
    <w:p>
      <w:pPr>
        <w:pStyle w:val="Indenta"/>
      </w:pPr>
      <w:r>
        <w:tab/>
        <w:t>(a)</w:t>
      </w:r>
      <w:r>
        <w:tab/>
        <w:t>enter an appearance under Order 12, which applies with any necessary changes; or</w:t>
      </w:r>
    </w:p>
    <w:p>
      <w:pPr>
        <w:pStyle w:val="Indenta"/>
      </w:pPr>
      <w:r>
        <w:tab/>
        <w:t>(b)</w:t>
      </w:r>
      <w:r>
        <w:tab/>
        <w:t>file, and serve on the applicant, a notice stating the person does not intend to take part in the proceedings and will accept any order made by the Court on the application other than as to costs.</w:t>
      </w:r>
    </w:p>
    <w:p>
      <w:pPr>
        <w:pStyle w:val="Footnotesection"/>
      </w:pPr>
      <w:r>
        <w:tab/>
        <w:t>[Rule 4 inserted: Gazette 17 Dec 2013 p. 6233.]</w:t>
      </w:r>
    </w:p>
    <w:p>
      <w:pPr>
        <w:pStyle w:val="Heading5"/>
      </w:pPr>
      <w:bookmarkStart w:id="894" w:name="_Toc163121275"/>
      <w:r>
        <w:rPr>
          <w:rStyle w:val="CharSectno"/>
        </w:rPr>
        <w:lastRenderedPageBreak/>
        <w:t>5</w:t>
      </w:r>
      <w:r>
        <w:t>.</w:t>
      </w:r>
      <w:r>
        <w:tab/>
        <w:t>Procedure on application</w:t>
      </w:r>
      <w:bookmarkEnd w:id="894"/>
    </w:p>
    <w:p>
      <w:pPr>
        <w:pStyle w:val="Subsection"/>
        <w:keepNext/>
      </w:pPr>
      <w:r>
        <w:tab/>
        <w:t>(1)</w:t>
      </w:r>
      <w:r>
        <w:tab/>
        <w:t>The applicant and any person served with an application are entitled to be heard on it.</w:t>
      </w:r>
    </w:p>
    <w:p>
      <w:pPr>
        <w:pStyle w:val="Subsection"/>
      </w:pPr>
      <w:r>
        <w:tab/>
        <w:t>(2)</w:t>
      </w:r>
      <w:r>
        <w:tab/>
        <w:t>On an application, the Court may do one or more of the following —</w:t>
      </w:r>
    </w:p>
    <w:p>
      <w:pPr>
        <w:pStyle w:val="Indenta"/>
      </w:pPr>
      <w:r>
        <w:tab/>
        <w:t>(a)</w:t>
      </w:r>
      <w:r>
        <w:tab/>
        <w:t>if the application is made outside the limitation period for the application, give or refuse the applicant leave to proceed with the application;</w:t>
      </w:r>
    </w:p>
    <w:p>
      <w:pPr>
        <w:pStyle w:val="Indenta"/>
      </w:pPr>
      <w:r>
        <w:tab/>
        <w:t>(b)</w:t>
      </w:r>
      <w:r>
        <w:tab/>
        <w:t>order the applicant to serve the application on a person whom the Court considers might have an interest in the challenged decision, the challenged conduct or the outcome of the application;</w:t>
      </w:r>
    </w:p>
    <w:p>
      <w:pPr>
        <w:pStyle w:val="Indenta"/>
      </w:pPr>
      <w:r>
        <w:tab/>
        <w:t>(c)</w:t>
      </w:r>
      <w:r>
        <w:tab/>
        <w:t>order the applicant or any other person to file an affidavit as to any facts material to the application, the challenged decision or the challenged conduct;</w:t>
      </w:r>
    </w:p>
    <w:p>
      <w:pPr>
        <w:pStyle w:val="Indenta"/>
      </w:pPr>
      <w:r>
        <w:tab/>
        <w:t>(d)</w:t>
      </w:r>
      <w:r>
        <w:tab/>
        <w:t>give the applicant leave to file and rely on an affidavit (whether or not made by the applicant);</w:t>
      </w:r>
    </w:p>
    <w:p>
      <w:pPr>
        <w:pStyle w:val="Indenta"/>
      </w:pPr>
      <w:r>
        <w:tab/>
        <w:t>(e)</w:t>
      </w:r>
      <w:r>
        <w:tab/>
        <w:t>allow a person not served with the application to be heard on it;</w:t>
      </w:r>
    </w:p>
    <w:p>
      <w:pPr>
        <w:pStyle w:val="Indenta"/>
      </w:pPr>
      <w:r>
        <w:tab/>
        <w:t>(f)</w:t>
      </w:r>
      <w:r>
        <w:tab/>
        <w:t>give the applicant leave to require a person served with the application to give discovery under Order 26;</w:t>
      </w:r>
    </w:p>
    <w:p>
      <w:pPr>
        <w:pStyle w:val="Indenta"/>
      </w:pPr>
      <w:r>
        <w:tab/>
        <w:t>(g)</w:t>
      </w:r>
      <w:r>
        <w:tab/>
        <w:t>give the applicant leave to require a person served with the application to answer interrogatories under Order 27;</w:t>
      </w:r>
    </w:p>
    <w:p>
      <w:pPr>
        <w:pStyle w:val="Indenta"/>
      </w:pPr>
      <w:r>
        <w:tab/>
        <w:t>(h)</w:t>
      </w:r>
      <w:r>
        <w:tab/>
        <w:t>allow the applicant to amend the application;</w:t>
      </w:r>
    </w:p>
    <w:p>
      <w:pPr>
        <w:pStyle w:val="Indenta"/>
      </w:pPr>
      <w:r>
        <w:tab/>
        <w:t>(i)</w:t>
      </w:r>
      <w:r>
        <w:tab/>
        <w:t>adjourn the hearing of the application;</w:t>
      </w:r>
    </w:p>
    <w:p>
      <w:pPr>
        <w:pStyle w:val="Indenta"/>
      </w:pPr>
      <w:r>
        <w:tab/>
        <w:t>(j)</w:t>
      </w:r>
      <w:r>
        <w:tab/>
        <w:t>refuse the whole or a part of the application if it has no reasonable prospect of succeeding;</w:t>
      </w:r>
    </w:p>
    <w:p>
      <w:pPr>
        <w:pStyle w:val="Indenta"/>
      </w:pPr>
      <w:r>
        <w:tab/>
        <w:t>(k)</w:t>
      </w:r>
      <w:r>
        <w:tab/>
        <w:t>grant or refuse the application;</w:t>
      </w:r>
    </w:p>
    <w:p>
      <w:pPr>
        <w:pStyle w:val="Indenta"/>
      </w:pPr>
      <w:r>
        <w:tab/>
        <w:t>(l)</w:t>
      </w:r>
      <w:r>
        <w:tab/>
        <w:t>if it considers the remedy applied for would be inadequate, grant any other remedy.</w:t>
      </w:r>
    </w:p>
    <w:p>
      <w:pPr>
        <w:pStyle w:val="Subsection"/>
      </w:pPr>
      <w:r>
        <w:lastRenderedPageBreak/>
        <w:tab/>
        <w:t>(3)</w:t>
      </w:r>
      <w:r>
        <w:tab/>
        <w:t>Subrule (2) does not limit the operation of Order 4A or the powers of the Court when dealing with an application.</w:t>
      </w:r>
    </w:p>
    <w:p>
      <w:pPr>
        <w:pStyle w:val="Subsection"/>
      </w:pPr>
      <w:r>
        <w:tab/>
        <w:t>(4)</w:t>
      </w:r>
      <w:r>
        <w:tab/>
        <w:t>A single judge dealing with an application may, without deciding it, order it be heard by the Court of Appeal.</w:t>
      </w:r>
    </w:p>
    <w:p>
      <w:pPr>
        <w:pStyle w:val="Footnotesection"/>
      </w:pPr>
      <w:r>
        <w:tab/>
        <w:t>[Rule 5 inserted: Gazette 17 Dec 2013 p. 6233</w:t>
      </w:r>
      <w:r>
        <w:noBreakHyphen/>
        <w:t>4.]</w:t>
      </w:r>
    </w:p>
    <w:p>
      <w:pPr>
        <w:pStyle w:val="Heading5"/>
      </w:pPr>
      <w:bookmarkStart w:id="895" w:name="_Toc163121276"/>
      <w:r>
        <w:rPr>
          <w:rStyle w:val="CharSectno"/>
        </w:rPr>
        <w:t>6</w:t>
      </w:r>
      <w:r>
        <w:t>.</w:t>
      </w:r>
      <w:r>
        <w:tab/>
        <w:t>Discovery and interrogatories</w:t>
      </w:r>
      <w:bookmarkEnd w:id="895"/>
    </w:p>
    <w:p>
      <w:pPr>
        <w:pStyle w:val="Subsection"/>
      </w:pPr>
      <w:r>
        <w:tab/>
      </w:r>
      <w:r>
        <w:tab/>
        <w:t>Orders 26 and 27 do not apply in proceedings on an application unless and to the extent the Court, under rule 5(2) or Order 4A, gives leave and orders otherwise.</w:t>
      </w:r>
    </w:p>
    <w:p>
      <w:pPr>
        <w:pStyle w:val="Footnotesection"/>
      </w:pPr>
      <w:r>
        <w:tab/>
        <w:t>[Rule 6 inserted: Gazette 17 Dec 2013 p. 6234.]</w:t>
      </w:r>
    </w:p>
    <w:p>
      <w:pPr>
        <w:pStyle w:val="Heading5"/>
      </w:pPr>
      <w:bookmarkStart w:id="896" w:name="_Toc163121277"/>
      <w:r>
        <w:rPr>
          <w:rStyle w:val="CharSectno"/>
        </w:rPr>
        <w:t>7</w:t>
      </w:r>
      <w:r>
        <w:t>.</w:t>
      </w:r>
      <w:r>
        <w:tab/>
        <w:t>Costs</w:t>
      </w:r>
      <w:bookmarkEnd w:id="896"/>
    </w:p>
    <w:p>
      <w:pPr>
        <w:pStyle w:val="Subsection"/>
      </w:pPr>
      <w:r>
        <w:tab/>
        <w:t>(1)</w:t>
      </w:r>
      <w:r>
        <w:tab/>
        <w:t>The Court may make an order for the payment of the costs of the proceedings on an application against one or more of these persons —</w:t>
      </w:r>
    </w:p>
    <w:p>
      <w:pPr>
        <w:pStyle w:val="Indenta"/>
      </w:pPr>
      <w:r>
        <w:tab/>
        <w:t>(a)</w:t>
      </w:r>
      <w:r>
        <w:tab/>
        <w:t>the applicant;</w:t>
      </w:r>
    </w:p>
    <w:p>
      <w:pPr>
        <w:pStyle w:val="Indenta"/>
      </w:pPr>
      <w:r>
        <w:tab/>
        <w:t>(b)</w:t>
      </w:r>
      <w:r>
        <w:tab/>
        <w:t>the person who made the challenged decision or engaged in the challenged conduct;</w:t>
      </w:r>
    </w:p>
    <w:p>
      <w:pPr>
        <w:pStyle w:val="Indenta"/>
      </w:pPr>
      <w:r>
        <w:tab/>
        <w:t>(c)</w:t>
      </w:r>
      <w:r>
        <w:tab/>
        <w:t>a person served with the application;</w:t>
      </w:r>
    </w:p>
    <w:p>
      <w:pPr>
        <w:pStyle w:val="Indenta"/>
      </w:pPr>
      <w:r>
        <w:tab/>
        <w:t>(d)</w:t>
      </w:r>
      <w:r>
        <w:tab/>
        <w:t>a person not served with the application whom the Court allowed to be heard on it.</w:t>
      </w:r>
    </w:p>
    <w:p>
      <w:pPr>
        <w:pStyle w:val="Subsection"/>
      </w:pPr>
      <w:r>
        <w:tab/>
        <w:t>(2)</w:t>
      </w:r>
      <w:r>
        <w:tab/>
        <w:t>Subject to rule 24, the Court may make such an order before, when or after deciding the application.</w:t>
      </w:r>
    </w:p>
    <w:p>
      <w:pPr>
        <w:pStyle w:val="Footnotesection"/>
      </w:pPr>
      <w:r>
        <w:tab/>
        <w:t>[Rule 7 inserted: Gazette 17 Dec 2013 p. 6235.]</w:t>
      </w:r>
    </w:p>
    <w:p>
      <w:pPr>
        <w:pStyle w:val="Ednotesection"/>
        <w:spacing w:before="180"/>
      </w:pPr>
      <w:r>
        <w:t>[</w:t>
      </w:r>
      <w:r>
        <w:rPr>
          <w:b/>
        </w:rPr>
        <w:t>8, 9.</w:t>
      </w:r>
      <w:r>
        <w:tab/>
        <w:t>Deleted: Gazette 17 Dec 2013 p. 6232.]</w:t>
      </w:r>
    </w:p>
    <w:p>
      <w:pPr>
        <w:pStyle w:val="Heading5"/>
        <w:spacing w:before="180"/>
        <w:rPr>
          <w:snapToGrid w:val="0"/>
        </w:rPr>
      </w:pPr>
      <w:bookmarkStart w:id="897" w:name="_Toc163121278"/>
      <w:r>
        <w:rPr>
          <w:rStyle w:val="CharSectno"/>
        </w:rPr>
        <w:t>10</w:t>
      </w:r>
      <w:r>
        <w:rPr>
          <w:snapToGrid w:val="0"/>
        </w:rPr>
        <w:t>.</w:t>
      </w:r>
      <w:r>
        <w:rPr>
          <w:snapToGrid w:val="0"/>
        </w:rPr>
        <w:tab/>
        <w:t>Issue and filing of writs</w:t>
      </w:r>
      <w:bookmarkEnd w:id="897"/>
    </w:p>
    <w:p>
      <w:pPr>
        <w:pStyle w:val="Subsection"/>
      </w:pPr>
      <w:r>
        <w:tab/>
        <w:t>(1)</w:t>
      </w:r>
      <w:r>
        <w:tab/>
        <w:t>A writ issued on an application must —</w:t>
      </w:r>
    </w:p>
    <w:p>
      <w:pPr>
        <w:pStyle w:val="Indenta"/>
      </w:pPr>
      <w:r>
        <w:tab/>
        <w:t>(a)</w:t>
      </w:r>
      <w:r>
        <w:tab/>
        <w:t>be prepared by the applicant; and</w:t>
      </w:r>
    </w:p>
    <w:p>
      <w:pPr>
        <w:pStyle w:val="Indenta"/>
      </w:pPr>
      <w:r>
        <w:tab/>
        <w:t>(b)</w:t>
      </w:r>
      <w:r>
        <w:tab/>
        <w:t xml:space="preserve">in accordance with Order 71A, state — </w:t>
      </w:r>
    </w:p>
    <w:p>
      <w:pPr>
        <w:pStyle w:val="Indenti"/>
      </w:pPr>
      <w:r>
        <w:lastRenderedPageBreak/>
        <w:tab/>
        <w:t>(i)</w:t>
      </w:r>
      <w:r>
        <w:tab/>
        <w:t>the party’s geographical address; and</w:t>
      </w:r>
    </w:p>
    <w:p>
      <w:pPr>
        <w:pStyle w:val="Indenti"/>
        <w:keepNext/>
      </w:pPr>
      <w:r>
        <w:tab/>
        <w:t>(ii)</w:t>
      </w:r>
      <w:r>
        <w:tab/>
        <w:t>the party’s service details;</w:t>
      </w:r>
    </w:p>
    <w:p>
      <w:pPr>
        <w:pStyle w:val="Indenta"/>
      </w:pPr>
      <w:r>
        <w:tab/>
      </w:r>
      <w:r>
        <w:tab/>
        <w:t>and</w:t>
      </w:r>
    </w:p>
    <w:p>
      <w:pPr>
        <w:pStyle w:val="Indenta"/>
      </w:pPr>
      <w:r>
        <w:tab/>
        <w:t>(c)</w:t>
      </w:r>
      <w:r>
        <w:tab/>
        <w:t>be issued out of the Central Office.</w:t>
      </w:r>
    </w:p>
    <w:p>
      <w:pPr>
        <w:pStyle w:val="Subsection"/>
        <w:spacing w:before="120"/>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spacing w:before="120"/>
        <w:rPr>
          <w:snapToGrid w:val="0"/>
        </w:rPr>
      </w:pPr>
      <w:r>
        <w:rPr>
          <w:snapToGrid w:val="0"/>
        </w:rPr>
        <w:tab/>
        <w:t>(3)</w:t>
      </w:r>
      <w:r>
        <w:rPr>
          <w:snapToGrid w:val="0"/>
        </w:rPr>
        <w:tab/>
        <w:t>Every such writ must be filed together with the return thereto and a copy of any order made thereon.</w:t>
      </w:r>
    </w:p>
    <w:p>
      <w:pPr>
        <w:pStyle w:val="Footnotesection"/>
        <w:spacing w:before="80"/>
        <w:ind w:left="890" w:hanging="890"/>
      </w:pPr>
      <w:r>
        <w:tab/>
        <w:t>[Rule 10 amended: Gazette 21 Feb 2007 p. 560</w:t>
      </w:r>
      <w:r>
        <w:noBreakHyphen/>
        <w:t>1; 23 Apr 2013 p. 1595 (disallowed: Gazette 1 Nov 2013 p. 4910); 17 Dec 2013 p. 6235; 27 Feb 2018 p. 571.]</w:t>
      </w:r>
    </w:p>
    <w:p>
      <w:pPr>
        <w:pStyle w:val="Heading3"/>
      </w:pPr>
      <w:bookmarkStart w:id="898" w:name="_Toc162940817"/>
      <w:bookmarkStart w:id="899" w:name="_Toc162953606"/>
      <w:bookmarkStart w:id="900" w:name="_Toc163121279"/>
      <w:r>
        <w:rPr>
          <w:rStyle w:val="CharDivNo"/>
        </w:rPr>
        <w:t>Division 2</w:t>
      </w:r>
      <w:r>
        <w:t> — </w:t>
      </w:r>
      <w:r>
        <w:rPr>
          <w:rStyle w:val="CharDivText"/>
        </w:rPr>
        <w:t>Certiorari</w:t>
      </w:r>
      <w:bookmarkEnd w:id="898"/>
      <w:bookmarkEnd w:id="899"/>
      <w:bookmarkEnd w:id="900"/>
    </w:p>
    <w:p>
      <w:pPr>
        <w:pStyle w:val="Footnoteheading"/>
      </w:pPr>
      <w:r>
        <w:tab/>
        <w:t>[Heading inserted: Gazette 21 Feb 2007 p. 560.]</w:t>
      </w:r>
    </w:p>
    <w:p>
      <w:pPr>
        <w:pStyle w:val="Ednotesection"/>
      </w:pPr>
      <w:r>
        <w:t>[</w:t>
      </w:r>
      <w:r>
        <w:rPr>
          <w:b/>
        </w:rPr>
        <w:t>11-13.</w:t>
      </w:r>
      <w:r>
        <w:tab/>
        <w:t>Deleted: Gazette 17 Dec 2013 p. 6235.]</w:t>
      </w:r>
    </w:p>
    <w:p>
      <w:pPr>
        <w:pStyle w:val="Heading5"/>
        <w:rPr>
          <w:snapToGrid w:val="0"/>
        </w:rPr>
      </w:pPr>
      <w:bookmarkStart w:id="901" w:name="_Toc163121280"/>
      <w:r>
        <w:rPr>
          <w:rStyle w:val="CharSectno"/>
        </w:rPr>
        <w:t>14</w:t>
      </w:r>
      <w:r>
        <w:rPr>
          <w:snapToGrid w:val="0"/>
        </w:rPr>
        <w:t>.</w:t>
      </w:r>
      <w:r>
        <w:rPr>
          <w:snapToGrid w:val="0"/>
        </w:rPr>
        <w:tab/>
        <w:t>Forms</w:t>
      </w:r>
      <w:bookmarkEnd w:id="901"/>
      <w:r>
        <w:rPr>
          <w:snapToGrid w:val="0"/>
        </w:rPr>
        <w:t xml:space="preserve"> </w:t>
      </w:r>
    </w:p>
    <w:p>
      <w:pPr>
        <w:pStyle w:val="Subsection"/>
        <w:rPr>
          <w:snapToGrid w:val="0"/>
        </w:rPr>
      </w:pPr>
      <w:r>
        <w:rPr>
          <w:snapToGrid w:val="0"/>
        </w:rPr>
        <w:tab/>
      </w:r>
      <w:r>
        <w:rPr>
          <w:snapToGrid w:val="0"/>
        </w:rPr>
        <w:tab/>
        <w:t>A writ of certiorari must be in Form No. 67 with such variations as the circumstances may require.</w:t>
      </w:r>
    </w:p>
    <w:p>
      <w:pPr>
        <w:pStyle w:val="Footnotesection"/>
      </w:pPr>
      <w:r>
        <w:tab/>
        <w:t>[Rule 14 amended: Gazette 28 Jul 2010 p. 3483.]</w:t>
      </w:r>
    </w:p>
    <w:p>
      <w:pPr>
        <w:pStyle w:val="Heading3"/>
      </w:pPr>
      <w:bookmarkStart w:id="902" w:name="_Toc162940819"/>
      <w:bookmarkStart w:id="903" w:name="_Toc162953608"/>
      <w:bookmarkStart w:id="904" w:name="_Toc163121281"/>
      <w:r>
        <w:rPr>
          <w:rStyle w:val="CharDivNo"/>
        </w:rPr>
        <w:t>Division 3</w:t>
      </w:r>
      <w:r>
        <w:t> — </w:t>
      </w:r>
      <w:r>
        <w:rPr>
          <w:rStyle w:val="CharDivText"/>
        </w:rPr>
        <w:t>Mandamus</w:t>
      </w:r>
      <w:bookmarkEnd w:id="902"/>
      <w:bookmarkEnd w:id="903"/>
      <w:bookmarkEnd w:id="904"/>
    </w:p>
    <w:p>
      <w:pPr>
        <w:pStyle w:val="Footnoteheading"/>
      </w:pPr>
      <w:r>
        <w:tab/>
        <w:t>[Heading inserted: Gazette 21 Feb 2007 p. 560.]</w:t>
      </w:r>
    </w:p>
    <w:p>
      <w:pPr>
        <w:pStyle w:val="Heading5"/>
        <w:rPr>
          <w:snapToGrid w:val="0"/>
        </w:rPr>
      </w:pPr>
      <w:bookmarkStart w:id="905" w:name="_Toc163121282"/>
      <w:r>
        <w:rPr>
          <w:rStyle w:val="CharSectno"/>
        </w:rPr>
        <w:t>15</w:t>
      </w:r>
      <w:r>
        <w:rPr>
          <w:snapToGrid w:val="0"/>
        </w:rPr>
        <w:t>.</w:t>
      </w:r>
      <w:r>
        <w:rPr>
          <w:snapToGrid w:val="0"/>
        </w:rPr>
        <w:tab/>
        <w:t>Applicant to show interest etc.</w:t>
      </w:r>
      <w:bookmarkEnd w:id="905"/>
    </w:p>
    <w:p>
      <w:pPr>
        <w:pStyle w:val="Subsection"/>
        <w:rPr>
          <w:snapToGrid w:val="0"/>
        </w:rPr>
      </w:pPr>
      <w:r>
        <w:rPr>
          <w:snapToGrid w:val="0"/>
        </w:rPr>
        <w:tab/>
        <w:t>(1)</w:t>
      </w:r>
      <w:r>
        <w:rPr>
          <w:snapToGrid w:val="0"/>
        </w:rPr>
        <w:tab/>
      </w:r>
      <w:r>
        <w:t>A writ</w:t>
      </w:r>
      <w:r>
        <w:rPr>
          <w:snapToGrid w:val="0"/>
        </w:rPr>
        <w:t xml:space="preserve">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 xml:space="preserve">Subject to </w:t>
      </w:r>
      <w:r>
        <w:t>subrule</w:t>
      </w:r>
      <w:r>
        <w:rPr>
          <w:snapToGrid w:val="0"/>
        </w:rPr>
        <w:t> (3), the applicant must state by affidavit that the application is made at his instance as applicant.</w:t>
      </w:r>
    </w:p>
    <w:p>
      <w:pPr>
        <w:pStyle w:val="Subsection"/>
        <w:keepNext/>
        <w:rPr>
          <w:snapToGrid w:val="0"/>
        </w:rPr>
      </w:pPr>
      <w:r>
        <w:rPr>
          <w:snapToGrid w:val="0"/>
        </w:rPr>
        <w:lastRenderedPageBreak/>
        <w:tab/>
        <w:t>(3)</w:t>
      </w:r>
      <w:r>
        <w:rPr>
          <w:snapToGrid w:val="0"/>
        </w:rPr>
        <w:tab/>
        <w:t>When the applicant is a corporation an officer or agent of the corporation must state by affidavit that the application is to be made by the corporation as applicant.</w:t>
      </w:r>
    </w:p>
    <w:p>
      <w:pPr>
        <w:pStyle w:val="Footnotesection"/>
      </w:pPr>
      <w:r>
        <w:tab/>
        <w:t>[Rule 15 amended: Gazette 28 Jun 2011 p. 2552; 23 Apr 2013 p. 1595 (disallowed: Gazette 1 Nov 2013 p. 4910); 17 Dec 2013 p. 6235.]</w:t>
      </w:r>
    </w:p>
    <w:p>
      <w:pPr>
        <w:pStyle w:val="Heading5"/>
        <w:rPr>
          <w:snapToGrid w:val="0"/>
        </w:rPr>
      </w:pPr>
      <w:bookmarkStart w:id="906" w:name="_Toc163121283"/>
      <w:r>
        <w:rPr>
          <w:rStyle w:val="CharSectno"/>
        </w:rPr>
        <w:t>16</w:t>
      </w:r>
      <w:r>
        <w:rPr>
          <w:snapToGrid w:val="0"/>
        </w:rPr>
        <w:t>.</w:t>
      </w:r>
      <w:r>
        <w:rPr>
          <w:snapToGrid w:val="0"/>
        </w:rPr>
        <w:tab/>
        <w:t>Form of writ</w:t>
      </w:r>
      <w:bookmarkEnd w:id="906"/>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keepNext/>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Gazette 9 Nov 1973 p. 4165.] </w:t>
      </w:r>
    </w:p>
    <w:p>
      <w:pPr>
        <w:pStyle w:val="Heading5"/>
        <w:rPr>
          <w:snapToGrid w:val="0"/>
        </w:rPr>
      </w:pPr>
      <w:bookmarkStart w:id="907" w:name="_Toc163121284"/>
      <w:r>
        <w:rPr>
          <w:rStyle w:val="CharSectno"/>
        </w:rPr>
        <w:t>17</w:t>
      </w:r>
      <w:r>
        <w:rPr>
          <w:snapToGrid w:val="0"/>
        </w:rPr>
        <w:t>.</w:t>
      </w:r>
      <w:r>
        <w:rPr>
          <w:snapToGrid w:val="0"/>
        </w:rPr>
        <w:tab/>
        <w:t>Time for return of writ</w:t>
      </w:r>
      <w:bookmarkEnd w:id="907"/>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Gazette 9 Nov 1973 p. 4165.] </w:t>
      </w:r>
    </w:p>
    <w:p>
      <w:pPr>
        <w:pStyle w:val="Heading5"/>
        <w:rPr>
          <w:snapToGrid w:val="0"/>
        </w:rPr>
      </w:pPr>
      <w:bookmarkStart w:id="908" w:name="_Toc163121285"/>
      <w:r>
        <w:rPr>
          <w:rStyle w:val="CharSectno"/>
        </w:rPr>
        <w:t>18</w:t>
      </w:r>
      <w:r>
        <w:rPr>
          <w:snapToGrid w:val="0"/>
        </w:rPr>
        <w:t>.</w:t>
      </w:r>
      <w:r>
        <w:rPr>
          <w:snapToGrid w:val="0"/>
        </w:rPr>
        <w:tab/>
        <w:t>Service</w:t>
      </w:r>
      <w:bookmarkEnd w:id="908"/>
    </w:p>
    <w:p>
      <w:pPr>
        <w:pStyle w:val="Subsection"/>
        <w:rPr>
          <w:snapToGrid w:val="0"/>
        </w:rPr>
      </w:pPr>
      <w:r>
        <w:tab/>
        <w:t>(1)</w:t>
      </w:r>
      <w:r>
        <w:tab/>
        <w:t>Unless</w:t>
      </w:r>
      <w:r>
        <w:rPr>
          <w:snapToGrid w:val="0"/>
        </w:rPr>
        <w:t xml:space="preserve">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 xml:space="preserve">where the writ is directed to 2 or more persons, it shall be personally served upon all of them but one in the manner prescribed for personal service of a writ of </w:t>
      </w:r>
      <w:r>
        <w:rPr>
          <w:snapToGrid w:val="0"/>
        </w:rPr>
        <w:lastRenderedPageBreak/>
        <w:t>summons, and shall be served upon the remaining one by delivering the original writ to him.</w:t>
      </w:r>
    </w:p>
    <w:p>
      <w:pPr>
        <w:pStyle w:val="Subsection"/>
      </w:pPr>
      <w:r>
        <w:tab/>
        <w:t>(2)</w:t>
      </w:r>
      <w:r>
        <w:tab/>
        <w:t xml:space="preserve">If the writ is issued by means of the ECMS — </w:t>
      </w:r>
    </w:p>
    <w:p>
      <w:pPr>
        <w:pStyle w:val="Indenta"/>
      </w:pPr>
      <w:r>
        <w:tab/>
        <w:t>(a)</w:t>
      </w:r>
      <w:r>
        <w:tab/>
        <w:t>the applicant may print from the ECMS 1 or more copies of the writ; and</w:t>
      </w:r>
    </w:p>
    <w:p>
      <w:pPr>
        <w:pStyle w:val="Indenta"/>
      </w:pPr>
      <w:r>
        <w:tab/>
        <w:t>(b)</w:t>
      </w:r>
      <w:r>
        <w:tab/>
        <w:t>a printed copy may be treated as the original writ for the purposes of subrule (1).</w:t>
      </w:r>
    </w:p>
    <w:p>
      <w:pPr>
        <w:pStyle w:val="Footnotesection"/>
      </w:pPr>
      <w:r>
        <w:tab/>
        <w:t xml:space="preserve">[Rule 18 amended: Gazette 9 Nov 1973 p. 4165; 27 Feb 2018 p. 571; 31 Dec 2019 p. 4677.] </w:t>
      </w:r>
    </w:p>
    <w:p>
      <w:pPr>
        <w:pStyle w:val="Heading5"/>
        <w:rPr>
          <w:snapToGrid w:val="0"/>
        </w:rPr>
      </w:pPr>
      <w:bookmarkStart w:id="909" w:name="_Toc163121286"/>
      <w:r>
        <w:rPr>
          <w:rStyle w:val="CharSectno"/>
        </w:rPr>
        <w:t>19</w:t>
      </w:r>
      <w:r>
        <w:rPr>
          <w:snapToGrid w:val="0"/>
        </w:rPr>
        <w:t>.</w:t>
      </w:r>
      <w:r>
        <w:rPr>
          <w:snapToGrid w:val="0"/>
        </w:rPr>
        <w:tab/>
        <w:t>Service on corporate body, or justices</w:t>
      </w:r>
      <w:bookmarkEnd w:id="909"/>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Gazette 9 Nov 1973 p. 4165.] </w:t>
      </w:r>
    </w:p>
    <w:p>
      <w:pPr>
        <w:pStyle w:val="Heading5"/>
        <w:rPr>
          <w:snapToGrid w:val="0"/>
        </w:rPr>
      </w:pPr>
      <w:bookmarkStart w:id="910" w:name="_Toc163121287"/>
      <w:r>
        <w:rPr>
          <w:rStyle w:val="CharSectno"/>
        </w:rPr>
        <w:t>20</w:t>
      </w:r>
      <w:r>
        <w:rPr>
          <w:snapToGrid w:val="0"/>
        </w:rPr>
        <w:t>.</w:t>
      </w:r>
      <w:r>
        <w:rPr>
          <w:snapToGrid w:val="0"/>
        </w:rPr>
        <w:tab/>
        <w:t>Return, content etc. of</w:t>
      </w:r>
      <w:bookmarkEnd w:id="910"/>
    </w:p>
    <w:p>
      <w:pPr>
        <w:pStyle w:val="Subsection"/>
        <w:rPr>
          <w:snapToGrid w:val="0"/>
        </w:rPr>
      </w:pPr>
      <w:r>
        <w:rPr>
          <w:snapToGrid w:val="0"/>
        </w:rPr>
        <w:tab/>
        <w:t>(1)</w:t>
      </w:r>
      <w:r>
        <w:rPr>
          <w:snapToGrid w:val="0"/>
        </w:rPr>
        <w:tab/>
        <w:t xml:space="preserve">The persons to whom a writ of mandamus is directed shall, within the time allowed by the writ, file the writ or a copy of the </w:t>
      </w:r>
      <w:r>
        <w:t xml:space="preserve">writ, </w:t>
      </w:r>
      <w:r>
        <w:rPr>
          <w:snapToGrid w:val="0"/>
        </w:rPr>
        <w:t>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Footnotesection"/>
      </w:pPr>
      <w:r>
        <w:tab/>
        <w:t xml:space="preserve">[Rule 20 amended: Gazette 27 Feb 2018 p. 571.] </w:t>
      </w:r>
    </w:p>
    <w:p>
      <w:pPr>
        <w:pStyle w:val="Heading5"/>
        <w:rPr>
          <w:snapToGrid w:val="0"/>
        </w:rPr>
      </w:pPr>
      <w:bookmarkStart w:id="911" w:name="_Toc163121288"/>
      <w:r>
        <w:rPr>
          <w:rStyle w:val="CharSectno"/>
        </w:rPr>
        <w:lastRenderedPageBreak/>
        <w:t>21</w:t>
      </w:r>
      <w:r>
        <w:rPr>
          <w:snapToGrid w:val="0"/>
        </w:rPr>
        <w:t>.</w:t>
      </w:r>
      <w:r>
        <w:rPr>
          <w:snapToGrid w:val="0"/>
        </w:rPr>
        <w:tab/>
        <w:t>Pleading to return</w:t>
      </w:r>
      <w:bookmarkEnd w:id="911"/>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912" w:name="_Toc163121289"/>
      <w:r>
        <w:rPr>
          <w:rStyle w:val="CharSectno"/>
        </w:rPr>
        <w:t>22</w:t>
      </w:r>
      <w:r>
        <w:rPr>
          <w:snapToGrid w:val="0"/>
        </w:rPr>
        <w:t>.</w:t>
      </w:r>
      <w:r>
        <w:rPr>
          <w:snapToGrid w:val="0"/>
        </w:rPr>
        <w:tab/>
        <w:t>No motion for judgment needed in some cases</w:t>
      </w:r>
      <w:bookmarkEnd w:id="912"/>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913" w:name="_Toc163121290"/>
      <w:r>
        <w:rPr>
          <w:rStyle w:val="CharSectno"/>
        </w:rPr>
        <w:t>23</w:t>
      </w:r>
      <w:r>
        <w:rPr>
          <w:snapToGrid w:val="0"/>
        </w:rPr>
        <w:t>.</w:t>
      </w:r>
      <w:r>
        <w:rPr>
          <w:snapToGrid w:val="0"/>
        </w:rPr>
        <w:tab/>
        <w:t>Peremptory writ</w:t>
      </w:r>
      <w:bookmarkEnd w:id="913"/>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914" w:name="_Toc163121291"/>
      <w:r>
        <w:rPr>
          <w:rStyle w:val="CharSectno"/>
        </w:rPr>
        <w:t>24</w:t>
      </w:r>
      <w:r>
        <w:rPr>
          <w:snapToGrid w:val="0"/>
        </w:rPr>
        <w:t>.</w:t>
      </w:r>
      <w:r>
        <w:rPr>
          <w:snapToGrid w:val="0"/>
        </w:rPr>
        <w:tab/>
        <w:t>Costs</w:t>
      </w:r>
      <w:bookmarkEnd w:id="914"/>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lastRenderedPageBreak/>
        <w:tab/>
        <w:t>(3)</w:t>
      </w:r>
      <w:r>
        <w:rPr>
          <w:snapToGrid w:val="0"/>
        </w:rPr>
        <w:tab/>
        <w:t>The application shall be made to the Court and, if it is reasonably possible, to the judge by whom the writ was awarded.</w:t>
      </w:r>
    </w:p>
    <w:p>
      <w:pPr>
        <w:pStyle w:val="Footnotesection"/>
      </w:pPr>
      <w:r>
        <w:tab/>
        <w:t xml:space="preserve">[Rule 24 amended: Gazette 9 Nov 1973 p. 4165.] </w:t>
      </w:r>
    </w:p>
    <w:p>
      <w:pPr>
        <w:pStyle w:val="Heading5"/>
        <w:rPr>
          <w:snapToGrid w:val="0"/>
        </w:rPr>
      </w:pPr>
      <w:bookmarkStart w:id="915" w:name="_Toc163121292"/>
      <w:r>
        <w:rPr>
          <w:rStyle w:val="CharSectno"/>
        </w:rPr>
        <w:t>25</w:t>
      </w:r>
      <w:r>
        <w:rPr>
          <w:snapToGrid w:val="0"/>
        </w:rPr>
        <w:t>.</w:t>
      </w:r>
      <w:r>
        <w:rPr>
          <w:snapToGrid w:val="0"/>
        </w:rPr>
        <w:tab/>
        <w:t>Proceedings in nature of interpleader</w:t>
      </w:r>
      <w:bookmarkEnd w:id="915"/>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Gazette 9 Nov 1973 p. 4165; 23 Apr 2013 p. 1595 (disallowed: Gazette 1 Nov 2013 p. 4910); 17 Dec 2013 p. 6235.] </w:t>
      </w:r>
    </w:p>
    <w:p>
      <w:pPr>
        <w:pStyle w:val="Heading5"/>
        <w:rPr>
          <w:snapToGrid w:val="0"/>
        </w:rPr>
      </w:pPr>
      <w:bookmarkStart w:id="916" w:name="_Toc163121293"/>
      <w:r>
        <w:rPr>
          <w:rStyle w:val="CharSectno"/>
        </w:rPr>
        <w:t>26</w:t>
      </w:r>
      <w:r>
        <w:rPr>
          <w:snapToGrid w:val="0"/>
        </w:rPr>
        <w:t>.</w:t>
      </w:r>
      <w:r>
        <w:rPr>
          <w:snapToGrid w:val="0"/>
        </w:rPr>
        <w:tab/>
        <w:t>Proceedings not to abate due to death etc.</w:t>
      </w:r>
      <w:bookmarkEnd w:id="916"/>
    </w:p>
    <w:p>
      <w:pPr>
        <w:pStyle w:val="Subsection"/>
        <w:rPr>
          <w:snapToGrid w:val="0"/>
        </w:rPr>
      </w:pPr>
      <w:r>
        <w:rPr>
          <w:snapToGrid w:val="0"/>
        </w:rPr>
        <w:tab/>
      </w:r>
      <w:r>
        <w:rPr>
          <w:snapToGrid w:val="0"/>
        </w:rPr>
        <w:tab/>
        <w:t xml:space="preserve">Proceedings upon an application for a writ of mandamus shall not abate or be discontinued by reason of the death, resignation, retirement or removal from office of the person </w:t>
      </w:r>
      <w:r>
        <w:t>who made the challenged decision or to whom the</w:t>
      </w:r>
      <w:r>
        <w:rPr>
          <w:snapToGrid w:val="0"/>
        </w:rPr>
        <w:t xml:space="preserve"> writ is directed, but may be continued and carried on either in his name or otherwise, and if a peremptory writ is awarded, it shall be directed to the successor in office or right of that person.</w:t>
      </w:r>
    </w:p>
    <w:p>
      <w:pPr>
        <w:pStyle w:val="Footnotesection"/>
      </w:pPr>
      <w:r>
        <w:tab/>
        <w:t xml:space="preserve">[Rule 26 amended: Gazette 23 Apr 2013 p. 1595 (disallowed: Gazette 1 Nov 2013 p. 4910); 17 Dec 2013 p. 6235.] </w:t>
      </w:r>
    </w:p>
    <w:p>
      <w:pPr>
        <w:pStyle w:val="Ednotesection"/>
      </w:pPr>
      <w:r>
        <w:t>[</w:t>
      </w:r>
      <w:r>
        <w:rPr>
          <w:b/>
        </w:rPr>
        <w:t>27.</w:t>
      </w:r>
      <w:r>
        <w:tab/>
        <w:t>Deleted: Gazette 17 Dec 2013 p. 6235.]</w:t>
      </w:r>
    </w:p>
    <w:p>
      <w:pPr>
        <w:pStyle w:val="Heading5"/>
        <w:rPr>
          <w:snapToGrid w:val="0"/>
        </w:rPr>
      </w:pPr>
      <w:bookmarkStart w:id="917" w:name="_Toc163121294"/>
      <w:r>
        <w:rPr>
          <w:rStyle w:val="CharSectno"/>
        </w:rPr>
        <w:lastRenderedPageBreak/>
        <w:t>28</w:t>
      </w:r>
      <w:r>
        <w:rPr>
          <w:snapToGrid w:val="0"/>
        </w:rPr>
        <w:t>.</w:t>
      </w:r>
      <w:r>
        <w:rPr>
          <w:snapToGrid w:val="0"/>
        </w:rPr>
        <w:tab/>
        <w:t>Mandamus by order</w:t>
      </w:r>
      <w:bookmarkEnd w:id="917"/>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918" w:name="_Toc163121295"/>
      <w:r>
        <w:rPr>
          <w:rStyle w:val="CharSectno"/>
        </w:rPr>
        <w:t>29</w:t>
      </w:r>
      <w:r>
        <w:rPr>
          <w:snapToGrid w:val="0"/>
        </w:rPr>
        <w:t>.</w:t>
      </w:r>
      <w:r>
        <w:rPr>
          <w:snapToGrid w:val="0"/>
        </w:rPr>
        <w:tab/>
        <w:t>No action against party obeying writ or order</w:t>
      </w:r>
      <w:bookmarkEnd w:id="918"/>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Gazette 9 Nov 1973 p. 4165.] </w:t>
      </w:r>
    </w:p>
    <w:p>
      <w:pPr>
        <w:pStyle w:val="Heading3"/>
      </w:pPr>
      <w:bookmarkStart w:id="919" w:name="_Toc162940834"/>
      <w:bookmarkStart w:id="920" w:name="_Toc162953623"/>
      <w:bookmarkStart w:id="921" w:name="_Toc163121296"/>
      <w:r>
        <w:rPr>
          <w:rStyle w:val="CharDivNo"/>
        </w:rPr>
        <w:t>Division 4</w:t>
      </w:r>
      <w:r>
        <w:t> — </w:t>
      </w:r>
      <w:r>
        <w:rPr>
          <w:rStyle w:val="CharDivText"/>
        </w:rPr>
        <w:t xml:space="preserve">Prohibition and </w:t>
      </w:r>
      <w:r>
        <w:rPr>
          <w:rStyle w:val="CharDivText"/>
          <w:i/>
        </w:rPr>
        <w:t>procedendo</w:t>
      </w:r>
      <w:bookmarkEnd w:id="919"/>
      <w:bookmarkEnd w:id="920"/>
      <w:bookmarkEnd w:id="921"/>
    </w:p>
    <w:p>
      <w:pPr>
        <w:pStyle w:val="Footnoteheading"/>
      </w:pPr>
      <w:r>
        <w:tab/>
        <w:t>[Heading inserted: Gazette 17 Dec 2013 p. 6235.]</w:t>
      </w:r>
    </w:p>
    <w:p>
      <w:pPr>
        <w:pStyle w:val="Heading5"/>
        <w:rPr>
          <w:snapToGrid w:val="0"/>
        </w:rPr>
      </w:pPr>
      <w:bookmarkStart w:id="922" w:name="_Toc163121297"/>
      <w:r>
        <w:rPr>
          <w:rStyle w:val="CharSectno"/>
        </w:rPr>
        <w:t>30</w:t>
      </w:r>
      <w:r>
        <w:rPr>
          <w:snapToGrid w:val="0"/>
        </w:rPr>
        <w:t>.</w:t>
      </w:r>
      <w:r>
        <w:rPr>
          <w:snapToGrid w:val="0"/>
        </w:rPr>
        <w:tab/>
        <w:t>Court may direct service of statement of claim instead of issuing prohibition</w:t>
      </w:r>
      <w:bookmarkEnd w:id="922"/>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Gazette 9 Nov 1973 p. 4165.] </w:t>
      </w:r>
    </w:p>
    <w:p>
      <w:pPr>
        <w:pStyle w:val="Heading5"/>
        <w:rPr>
          <w:snapToGrid w:val="0"/>
        </w:rPr>
      </w:pPr>
      <w:bookmarkStart w:id="923" w:name="_Toc163121298"/>
      <w:r>
        <w:rPr>
          <w:rStyle w:val="CharSectno"/>
        </w:rPr>
        <w:t>31</w:t>
      </w:r>
      <w:r>
        <w:rPr>
          <w:snapToGrid w:val="0"/>
        </w:rPr>
        <w:t>.</w:t>
      </w:r>
      <w:r>
        <w:rPr>
          <w:snapToGrid w:val="0"/>
        </w:rPr>
        <w:tab/>
        <w:t>Proceedings on judgment</w:t>
      </w:r>
      <w:bookmarkEnd w:id="923"/>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924" w:name="_Toc163121299"/>
      <w:r>
        <w:rPr>
          <w:rStyle w:val="CharSectno"/>
        </w:rPr>
        <w:lastRenderedPageBreak/>
        <w:t>32</w:t>
      </w:r>
      <w:r>
        <w:rPr>
          <w:snapToGrid w:val="0"/>
        </w:rPr>
        <w:t>.</w:t>
      </w:r>
      <w:r>
        <w:rPr>
          <w:snapToGrid w:val="0"/>
        </w:rPr>
        <w:tab/>
        <w:t xml:space="preserve">Writ of </w:t>
      </w:r>
      <w:r>
        <w:rPr>
          <w:i/>
          <w:snapToGrid w:val="0"/>
        </w:rPr>
        <w:t>procedendo</w:t>
      </w:r>
      <w:bookmarkEnd w:id="924"/>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Gazette 9 Nov 1973 p. 4165.] </w:t>
      </w:r>
    </w:p>
    <w:p>
      <w:pPr>
        <w:pStyle w:val="Heading5"/>
        <w:rPr>
          <w:snapToGrid w:val="0"/>
        </w:rPr>
      </w:pPr>
      <w:bookmarkStart w:id="925" w:name="_Toc163121300"/>
      <w:r>
        <w:rPr>
          <w:rStyle w:val="CharSectno"/>
        </w:rPr>
        <w:t>33</w:t>
      </w:r>
      <w:r>
        <w:rPr>
          <w:snapToGrid w:val="0"/>
        </w:rPr>
        <w:t>.</w:t>
      </w:r>
      <w:r>
        <w:rPr>
          <w:snapToGrid w:val="0"/>
        </w:rPr>
        <w:tab/>
        <w:t>Prohibition by order</w:t>
      </w:r>
      <w:bookmarkEnd w:id="925"/>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926" w:name="_Toc162940839"/>
      <w:bookmarkStart w:id="927" w:name="_Toc162953628"/>
      <w:bookmarkStart w:id="928" w:name="_Toc163121301"/>
      <w:r>
        <w:rPr>
          <w:rStyle w:val="CharDivNo"/>
        </w:rPr>
        <w:t>Division 5</w:t>
      </w:r>
      <w:r>
        <w:t> — </w:t>
      </w:r>
      <w:r>
        <w:rPr>
          <w:rStyle w:val="CharDivText"/>
          <w:i/>
          <w:iCs/>
        </w:rPr>
        <w:t>Quo warranto</w:t>
      </w:r>
      <w:bookmarkEnd w:id="926"/>
      <w:bookmarkEnd w:id="927"/>
      <w:bookmarkEnd w:id="928"/>
    </w:p>
    <w:p>
      <w:pPr>
        <w:pStyle w:val="Footnoteheading"/>
      </w:pPr>
      <w:r>
        <w:tab/>
        <w:t>[Heading inserted: Gazette 21 Feb 2007 p. 560.]</w:t>
      </w:r>
    </w:p>
    <w:p>
      <w:pPr>
        <w:pStyle w:val="Heading5"/>
      </w:pPr>
      <w:bookmarkStart w:id="929" w:name="_Toc163121302"/>
      <w:r>
        <w:rPr>
          <w:rStyle w:val="CharSectno"/>
        </w:rPr>
        <w:t>34A</w:t>
      </w:r>
      <w:r>
        <w:t>.</w:t>
      </w:r>
      <w:r>
        <w:tab/>
        <w:t xml:space="preserve">Application for information of </w:t>
      </w:r>
      <w:r>
        <w:rPr>
          <w:i/>
        </w:rPr>
        <w:t>quo warranto</w:t>
      </w:r>
      <w:bookmarkEnd w:id="929"/>
    </w:p>
    <w:p>
      <w:pPr>
        <w:pStyle w:val="Subsection"/>
      </w:pPr>
      <w:r>
        <w:tab/>
      </w:r>
      <w:r>
        <w:tab/>
        <w:t xml:space="preserve">To apply for an information of </w:t>
      </w:r>
      <w:r>
        <w:rPr>
          <w:i/>
        </w:rPr>
        <w:t>quo warranto</w:t>
      </w:r>
      <w:r>
        <w:t xml:space="preserve"> without applying for judicial review, a person must apply </w:t>
      </w:r>
      <w:r>
        <w:rPr>
          <w:i/>
        </w:rPr>
        <w:t>ex parte</w:t>
      </w:r>
      <w:r>
        <w:t xml:space="preserve"> by originating motion.</w:t>
      </w:r>
    </w:p>
    <w:p>
      <w:pPr>
        <w:pStyle w:val="Footnotesection"/>
      </w:pPr>
      <w:r>
        <w:tab/>
        <w:t>[Rule 34A inserted: Gazette 17 Dec 2013 p. 6236.]</w:t>
      </w:r>
    </w:p>
    <w:p>
      <w:pPr>
        <w:pStyle w:val="Heading5"/>
        <w:rPr>
          <w:snapToGrid w:val="0"/>
        </w:rPr>
      </w:pPr>
      <w:bookmarkStart w:id="930" w:name="_Toc163121303"/>
      <w:r>
        <w:rPr>
          <w:rStyle w:val="CharSectno"/>
        </w:rPr>
        <w:t>34</w:t>
      </w:r>
      <w:r>
        <w:rPr>
          <w:snapToGrid w:val="0"/>
        </w:rPr>
        <w:t>.</w:t>
      </w:r>
      <w:r>
        <w:rPr>
          <w:snapToGrid w:val="0"/>
        </w:rPr>
        <w:tab/>
        <w:t>Rules of court applicable</w:t>
      </w:r>
      <w:bookmarkEnd w:id="930"/>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w:t>
      </w:r>
      <w:r>
        <w:rPr>
          <w:snapToGrid w:val="0"/>
        </w:rPr>
        <w:lastRenderedPageBreak/>
        <w:t xml:space="preserve">apply, so far as they are relevant, to informations of </w:t>
      </w:r>
      <w:r>
        <w:rPr>
          <w:i/>
          <w:snapToGrid w:val="0"/>
        </w:rPr>
        <w:t>quo warranto</w:t>
      </w:r>
      <w:r>
        <w:rPr>
          <w:snapToGrid w:val="0"/>
        </w:rPr>
        <w:t>.</w:t>
      </w:r>
    </w:p>
    <w:p>
      <w:pPr>
        <w:pStyle w:val="Footnotesection"/>
      </w:pPr>
      <w:r>
        <w:tab/>
        <w:t xml:space="preserve">[Rule 34 amended: Gazette 9 Nov 1973 p. 4165.] </w:t>
      </w:r>
    </w:p>
    <w:p>
      <w:pPr>
        <w:pStyle w:val="Heading5"/>
        <w:rPr>
          <w:snapToGrid w:val="0"/>
        </w:rPr>
      </w:pPr>
      <w:bookmarkStart w:id="931" w:name="_Toc163121304"/>
      <w:r>
        <w:rPr>
          <w:rStyle w:val="CharSectno"/>
        </w:rPr>
        <w:t>35</w:t>
      </w:r>
      <w:r>
        <w:rPr>
          <w:snapToGrid w:val="0"/>
        </w:rPr>
        <w:t>.</w:t>
      </w:r>
      <w:r>
        <w:rPr>
          <w:snapToGrid w:val="0"/>
        </w:rPr>
        <w:tab/>
        <w:t>Signature and service of information</w:t>
      </w:r>
      <w:bookmarkEnd w:id="931"/>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keepNext/>
      </w:pPr>
      <w:r>
        <w:tab/>
        <w:t>(2)</w:t>
      </w:r>
      <w:r>
        <w:tab/>
        <w:t>A copy of the information must be served on the respondent or, if he or she appeared by a lawyer, on the lawyer.</w:t>
      </w:r>
    </w:p>
    <w:p>
      <w:pPr>
        <w:pStyle w:val="Footnotesection"/>
      </w:pPr>
      <w:r>
        <w:tab/>
        <w:t xml:space="preserve">[Rule 35 amended: Gazette 19 Apr 2005 p. 1299; 23 Apr 2013 p. 1596 (disallowed: Gazette 1 Nov 2013 p. 4910); 17 Dec 2013 p. 6236.] </w:t>
      </w:r>
    </w:p>
    <w:p>
      <w:pPr>
        <w:pStyle w:val="Heading2"/>
      </w:pPr>
      <w:bookmarkStart w:id="932" w:name="_Toc162940843"/>
      <w:bookmarkStart w:id="933" w:name="_Toc162953632"/>
      <w:bookmarkStart w:id="934" w:name="_Toc163121305"/>
      <w:r>
        <w:rPr>
          <w:rStyle w:val="CharPartNo"/>
        </w:rPr>
        <w:lastRenderedPageBreak/>
        <w:t>Order 56A</w:t>
      </w:r>
      <w:r>
        <w:rPr>
          <w:rStyle w:val="CharDivNo"/>
        </w:rPr>
        <w:t> </w:t>
      </w:r>
      <w:r>
        <w:t>—</w:t>
      </w:r>
      <w:r>
        <w:rPr>
          <w:rStyle w:val="CharDivText"/>
        </w:rPr>
        <w:t> </w:t>
      </w:r>
      <w:r>
        <w:rPr>
          <w:rStyle w:val="CharPartText"/>
        </w:rPr>
        <w:t xml:space="preserve">Review orders under the </w:t>
      </w:r>
      <w:r>
        <w:rPr>
          <w:rStyle w:val="CharPartText"/>
          <w:i/>
        </w:rPr>
        <w:t>Magistrates Court Act 2004</w:t>
      </w:r>
      <w:bookmarkEnd w:id="932"/>
      <w:bookmarkEnd w:id="933"/>
      <w:bookmarkEnd w:id="934"/>
    </w:p>
    <w:p>
      <w:pPr>
        <w:pStyle w:val="Footnotesection"/>
      </w:pPr>
      <w:r>
        <w:tab/>
        <w:t xml:space="preserve">[Heading inserted: Gazette 29 Apr 2005 p. 1797.] </w:t>
      </w:r>
    </w:p>
    <w:p>
      <w:pPr>
        <w:pStyle w:val="Heading5"/>
      </w:pPr>
      <w:bookmarkStart w:id="935" w:name="_Toc163121306"/>
      <w:r>
        <w:rPr>
          <w:rStyle w:val="CharSectno"/>
        </w:rPr>
        <w:t>1</w:t>
      </w:r>
      <w:r>
        <w:t>.</w:t>
      </w:r>
      <w:r>
        <w:tab/>
        <w:t>Terms used</w:t>
      </w:r>
      <w:bookmarkEnd w:id="935"/>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r>
        <w:rPr>
          <w:i/>
        </w:rPr>
        <w:t>Magistrates Court Act 2004</w:t>
      </w:r>
      <w:r>
        <w:t>.</w:t>
      </w:r>
    </w:p>
    <w:p>
      <w:pPr>
        <w:pStyle w:val="Subsection"/>
      </w:pPr>
      <w:r>
        <w:tab/>
        <w:t>(2)</w:t>
      </w:r>
      <w:r>
        <w:tab/>
        <w:t xml:space="preserve">A term defined in the </w:t>
      </w:r>
      <w:r>
        <w:rPr>
          <w:i/>
        </w:rPr>
        <w:t>Magistrates Court Act 2004</w:t>
      </w:r>
      <w:r>
        <w:t xml:space="preserve"> has the same meaning in this Order as it has in that Act, unless the contrary intention appears.</w:t>
      </w:r>
    </w:p>
    <w:p>
      <w:pPr>
        <w:pStyle w:val="Footnotesection"/>
      </w:pPr>
      <w:r>
        <w:tab/>
        <w:t>[Rule 1 inserted: Gazette 29 Apr 2005 p. 1797.]</w:t>
      </w:r>
    </w:p>
    <w:p>
      <w:pPr>
        <w:pStyle w:val="Heading5"/>
      </w:pPr>
      <w:bookmarkStart w:id="936" w:name="_Toc163121307"/>
      <w:r>
        <w:rPr>
          <w:rStyle w:val="CharSectno"/>
        </w:rPr>
        <w:t>2</w:t>
      </w:r>
      <w:r>
        <w:t>.</w:t>
      </w:r>
      <w:r>
        <w:tab/>
        <w:t>Application for review order, making</w:t>
      </w:r>
      <w:bookmarkEnd w:id="936"/>
    </w:p>
    <w:p>
      <w:pPr>
        <w:pStyle w:val="Subsection"/>
      </w:pPr>
      <w:r>
        <w:tab/>
        <w:t>(1)</w:t>
      </w:r>
      <w:r>
        <w:tab/>
        <w:t xml:space="preserve">An application to the Court for a review order — </w:t>
      </w:r>
    </w:p>
    <w:p>
      <w:pPr>
        <w:pStyle w:val="Indenta"/>
      </w:pPr>
      <w:r>
        <w:tab/>
        <w:t>(a)</w:t>
      </w:r>
      <w:r>
        <w:tab/>
        <w:t xml:space="preserve">must be made </w:t>
      </w:r>
      <w:r>
        <w:rPr>
          <w:i/>
        </w:rPr>
        <w:t>ex parte</w:t>
      </w:r>
      <w:r>
        <w:t>; and</w:t>
      </w:r>
    </w:p>
    <w:p>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xml:space="preserve">] </w:t>
      </w:r>
      <w:r>
        <w:rPr>
          <w:i/>
        </w:rPr>
        <w:t>EX PARTE</w:t>
      </w:r>
      <w:r>
        <w:t xml:space="preserv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Gazette 29 Apr 2005 p. 1798.]</w:t>
      </w:r>
    </w:p>
    <w:p>
      <w:pPr>
        <w:pStyle w:val="Heading5"/>
      </w:pPr>
      <w:bookmarkStart w:id="937" w:name="_Toc163121308"/>
      <w:r>
        <w:rPr>
          <w:rStyle w:val="CharSectno"/>
        </w:rPr>
        <w:lastRenderedPageBreak/>
        <w:t>3</w:t>
      </w:r>
      <w:r>
        <w:t>.</w:t>
      </w:r>
      <w:r>
        <w:tab/>
        <w:t>Application for review order, procedure on</w:t>
      </w:r>
      <w:bookmarkEnd w:id="937"/>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lastRenderedPageBreak/>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Gazette 29 Apr 2005 p. 1798</w:t>
      </w:r>
      <w:r>
        <w:noBreakHyphen/>
        <w:t>9.]</w:t>
      </w:r>
    </w:p>
    <w:p>
      <w:pPr>
        <w:pStyle w:val="Heading5"/>
      </w:pPr>
      <w:bookmarkStart w:id="938" w:name="_Toc163121309"/>
      <w:r>
        <w:rPr>
          <w:rStyle w:val="CharSectno"/>
        </w:rPr>
        <w:t>4</w:t>
      </w:r>
      <w:r>
        <w:t>.</w:t>
      </w:r>
      <w:r>
        <w:tab/>
        <w:t>Review order, service of</w:t>
      </w:r>
      <w:bookmarkEnd w:id="938"/>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Gazette 29 Apr 2005 p. 1799; renumbered as rule 4: Gazette 21 Feb 2007 p. 561.]</w:t>
      </w:r>
    </w:p>
    <w:p>
      <w:pPr>
        <w:pStyle w:val="Heading5"/>
      </w:pPr>
      <w:bookmarkStart w:id="939" w:name="_Toc163121310"/>
      <w:r>
        <w:rPr>
          <w:rStyle w:val="CharSectno"/>
        </w:rPr>
        <w:t>5</w:t>
      </w:r>
      <w:r>
        <w:t>.</w:t>
      </w:r>
      <w:r>
        <w:tab/>
        <w:t>Review order, hearing of</w:t>
      </w:r>
      <w:bookmarkEnd w:id="939"/>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Gazette 29 Apr 2005 p. 1799; renumbered as rule 5: Gazette 21 Feb 2007 p. 561.]</w:t>
      </w:r>
    </w:p>
    <w:p>
      <w:pPr>
        <w:pStyle w:val="Heading5"/>
      </w:pPr>
      <w:bookmarkStart w:id="940" w:name="_Toc163121311"/>
      <w:r>
        <w:rPr>
          <w:rStyle w:val="CharSectno"/>
        </w:rPr>
        <w:lastRenderedPageBreak/>
        <w:t>6</w:t>
      </w:r>
      <w:r>
        <w:t>.</w:t>
      </w:r>
      <w:r>
        <w:tab/>
        <w:t>Final order, making and service of</w:t>
      </w:r>
      <w:bookmarkEnd w:id="940"/>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Gazette 29 Apr 2005 p. 1799; renumbered as rule 6: Gazette 21 Feb 2007 p. 561.]</w:t>
      </w:r>
    </w:p>
    <w:p>
      <w:pPr>
        <w:pStyle w:val="Heading2"/>
        <w:rPr>
          <w:b w:val="0"/>
        </w:rPr>
      </w:pPr>
      <w:bookmarkStart w:id="941" w:name="_Toc162940850"/>
      <w:bookmarkStart w:id="942" w:name="_Toc162953639"/>
      <w:bookmarkStart w:id="943" w:name="_Toc163121312"/>
      <w:r>
        <w:rPr>
          <w:rStyle w:val="CharPartNo"/>
        </w:rPr>
        <w:lastRenderedPageBreak/>
        <w:t>Order 57</w:t>
      </w:r>
      <w:r>
        <w:rPr>
          <w:rStyle w:val="CharDivNo"/>
        </w:rPr>
        <w:t> </w:t>
      </w:r>
      <w:r>
        <w:t>—</w:t>
      </w:r>
      <w:r>
        <w:rPr>
          <w:rStyle w:val="CharDivText"/>
        </w:rPr>
        <w:t> </w:t>
      </w:r>
      <w:r>
        <w:rPr>
          <w:rStyle w:val="CharPartText"/>
        </w:rPr>
        <w:t>Habeas corpus</w:t>
      </w:r>
      <w:bookmarkEnd w:id="941"/>
      <w:bookmarkEnd w:id="942"/>
      <w:bookmarkEnd w:id="943"/>
    </w:p>
    <w:p>
      <w:pPr>
        <w:pStyle w:val="Heading5"/>
        <w:spacing w:before="180"/>
        <w:rPr>
          <w:snapToGrid w:val="0"/>
        </w:rPr>
      </w:pPr>
      <w:bookmarkStart w:id="944" w:name="_Toc163121313"/>
      <w:r>
        <w:rPr>
          <w:rStyle w:val="CharSectno"/>
        </w:rPr>
        <w:t>1</w:t>
      </w:r>
      <w:r>
        <w:rPr>
          <w:snapToGrid w:val="0"/>
        </w:rPr>
        <w:t>.</w:t>
      </w:r>
      <w:r>
        <w:rPr>
          <w:snapToGrid w:val="0"/>
        </w:rPr>
        <w:tab/>
        <w:t>Application for writ</w:t>
      </w:r>
      <w:bookmarkEnd w:id="944"/>
    </w:p>
    <w:p>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 xml:space="preserve">The application may be made </w:t>
      </w:r>
      <w:r>
        <w:rPr>
          <w:i/>
          <w:snapToGrid w:val="0"/>
        </w:rPr>
        <w:t>ex parte</w:t>
      </w:r>
      <w:r>
        <w:rPr>
          <w:snapToGrid w:val="0"/>
        </w:rPr>
        <w:t xml:space="preserve">, and subject to </w:t>
      </w:r>
      <w:r>
        <w:t>subrule</w:t>
      </w:r>
      <w:r>
        <w:rPr>
          <w:snapToGrid w:val="0"/>
        </w:rPr>
        <w:t>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 xml:space="preserve">Where the person restrained is unable to make the affidavit required by </w:t>
      </w:r>
      <w:r>
        <w:t>subrule</w:t>
      </w:r>
      <w:r>
        <w:rPr>
          <w:snapToGrid w:val="0"/>
        </w:rPr>
        <w:t> (2) the affidavit may be made by some other person on his behalf and must state that the person restrained is unable to make the affidavit himself and for what reason.</w:t>
      </w:r>
    </w:p>
    <w:p>
      <w:pPr>
        <w:pStyle w:val="Footnotesection"/>
      </w:pPr>
      <w:r>
        <w:tab/>
        <w:t xml:space="preserve">[Rule 1 amended: Gazette 9 Nov 1990 p. 5526; 29 Apr 2005 p. 1795; 21 Feb 2007 p. 561; 28 Jun 2011 p. 2552.] </w:t>
      </w:r>
    </w:p>
    <w:p>
      <w:pPr>
        <w:pStyle w:val="Heading5"/>
        <w:spacing w:before="180"/>
        <w:rPr>
          <w:snapToGrid w:val="0"/>
        </w:rPr>
      </w:pPr>
      <w:bookmarkStart w:id="945" w:name="_Toc163121314"/>
      <w:r>
        <w:rPr>
          <w:rStyle w:val="CharSectno"/>
        </w:rPr>
        <w:t>2</w:t>
      </w:r>
      <w:r>
        <w:rPr>
          <w:snapToGrid w:val="0"/>
        </w:rPr>
        <w:t>.</w:t>
      </w:r>
      <w:r>
        <w:rPr>
          <w:snapToGrid w:val="0"/>
        </w:rPr>
        <w:tab/>
        <w:t xml:space="preserve">Power of Court when </w:t>
      </w:r>
      <w:r>
        <w:rPr>
          <w:i/>
          <w:snapToGrid w:val="0"/>
        </w:rPr>
        <w:t>ex parte</w:t>
      </w:r>
      <w:r>
        <w:rPr>
          <w:snapToGrid w:val="0"/>
        </w:rPr>
        <w:t xml:space="preserve"> application made</w:t>
      </w:r>
      <w:bookmarkEnd w:id="945"/>
    </w:p>
    <w:p>
      <w:pPr>
        <w:pStyle w:val="Subsection"/>
        <w:spacing w:before="120"/>
      </w:pPr>
      <w:r>
        <w:tab/>
        <w:t>(1)</w:t>
      </w:r>
      <w:r>
        <w:tab/>
        <w:t xml:space="preserve">The judge to whom an application is made under rule 1 </w:t>
      </w:r>
      <w:r>
        <w:rPr>
          <w:i/>
        </w:rPr>
        <w:t>ex parte</w:t>
      </w:r>
      <w:r>
        <w:t xml:space="preserv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lastRenderedPageBreak/>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Gazette 9 Nov 1990 p. 5526; 29 Apr 2005 p. 1795; 21 Feb 2007 p. 561.] </w:t>
      </w:r>
    </w:p>
    <w:p>
      <w:pPr>
        <w:pStyle w:val="Heading5"/>
        <w:rPr>
          <w:snapToGrid w:val="0"/>
        </w:rPr>
      </w:pPr>
      <w:bookmarkStart w:id="946" w:name="_Toc163121315"/>
      <w:r>
        <w:rPr>
          <w:rStyle w:val="CharSectno"/>
        </w:rPr>
        <w:t>3</w:t>
      </w:r>
      <w:r>
        <w:rPr>
          <w:snapToGrid w:val="0"/>
        </w:rPr>
        <w:t>.</w:t>
      </w:r>
      <w:r>
        <w:rPr>
          <w:snapToGrid w:val="0"/>
        </w:rPr>
        <w:tab/>
        <w:t>Copies of affidavits to be supplied</w:t>
      </w:r>
      <w:bookmarkEnd w:id="946"/>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947" w:name="_Toc163121316"/>
      <w:r>
        <w:rPr>
          <w:rStyle w:val="CharSectno"/>
        </w:rPr>
        <w:t>4</w:t>
      </w:r>
      <w:r>
        <w:rPr>
          <w:snapToGrid w:val="0"/>
        </w:rPr>
        <w:t>.</w:t>
      </w:r>
      <w:r>
        <w:rPr>
          <w:snapToGrid w:val="0"/>
        </w:rPr>
        <w:tab/>
        <w:t>Court may order release of person restrained</w:t>
      </w:r>
      <w:bookmarkEnd w:id="947"/>
    </w:p>
    <w:p>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Gazette 9 Nov 1990 p. 5526.] </w:t>
      </w:r>
    </w:p>
    <w:p>
      <w:pPr>
        <w:pStyle w:val="Heading5"/>
        <w:rPr>
          <w:snapToGrid w:val="0"/>
        </w:rPr>
      </w:pPr>
      <w:bookmarkStart w:id="948" w:name="_Toc163121317"/>
      <w:r>
        <w:rPr>
          <w:rStyle w:val="CharSectno"/>
        </w:rPr>
        <w:t>5</w:t>
      </w:r>
      <w:r>
        <w:rPr>
          <w:snapToGrid w:val="0"/>
        </w:rPr>
        <w:t>.</w:t>
      </w:r>
      <w:r>
        <w:rPr>
          <w:snapToGrid w:val="0"/>
        </w:rPr>
        <w:tab/>
        <w:t>Signed copy of writ to be filed</w:t>
      </w:r>
      <w:bookmarkEnd w:id="948"/>
    </w:p>
    <w:p>
      <w:pPr>
        <w:pStyle w:val="Subsection"/>
        <w:rPr>
          <w:snapToGrid w:val="0"/>
        </w:rPr>
      </w:pPr>
      <w:r>
        <w:tab/>
        <w:t>(1)</w:t>
      </w:r>
      <w:r>
        <w:tab/>
        <w:t>When</w:t>
      </w:r>
      <w:r>
        <w:rPr>
          <w:snapToGrid w:val="0"/>
        </w:rPr>
        <w:t xml:space="preserve"> a writ of habeas corpus is presented for sealing, the person presenting it must at the same time file a copy of the writ </w:t>
      </w:r>
      <w:r>
        <w:rPr>
          <w:snapToGrid w:val="0"/>
        </w:rPr>
        <w:lastRenderedPageBreak/>
        <w:t>signed by or on behalf of the solicitor for the party issuing it, or by the party himself if he is proceeding in person.</w:t>
      </w:r>
    </w:p>
    <w:p>
      <w:pPr>
        <w:pStyle w:val="Subsection"/>
        <w:keepNext/>
      </w:pPr>
      <w:r>
        <w:tab/>
        <w:t>(2)</w:t>
      </w:r>
      <w:r>
        <w:tab/>
        <w:t>The writ, or a copy of it, cannot be filed electronically.</w:t>
      </w:r>
    </w:p>
    <w:p>
      <w:pPr>
        <w:pStyle w:val="Footnotesection"/>
      </w:pPr>
      <w:r>
        <w:tab/>
        <w:t xml:space="preserve">[Rule 5 amended: Gazette 27 Feb 2018 p. 572.] </w:t>
      </w:r>
    </w:p>
    <w:p>
      <w:pPr>
        <w:pStyle w:val="Heading5"/>
      </w:pPr>
      <w:bookmarkStart w:id="949" w:name="_Toc163121318"/>
      <w:r>
        <w:rPr>
          <w:rStyle w:val="CharSectno"/>
        </w:rPr>
        <w:t>6</w:t>
      </w:r>
      <w:r>
        <w:t>.</w:t>
      </w:r>
      <w:r>
        <w:tab/>
        <w:t>Order for issue of writ, contents of</w:t>
      </w:r>
      <w:bookmarkEnd w:id="949"/>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Gazette 21 Feb 2007 p. 561.]</w:t>
      </w:r>
    </w:p>
    <w:p>
      <w:pPr>
        <w:pStyle w:val="Heading5"/>
        <w:rPr>
          <w:snapToGrid w:val="0"/>
        </w:rPr>
      </w:pPr>
      <w:bookmarkStart w:id="950" w:name="_Toc163121319"/>
      <w:r>
        <w:rPr>
          <w:rStyle w:val="CharSectno"/>
        </w:rPr>
        <w:t>7</w:t>
      </w:r>
      <w:r>
        <w:rPr>
          <w:snapToGrid w:val="0"/>
        </w:rPr>
        <w:t>.</w:t>
      </w:r>
      <w:r>
        <w:rPr>
          <w:snapToGrid w:val="0"/>
        </w:rPr>
        <w:tab/>
        <w:t>Service of writ and notice</w:t>
      </w:r>
      <w:bookmarkEnd w:id="950"/>
    </w:p>
    <w:p>
      <w:pPr>
        <w:pStyle w:val="Subsection"/>
        <w:rPr>
          <w:snapToGrid w:val="0"/>
        </w:rPr>
      </w:pPr>
      <w:r>
        <w:rPr>
          <w:snapToGrid w:val="0"/>
        </w:rPr>
        <w:tab/>
        <w:t>(1)</w:t>
      </w:r>
      <w:r>
        <w:rPr>
          <w:snapToGrid w:val="0"/>
        </w:rPr>
        <w:tab/>
        <w:t xml:space="preserve">Subject to </w:t>
      </w:r>
      <w:r>
        <w:t>subrules</w:t>
      </w:r>
      <w:r>
        <w:rPr>
          <w:snapToGrid w:val="0"/>
        </w:rPr>
        <w:t xml:space="preserve"> (2) and (3) a writ of </w:t>
      </w:r>
      <w:r>
        <w:rPr>
          <w:i/>
          <w:snapToGrid w:val="0"/>
        </w:rPr>
        <w:t>habeas corpus ad subjiciendum</w:t>
      </w:r>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Subsection"/>
      </w:pPr>
      <w:r>
        <w:tab/>
        <w:t>(4)</w:t>
      </w:r>
      <w:r>
        <w:tab/>
        <w:t xml:space="preserve">If the writ is issued by means of the ECMS — </w:t>
      </w:r>
    </w:p>
    <w:p>
      <w:pPr>
        <w:pStyle w:val="Indenta"/>
      </w:pPr>
      <w:r>
        <w:lastRenderedPageBreak/>
        <w:tab/>
        <w:t>(a)</w:t>
      </w:r>
      <w:r>
        <w:tab/>
        <w:t>the applicant may print from the ECMS 1 or more copies of the writ; and</w:t>
      </w:r>
    </w:p>
    <w:p>
      <w:pPr>
        <w:pStyle w:val="Indenta"/>
      </w:pPr>
      <w:r>
        <w:tab/>
        <w:t>(b)</w:t>
      </w:r>
      <w:r>
        <w:tab/>
        <w:t>a printed copy may be treated as the writ for the purposes of this rule.</w:t>
      </w:r>
    </w:p>
    <w:p>
      <w:pPr>
        <w:pStyle w:val="Footnotesection"/>
      </w:pPr>
      <w:r>
        <w:tab/>
        <w:t>[Rule 7 amended: Gazette 28 Jul 2010 p. 3484; 28 Jun 2011 p. 2552</w:t>
      </w:r>
      <w:r>
        <w:noBreakHyphen/>
        <w:t>3; 27 Feb 2018 p. 572; 31 Dec 2019 p. 4677.]</w:t>
      </w:r>
    </w:p>
    <w:p>
      <w:pPr>
        <w:pStyle w:val="Heading5"/>
        <w:rPr>
          <w:snapToGrid w:val="0"/>
        </w:rPr>
      </w:pPr>
      <w:bookmarkStart w:id="951" w:name="_Toc163121320"/>
      <w:r>
        <w:rPr>
          <w:rStyle w:val="CharSectno"/>
        </w:rPr>
        <w:t>8</w:t>
      </w:r>
      <w:r>
        <w:rPr>
          <w:snapToGrid w:val="0"/>
        </w:rPr>
        <w:t>.</w:t>
      </w:r>
      <w:r>
        <w:rPr>
          <w:snapToGrid w:val="0"/>
        </w:rPr>
        <w:tab/>
        <w:t>Return to writ of habeas corpus</w:t>
      </w:r>
      <w:bookmarkEnd w:id="951"/>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952" w:name="_Toc163121321"/>
      <w:r>
        <w:rPr>
          <w:rStyle w:val="CharSectno"/>
        </w:rPr>
        <w:t>9</w:t>
      </w:r>
      <w:r>
        <w:rPr>
          <w:snapToGrid w:val="0"/>
        </w:rPr>
        <w:t>.</w:t>
      </w:r>
      <w:r>
        <w:rPr>
          <w:snapToGrid w:val="0"/>
        </w:rPr>
        <w:tab/>
        <w:t>Procedure on hearing</w:t>
      </w:r>
      <w:bookmarkEnd w:id="952"/>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953" w:name="_Toc163121322"/>
      <w:r>
        <w:rPr>
          <w:rStyle w:val="CharSectno"/>
        </w:rPr>
        <w:t>10</w:t>
      </w:r>
      <w:r>
        <w:rPr>
          <w:snapToGrid w:val="0"/>
        </w:rPr>
        <w:t>.</w:t>
      </w:r>
      <w:r>
        <w:rPr>
          <w:snapToGrid w:val="0"/>
        </w:rPr>
        <w:tab/>
        <w:t>Form of writ</w:t>
      </w:r>
      <w:bookmarkEnd w:id="953"/>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954" w:name="_Toc162940861"/>
      <w:bookmarkStart w:id="955" w:name="_Toc162953650"/>
      <w:bookmarkStart w:id="956" w:name="_Toc163121323"/>
      <w:r>
        <w:rPr>
          <w:rStyle w:val="CharPartNo"/>
        </w:rPr>
        <w:lastRenderedPageBreak/>
        <w:t>Order 58</w:t>
      </w:r>
      <w:r>
        <w:t> — </w:t>
      </w:r>
      <w:r>
        <w:rPr>
          <w:rStyle w:val="CharPartText"/>
        </w:rPr>
        <w:t>Proceedings by originating summons</w:t>
      </w:r>
      <w:bookmarkEnd w:id="954"/>
      <w:bookmarkEnd w:id="955"/>
      <w:bookmarkEnd w:id="956"/>
    </w:p>
    <w:p>
      <w:pPr>
        <w:pStyle w:val="Heading3"/>
      </w:pPr>
      <w:bookmarkStart w:id="957" w:name="_Toc162940862"/>
      <w:bookmarkStart w:id="958" w:name="_Toc162953651"/>
      <w:bookmarkStart w:id="959" w:name="_Toc163121324"/>
      <w:r>
        <w:rPr>
          <w:rStyle w:val="CharDivNo"/>
        </w:rPr>
        <w:t>Division 1</w:t>
      </w:r>
      <w:r>
        <w:t> — </w:t>
      </w:r>
      <w:r>
        <w:rPr>
          <w:rStyle w:val="CharDivText"/>
        </w:rPr>
        <w:t>Introductory</w:t>
      </w:r>
      <w:bookmarkEnd w:id="957"/>
      <w:bookmarkEnd w:id="958"/>
      <w:bookmarkEnd w:id="959"/>
    </w:p>
    <w:p>
      <w:pPr>
        <w:pStyle w:val="Footnoteheading"/>
      </w:pPr>
      <w:r>
        <w:tab/>
        <w:t xml:space="preserve">[Heading inserted: Gazette 22 Feb 2008 p. 638.] </w:t>
      </w:r>
    </w:p>
    <w:p>
      <w:pPr>
        <w:pStyle w:val="Heading5"/>
        <w:rPr>
          <w:snapToGrid w:val="0"/>
        </w:rPr>
      </w:pPr>
      <w:bookmarkStart w:id="960" w:name="_Toc163121325"/>
      <w:r>
        <w:rPr>
          <w:rStyle w:val="CharSectno"/>
        </w:rPr>
        <w:t>1</w:t>
      </w:r>
      <w:r>
        <w:rPr>
          <w:snapToGrid w:val="0"/>
        </w:rPr>
        <w:t>.</w:t>
      </w:r>
      <w:r>
        <w:rPr>
          <w:snapToGrid w:val="0"/>
        </w:rPr>
        <w:tab/>
        <w:t>Which proceedings to be commenced by originating summons</w:t>
      </w:r>
      <w:bookmarkEnd w:id="960"/>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961" w:name="_Toc162940864"/>
      <w:bookmarkStart w:id="962" w:name="_Toc162953653"/>
      <w:bookmarkStart w:id="963" w:name="_Toc163121326"/>
      <w:r>
        <w:rPr>
          <w:rStyle w:val="CharDivNo"/>
        </w:rPr>
        <w:t>Division 2</w:t>
      </w:r>
      <w:r>
        <w:t> — </w:t>
      </w:r>
      <w:r>
        <w:rPr>
          <w:rStyle w:val="CharDivText"/>
        </w:rPr>
        <w:t>Administration and trusts</w:t>
      </w:r>
      <w:bookmarkEnd w:id="961"/>
      <w:bookmarkEnd w:id="962"/>
      <w:bookmarkEnd w:id="963"/>
    </w:p>
    <w:p>
      <w:pPr>
        <w:pStyle w:val="Footnoteheading"/>
      </w:pPr>
      <w:r>
        <w:tab/>
        <w:t xml:space="preserve">[Heading inserted: Gazette 22 Feb 2008 p. 638.] </w:t>
      </w:r>
    </w:p>
    <w:p>
      <w:pPr>
        <w:pStyle w:val="Heading5"/>
        <w:rPr>
          <w:snapToGrid w:val="0"/>
        </w:rPr>
      </w:pPr>
      <w:bookmarkStart w:id="964" w:name="_Toc163121327"/>
      <w:r>
        <w:rPr>
          <w:rStyle w:val="CharSectno"/>
        </w:rPr>
        <w:t>2</w:t>
      </w:r>
      <w:r>
        <w:rPr>
          <w:snapToGrid w:val="0"/>
        </w:rPr>
        <w:t>.</w:t>
      </w:r>
      <w:r>
        <w:rPr>
          <w:snapToGrid w:val="0"/>
        </w:rPr>
        <w:tab/>
        <w:t>Executors etc. seeking certain relief without administration</w:t>
      </w:r>
      <w:bookmarkEnd w:id="964"/>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lastRenderedPageBreak/>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965" w:name="_Toc163121328"/>
      <w:r>
        <w:rPr>
          <w:rStyle w:val="CharSectno"/>
        </w:rPr>
        <w:t>3</w:t>
      </w:r>
      <w:r>
        <w:rPr>
          <w:snapToGrid w:val="0"/>
        </w:rPr>
        <w:t>.</w:t>
      </w:r>
      <w:r>
        <w:rPr>
          <w:snapToGrid w:val="0"/>
        </w:rPr>
        <w:tab/>
        <w:t>Executors etc. applying for administration</w:t>
      </w:r>
      <w:bookmarkEnd w:id="965"/>
    </w:p>
    <w:p>
      <w:pPr>
        <w:pStyle w:val="Subsection"/>
        <w:rPr>
          <w:snapToGrid w:val="0"/>
        </w:rPr>
      </w:pPr>
      <w:r>
        <w:rPr>
          <w:snapToGrid w:val="0"/>
        </w:rPr>
        <w:tab/>
      </w:r>
      <w:r>
        <w:rPr>
          <w:snapToGrid w:val="0"/>
        </w:rPr>
        <w:tab/>
        <w:t xml:space="preserve">Any of the persons named in </w:t>
      </w:r>
      <w:r>
        <w:t xml:space="preserve">rule 2 </w:t>
      </w:r>
      <w:r>
        <w:rPr>
          <w:snapToGrid w:val="0"/>
        </w:rPr>
        <w:t>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Footnotesection"/>
      </w:pPr>
      <w:r>
        <w:tab/>
        <w:t>[Rule 3 amended: Gazette 28 Jun 2011 p. 2554.]</w:t>
      </w:r>
    </w:p>
    <w:p>
      <w:pPr>
        <w:pStyle w:val="Heading5"/>
        <w:rPr>
          <w:snapToGrid w:val="0"/>
        </w:rPr>
      </w:pPr>
      <w:bookmarkStart w:id="966" w:name="_Toc163121329"/>
      <w:r>
        <w:rPr>
          <w:rStyle w:val="CharSectno"/>
        </w:rPr>
        <w:t>4</w:t>
      </w:r>
      <w:r>
        <w:rPr>
          <w:snapToGrid w:val="0"/>
        </w:rPr>
        <w:t>.</w:t>
      </w:r>
      <w:r>
        <w:rPr>
          <w:snapToGrid w:val="0"/>
        </w:rPr>
        <w:tab/>
        <w:t>Service of summons issued under r. 2 or 3</w:t>
      </w:r>
      <w:bookmarkEnd w:id="966"/>
    </w:p>
    <w:p>
      <w:pPr>
        <w:pStyle w:val="Subsection"/>
        <w:rPr>
          <w:snapToGrid w:val="0"/>
        </w:rPr>
      </w:pPr>
      <w:r>
        <w:rPr>
          <w:snapToGrid w:val="0"/>
        </w:rPr>
        <w:tab/>
      </w:r>
      <w:r>
        <w:rPr>
          <w:snapToGrid w:val="0"/>
        </w:rPr>
        <w:tab/>
        <w:t xml:space="preserve">The persons to be served with the summons under </w:t>
      </w:r>
      <w:r>
        <w:t xml:space="preserve">rules 2 and 3 </w:t>
      </w:r>
      <w:r>
        <w:rPr>
          <w:snapToGrid w:val="0"/>
        </w:rPr>
        <w:t>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(i)</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(ii)</w:t>
      </w:r>
      <w:r>
        <w:rPr>
          <w:snapToGrid w:val="0"/>
        </w:rPr>
        <w:tab/>
        <w:t>for the determination of any question, under rule 2(b), any member or alleged member of the class;</w:t>
      </w:r>
    </w:p>
    <w:p>
      <w:pPr>
        <w:pStyle w:val="Indenti"/>
        <w:rPr>
          <w:snapToGrid w:val="0"/>
        </w:rPr>
      </w:pPr>
      <w:r>
        <w:rPr>
          <w:snapToGrid w:val="0"/>
        </w:rPr>
        <w:lastRenderedPageBreak/>
        <w:tab/>
        <w:t>(iii)</w:t>
      </w:r>
      <w:r>
        <w:rPr>
          <w:snapToGrid w:val="0"/>
        </w:rPr>
        <w:tab/>
        <w:t>for the determination of any question, under rule 2(c), any person interested in taking such accounts;</w:t>
      </w:r>
    </w:p>
    <w:p>
      <w:pPr>
        <w:pStyle w:val="Indenti"/>
        <w:rPr>
          <w:snapToGrid w:val="0"/>
        </w:rPr>
      </w:pPr>
      <w:r>
        <w:rPr>
          <w:snapToGrid w:val="0"/>
        </w:rPr>
        <w:tab/>
        <w:t>(iv)</w:t>
      </w:r>
      <w:r>
        <w:rPr>
          <w:snapToGrid w:val="0"/>
        </w:rPr>
        <w:tab/>
        <w:t>for the determination of any question, under rule 2(d), any person interested in such money;</w:t>
      </w:r>
    </w:p>
    <w:p>
      <w:pPr>
        <w:pStyle w:val="Indenti"/>
        <w:rPr>
          <w:snapToGrid w:val="0"/>
        </w:rPr>
      </w:pPr>
      <w:r>
        <w:rPr>
          <w:snapToGrid w:val="0"/>
        </w:rPr>
        <w:tab/>
        <w:t>(v)</w:t>
      </w:r>
      <w:r>
        <w:rPr>
          <w:snapToGrid w:val="0"/>
        </w:rPr>
        <w:tab/>
        <w:t>for relief under rule 3(a), the residuary beneficiaries, or next of kin, or some of them;</w:t>
      </w:r>
    </w:p>
    <w:p>
      <w:pPr>
        <w:pStyle w:val="Indenti"/>
        <w:rPr>
          <w:snapToGrid w:val="0"/>
        </w:rPr>
      </w:pPr>
      <w:r>
        <w:rPr>
          <w:snapToGrid w:val="0"/>
        </w:rPr>
        <w:tab/>
        <w:t>(vi)</w:t>
      </w:r>
      <w:r>
        <w:rPr>
          <w:snapToGrid w:val="0"/>
        </w:rPr>
        <w:tab/>
        <w:t>for relief under rule 3(b), the cestuis que trustent, or some of them;</w:t>
      </w:r>
    </w:p>
    <w:p>
      <w:pPr>
        <w:pStyle w:val="Indenti"/>
        <w:rPr>
          <w:snapToGrid w:val="0"/>
        </w:rPr>
      </w:pPr>
      <w:r>
        <w:rPr>
          <w:snapToGrid w:val="0"/>
        </w:rPr>
        <w:tab/>
        <w:t>(vii)</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Footnotesection"/>
      </w:pPr>
      <w:r>
        <w:tab/>
        <w:t>[Rule 4 amended: Gazette 28 Jun 2011 p. 2554.]</w:t>
      </w:r>
    </w:p>
    <w:p>
      <w:pPr>
        <w:pStyle w:val="Heading5"/>
        <w:rPr>
          <w:snapToGrid w:val="0"/>
        </w:rPr>
      </w:pPr>
      <w:bookmarkStart w:id="967" w:name="_Toc163121330"/>
      <w:r>
        <w:rPr>
          <w:rStyle w:val="CharSectno"/>
        </w:rPr>
        <w:t>5</w:t>
      </w:r>
      <w:r>
        <w:rPr>
          <w:snapToGrid w:val="0"/>
        </w:rPr>
        <w:t>.</w:t>
      </w:r>
      <w:r>
        <w:rPr>
          <w:snapToGrid w:val="0"/>
        </w:rPr>
        <w:tab/>
        <w:t>Decision without judgment for administration</w:t>
      </w:r>
      <w:bookmarkEnd w:id="967"/>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968" w:name="_Toc163121331"/>
      <w:r>
        <w:rPr>
          <w:rStyle w:val="CharSectno"/>
        </w:rPr>
        <w:t>6</w:t>
      </w:r>
      <w:r>
        <w:rPr>
          <w:snapToGrid w:val="0"/>
        </w:rPr>
        <w:t>.</w:t>
      </w:r>
      <w:r>
        <w:rPr>
          <w:snapToGrid w:val="0"/>
        </w:rPr>
        <w:tab/>
        <w:t>Orders which may be made on application for administration etc. of trusts</w:t>
      </w:r>
      <w:bookmarkEnd w:id="968"/>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 xml:space="preserve">order that the application shall stand over for a certain time and that the executors, administrators, or trustees in the meantime shall render to the applicant a proper </w:t>
      </w:r>
      <w:r>
        <w:rPr>
          <w:snapToGrid w:val="0"/>
        </w:rPr>
        <w:lastRenderedPageBreak/>
        <w:t>statement of their accounts, with an intimation that if this is not done they may be made to pay the costs of the proceedings;</w:t>
      </w:r>
    </w:p>
    <w:p>
      <w:pPr>
        <w:pStyle w:val="Indenta"/>
        <w:spacing w:before="60"/>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spacing w:before="200"/>
        <w:rPr>
          <w:snapToGrid w:val="0"/>
        </w:rPr>
      </w:pPr>
      <w:bookmarkStart w:id="969" w:name="_Toc163121332"/>
      <w:r>
        <w:rPr>
          <w:rStyle w:val="CharSectno"/>
        </w:rPr>
        <w:t>7</w:t>
      </w:r>
      <w:r>
        <w:rPr>
          <w:snapToGrid w:val="0"/>
        </w:rPr>
        <w:t>.</w:t>
      </w:r>
      <w:r>
        <w:rPr>
          <w:snapToGrid w:val="0"/>
        </w:rPr>
        <w:tab/>
        <w:t>Interference with discretion of trustee etc.</w:t>
      </w:r>
      <w:bookmarkEnd w:id="969"/>
    </w:p>
    <w:p>
      <w:pPr>
        <w:pStyle w:val="Subsection"/>
        <w:spacing w:before="120"/>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spacing w:before="200"/>
        <w:rPr>
          <w:snapToGrid w:val="0"/>
        </w:rPr>
      </w:pPr>
      <w:bookmarkStart w:id="970" w:name="_Toc163121333"/>
      <w:r>
        <w:rPr>
          <w:rStyle w:val="CharSectno"/>
        </w:rPr>
        <w:t>8</w:t>
      </w:r>
      <w:r>
        <w:rPr>
          <w:snapToGrid w:val="0"/>
        </w:rPr>
        <w:t>.</w:t>
      </w:r>
      <w:r>
        <w:rPr>
          <w:snapToGrid w:val="0"/>
        </w:rPr>
        <w:tab/>
        <w:t>Conduct of sale of trust property</w:t>
      </w:r>
      <w:bookmarkEnd w:id="970"/>
    </w:p>
    <w:p>
      <w:pPr>
        <w:pStyle w:val="Subsection"/>
        <w:spacing w:before="120"/>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Footnoteheading"/>
        <w:spacing w:before="200"/>
      </w:pPr>
      <w:r>
        <w:tab/>
        <w:t>[Heading deleted: Gazette 10 Jan 1975 p. 51.]</w:t>
      </w:r>
    </w:p>
    <w:p>
      <w:pPr>
        <w:pStyle w:val="Ednotesection"/>
        <w:spacing w:before="200"/>
      </w:pPr>
      <w:r>
        <w:t>[</w:t>
      </w:r>
      <w:r>
        <w:rPr>
          <w:b/>
        </w:rPr>
        <w:t>9.</w:t>
      </w:r>
      <w:r>
        <w:rPr>
          <w:b/>
        </w:rPr>
        <w:tab/>
      </w:r>
      <w:r>
        <w:t xml:space="preserve">Deleted: Gazette 10 Jan 1975 p. 51.] </w:t>
      </w:r>
    </w:p>
    <w:p>
      <w:pPr>
        <w:pStyle w:val="Heading3"/>
      </w:pPr>
      <w:bookmarkStart w:id="971" w:name="_Toc162940872"/>
      <w:bookmarkStart w:id="972" w:name="_Toc162953661"/>
      <w:bookmarkStart w:id="973" w:name="_Toc163121334"/>
      <w:r>
        <w:rPr>
          <w:rStyle w:val="CharDivNo"/>
        </w:rPr>
        <w:t>Division 4</w:t>
      </w:r>
      <w:r>
        <w:t> — </w:t>
      </w:r>
      <w:r>
        <w:rPr>
          <w:rStyle w:val="CharDivText"/>
        </w:rPr>
        <w:t>Declaration on originating summons</w:t>
      </w:r>
      <w:bookmarkEnd w:id="971"/>
      <w:bookmarkEnd w:id="972"/>
      <w:bookmarkEnd w:id="973"/>
    </w:p>
    <w:p>
      <w:pPr>
        <w:pStyle w:val="Footnoteheading"/>
        <w:spacing w:before="100"/>
      </w:pPr>
      <w:r>
        <w:tab/>
        <w:t xml:space="preserve">[Heading inserted: Gazette 22 Feb 2008 p. 638.] </w:t>
      </w:r>
    </w:p>
    <w:p>
      <w:pPr>
        <w:pStyle w:val="Heading5"/>
        <w:spacing w:before="200"/>
        <w:rPr>
          <w:snapToGrid w:val="0"/>
        </w:rPr>
      </w:pPr>
      <w:bookmarkStart w:id="974" w:name="_Toc163121335"/>
      <w:r>
        <w:rPr>
          <w:rStyle w:val="CharSectno"/>
        </w:rPr>
        <w:t>10</w:t>
      </w:r>
      <w:r>
        <w:rPr>
          <w:snapToGrid w:val="0"/>
        </w:rPr>
        <w:t>.</w:t>
      </w:r>
      <w:r>
        <w:rPr>
          <w:snapToGrid w:val="0"/>
        </w:rPr>
        <w:tab/>
        <w:t>Construction of written instruments</w:t>
      </w:r>
      <w:bookmarkEnd w:id="974"/>
    </w:p>
    <w:p>
      <w:pPr>
        <w:pStyle w:val="Subsection"/>
        <w:spacing w:before="120"/>
        <w:rPr>
          <w:snapToGrid w:val="0"/>
        </w:rPr>
      </w:pPr>
      <w:r>
        <w:rPr>
          <w:snapToGrid w:val="0"/>
        </w:rPr>
        <w:tab/>
      </w:r>
      <w:r>
        <w:rPr>
          <w:snapToGrid w:val="0"/>
        </w:rPr>
        <w:tab/>
        <w:t xml:space="preserve">Any person claiming to be interested under a deed, will, or other written instrument, may apply by originating summons for the determination of any question of construction arising under the </w:t>
      </w:r>
      <w:r>
        <w:rPr>
          <w:snapToGrid w:val="0"/>
        </w:rPr>
        <w:lastRenderedPageBreak/>
        <w:t>instrument, and for a declaration of the rights of the persons interested.</w:t>
      </w:r>
    </w:p>
    <w:p>
      <w:pPr>
        <w:pStyle w:val="Heading5"/>
        <w:rPr>
          <w:snapToGrid w:val="0"/>
        </w:rPr>
      </w:pPr>
      <w:bookmarkStart w:id="975" w:name="_Toc163121336"/>
      <w:r>
        <w:rPr>
          <w:rStyle w:val="CharSectno"/>
        </w:rPr>
        <w:t>11</w:t>
      </w:r>
      <w:r>
        <w:rPr>
          <w:snapToGrid w:val="0"/>
        </w:rPr>
        <w:t>.</w:t>
      </w:r>
      <w:r>
        <w:rPr>
          <w:snapToGrid w:val="0"/>
        </w:rPr>
        <w:tab/>
        <w:t>Construction or validity of legislation</w:t>
      </w:r>
      <w:bookmarkEnd w:id="975"/>
    </w:p>
    <w:p>
      <w:pPr>
        <w:pStyle w:val="Subsection"/>
        <w:spacing w:before="150"/>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spacing w:before="150"/>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976" w:name="_Toc163121337"/>
      <w:r>
        <w:rPr>
          <w:rStyle w:val="CharSectno"/>
        </w:rPr>
        <w:t>12</w:t>
      </w:r>
      <w:r>
        <w:rPr>
          <w:snapToGrid w:val="0"/>
        </w:rPr>
        <w:t>.</w:t>
      </w:r>
      <w:r>
        <w:rPr>
          <w:snapToGrid w:val="0"/>
        </w:rPr>
        <w:tab/>
        <w:t>Court may refuse to determine summons in some cases</w:t>
      </w:r>
      <w:bookmarkEnd w:id="976"/>
    </w:p>
    <w:p>
      <w:pPr>
        <w:pStyle w:val="Subsection"/>
        <w:spacing w:before="150"/>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977" w:name="_Toc163121338"/>
      <w:r>
        <w:rPr>
          <w:rStyle w:val="CharSectno"/>
        </w:rPr>
        <w:t>13</w:t>
      </w:r>
      <w:r>
        <w:rPr>
          <w:snapToGrid w:val="0"/>
        </w:rPr>
        <w:t>.</w:t>
      </w:r>
      <w:r>
        <w:rPr>
          <w:snapToGrid w:val="0"/>
        </w:rPr>
        <w:tab/>
        <w:t>Effect of contracts for sale etc. of land</w:t>
      </w:r>
      <w:bookmarkEnd w:id="977"/>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978" w:name="_Toc162940877"/>
      <w:bookmarkStart w:id="979" w:name="_Toc162953666"/>
      <w:bookmarkStart w:id="980" w:name="_Toc163121339"/>
      <w:r>
        <w:rPr>
          <w:rStyle w:val="CharDivNo"/>
        </w:rPr>
        <w:lastRenderedPageBreak/>
        <w:t>Division 5</w:t>
      </w:r>
      <w:r>
        <w:t> — </w:t>
      </w:r>
      <w:r>
        <w:rPr>
          <w:rStyle w:val="CharDivText"/>
        </w:rPr>
        <w:t>General</w:t>
      </w:r>
      <w:bookmarkEnd w:id="978"/>
      <w:bookmarkEnd w:id="979"/>
      <w:bookmarkEnd w:id="980"/>
    </w:p>
    <w:p>
      <w:pPr>
        <w:pStyle w:val="Footnoteheading"/>
        <w:keepNext/>
      </w:pPr>
      <w:r>
        <w:tab/>
        <w:t xml:space="preserve">[Heading inserted: Gazette 22 Feb 2008 p. 638.] </w:t>
      </w:r>
    </w:p>
    <w:p>
      <w:pPr>
        <w:pStyle w:val="Heading5"/>
        <w:rPr>
          <w:snapToGrid w:val="0"/>
        </w:rPr>
      </w:pPr>
      <w:bookmarkStart w:id="981" w:name="_Toc163121340"/>
      <w:r>
        <w:rPr>
          <w:rStyle w:val="CharSectno"/>
        </w:rPr>
        <w:t>14</w:t>
      </w:r>
      <w:r>
        <w:rPr>
          <w:snapToGrid w:val="0"/>
        </w:rPr>
        <w:t>.</w:t>
      </w:r>
      <w:r>
        <w:rPr>
          <w:snapToGrid w:val="0"/>
        </w:rPr>
        <w:tab/>
        <w:t>Form and issue of originating summons</w:t>
      </w:r>
      <w:bookmarkEnd w:id="981"/>
    </w:p>
    <w:p>
      <w:pPr>
        <w:pStyle w:val="Subsection"/>
        <w:rPr>
          <w:snapToGrid w:val="0"/>
        </w:rPr>
      </w:pPr>
      <w:r>
        <w:rPr>
          <w:snapToGrid w:val="0"/>
        </w:rPr>
        <w:tab/>
        <w:t>(1)</w:t>
      </w:r>
      <w:r>
        <w:rPr>
          <w:snapToGrid w:val="0"/>
        </w:rPr>
        <w:tab/>
        <w:t xml:space="preserve">An originating summons must be in Form No. 74 or 75 as the case may require and must be prepared by the applicant or </w:t>
      </w:r>
      <w:r>
        <w:t>the applicant’s</w:t>
      </w:r>
      <w:r>
        <w:rPr>
          <w:snapToGrid w:val="0"/>
        </w:rPr>
        <w:t xml:space="preserve"> solicitor.</w:t>
      </w:r>
    </w:p>
    <w:p>
      <w:pPr>
        <w:pStyle w:val="Subsection"/>
        <w:rPr>
          <w:snapToGrid w:val="0"/>
        </w:rPr>
      </w:pPr>
      <w:r>
        <w:rPr>
          <w:snapToGrid w:val="0"/>
        </w:rPr>
        <w:tab/>
        <w:t>(2)</w:t>
      </w:r>
      <w:r>
        <w:rPr>
          <w:snapToGrid w:val="0"/>
        </w:rPr>
        <w:tab/>
        <w:t xml:space="preserve">The party taking out an originating summons </w:t>
      </w:r>
      <w:r>
        <w:t>must</w:t>
      </w:r>
      <w:r>
        <w:rPr>
          <w:snapToGrid w:val="0"/>
        </w:rPr>
        <w:t xml:space="preserve"> be described as a plaintiff, and the other parties </w:t>
      </w:r>
      <w:r>
        <w:t>must</w:t>
      </w:r>
      <w:r>
        <w:rPr>
          <w:snapToGrid w:val="0"/>
        </w:rPr>
        <w:t xml:space="preserve"> be described as defendants.</w:t>
      </w:r>
    </w:p>
    <w:p>
      <w:pPr>
        <w:pStyle w:val="Subsection"/>
        <w:rPr>
          <w:snapToGrid w:val="0"/>
        </w:rPr>
      </w:pPr>
      <w:r>
        <w:rPr>
          <w:snapToGrid w:val="0"/>
        </w:rPr>
        <w:tab/>
        <w:t>(3)</w:t>
      </w:r>
      <w:r>
        <w:rPr>
          <w:snapToGrid w:val="0"/>
        </w:rPr>
        <w:tab/>
        <w:t xml:space="preserve">Issue of an originating summons takes place upon its being sealed </w:t>
      </w:r>
      <w:r>
        <w:t>with the seal of the Court.</w:t>
      </w:r>
    </w:p>
    <w:p>
      <w:pPr>
        <w:pStyle w:val="Ednotesubsection"/>
      </w:pPr>
      <w:r>
        <w:tab/>
        <w:t>[(4)</w:t>
      </w:r>
      <w:r>
        <w:tab/>
        <w:t>deleted]</w:t>
      </w:r>
    </w:p>
    <w:p>
      <w:pPr>
        <w:pStyle w:val="Subsection"/>
        <w:rPr>
          <w:snapToGrid w:val="0"/>
        </w:rPr>
      </w:pPr>
      <w:r>
        <w:rPr>
          <w:snapToGrid w:val="0"/>
        </w:rPr>
        <w:tab/>
        <w:t>(5)</w:t>
      </w:r>
      <w:r>
        <w:rPr>
          <w:snapToGrid w:val="0"/>
        </w:rPr>
        <w:tab/>
        <w:t xml:space="preserve">An originating summons </w:t>
      </w:r>
      <w:r>
        <w:t>must</w:t>
      </w:r>
      <w:r>
        <w:rPr>
          <w:snapToGrid w:val="0"/>
        </w:rPr>
        <w:t xml:space="preserve"> be entitled in the matter of the Act (if any) and the section </w:t>
      </w:r>
      <w:r>
        <w:t xml:space="preserve">of the Act (if any), </w:t>
      </w:r>
      <w:r>
        <w:rPr>
          <w:snapToGrid w:val="0"/>
        </w:rPr>
        <w:t>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Footnotesection"/>
      </w:pPr>
      <w:r>
        <w:tab/>
        <w:t>[Rule 14 amended: SL 2020/242 r. 5(1)-(5).]</w:t>
      </w:r>
    </w:p>
    <w:p>
      <w:pPr>
        <w:pStyle w:val="Heading5"/>
        <w:rPr>
          <w:snapToGrid w:val="0"/>
        </w:rPr>
      </w:pPr>
      <w:bookmarkStart w:id="982" w:name="_Toc163121341"/>
      <w:r>
        <w:rPr>
          <w:rStyle w:val="CharSectno"/>
        </w:rPr>
        <w:t>15</w:t>
      </w:r>
      <w:r>
        <w:rPr>
          <w:snapToGrid w:val="0"/>
        </w:rPr>
        <w:t>.</w:t>
      </w:r>
      <w:r>
        <w:rPr>
          <w:snapToGrid w:val="0"/>
        </w:rPr>
        <w:tab/>
        <w:t>Order 7 applies to originating summons</w:t>
      </w:r>
      <w:bookmarkEnd w:id="982"/>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983" w:name="_Toc163121342"/>
      <w:r>
        <w:rPr>
          <w:rStyle w:val="CharSectno"/>
        </w:rPr>
        <w:t>16</w:t>
      </w:r>
      <w:r>
        <w:rPr>
          <w:snapToGrid w:val="0"/>
        </w:rPr>
        <w:t>.</w:t>
      </w:r>
      <w:r>
        <w:rPr>
          <w:snapToGrid w:val="0"/>
        </w:rPr>
        <w:tab/>
        <w:t>Time for appearance</w:t>
      </w:r>
      <w:bookmarkEnd w:id="983"/>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lastRenderedPageBreak/>
        <w:tab/>
        <w:t xml:space="preserve">[Rule 16 inserted: Gazette 3 Oct 1975 p. 3769.] </w:t>
      </w:r>
    </w:p>
    <w:p>
      <w:pPr>
        <w:pStyle w:val="Heading5"/>
        <w:rPr>
          <w:snapToGrid w:val="0"/>
        </w:rPr>
      </w:pPr>
      <w:bookmarkStart w:id="984" w:name="_Toc163121343"/>
      <w:r>
        <w:rPr>
          <w:rStyle w:val="CharSectno"/>
        </w:rPr>
        <w:t>17</w:t>
      </w:r>
      <w:r>
        <w:rPr>
          <w:snapToGrid w:val="0"/>
        </w:rPr>
        <w:t>.</w:t>
      </w:r>
      <w:r>
        <w:rPr>
          <w:snapToGrid w:val="0"/>
        </w:rPr>
        <w:tab/>
        <w:t>Entry of appearance</w:t>
      </w:r>
      <w:bookmarkEnd w:id="984"/>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keepNext/>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985" w:name="_Toc163121344"/>
      <w:r>
        <w:rPr>
          <w:rStyle w:val="CharSectno"/>
        </w:rPr>
        <w:t>18</w:t>
      </w:r>
      <w:r>
        <w:rPr>
          <w:snapToGrid w:val="0"/>
        </w:rPr>
        <w:t>.</w:t>
      </w:r>
      <w:r>
        <w:rPr>
          <w:snapToGrid w:val="0"/>
        </w:rPr>
        <w:tab/>
        <w:t>When appearance not required</w:t>
      </w:r>
      <w:bookmarkEnd w:id="985"/>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under Order 17 for interpleader relief; or</w:t>
      </w:r>
    </w:p>
    <w:p>
      <w:pPr>
        <w:pStyle w:val="Indenta"/>
        <w:rPr>
          <w:snapToGrid w:val="0"/>
        </w:rPr>
      </w:pPr>
      <w:r>
        <w:rPr>
          <w:snapToGrid w:val="0"/>
        </w:rPr>
        <w:tab/>
        <w:t>(d)</w:t>
      </w:r>
      <w:r>
        <w:rPr>
          <w:snapToGrid w:val="0"/>
        </w:rPr>
        <w:tab/>
        <w:t>for an extension of time or for leave to institute an appeal or other proceeding; or</w:t>
      </w:r>
    </w:p>
    <w:p>
      <w:pPr>
        <w:pStyle w:val="Indenta"/>
        <w:rPr>
          <w:snapToGrid w:val="0"/>
        </w:rPr>
      </w:pPr>
      <w:r>
        <w:rPr>
          <w:snapToGrid w:val="0"/>
        </w:rPr>
        <w:lastRenderedPageBreak/>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Gazette 13 Oct 1978 p. 3701; 20 Jun 1986 p. 2040; 13 Nov 2015 p. 4646.] </w:t>
      </w:r>
    </w:p>
    <w:p>
      <w:pPr>
        <w:pStyle w:val="Heading5"/>
        <w:rPr>
          <w:snapToGrid w:val="0"/>
        </w:rPr>
      </w:pPr>
      <w:bookmarkStart w:id="986" w:name="_Toc163121345"/>
      <w:r>
        <w:rPr>
          <w:rStyle w:val="CharSectno"/>
        </w:rPr>
        <w:t>18A</w:t>
      </w:r>
      <w:r>
        <w:rPr>
          <w:snapToGrid w:val="0"/>
        </w:rPr>
        <w:t>.</w:t>
      </w:r>
      <w:r>
        <w:rPr>
          <w:snapToGrid w:val="0"/>
        </w:rPr>
        <w:tab/>
        <w:t>Time for service where appearance not required</w:t>
      </w:r>
      <w:bookmarkEnd w:id="986"/>
      <w:r>
        <w:rPr>
          <w:snapToGrid w:val="0"/>
        </w:rPr>
        <w:t xml:space="preserve"> </w:t>
      </w:r>
    </w:p>
    <w:p>
      <w:pPr>
        <w:pStyle w:val="Subsection"/>
        <w:keepNext/>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Gazette 3 Oct 1975 p. 3770.] </w:t>
      </w:r>
    </w:p>
    <w:p>
      <w:pPr>
        <w:pStyle w:val="Heading5"/>
        <w:rPr>
          <w:snapToGrid w:val="0"/>
        </w:rPr>
      </w:pPr>
      <w:bookmarkStart w:id="987" w:name="_Toc163121346"/>
      <w:r>
        <w:rPr>
          <w:rStyle w:val="CharSectno"/>
        </w:rPr>
        <w:t>19</w:t>
      </w:r>
      <w:r>
        <w:rPr>
          <w:snapToGrid w:val="0"/>
        </w:rPr>
        <w:t>.</w:t>
      </w:r>
      <w:r>
        <w:rPr>
          <w:snapToGrid w:val="0"/>
        </w:rPr>
        <w:tab/>
        <w:t>Fixing time for hearing summons</w:t>
      </w:r>
      <w:bookmarkEnd w:id="987"/>
    </w:p>
    <w:p>
      <w:pPr>
        <w:pStyle w:val="Subsection"/>
        <w:rPr>
          <w:snapToGrid w:val="0"/>
        </w:rPr>
      </w:pPr>
      <w:r>
        <w:rPr>
          <w:snapToGrid w:val="0"/>
        </w:rPr>
        <w:tab/>
        <w:t>(1)</w:t>
      </w:r>
      <w:r>
        <w:rPr>
          <w:snapToGrid w:val="0"/>
        </w:rPr>
        <w:tab/>
        <w:t xml:space="preserve">Where any defendant served with an originating summons to which an appearance is required to be entered, has entered, or, within the time limited for appearing has failed to enter, an appearance, the plaintiff may, subject to the following </w:t>
      </w:r>
      <w:r>
        <w:t>subrules</w:t>
      </w:r>
      <w:r>
        <w:rPr>
          <w:snapToGrid w:val="0"/>
        </w:rPr>
        <w:t xml:space="preserve">, obtain an appointment for the attendance of the parties for the hearing of the summons and a day and </w:t>
      </w:r>
      <w:r>
        <w:t>time must be fixed by a notice in Form 76 which must be sealed with the seal of the Court.</w:t>
      </w:r>
    </w:p>
    <w:p>
      <w:pPr>
        <w:pStyle w:val="Subsection"/>
      </w:pPr>
      <w:r>
        <w:tab/>
        <w:t>(2)</w:t>
      </w:r>
      <w:r>
        <w:tab/>
        <w:t xml:space="preserve">The plaintiff must not apply for an appointment under subrule (1) unless — </w:t>
      </w:r>
    </w:p>
    <w:p>
      <w:pPr>
        <w:pStyle w:val="Indenta"/>
      </w:pPr>
      <w:r>
        <w:tab/>
        <w:t>(a)</w:t>
      </w:r>
      <w:r>
        <w:tab/>
        <w:t xml:space="preserve">the plaintiff is ready to proceed; and </w:t>
      </w:r>
    </w:p>
    <w:p>
      <w:pPr>
        <w:pStyle w:val="Indenta"/>
      </w:pPr>
      <w:r>
        <w:tab/>
        <w:t>(b)</w:t>
      </w:r>
      <w:r>
        <w:tab/>
        <w:t>as far as is known to the plaintiff, the matter is ready for hearing.</w:t>
      </w:r>
    </w:p>
    <w:p>
      <w:pPr>
        <w:pStyle w:val="Subsection"/>
      </w:pPr>
      <w:r>
        <w:tab/>
        <w:t>(3)</w:t>
      </w:r>
      <w:r>
        <w:tab/>
        <w:t xml:space="preserve">Unless the Court orders otherwise, at least 14 days before the time fixed for the hearing of the originating summons, the </w:t>
      </w:r>
      <w:r>
        <w:lastRenderedPageBreak/>
        <w:t xml:space="preserve">plaintiff must serve upon each defendant who has entered an appearance a copy of — </w:t>
      </w:r>
    </w:p>
    <w:p>
      <w:pPr>
        <w:pStyle w:val="Indenta"/>
      </w:pPr>
      <w:r>
        <w:tab/>
        <w:t>(a)</w:t>
      </w:r>
      <w:r>
        <w:tab/>
        <w:t xml:space="preserve">the notice in Form 76; and </w:t>
      </w:r>
    </w:p>
    <w:p>
      <w:pPr>
        <w:pStyle w:val="Indenta"/>
      </w:pPr>
      <w:r>
        <w:tab/>
        <w:t>(b)</w:t>
      </w:r>
      <w:r>
        <w:tab/>
        <w:t>each affidavit in support, not being an affidavit in reply to an affidavit filed by a defendant.</w:t>
      </w:r>
    </w:p>
    <w:p>
      <w:pPr>
        <w:pStyle w:val="Subsection"/>
      </w:pPr>
      <w:r>
        <w:tab/>
        <w:t>(4)</w:t>
      </w:r>
      <w:r>
        <w:tab/>
        <w:t xml:space="preserve">If a plaintiff has not applied for an appointment under subrule (1) — </w:t>
      </w:r>
    </w:p>
    <w:p>
      <w:pPr>
        <w:pStyle w:val="Indenta"/>
      </w:pPr>
      <w:r>
        <w:tab/>
        <w:t>(a)</w:t>
      </w:r>
      <w:r>
        <w:tab/>
        <w:t>a defendant who has entered an appearance may, with the leave of the Court, and on any terms that the Court may order, obtain an appointment for the hearing of the originating summons fixed by a notice in Form 76 which must be sealed with the seal of the Court; and</w:t>
      </w:r>
    </w:p>
    <w:p>
      <w:pPr>
        <w:pStyle w:val="Indenta"/>
      </w:pPr>
      <w:r>
        <w:tab/>
        <w:t>(b)</w:t>
      </w:r>
      <w:r>
        <w:tab/>
        <w:t>a defendant who obtains an appointment under paragraph (a) must, unless the Court orders otherwise, at least 14 days before the time fixed for the hearing, serve a copy of the notice in Form 76 on the plaintiff and every other party who has entered an appearance.</w:t>
      </w:r>
    </w:p>
    <w:p>
      <w:pPr>
        <w:pStyle w:val="Ednotesubsection"/>
      </w:pPr>
      <w:r>
        <w:tab/>
        <w:t>[(5), (6)</w:t>
      </w:r>
      <w:r>
        <w:tab/>
        <w:t>deleted]</w:t>
      </w:r>
    </w:p>
    <w:p>
      <w:pPr>
        <w:pStyle w:val="Footnotesection"/>
      </w:pPr>
      <w:r>
        <w:tab/>
        <w:t>[Rule 19 inserted: Gazette 3 Oct 1975 p. 3770; amended: Gazette 28 Jun 2011 p. 2552</w:t>
      </w:r>
      <w:r>
        <w:noBreakHyphen/>
        <w:t>3; 16 Aug 2017 p. 4416</w:t>
      </w:r>
      <w:r>
        <w:noBreakHyphen/>
        <w:t xml:space="preserve">17; SL 2020/242 r. 5(6) and (7).] </w:t>
      </w:r>
    </w:p>
    <w:p>
      <w:pPr>
        <w:pStyle w:val="Ednotesection"/>
      </w:pPr>
      <w:r>
        <w:t>[</w:t>
      </w:r>
      <w:r>
        <w:rPr>
          <w:b/>
        </w:rPr>
        <w:t>20.</w:t>
      </w:r>
      <w:r>
        <w:tab/>
        <w:t>Deleted: Gazette 16 Aug 2017 p. 4417</w:t>
      </w:r>
    </w:p>
    <w:p>
      <w:pPr>
        <w:pStyle w:val="Heading5"/>
        <w:rPr>
          <w:snapToGrid w:val="0"/>
        </w:rPr>
      </w:pPr>
      <w:bookmarkStart w:id="988" w:name="_Toc163121347"/>
      <w:r>
        <w:rPr>
          <w:rStyle w:val="CharSectno"/>
        </w:rPr>
        <w:t>21</w:t>
      </w:r>
      <w:r>
        <w:rPr>
          <w:snapToGrid w:val="0"/>
        </w:rPr>
        <w:t>.</w:t>
      </w:r>
      <w:r>
        <w:rPr>
          <w:snapToGrid w:val="0"/>
        </w:rPr>
        <w:tab/>
        <w:t>Evidence at hearing to be by affidavit</w:t>
      </w:r>
      <w:bookmarkEnd w:id="988"/>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Gazette 3 Oct 1975 p. 3770.] </w:t>
      </w:r>
    </w:p>
    <w:p>
      <w:pPr>
        <w:pStyle w:val="Heading5"/>
        <w:rPr>
          <w:snapToGrid w:val="0"/>
        </w:rPr>
      </w:pPr>
      <w:bookmarkStart w:id="989" w:name="_Toc163121348"/>
      <w:r>
        <w:rPr>
          <w:rStyle w:val="CharSectno"/>
        </w:rPr>
        <w:t>22</w:t>
      </w:r>
      <w:r>
        <w:rPr>
          <w:snapToGrid w:val="0"/>
        </w:rPr>
        <w:t>.</w:t>
      </w:r>
      <w:r>
        <w:rPr>
          <w:snapToGrid w:val="0"/>
        </w:rPr>
        <w:tab/>
        <w:t>Hearings in absence of party</w:t>
      </w:r>
      <w:bookmarkEnd w:id="989"/>
    </w:p>
    <w:p>
      <w:pPr>
        <w:pStyle w:val="Subsection"/>
        <w:rPr>
          <w:snapToGrid w:val="0"/>
        </w:rPr>
      </w:pPr>
      <w:r>
        <w:rPr>
          <w:snapToGrid w:val="0"/>
        </w:rPr>
        <w:tab/>
        <w:t>(1)</w:t>
      </w:r>
      <w:r>
        <w:rPr>
          <w:snapToGrid w:val="0"/>
        </w:rPr>
        <w:tab/>
        <w:t xml:space="preserve">Where any party to an originating summons fails to attend at the first or any resumed hearing thereof, the Court may proceed in </w:t>
      </w:r>
      <w:r>
        <w:rPr>
          <w:snapToGrid w:val="0"/>
        </w:rPr>
        <w:lastRenderedPageBreak/>
        <w:t>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990" w:name="_Toc163121349"/>
      <w:r>
        <w:rPr>
          <w:rStyle w:val="CharSectno"/>
        </w:rPr>
        <w:t>23</w:t>
      </w:r>
      <w:r>
        <w:rPr>
          <w:snapToGrid w:val="0"/>
        </w:rPr>
        <w:t>.</w:t>
      </w:r>
      <w:r>
        <w:rPr>
          <w:snapToGrid w:val="0"/>
        </w:rPr>
        <w:tab/>
        <w:t xml:space="preserve">Order made </w:t>
      </w:r>
      <w:r>
        <w:rPr>
          <w:i/>
          <w:snapToGrid w:val="0"/>
        </w:rPr>
        <w:t>ex parte</w:t>
      </w:r>
      <w:r>
        <w:rPr>
          <w:snapToGrid w:val="0"/>
        </w:rPr>
        <w:t xml:space="preserve"> may be set aside</w:t>
      </w:r>
      <w:bookmarkEnd w:id="990"/>
    </w:p>
    <w:p>
      <w:pPr>
        <w:pStyle w:val="Subsection"/>
        <w:rPr>
          <w:snapToGrid w:val="0"/>
        </w:rPr>
      </w:pPr>
      <w:r>
        <w:rPr>
          <w:snapToGrid w:val="0"/>
        </w:rPr>
        <w:tab/>
      </w:r>
      <w:r>
        <w:rPr>
          <w:snapToGrid w:val="0"/>
        </w:rPr>
        <w:tab/>
        <w:t xml:space="preserve">The Court may set aside any order which has been made </w:t>
      </w:r>
      <w:r>
        <w:rPr>
          <w:i/>
          <w:snapToGrid w:val="0"/>
        </w:rPr>
        <w:t>ex parte</w:t>
      </w:r>
      <w:r>
        <w:rPr>
          <w:snapToGrid w:val="0"/>
        </w:rPr>
        <w:t>.</w:t>
      </w:r>
    </w:p>
    <w:p>
      <w:pPr>
        <w:pStyle w:val="Heading5"/>
        <w:rPr>
          <w:snapToGrid w:val="0"/>
        </w:rPr>
      </w:pPr>
      <w:bookmarkStart w:id="991" w:name="_Toc163121350"/>
      <w:r>
        <w:rPr>
          <w:rStyle w:val="CharSectno"/>
        </w:rPr>
        <w:t>24</w:t>
      </w:r>
      <w:r>
        <w:rPr>
          <w:snapToGrid w:val="0"/>
        </w:rPr>
        <w:t>.</w:t>
      </w:r>
      <w:r>
        <w:rPr>
          <w:snapToGrid w:val="0"/>
        </w:rPr>
        <w:tab/>
        <w:t>Costs thrown away by non</w:t>
      </w:r>
      <w:r>
        <w:rPr>
          <w:snapToGrid w:val="0"/>
        </w:rPr>
        <w:noBreakHyphen/>
        <w:t>attendance of party</w:t>
      </w:r>
      <w:bookmarkEnd w:id="991"/>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Gazette 9 Nov 1973 p. 4165.] </w:t>
      </w:r>
    </w:p>
    <w:p>
      <w:pPr>
        <w:pStyle w:val="Heading5"/>
        <w:rPr>
          <w:snapToGrid w:val="0"/>
        </w:rPr>
      </w:pPr>
      <w:bookmarkStart w:id="992" w:name="_Toc163121351"/>
      <w:r>
        <w:rPr>
          <w:rStyle w:val="CharSectno"/>
        </w:rPr>
        <w:t>25</w:t>
      </w:r>
      <w:r>
        <w:rPr>
          <w:snapToGrid w:val="0"/>
        </w:rPr>
        <w:t>.</w:t>
      </w:r>
      <w:r>
        <w:rPr>
          <w:snapToGrid w:val="0"/>
        </w:rPr>
        <w:tab/>
        <w:t>Hearings not completed on hearing date</w:t>
      </w:r>
      <w:bookmarkEnd w:id="992"/>
    </w:p>
    <w:p>
      <w:pPr>
        <w:pStyle w:val="Subsection"/>
        <w:rPr>
          <w:snapToGrid w:val="0"/>
        </w:rPr>
      </w:pPr>
      <w:r>
        <w:rPr>
          <w:snapToGrid w:val="0"/>
        </w:rPr>
        <w:tab/>
      </w:r>
      <w:r>
        <w:rPr>
          <w:snapToGrid w:val="0"/>
        </w:rPr>
        <w:tab/>
        <w:t xml:space="preserve">Where matters in respect of which an originating summons has been issued are not disposed of upon the return of the summons, the parties shall attend from time to time without further </w:t>
      </w:r>
      <w:r>
        <w:rPr>
          <w:snapToGrid w:val="0"/>
        </w:rPr>
        <w:lastRenderedPageBreak/>
        <w:t>summons, at such time or times as may be appointed for the consideration or further consideration of the matter.</w:t>
      </w:r>
    </w:p>
    <w:p>
      <w:pPr>
        <w:pStyle w:val="Heading5"/>
        <w:rPr>
          <w:snapToGrid w:val="0"/>
        </w:rPr>
      </w:pPr>
      <w:bookmarkStart w:id="993" w:name="_Toc163121352"/>
      <w:r>
        <w:rPr>
          <w:rStyle w:val="CharSectno"/>
        </w:rPr>
        <w:t>26</w:t>
      </w:r>
      <w:r>
        <w:rPr>
          <w:snapToGrid w:val="0"/>
        </w:rPr>
        <w:t>.</w:t>
      </w:r>
      <w:r>
        <w:rPr>
          <w:snapToGrid w:val="0"/>
        </w:rPr>
        <w:tab/>
        <w:t>Other matters that may be included in one summons</w:t>
      </w:r>
      <w:bookmarkEnd w:id="993"/>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Gazette 9 Nov 1973 p. 4165.] </w:t>
      </w:r>
    </w:p>
    <w:p>
      <w:pPr>
        <w:pStyle w:val="Heading5"/>
        <w:rPr>
          <w:snapToGrid w:val="0"/>
        </w:rPr>
      </w:pPr>
      <w:bookmarkStart w:id="994" w:name="_Toc163121353"/>
      <w:r>
        <w:rPr>
          <w:rStyle w:val="CharSectno"/>
        </w:rPr>
        <w:t>27</w:t>
      </w:r>
      <w:r>
        <w:rPr>
          <w:snapToGrid w:val="0"/>
        </w:rPr>
        <w:t>.</w:t>
      </w:r>
      <w:r>
        <w:rPr>
          <w:snapToGrid w:val="0"/>
        </w:rPr>
        <w:tab/>
        <w:t>Directions as to hearings, evidence etc.</w:t>
      </w:r>
      <w:bookmarkEnd w:id="994"/>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995" w:name="_Toc163121354"/>
      <w:r>
        <w:rPr>
          <w:rStyle w:val="CharSectno"/>
        </w:rPr>
        <w:t>28</w:t>
      </w:r>
      <w:r>
        <w:rPr>
          <w:snapToGrid w:val="0"/>
        </w:rPr>
        <w:t>.</w:t>
      </w:r>
      <w:r>
        <w:rPr>
          <w:snapToGrid w:val="0"/>
        </w:rPr>
        <w:tab/>
        <w:t>Adjourning hearings</w:t>
      </w:r>
      <w:bookmarkEnd w:id="995"/>
    </w:p>
    <w:p>
      <w:pPr>
        <w:pStyle w:val="Subsection"/>
        <w:rPr>
          <w:snapToGrid w:val="0"/>
        </w:rPr>
      </w:pPr>
      <w:r>
        <w:rPr>
          <w:snapToGrid w:val="0"/>
        </w:rPr>
        <w:tab/>
        <w:t>(1)</w:t>
      </w:r>
      <w:r>
        <w:rPr>
          <w:snapToGrid w:val="0"/>
        </w:rPr>
        <w:tab/>
        <w:t xml:space="preserve">The Court may from time to time adjourn the hearing of an originating summons, either generally or to a particular date, as </w:t>
      </w:r>
      <w:r>
        <w:rPr>
          <w:snapToGrid w:val="0"/>
        </w:rPr>
        <w:lastRenderedPageBreak/>
        <w:t>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 xml:space="preserve">Notice under </w:t>
      </w:r>
      <w:r>
        <w:t>subrule</w:t>
      </w:r>
      <w:r>
        <w:rPr>
          <w:snapToGrid w:val="0"/>
        </w:rPr>
        <w:t> (2) need not be given to a party who is in default as to appearance.</w:t>
      </w:r>
    </w:p>
    <w:p>
      <w:pPr>
        <w:pStyle w:val="Footnotesection"/>
      </w:pPr>
      <w:r>
        <w:tab/>
        <w:t xml:space="preserve">[Rule 28 amended: Gazette 3 Oct 1975 p. 3771; 28 Jun 2011 p. 2552.] </w:t>
      </w:r>
    </w:p>
    <w:p>
      <w:pPr>
        <w:pStyle w:val="Heading5"/>
        <w:rPr>
          <w:snapToGrid w:val="0"/>
        </w:rPr>
      </w:pPr>
      <w:bookmarkStart w:id="996" w:name="_Toc163121355"/>
      <w:r>
        <w:rPr>
          <w:rStyle w:val="CharSectno"/>
        </w:rPr>
        <w:t>29</w:t>
      </w:r>
      <w:r>
        <w:rPr>
          <w:snapToGrid w:val="0"/>
        </w:rPr>
        <w:t>.</w:t>
      </w:r>
      <w:r>
        <w:rPr>
          <w:snapToGrid w:val="0"/>
        </w:rPr>
        <w:tab/>
        <w:t>Court’s powers and procedure at hearings</w:t>
      </w:r>
      <w:bookmarkEnd w:id="996"/>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997" w:name="_Toc163121356"/>
      <w:r>
        <w:rPr>
          <w:rStyle w:val="CharSectno"/>
        </w:rPr>
        <w:lastRenderedPageBreak/>
        <w:t>30</w:t>
      </w:r>
      <w:r>
        <w:rPr>
          <w:snapToGrid w:val="0"/>
        </w:rPr>
        <w:t>.</w:t>
      </w:r>
      <w:r>
        <w:rPr>
          <w:snapToGrid w:val="0"/>
        </w:rPr>
        <w:tab/>
      </w:r>
      <w:r>
        <w:rPr>
          <w:i/>
          <w:snapToGrid w:val="0"/>
        </w:rPr>
        <w:t xml:space="preserve">Transfer of Land Act 1893 </w:t>
      </w:r>
      <w:r>
        <w:rPr>
          <w:snapToGrid w:val="0"/>
        </w:rPr>
        <w:t>s. 129C applications, directions as to</w:t>
      </w:r>
      <w:bookmarkEnd w:id="997"/>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Ednotesubsection"/>
      </w:pPr>
      <w:r>
        <w:tab/>
        <w:t>[(3)</w:t>
      </w:r>
      <w:r>
        <w:tab/>
        <w:t>deleted]</w:t>
      </w:r>
    </w:p>
    <w:p>
      <w:pPr>
        <w:pStyle w:val="Footnotesection"/>
      </w:pPr>
      <w:r>
        <w:tab/>
        <w:t>[Rule 30 inserted: Gazette 24 Jun 1977 p. 1914</w:t>
      </w:r>
      <w:r>
        <w:noBreakHyphen/>
        <w:t xml:space="preserve">15; amended: Gazette 30 Jul 1982 p. 2946; 30 Nov 1984 p. 3951; 13 Nov 2015 p. 4646.] </w:t>
      </w:r>
    </w:p>
    <w:p>
      <w:pPr>
        <w:pStyle w:val="Heading2"/>
        <w:rPr>
          <w:b w:val="0"/>
        </w:rPr>
      </w:pPr>
      <w:bookmarkStart w:id="998" w:name="_Toc162940895"/>
      <w:bookmarkStart w:id="999" w:name="_Toc162953684"/>
      <w:bookmarkStart w:id="1000" w:name="_Toc163121357"/>
      <w:r>
        <w:rPr>
          <w:rStyle w:val="CharPartNo"/>
        </w:rPr>
        <w:lastRenderedPageBreak/>
        <w:t>Order 59</w:t>
      </w:r>
      <w:r>
        <w:rPr>
          <w:rStyle w:val="CharDivNo"/>
        </w:rPr>
        <w:t> </w:t>
      </w:r>
      <w:r>
        <w:t>—</w:t>
      </w:r>
      <w:r>
        <w:rPr>
          <w:rStyle w:val="CharDivText"/>
        </w:rPr>
        <w:t> </w:t>
      </w:r>
      <w:r>
        <w:rPr>
          <w:rStyle w:val="CharPartText"/>
        </w:rPr>
        <w:t>Applications and proceedings in chambers</w:t>
      </w:r>
      <w:bookmarkEnd w:id="998"/>
      <w:bookmarkEnd w:id="999"/>
      <w:bookmarkEnd w:id="1000"/>
    </w:p>
    <w:p>
      <w:pPr>
        <w:pStyle w:val="Heading5"/>
        <w:rPr>
          <w:snapToGrid w:val="0"/>
        </w:rPr>
      </w:pPr>
      <w:bookmarkStart w:id="1001" w:name="_Toc163121358"/>
      <w:r>
        <w:rPr>
          <w:rStyle w:val="CharSectno"/>
        </w:rPr>
        <w:t>1</w:t>
      </w:r>
      <w:r>
        <w:rPr>
          <w:snapToGrid w:val="0"/>
        </w:rPr>
        <w:t>.</w:t>
      </w:r>
      <w:r>
        <w:rPr>
          <w:snapToGrid w:val="0"/>
        </w:rPr>
        <w:tab/>
        <w:t>Business to be dealt with in chambers</w:t>
      </w:r>
      <w:bookmarkEnd w:id="1001"/>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(a)</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(b)</w:t>
      </w:r>
      <w:r>
        <w:rPr>
          <w:snapToGrid w:val="0"/>
        </w:rPr>
        <w:tab/>
        <w:t>subject to rule 2, civil proceedings commenced by originating summons;</w:t>
      </w:r>
    </w:p>
    <w:p>
      <w:pPr>
        <w:pStyle w:val="Indenta"/>
        <w:rPr>
          <w:snapToGrid w:val="0"/>
        </w:rPr>
      </w:pPr>
      <w:r>
        <w:rPr>
          <w:snapToGrid w:val="0"/>
        </w:rPr>
        <w:tab/>
        <w:t>(c)</w:t>
      </w:r>
      <w:r>
        <w:rPr>
          <w:snapToGrid w:val="0"/>
        </w:rPr>
        <w:tab/>
        <w:t>applications which by these rules or any Act may be heard in chambers;</w:t>
      </w:r>
    </w:p>
    <w:p>
      <w:pPr>
        <w:pStyle w:val="Indenta"/>
      </w:pPr>
      <w:r>
        <w:tab/>
        <w:t>(d)</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(e)</w:t>
      </w:r>
      <w:r>
        <w:tab/>
        <w:t>applications for the leave of the Court;</w:t>
      </w:r>
    </w:p>
    <w:p>
      <w:pPr>
        <w:pStyle w:val="Indenta"/>
        <w:rPr>
          <w:snapToGrid w:val="0"/>
        </w:rPr>
      </w:pPr>
      <w:r>
        <w:rPr>
          <w:snapToGrid w:val="0"/>
        </w:rPr>
        <w:tab/>
        <w:t>(f)</w:t>
      </w:r>
      <w:r>
        <w:rPr>
          <w:snapToGrid w:val="0"/>
        </w:rPr>
        <w:tab/>
        <w:t>applications for payment or transfer to any person of any cash or securities standing to the credit of any cause or matter;</w:t>
      </w:r>
    </w:p>
    <w:p>
      <w:pPr>
        <w:pStyle w:val="Indenta"/>
        <w:rPr>
          <w:snapToGrid w:val="0"/>
        </w:rPr>
      </w:pPr>
      <w:r>
        <w:rPr>
          <w:snapToGrid w:val="0"/>
        </w:rPr>
        <w:tab/>
        <w:t>(g)</w:t>
      </w:r>
      <w:r>
        <w:rPr>
          <w:snapToGrid w:val="0"/>
        </w:rPr>
        <w:tab/>
        <w:t>applications for the investment or change of investment of any funds in court;</w:t>
      </w:r>
    </w:p>
    <w:p>
      <w:pPr>
        <w:pStyle w:val="Indenta"/>
        <w:rPr>
          <w:snapToGrid w:val="0"/>
        </w:rPr>
      </w:pPr>
      <w:r>
        <w:rPr>
          <w:snapToGrid w:val="0"/>
        </w:rPr>
        <w:tab/>
        <w:t>(h)</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(i)</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lastRenderedPageBreak/>
        <w:tab/>
        <w:t>(j)</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(k)</w:t>
      </w:r>
      <w:r>
        <w:rPr>
          <w:snapToGrid w:val="0"/>
        </w:rPr>
        <w:tab/>
        <w:t>applications for the settlement of any property of any infant on marriage;</w:t>
      </w:r>
    </w:p>
    <w:p>
      <w:pPr>
        <w:pStyle w:val="Indenta"/>
        <w:rPr>
          <w:snapToGrid w:val="0"/>
        </w:rPr>
      </w:pPr>
      <w:r>
        <w:rPr>
          <w:snapToGrid w:val="0"/>
        </w:rPr>
        <w:tab/>
        <w:t>(l)</w:t>
      </w:r>
      <w:r>
        <w:rPr>
          <w:snapToGrid w:val="0"/>
        </w:rPr>
        <w:tab/>
        <w:t>applications as to the guardianship, custody, maintenance or advancement of infants;</w:t>
      </w:r>
    </w:p>
    <w:p>
      <w:pPr>
        <w:pStyle w:val="Indenta"/>
        <w:rPr>
          <w:snapToGrid w:val="0"/>
        </w:rPr>
      </w:pPr>
      <w:r>
        <w:rPr>
          <w:snapToGrid w:val="0"/>
        </w:rPr>
        <w:tab/>
        <w:t>(m)</w:t>
      </w:r>
      <w:r>
        <w:rPr>
          <w:snapToGrid w:val="0"/>
        </w:rPr>
        <w:tab/>
        <w:t>applications connected with the management of property;</w:t>
      </w:r>
    </w:p>
    <w:p>
      <w:pPr>
        <w:pStyle w:val="Indenta"/>
        <w:rPr>
          <w:snapToGrid w:val="0"/>
        </w:rPr>
      </w:pPr>
      <w:r>
        <w:rPr>
          <w:snapToGrid w:val="0"/>
        </w:rPr>
        <w:tab/>
        <w:t>(n)</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(o)</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(p)</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(q)</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Gazette 28 Oct 1996 p. 5699; 21 Feb 2007 p. 562; 28 Jun 2011 p. 2555.] </w:t>
      </w:r>
    </w:p>
    <w:p>
      <w:pPr>
        <w:pStyle w:val="Heading5"/>
        <w:rPr>
          <w:snapToGrid w:val="0"/>
        </w:rPr>
      </w:pPr>
      <w:bookmarkStart w:id="1002" w:name="_Toc163121359"/>
      <w:r>
        <w:rPr>
          <w:rStyle w:val="CharSectno"/>
        </w:rPr>
        <w:t>2</w:t>
      </w:r>
      <w:r>
        <w:rPr>
          <w:snapToGrid w:val="0"/>
        </w:rPr>
        <w:t>.</w:t>
      </w:r>
      <w:r>
        <w:rPr>
          <w:snapToGrid w:val="0"/>
        </w:rPr>
        <w:tab/>
        <w:t>Hearings may be in open court or chambers</w:t>
      </w:r>
      <w:bookmarkEnd w:id="1002"/>
    </w:p>
    <w:p>
      <w:pPr>
        <w:pStyle w:val="Subsection"/>
        <w:rPr>
          <w:snapToGrid w:val="0"/>
        </w:rPr>
      </w:pPr>
      <w:r>
        <w:rPr>
          <w:snapToGrid w:val="0"/>
        </w:rPr>
        <w:tab/>
        <w:t>(1)</w:t>
      </w:r>
      <w:r>
        <w:rPr>
          <w:snapToGrid w:val="0"/>
        </w:rPr>
        <w:tab/>
        <w:t xml:space="preserve">Where in any cause or matter commenced by originating summons it appears to the Court at any stage of the proceedings, that the proceedings should for any reason be heard in open </w:t>
      </w:r>
      <w:r>
        <w:rPr>
          <w:snapToGrid w:val="0"/>
        </w:rPr>
        <w:lastRenderedPageBreak/>
        <w:t>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1003" w:name="_Toc163121360"/>
      <w:r>
        <w:rPr>
          <w:rStyle w:val="CharSectno"/>
        </w:rPr>
        <w:t>3</w:t>
      </w:r>
      <w:r>
        <w:rPr>
          <w:snapToGrid w:val="0"/>
        </w:rPr>
        <w:t>.</w:t>
      </w:r>
      <w:r>
        <w:rPr>
          <w:snapToGrid w:val="0"/>
        </w:rPr>
        <w:tab/>
        <w:t>Applications in chambers</w:t>
      </w:r>
      <w:bookmarkEnd w:id="1003"/>
    </w:p>
    <w:p>
      <w:pPr>
        <w:pStyle w:val="Subsection"/>
      </w:pPr>
      <w:r>
        <w:tab/>
        <w:t>(1)</w:t>
      </w:r>
      <w:r>
        <w:tab/>
        <w:t xml:space="preserve">If these rules do not require or authorise an application in chambers to be made in some other manner — </w:t>
      </w:r>
    </w:p>
    <w:p>
      <w:pPr>
        <w:pStyle w:val="Indenta"/>
      </w:pPr>
      <w:r>
        <w:tab/>
        <w:t>(a)</w:t>
      </w:r>
      <w:r>
        <w:tab/>
        <w:t>an application to commence proceedings in chambers must be made by originating summons; and</w:t>
      </w:r>
    </w:p>
    <w:p>
      <w:pPr>
        <w:pStyle w:val="Indenta"/>
      </w:pPr>
      <w:r>
        <w:tab/>
        <w:t>(b)</w:t>
      </w:r>
      <w:r>
        <w:tab/>
        <w:t>any other application in chambers must be made —</w:t>
      </w:r>
    </w:p>
    <w:p>
      <w:pPr>
        <w:pStyle w:val="Indenti"/>
      </w:pPr>
      <w:r>
        <w:tab/>
        <w:t>(i)</w:t>
      </w:r>
      <w:r>
        <w:tab/>
        <w:t>if it is ex parte, by motion; or</w:t>
      </w:r>
    </w:p>
    <w:p>
      <w:pPr>
        <w:pStyle w:val="Indenti"/>
      </w:pPr>
      <w:r>
        <w:tab/>
        <w:t>(ii)</w:t>
      </w:r>
      <w:r>
        <w:tab/>
        <w:t>in any other case, by summons.</w:t>
      </w:r>
    </w:p>
    <w:p>
      <w:pPr>
        <w:pStyle w:val="Ednotesubsection"/>
      </w:pPr>
      <w:r>
        <w:tab/>
        <w:t>[(2)</w:t>
      </w:r>
      <w:r>
        <w:tab/>
        <w:t>deleted]</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 xml:space="preserve">The Court may direct notice of a motion made </w:t>
      </w:r>
      <w:r>
        <w:rPr>
          <w:i/>
          <w:snapToGrid w:val="0"/>
        </w:rPr>
        <w:t>ex parte</w:t>
      </w:r>
      <w:r>
        <w:rPr>
          <w:snapToGrid w:val="0"/>
        </w:rPr>
        <w:t xml:space="preserve"> to be served on any person the Court thinks fit.</w:t>
      </w:r>
    </w:p>
    <w:p>
      <w:pPr>
        <w:pStyle w:val="Footnotesection"/>
      </w:pPr>
      <w:r>
        <w:tab/>
        <w:t>[Rule 3 inserted: Gazette 28 Oct 1996 p. 5699</w:t>
      </w:r>
      <w:r>
        <w:noBreakHyphen/>
        <w:t>700; amended: Gazette 28 Jul 2010 p. 3467; 16 Aug 2017 p. 4417</w:t>
      </w:r>
      <w:r>
        <w:noBreakHyphen/>
        <w:t xml:space="preserve">18.] </w:t>
      </w:r>
    </w:p>
    <w:p>
      <w:pPr>
        <w:pStyle w:val="Heading5"/>
        <w:rPr>
          <w:snapToGrid w:val="0"/>
        </w:rPr>
      </w:pPr>
      <w:bookmarkStart w:id="1004" w:name="_Toc163121361"/>
      <w:r>
        <w:rPr>
          <w:rStyle w:val="CharSectno"/>
        </w:rPr>
        <w:t>4</w:t>
      </w:r>
      <w:r>
        <w:rPr>
          <w:snapToGrid w:val="0"/>
        </w:rPr>
        <w:t>.</w:t>
      </w:r>
      <w:r>
        <w:rPr>
          <w:snapToGrid w:val="0"/>
        </w:rPr>
        <w:tab/>
        <w:t>Form and issue of summons</w:t>
      </w:r>
      <w:bookmarkEnd w:id="1004"/>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 xml:space="preserve">A summons is issued by being sealed </w:t>
      </w:r>
      <w:r>
        <w:t>with the seal of the Court.</w:t>
      </w:r>
    </w:p>
    <w:p>
      <w:pPr>
        <w:pStyle w:val="Ednotesubsection"/>
      </w:pPr>
      <w:r>
        <w:tab/>
        <w:t>[(3)</w:t>
      </w:r>
      <w:r>
        <w:tab/>
        <w:t>deleted]</w:t>
      </w:r>
    </w:p>
    <w:p>
      <w:pPr>
        <w:pStyle w:val="Subsection"/>
        <w:keepNext/>
        <w:rPr>
          <w:snapToGrid w:val="0"/>
        </w:rPr>
      </w:pPr>
      <w:r>
        <w:rPr>
          <w:snapToGrid w:val="0"/>
        </w:rPr>
        <w:lastRenderedPageBreak/>
        <w:tab/>
        <w:t>(4)</w:t>
      </w:r>
      <w:r>
        <w:rPr>
          <w:snapToGrid w:val="0"/>
        </w:rPr>
        <w:tab/>
        <w:t xml:space="preserve">A summons </w:t>
      </w:r>
      <w:r>
        <w:t>must</w:t>
      </w:r>
      <w:r>
        <w:rPr>
          <w:snapToGrid w:val="0"/>
        </w:rPr>
        <w:t xml:space="preserve"> not be amended after issue except with the leave of the Court.</w:t>
      </w:r>
    </w:p>
    <w:p>
      <w:pPr>
        <w:pStyle w:val="Footnotesection"/>
      </w:pPr>
      <w:r>
        <w:tab/>
        <w:t>[Rule 4 amended: SL 2020/242 r. 6.]</w:t>
      </w:r>
    </w:p>
    <w:p>
      <w:pPr>
        <w:pStyle w:val="Heading5"/>
        <w:rPr>
          <w:snapToGrid w:val="0"/>
        </w:rPr>
      </w:pPr>
      <w:bookmarkStart w:id="1005" w:name="_Toc163121362"/>
      <w:r>
        <w:rPr>
          <w:rStyle w:val="CharSectno"/>
        </w:rPr>
        <w:t>5</w:t>
      </w:r>
      <w:r>
        <w:rPr>
          <w:snapToGrid w:val="0"/>
        </w:rPr>
        <w:t>.</w:t>
      </w:r>
      <w:r>
        <w:rPr>
          <w:snapToGrid w:val="0"/>
        </w:rPr>
        <w:tab/>
        <w:t>Summons, service of</w:t>
      </w:r>
      <w:bookmarkEnd w:id="1005"/>
    </w:p>
    <w:p>
      <w:pPr>
        <w:pStyle w:val="Subsection"/>
        <w:spacing w:before="120"/>
        <w:rPr>
          <w:snapToGrid w:val="0"/>
        </w:rPr>
      </w:pPr>
      <w:r>
        <w:rPr>
          <w:snapToGrid w:val="0"/>
        </w:rPr>
        <w:tab/>
        <w:t>(1)</w:t>
      </w:r>
      <w:r>
        <w:rPr>
          <w:snapToGrid w:val="0"/>
        </w:rPr>
        <w:tab/>
        <w:t xml:space="preserve">Subject to </w:t>
      </w:r>
      <w:r>
        <w:t>subrule</w:t>
      </w:r>
      <w:r>
        <w:rPr>
          <w:snapToGrid w:val="0"/>
        </w:rPr>
        <w:t>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Gazette 3 Oct 1975 p. 3771; 28 Jun 2011 p. 2552.] </w:t>
      </w:r>
    </w:p>
    <w:p>
      <w:pPr>
        <w:pStyle w:val="Heading5"/>
        <w:rPr>
          <w:snapToGrid w:val="0"/>
        </w:rPr>
      </w:pPr>
      <w:bookmarkStart w:id="1006" w:name="_Toc163121363"/>
      <w:r>
        <w:rPr>
          <w:rStyle w:val="CharSectno"/>
        </w:rPr>
        <w:t>6</w:t>
      </w:r>
      <w:r>
        <w:rPr>
          <w:snapToGrid w:val="0"/>
        </w:rPr>
        <w:t>.</w:t>
      </w:r>
      <w:r>
        <w:rPr>
          <w:snapToGrid w:val="0"/>
        </w:rPr>
        <w:tab/>
        <w:t>Experts, assistance of</w:t>
      </w:r>
      <w:bookmarkEnd w:id="1006"/>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1007" w:name="_Toc163121364"/>
      <w:r>
        <w:rPr>
          <w:rStyle w:val="CharSectno"/>
        </w:rPr>
        <w:t>7</w:t>
      </w:r>
      <w:r>
        <w:rPr>
          <w:snapToGrid w:val="0"/>
        </w:rPr>
        <w:t>.</w:t>
      </w:r>
      <w:r>
        <w:rPr>
          <w:snapToGrid w:val="0"/>
        </w:rPr>
        <w:tab/>
        <w:t>Application of O. 58 r. 22 to 28</w:t>
      </w:r>
      <w:bookmarkEnd w:id="1007"/>
      <w:r>
        <w:rPr>
          <w:snapToGrid w:val="0"/>
        </w:rPr>
        <w:t xml:space="preserve"> </w:t>
      </w:r>
    </w:p>
    <w:p>
      <w:pPr>
        <w:pStyle w:val="Subsection"/>
        <w:rPr>
          <w:snapToGrid w:val="0"/>
        </w:rPr>
      </w:pPr>
      <w:r>
        <w:rPr>
          <w:snapToGrid w:val="0"/>
        </w:rPr>
        <w:tab/>
      </w:r>
      <w:r>
        <w:rPr>
          <w:snapToGrid w:val="0"/>
        </w:rPr>
        <w:tab/>
        <w:t xml:space="preserve">Order 58 rules 22 to 28, with any necessary changes, apply in relation to an application in chambers under this Order in the </w:t>
      </w:r>
      <w:r>
        <w:rPr>
          <w:snapToGrid w:val="0"/>
        </w:rPr>
        <w:lastRenderedPageBreak/>
        <w:t>same way as they apply to an application made by originating summons.</w:t>
      </w:r>
    </w:p>
    <w:p>
      <w:pPr>
        <w:pStyle w:val="Footnotesection"/>
      </w:pPr>
      <w:r>
        <w:tab/>
        <w:t xml:space="preserve">[Rule 7 inserted: Gazette 28 Oct 1996 p. 5700.] </w:t>
      </w:r>
    </w:p>
    <w:p>
      <w:pPr>
        <w:pStyle w:val="Heading5"/>
        <w:rPr>
          <w:snapToGrid w:val="0"/>
        </w:rPr>
      </w:pPr>
      <w:bookmarkStart w:id="1008" w:name="_Toc163121365"/>
      <w:r>
        <w:rPr>
          <w:rStyle w:val="CharSectno"/>
        </w:rPr>
        <w:t>8</w:t>
      </w:r>
      <w:r>
        <w:rPr>
          <w:snapToGrid w:val="0"/>
        </w:rPr>
        <w:t>.</w:t>
      </w:r>
      <w:r>
        <w:rPr>
          <w:snapToGrid w:val="0"/>
        </w:rPr>
        <w:tab/>
        <w:t>Stay of proceedings, ordering</w:t>
      </w:r>
      <w:bookmarkEnd w:id="1008"/>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1009" w:name="_Toc163121366"/>
      <w:r>
        <w:rPr>
          <w:rStyle w:val="CharSectno"/>
        </w:rPr>
        <w:t>9</w:t>
      </w:r>
      <w:r>
        <w:rPr>
          <w:snapToGrid w:val="0"/>
        </w:rPr>
        <w:t>.</w:t>
      </w:r>
      <w:r>
        <w:rPr>
          <w:snapToGrid w:val="0"/>
        </w:rPr>
        <w:tab/>
        <w:t>Parties to confer before making application</w:t>
      </w:r>
      <w:bookmarkEnd w:id="1009"/>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 xml:space="preserve">The Court may waive the operation of </w:t>
      </w:r>
      <w:r>
        <w:t>subrule</w:t>
      </w:r>
      <w:r>
        <w:rPr>
          <w:snapToGrid w:val="0"/>
        </w:rPr>
        <w:t> (1) in a case of urgency or for other good reason.</w:t>
      </w:r>
    </w:p>
    <w:p>
      <w:pPr>
        <w:pStyle w:val="Footnotesection"/>
      </w:pPr>
      <w:r>
        <w:tab/>
        <w:t xml:space="preserve">[Rule 9 inserted: Gazette 28 Oct 1996 p. 5700; amended: Gazette 28 Jun 2011 p. 2552.] </w:t>
      </w:r>
    </w:p>
    <w:p>
      <w:pPr>
        <w:pStyle w:val="Heading5"/>
        <w:rPr>
          <w:snapToGrid w:val="0"/>
        </w:rPr>
      </w:pPr>
      <w:bookmarkStart w:id="1010" w:name="_Toc163121367"/>
      <w:r>
        <w:rPr>
          <w:rStyle w:val="CharSectno"/>
        </w:rPr>
        <w:t>10</w:t>
      </w:r>
      <w:r>
        <w:rPr>
          <w:snapToGrid w:val="0"/>
        </w:rPr>
        <w:t>.</w:t>
      </w:r>
      <w:r>
        <w:rPr>
          <w:snapToGrid w:val="0"/>
        </w:rPr>
        <w:tab/>
        <w:t>Orders, form of</w:t>
      </w:r>
      <w:bookmarkEnd w:id="1010"/>
    </w:p>
    <w:p>
      <w:pPr>
        <w:pStyle w:val="Subsection"/>
        <w:rPr>
          <w:snapToGrid w:val="0"/>
        </w:rPr>
      </w:pPr>
      <w:r>
        <w:rPr>
          <w:snapToGrid w:val="0"/>
        </w:rPr>
        <w:tab/>
        <w:t>(1)</w:t>
      </w:r>
      <w:r>
        <w:rPr>
          <w:snapToGrid w:val="0"/>
        </w:rPr>
        <w:tab/>
        <w:t xml:space="preserve">Subject to </w:t>
      </w:r>
      <w:r>
        <w:t>subrule</w:t>
      </w:r>
      <w:r>
        <w:rPr>
          <w:snapToGrid w:val="0"/>
        </w:rPr>
        <w:t>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Gazette 10 Jan 1975 p. 51; amended: Gazette 28 Jun 2011 p. 2552.] </w:t>
      </w:r>
    </w:p>
    <w:p>
      <w:pPr>
        <w:pStyle w:val="Heading2"/>
      </w:pPr>
      <w:bookmarkStart w:id="1011" w:name="_Toc162940906"/>
      <w:bookmarkStart w:id="1012" w:name="_Toc162953695"/>
      <w:bookmarkStart w:id="1013" w:name="_Toc163121368"/>
      <w:r>
        <w:rPr>
          <w:rStyle w:val="CharPartNo"/>
        </w:rPr>
        <w:lastRenderedPageBreak/>
        <w:t>Order 60</w:t>
      </w:r>
      <w:r>
        <w:rPr>
          <w:b w:val="0"/>
        </w:rPr>
        <w:t> </w:t>
      </w:r>
      <w:r>
        <w:t>—</w:t>
      </w:r>
      <w:r>
        <w:rPr>
          <w:b w:val="0"/>
        </w:rPr>
        <w:t> </w:t>
      </w:r>
      <w:r>
        <w:rPr>
          <w:rStyle w:val="CharPartText"/>
        </w:rPr>
        <w:t>Masters’ jurisdiction</w:t>
      </w:r>
      <w:bookmarkEnd w:id="1011"/>
      <w:bookmarkEnd w:id="1012"/>
      <w:bookmarkEnd w:id="1013"/>
    </w:p>
    <w:p>
      <w:pPr>
        <w:pStyle w:val="Footnotesection"/>
      </w:pPr>
      <w:r>
        <w:tab/>
        <w:t>[Heading inserted: Gazette 21 Feb 2007 p. 562.]</w:t>
      </w:r>
    </w:p>
    <w:p>
      <w:pPr>
        <w:pStyle w:val="Heading5"/>
      </w:pPr>
      <w:bookmarkStart w:id="1014" w:name="_Toc163121369"/>
      <w:r>
        <w:rPr>
          <w:rStyle w:val="CharSectno"/>
        </w:rPr>
        <w:t>1</w:t>
      </w:r>
      <w:r>
        <w:t>.</w:t>
      </w:r>
      <w:r>
        <w:tab/>
        <w:t>Masters’ general jurisdiction</w:t>
      </w:r>
      <w:bookmarkEnd w:id="1014"/>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 xml:space="preserve">proceedings relating to the liberty of a person including seeking a writ of </w:t>
      </w:r>
      <w:r>
        <w:rPr>
          <w:i/>
        </w:rPr>
        <w:t>habeas corpus ad subjiciendum</w:t>
      </w:r>
      <w:r>
        <w:t xml:space="preserve"> under Order 57;</w:t>
      </w:r>
    </w:p>
    <w:p>
      <w:pPr>
        <w:pStyle w:val="Indenta"/>
      </w:pPr>
      <w:r>
        <w:tab/>
        <w:t>(b)</w:t>
      </w:r>
      <w:r>
        <w:tab/>
        <w:t>proceedings for contempt of court;</w:t>
      </w:r>
    </w:p>
    <w:p>
      <w:pPr>
        <w:pStyle w:val="Indenta"/>
      </w:pPr>
      <w:r>
        <w:tab/>
        <w:t>(c)</w:t>
      </w:r>
      <w:r>
        <w:tab/>
        <w:t xml:space="preserve">proceedings seeking judicial review under Order 56, other than proceedings relating to the adjudication or purported adjudication of a payment dispute under the </w:t>
      </w:r>
      <w:r>
        <w:rPr>
          <w:i/>
        </w:rPr>
        <w:t>Construction Contracts Act 2004</w:t>
      </w:r>
      <w:r>
        <w:t xml:space="preserve"> Part 3;</w:t>
      </w:r>
    </w:p>
    <w:p>
      <w:pPr>
        <w:pStyle w:val="Indenta"/>
      </w:pPr>
      <w:r>
        <w:tab/>
        <w:t>(d)</w:t>
      </w:r>
      <w:r>
        <w:tab/>
        <w:t xml:space="preserve">proceedings seeking a review order under the </w:t>
      </w:r>
      <w:r>
        <w:rPr>
          <w:i/>
        </w:rPr>
        <w:t>Magistrates Court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lastRenderedPageBreak/>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 xml:space="preserve">For the purposes of any proceedings before him or her, a master may exercise the powers of the Court under the </w:t>
      </w:r>
      <w:r>
        <w:rPr>
          <w:i/>
        </w:rPr>
        <w:t>Evidence Act 1906</w:t>
      </w:r>
      <w:r>
        <w:t xml:space="preserve"> section 16(1)(b), 51 or 52.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Gazette 21 Feb 2007 p. 562</w:t>
      </w:r>
      <w:r>
        <w:noBreakHyphen/>
        <w:t>3; amended: Gazette 13 Nov 2015 p. 4646.]</w:t>
      </w:r>
    </w:p>
    <w:p>
      <w:pPr>
        <w:pStyle w:val="Heading5"/>
      </w:pPr>
      <w:bookmarkStart w:id="1015" w:name="_Toc163121370"/>
      <w:r>
        <w:rPr>
          <w:rStyle w:val="CharSectno"/>
        </w:rPr>
        <w:t>2</w:t>
      </w:r>
      <w:r>
        <w:t>.</w:t>
      </w:r>
      <w:r>
        <w:tab/>
        <w:t>Master may refer matter to judge or Court of Appeal</w:t>
      </w:r>
      <w:bookmarkEnd w:id="1015"/>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Gazette 21 Feb 2007 p. 563.]</w:t>
      </w:r>
    </w:p>
    <w:p>
      <w:pPr>
        <w:pStyle w:val="Heading2"/>
        <w:rPr>
          <w:b w:val="0"/>
        </w:rPr>
      </w:pPr>
      <w:bookmarkStart w:id="1016" w:name="_Toc162940909"/>
      <w:bookmarkStart w:id="1017" w:name="_Toc162953698"/>
      <w:bookmarkStart w:id="1018" w:name="_Toc163121371"/>
      <w:r>
        <w:rPr>
          <w:rStyle w:val="CharPartNo"/>
        </w:rPr>
        <w:lastRenderedPageBreak/>
        <w:t>Order 60A</w:t>
      </w:r>
      <w:r>
        <w:rPr>
          <w:rStyle w:val="CharDivNo"/>
        </w:rPr>
        <w:t> </w:t>
      </w:r>
      <w:r>
        <w:t>—</w:t>
      </w:r>
      <w:r>
        <w:rPr>
          <w:rStyle w:val="CharDivText"/>
        </w:rPr>
        <w:t> </w:t>
      </w:r>
      <w:r>
        <w:rPr>
          <w:rStyle w:val="CharPartText"/>
        </w:rPr>
        <w:t>Jurisdiction of registrars and appeals from registrars’ decisions</w:t>
      </w:r>
      <w:bookmarkEnd w:id="1016"/>
      <w:bookmarkEnd w:id="1017"/>
      <w:bookmarkEnd w:id="1018"/>
    </w:p>
    <w:p>
      <w:pPr>
        <w:pStyle w:val="Footnoteheading"/>
        <w:ind w:left="890"/>
        <w:rPr>
          <w:snapToGrid w:val="0"/>
        </w:rPr>
      </w:pPr>
      <w:r>
        <w:rPr>
          <w:snapToGrid w:val="0"/>
        </w:rPr>
        <w:tab/>
        <w:t>[Heading inserted: Gazette 28 Oct 1996 p. 5701.]</w:t>
      </w:r>
    </w:p>
    <w:p>
      <w:pPr>
        <w:pStyle w:val="Heading5"/>
        <w:spacing w:before="260"/>
        <w:rPr>
          <w:snapToGrid w:val="0"/>
        </w:rPr>
      </w:pPr>
      <w:bookmarkStart w:id="1019" w:name="_Toc163121372"/>
      <w:r>
        <w:rPr>
          <w:rStyle w:val="CharSectno"/>
        </w:rPr>
        <w:t>1</w:t>
      </w:r>
      <w:r>
        <w:rPr>
          <w:snapToGrid w:val="0"/>
        </w:rPr>
        <w:t>.</w:t>
      </w:r>
      <w:r>
        <w:rPr>
          <w:snapToGrid w:val="0"/>
        </w:rPr>
        <w:tab/>
      </w:r>
      <w:r>
        <w:rPr>
          <w:szCs w:val="24"/>
        </w:rPr>
        <w:t>Registrars’ general jurisdiction</w:t>
      </w:r>
      <w:bookmarkEnd w:id="1019"/>
    </w:p>
    <w:p>
      <w:pPr>
        <w:pStyle w:val="Subsection"/>
      </w:pPr>
      <w:r>
        <w:rPr>
          <w:snapToGrid w:val="0"/>
        </w:rPr>
        <w:tab/>
      </w:r>
      <w:r>
        <w:t>(1)</w:t>
      </w:r>
      <w:r>
        <w:tab/>
        <w:t>A registrar</w:t>
      </w:r>
      <w:r>
        <w:rPr>
          <w:snapToGrid w:val="0"/>
        </w:rPr>
        <w:t xml:space="preserve"> may exercise these powers of the Court </w:t>
      </w:r>
      <w:r>
        <w:t>— </w:t>
      </w:r>
    </w:p>
    <w:p>
      <w:pPr>
        <w:pStyle w:val="Ednotepara"/>
        <w:rPr>
          <w:snapToGrid w:val="0"/>
        </w:rPr>
      </w:pPr>
      <w:r>
        <w:rPr>
          <w:snapToGrid w:val="0"/>
        </w:rPr>
        <w:tab/>
        <w:t>[(aa)</w:t>
      </w:r>
      <w:r>
        <w:rPr>
          <w:snapToGrid w:val="0"/>
        </w:rPr>
        <w:tab/>
        <w:t>deleted]</w:t>
      </w:r>
    </w:p>
    <w:p>
      <w:pPr>
        <w:pStyle w:val="Indenta"/>
        <w:spacing w:before="120"/>
        <w:rPr>
          <w:snapToGrid w:val="0"/>
        </w:rPr>
      </w:pPr>
      <w:r>
        <w:rPr>
          <w:snapToGrid w:val="0"/>
        </w:rPr>
        <w:tab/>
        <w:t>(a)</w:t>
      </w:r>
      <w:r>
        <w:rPr>
          <w:snapToGrid w:val="0"/>
        </w:rPr>
        <w:tab/>
        <w:t>under Order 42 rule 8, to obtain the consent of a defendant in person;</w:t>
      </w:r>
    </w:p>
    <w:p>
      <w:pPr>
        <w:pStyle w:val="Indenta"/>
      </w:pPr>
      <w:r>
        <w:tab/>
        <w:t>(b)</w:t>
      </w:r>
      <w:r>
        <w:tab/>
        <w:t>under Order 67B, the Court’s powers in relation to access to information, records and other things;</w:t>
      </w:r>
    </w:p>
    <w:p>
      <w:pPr>
        <w:pStyle w:val="Ednotepara"/>
        <w:rPr>
          <w:snapToGrid w:val="0"/>
        </w:rPr>
      </w:pPr>
      <w:r>
        <w:rPr>
          <w:snapToGrid w:val="0"/>
        </w:rPr>
        <w:tab/>
        <w:t>[(c)-(d)</w:t>
      </w:r>
      <w:r>
        <w:rPr>
          <w:snapToGrid w:val="0"/>
        </w:rPr>
        <w:tab/>
        <w:t>deleted]</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Ednotesubsection"/>
      </w:pPr>
      <w:r>
        <w:tab/>
        <w:t>[(2)</w:t>
      </w:r>
      <w:r>
        <w:tab/>
        <w:t>deleted]</w:t>
      </w:r>
    </w:p>
    <w:p>
      <w:pPr>
        <w:pStyle w:val="Footnotesection"/>
        <w:spacing w:before="200"/>
        <w:ind w:left="890" w:hanging="890"/>
      </w:pPr>
      <w:r>
        <w:tab/>
        <w:t xml:space="preserve">[Rule 1 inserted: Gazette 28 Oct 1996 p. 5701; amended: Gazette 16 Jul 1999 p. 3194; 23 Jan 2001 p. 562; 27 Sep 2002 p. 4829; 21 May 2004 p. 1712; 13 Nov 2015 p. 4646-7; 16 Nov 2016 p. 5199; 16 Aug 2017 p. 4418; 27 Feb 2018 p. 572.] </w:t>
      </w:r>
    </w:p>
    <w:p>
      <w:pPr>
        <w:pStyle w:val="Heading5"/>
      </w:pPr>
      <w:bookmarkStart w:id="1020" w:name="_Toc163121373"/>
      <w:r>
        <w:rPr>
          <w:rStyle w:val="CharSectno"/>
        </w:rPr>
        <w:t>2</w:t>
      </w:r>
      <w:r>
        <w:t>.</w:t>
      </w:r>
      <w:r>
        <w:tab/>
        <w:t>Registrars’ jurisdiction with respect to case management</w:t>
      </w:r>
      <w:bookmarkEnd w:id="1020"/>
    </w:p>
    <w:p>
      <w:pPr>
        <w:pStyle w:val="Subsection"/>
      </w:pPr>
      <w:r>
        <w:tab/>
        <w:t>(1)</w:t>
      </w:r>
      <w:r>
        <w:tab/>
        <w:t xml:space="preserve">For the purposes of Order 4A, a registrar has, in relation to a case for which the registrar is the case manager, the same jurisdiction that a judge sitting in chambers would have under </w:t>
      </w:r>
      <w:r>
        <w:lastRenderedPageBreak/>
        <w:t xml:space="preserve">the </w:t>
      </w:r>
      <w:r>
        <w:rPr>
          <w:i/>
        </w:rPr>
        <w:t>Supreme Court Act 1935</w:t>
      </w:r>
      <w:r>
        <w:t xml:space="preserve"> or these rules if a judge were the case manager.</w:t>
      </w:r>
    </w:p>
    <w:p>
      <w:pPr>
        <w:pStyle w:val="Subsection"/>
      </w:pPr>
      <w:r>
        <w:tab/>
        <w:t>(2)</w:t>
      </w:r>
      <w:r>
        <w:tab/>
        <w:t xml:space="preserve">However, a registrar does not have jurisdiction under subrule (1) in respect of any of the following — </w:t>
      </w:r>
    </w:p>
    <w:p>
      <w:pPr>
        <w:pStyle w:val="Indenta"/>
      </w:pPr>
      <w:r>
        <w:tab/>
        <w:t>(a)</w:t>
      </w:r>
      <w:r>
        <w:tab/>
        <w:t xml:space="preserve">proceedings to which any of the following applies — </w:t>
      </w:r>
    </w:p>
    <w:p>
      <w:pPr>
        <w:pStyle w:val="Indenti"/>
      </w:pPr>
      <w:r>
        <w:tab/>
        <w:t>(i)</w:t>
      </w:r>
      <w:r>
        <w:tab/>
        <w:t>Order 51 (Receivers);</w:t>
      </w:r>
    </w:p>
    <w:p>
      <w:pPr>
        <w:pStyle w:val="Indenti"/>
      </w:pPr>
      <w:r>
        <w:tab/>
        <w:t>(ii)</w:t>
      </w:r>
      <w:r>
        <w:tab/>
        <w:t>Order 52 (Interlocutory injunctions, interim preservation of property);</w:t>
      </w:r>
    </w:p>
    <w:p>
      <w:pPr>
        <w:pStyle w:val="Indenti"/>
      </w:pPr>
      <w:r>
        <w:tab/>
        <w:t>(iii)</w:t>
      </w:r>
      <w:r>
        <w:tab/>
        <w:t>Order 52A (Freezing orders);</w:t>
      </w:r>
    </w:p>
    <w:p>
      <w:pPr>
        <w:pStyle w:val="Indenti"/>
      </w:pPr>
      <w:r>
        <w:tab/>
        <w:t>(iv)</w:t>
      </w:r>
      <w:r>
        <w:tab/>
        <w:t>Order 52B (Search orders);</w:t>
      </w:r>
    </w:p>
    <w:p>
      <w:pPr>
        <w:pStyle w:val="Indenti"/>
      </w:pPr>
      <w:r>
        <w:tab/>
        <w:t>(v)</w:t>
      </w:r>
      <w:r>
        <w:tab/>
        <w:t>Order 61 (Proceedings under judgments and orders);</w:t>
      </w:r>
    </w:p>
    <w:p>
      <w:pPr>
        <w:pStyle w:val="Indenti"/>
      </w:pPr>
      <w:r>
        <w:tab/>
        <w:t>(vi)</w:t>
      </w:r>
      <w:r>
        <w:tab/>
        <w:t xml:space="preserve">Order 70 rule 7 (removal of next friend or guardian </w:t>
      </w:r>
      <w:r>
        <w:rPr>
          <w:i/>
        </w:rPr>
        <w:t>ad litem</w:t>
      </w:r>
      <w:r>
        <w:t>);</w:t>
      </w:r>
    </w:p>
    <w:p>
      <w:pPr>
        <w:pStyle w:val="Indenti"/>
      </w:pPr>
      <w:r>
        <w:tab/>
        <w:t>(vii)</w:t>
      </w:r>
      <w:r>
        <w:tab/>
        <w:t>Order 70 rule 10 (approval of settlement, compromise or acceptance of money paid into court);</w:t>
      </w:r>
    </w:p>
    <w:p>
      <w:pPr>
        <w:pStyle w:val="Indenti"/>
      </w:pPr>
      <w:r>
        <w:tab/>
        <w:t>(viii)</w:t>
      </w:r>
      <w:r>
        <w:tab/>
        <w:t>Order 70 rule 11 (approval of agreement for settlement or compromise);</w:t>
      </w:r>
    </w:p>
    <w:p>
      <w:pPr>
        <w:pStyle w:val="Indenti"/>
      </w:pPr>
      <w:r>
        <w:tab/>
        <w:t>(ix)</w:t>
      </w:r>
      <w:r>
        <w:tab/>
        <w:t>Order 70 rule 12 (control of money recovered for person under disability);</w:t>
      </w:r>
    </w:p>
    <w:p>
      <w:pPr>
        <w:pStyle w:val="Indenti"/>
      </w:pPr>
      <w:r>
        <w:tab/>
        <w:t>(x)</w:t>
      </w:r>
      <w:r>
        <w:tab/>
        <w:t xml:space="preserve">the </w:t>
      </w:r>
      <w:r>
        <w:rPr>
          <w:i/>
        </w:rPr>
        <w:t>Supreme Court (Arbitration) Rules 2016</w:t>
      </w:r>
      <w:r>
        <w:t>;</w:t>
      </w:r>
    </w:p>
    <w:p>
      <w:pPr>
        <w:pStyle w:val="Indenta"/>
      </w:pPr>
      <w:r>
        <w:tab/>
        <w:t>(b)</w:t>
      </w:r>
      <w:r>
        <w:tab/>
        <w:t>proceedings referred to in Order 60 rule 1(3);</w:t>
      </w:r>
    </w:p>
    <w:p>
      <w:pPr>
        <w:pStyle w:val="Indenta"/>
      </w:pPr>
      <w:r>
        <w:tab/>
        <w:t>(c)</w:t>
      </w:r>
      <w:r>
        <w:tab/>
        <w:t>a review of the taxation of costs under Order 66 rule 55;</w:t>
      </w:r>
    </w:p>
    <w:p>
      <w:pPr>
        <w:pStyle w:val="Indenta"/>
      </w:pPr>
      <w:r>
        <w:tab/>
        <w:t>(d)</w:t>
      </w:r>
      <w:r>
        <w:tab/>
        <w:t xml:space="preserve">proceedings under any of the following — </w:t>
      </w:r>
    </w:p>
    <w:p>
      <w:pPr>
        <w:pStyle w:val="Indenti"/>
      </w:pPr>
      <w:r>
        <w:tab/>
        <w:t>(i)</w:t>
      </w:r>
      <w:r>
        <w:tab/>
        <w:t xml:space="preserve">the </w:t>
      </w:r>
      <w:r>
        <w:rPr>
          <w:i/>
        </w:rPr>
        <w:t>Transfer of Land Act 1893</w:t>
      </w:r>
      <w:r>
        <w:t>;</w:t>
      </w:r>
    </w:p>
    <w:p>
      <w:pPr>
        <w:pStyle w:val="Indenti"/>
      </w:pPr>
      <w:r>
        <w:tab/>
        <w:t>(ii)</w:t>
      </w:r>
      <w:r>
        <w:tab/>
        <w:t xml:space="preserve">the </w:t>
      </w:r>
      <w:r>
        <w:rPr>
          <w:i/>
        </w:rPr>
        <w:t>Trustees Act 1962</w:t>
      </w:r>
      <w:r>
        <w:t>;</w:t>
      </w:r>
    </w:p>
    <w:p>
      <w:pPr>
        <w:pStyle w:val="Indenti"/>
      </w:pPr>
      <w:r>
        <w:tab/>
        <w:t>(iii)</w:t>
      </w:r>
      <w:r>
        <w:tab/>
        <w:t xml:space="preserve">the </w:t>
      </w:r>
      <w:r>
        <w:rPr>
          <w:i/>
        </w:rPr>
        <w:t>Australian Securities and Investments Commission Act 2001</w:t>
      </w:r>
      <w:r>
        <w:t xml:space="preserve"> (Commonwealth);</w:t>
      </w:r>
    </w:p>
    <w:p>
      <w:pPr>
        <w:pStyle w:val="Indenti"/>
      </w:pPr>
      <w:r>
        <w:tab/>
        <w:t>(iv)</w:t>
      </w:r>
      <w:r>
        <w:tab/>
        <w:t xml:space="preserve">the </w:t>
      </w:r>
      <w:r>
        <w:rPr>
          <w:i/>
        </w:rPr>
        <w:t>Corporations Act 2001</w:t>
      </w:r>
      <w:r>
        <w:t xml:space="preserve"> (Commonwealth);</w:t>
      </w:r>
    </w:p>
    <w:p>
      <w:pPr>
        <w:pStyle w:val="Indenti"/>
      </w:pPr>
      <w:r>
        <w:lastRenderedPageBreak/>
        <w:tab/>
        <w:t>(v)</w:t>
      </w:r>
      <w:r>
        <w:tab/>
        <w:t xml:space="preserve">the </w:t>
      </w:r>
      <w:r>
        <w:rPr>
          <w:i/>
        </w:rPr>
        <w:t>Cross-Border Insolvency Act 2008</w:t>
      </w:r>
      <w:r>
        <w:t xml:space="preserve"> (Commonwealth).</w:t>
      </w:r>
    </w:p>
    <w:p>
      <w:pPr>
        <w:pStyle w:val="Subsection"/>
      </w:pPr>
      <w:r>
        <w:tab/>
        <w:t>(3)</w:t>
      </w:r>
      <w:r>
        <w:tab/>
        <w:t>Subrule (2) does not apply to or in relation to a matter that is referred to a registrar by a judge or master.</w:t>
      </w:r>
    </w:p>
    <w:p>
      <w:pPr>
        <w:pStyle w:val="Subsection"/>
      </w:pPr>
      <w:r>
        <w:tab/>
        <w:t>(4)</w:t>
      </w:r>
      <w:r>
        <w:tab/>
        <w:t>A registrar cannot order the attachment or committal of any person.</w:t>
      </w:r>
    </w:p>
    <w:p>
      <w:pPr>
        <w:pStyle w:val="Subsection"/>
      </w:pPr>
      <w:r>
        <w:tab/>
        <w:t>(5)</w:t>
      </w:r>
      <w:r>
        <w:tab/>
        <w:t>An interlocutory order or case management direction made by a  registrar is not enforceable by a writ of attachment or order of committal.</w:t>
      </w:r>
    </w:p>
    <w:p>
      <w:pPr>
        <w:pStyle w:val="Footnotesection"/>
      </w:pPr>
      <w:r>
        <w:tab/>
        <w:t>[Rule 2 inserted: Gazette 13 Nov 2015 p. 4647-8; amended: Gazette 20 Dec 2016 p. 5842; 16 Aug 2017 p. 4418.]</w:t>
      </w:r>
    </w:p>
    <w:p>
      <w:pPr>
        <w:pStyle w:val="Heading5"/>
      </w:pPr>
      <w:bookmarkStart w:id="1021" w:name="_Toc163121374"/>
      <w:r>
        <w:rPr>
          <w:rStyle w:val="CharSectno"/>
        </w:rPr>
        <w:t>2A</w:t>
      </w:r>
      <w:r>
        <w:t>.</w:t>
      </w:r>
      <w:r>
        <w:tab/>
        <w:t>Registrars to deal with applications within their jurisdiction</w:t>
      </w:r>
      <w:bookmarkEnd w:id="1021"/>
    </w:p>
    <w:p>
      <w:pPr>
        <w:pStyle w:val="Subsection"/>
      </w:pPr>
      <w:r>
        <w:tab/>
      </w:r>
      <w:r>
        <w:tab/>
        <w:t>If an application made to the Court requests the exercise of jurisdiction or a power of the Court that under this Order is exercisable by a registrar, the application must be dealt with by a registrar unless —</w:t>
      </w:r>
    </w:p>
    <w:p>
      <w:pPr>
        <w:pStyle w:val="Indenta"/>
      </w:pPr>
      <w:r>
        <w:tab/>
        <w:t>(a)</w:t>
      </w:r>
      <w:r>
        <w:tab/>
        <w:t>under rule 3 the proceedings have been referred to a judge or master; or</w:t>
      </w:r>
    </w:p>
    <w:p>
      <w:pPr>
        <w:pStyle w:val="Indenta"/>
      </w:pPr>
      <w:r>
        <w:tab/>
        <w:t>(b)</w:t>
      </w:r>
      <w:r>
        <w:tab/>
        <w:t>a judge, master or registrar has granted leave for the application to be dealt with by a judge or master.</w:t>
      </w:r>
    </w:p>
    <w:p>
      <w:pPr>
        <w:pStyle w:val="Footnotesection"/>
      </w:pPr>
      <w:r>
        <w:tab/>
        <w:t>[Rule 2A inserted: Gazette 27 Feb 2018 p. 573.]</w:t>
      </w:r>
    </w:p>
    <w:p>
      <w:pPr>
        <w:pStyle w:val="Heading5"/>
      </w:pPr>
      <w:bookmarkStart w:id="1022" w:name="_Toc163121375"/>
      <w:r>
        <w:rPr>
          <w:rStyle w:val="CharSectno"/>
        </w:rPr>
        <w:t>3</w:t>
      </w:r>
      <w:r>
        <w:t>.</w:t>
      </w:r>
      <w:r>
        <w:tab/>
        <w:t>Registrar may refer proceedings to judge or master</w:t>
      </w:r>
      <w:bookmarkEnd w:id="1022"/>
    </w:p>
    <w:p>
      <w:pPr>
        <w:pStyle w:val="Subsection"/>
      </w:pPr>
      <w:r>
        <w:tab/>
        <w:t>(1)</w:t>
      </w:r>
      <w:r>
        <w:tab/>
        <w:t>A registrar may refer any proceedings before him or her to a judge or master.</w:t>
      </w:r>
    </w:p>
    <w:p>
      <w:pPr>
        <w:pStyle w:val="Subsection"/>
      </w:pPr>
      <w:r>
        <w:tab/>
        <w:t>(2)</w:t>
      </w:r>
      <w:r>
        <w:tab/>
        <w:t>The judge or master may deal with the proceedings or refer them back to the registrar with or without directions.</w:t>
      </w:r>
    </w:p>
    <w:p>
      <w:pPr>
        <w:pStyle w:val="Subsection"/>
      </w:pPr>
      <w:r>
        <w:tab/>
        <w:t>(3)</w:t>
      </w:r>
      <w:r>
        <w:tab/>
        <w:t>Pending the determination of the proceedings by the judge or master, the registrar may make an interim order.</w:t>
      </w:r>
    </w:p>
    <w:p>
      <w:pPr>
        <w:pStyle w:val="Footnotesection"/>
      </w:pPr>
      <w:r>
        <w:tab/>
        <w:t>[Rule 3 inserted: Gazette 13 Nov 2015 p. 4648.]</w:t>
      </w:r>
    </w:p>
    <w:p>
      <w:pPr>
        <w:pStyle w:val="Heading5"/>
      </w:pPr>
      <w:bookmarkStart w:id="1023" w:name="_Toc163121376"/>
      <w:r>
        <w:rPr>
          <w:rStyle w:val="CharSectno"/>
        </w:rPr>
        <w:lastRenderedPageBreak/>
        <w:t>4</w:t>
      </w:r>
      <w:r>
        <w:t>.</w:t>
      </w:r>
      <w:r>
        <w:tab/>
        <w:t>Appeals from decisions of registrars</w:t>
      </w:r>
      <w:bookmarkEnd w:id="1023"/>
    </w:p>
    <w:p>
      <w:pPr>
        <w:pStyle w:val="Subsection"/>
      </w:pPr>
      <w:r>
        <w:tab/>
        <w:t>(1)</w:t>
      </w:r>
      <w:r>
        <w:tab/>
        <w:t>A party who is dissatisfied with an order or decision of a registrar may appeal from it.</w:t>
      </w:r>
    </w:p>
    <w:p>
      <w:pPr>
        <w:pStyle w:val="Subsection"/>
      </w:pPr>
      <w:r>
        <w:tab/>
        <w:t>(2)</w:t>
      </w:r>
      <w:r>
        <w:tab/>
        <w:t>The appeal must be made to a judge, but a judge may order that it be heard by a master.</w:t>
      </w:r>
    </w:p>
    <w:p>
      <w:pPr>
        <w:pStyle w:val="Subsection"/>
      </w:pPr>
      <w:r>
        <w:tab/>
        <w:t>(3)</w:t>
      </w:r>
      <w:r>
        <w:tab/>
        <w:t xml:space="preserve">This rule does not apply to an order or decision of a registrar — </w:t>
      </w:r>
    </w:p>
    <w:p>
      <w:pPr>
        <w:pStyle w:val="Indenta"/>
      </w:pPr>
      <w:r>
        <w:tab/>
        <w:t>(a)</w:t>
      </w:r>
      <w:r>
        <w:tab/>
        <w:t>made or given in relation to a cause, matter, question or issue referred to or tried by the registrar under section 50 or 51 of the Act; or</w:t>
      </w:r>
    </w:p>
    <w:p>
      <w:pPr>
        <w:pStyle w:val="Indenta"/>
      </w:pPr>
      <w:r>
        <w:tab/>
        <w:t>(b)</w:t>
      </w:r>
      <w:r>
        <w:tab/>
        <w:t>made or given in proceedings to which Order 61 applies; or</w:t>
      </w:r>
    </w:p>
    <w:p>
      <w:pPr>
        <w:pStyle w:val="Indenta"/>
      </w:pPr>
      <w:r>
        <w:tab/>
        <w:t>(c)</w:t>
      </w:r>
      <w:r>
        <w:tab/>
        <w:t>when acting as a taxing officer; or</w:t>
      </w:r>
    </w:p>
    <w:p>
      <w:pPr>
        <w:pStyle w:val="Indenta"/>
      </w:pPr>
      <w:r>
        <w:tab/>
        <w:t>(d)</w:t>
      </w:r>
      <w:r>
        <w:tab/>
        <w:t>made under Order 67A; or</w:t>
      </w:r>
    </w:p>
    <w:p>
      <w:pPr>
        <w:pStyle w:val="Indenta"/>
      </w:pPr>
      <w:r>
        <w:tab/>
        <w:t>(e)</w:t>
      </w:r>
      <w:r>
        <w:tab/>
        <w:t>to which Order 67B rule 17 applies.</w:t>
      </w:r>
    </w:p>
    <w:p>
      <w:pPr>
        <w:pStyle w:val="Footnotesection"/>
      </w:pPr>
      <w:r>
        <w:tab/>
        <w:t>[Rule 4 inserted: Gazette 13 Nov 2015 p. 4648; amended: Gazette 27 Feb 2018 p. 573.]</w:t>
      </w:r>
    </w:p>
    <w:p>
      <w:pPr>
        <w:pStyle w:val="Heading5"/>
      </w:pPr>
      <w:bookmarkStart w:id="1024" w:name="_Toc163121377"/>
      <w:r>
        <w:rPr>
          <w:rStyle w:val="CharSectno"/>
        </w:rPr>
        <w:t>5</w:t>
      </w:r>
      <w:r>
        <w:t>.</w:t>
      </w:r>
      <w:r>
        <w:tab/>
        <w:t>Appeal procedure</w:t>
      </w:r>
      <w:bookmarkEnd w:id="1024"/>
      <w:r>
        <w:t xml:space="preserve"> </w:t>
      </w:r>
    </w:p>
    <w:p>
      <w:pPr>
        <w:pStyle w:val="Subsection"/>
      </w:pPr>
      <w:r>
        <w:tab/>
        <w:t>(1)</w:t>
      </w:r>
      <w:r>
        <w:tab/>
        <w:t>An appeal from the decision of a registrar must be commenced within 10 days after the date of the order or decision appealed against or any longer period allowed by a judge or master.</w:t>
      </w:r>
    </w:p>
    <w:p>
      <w:pPr>
        <w:pStyle w:val="Subsection"/>
      </w:pPr>
      <w:r>
        <w:tab/>
        <w:t>(2)</w:t>
      </w:r>
      <w:r>
        <w:tab/>
        <w:t>The appeal must be commenced and proceed on the file in which the action was commenced.</w:t>
      </w:r>
    </w:p>
    <w:p>
      <w:pPr>
        <w:pStyle w:val="Subsection"/>
      </w:pPr>
      <w:r>
        <w:tab/>
        <w:t>(3)</w:t>
      </w:r>
      <w:r>
        <w:tab/>
        <w:t xml:space="preserve">The appeal must be commenced by filing an appeal notice in Form 80A, stating the following — </w:t>
      </w:r>
    </w:p>
    <w:p>
      <w:pPr>
        <w:pStyle w:val="Indenta"/>
      </w:pPr>
      <w:r>
        <w:tab/>
        <w:t>(a)</w:t>
      </w:r>
      <w:r>
        <w:tab/>
        <w:t>the order or direction appealed against;</w:t>
      </w:r>
    </w:p>
    <w:p>
      <w:pPr>
        <w:pStyle w:val="Indenta"/>
      </w:pPr>
      <w:r>
        <w:tab/>
        <w:t>(b)</w:t>
      </w:r>
      <w:r>
        <w:tab/>
        <w:t>briefly, but specifically, the grounds of the appeal;</w:t>
      </w:r>
    </w:p>
    <w:p>
      <w:pPr>
        <w:pStyle w:val="Indenta"/>
      </w:pPr>
      <w:r>
        <w:tab/>
        <w:t>(c)</w:t>
      </w:r>
      <w:r>
        <w:tab/>
        <w:t>the order or directions sought at the appeal;</w:t>
      </w:r>
    </w:p>
    <w:p>
      <w:pPr>
        <w:pStyle w:val="Indenta"/>
      </w:pPr>
      <w:r>
        <w:tab/>
        <w:t>(d)</w:t>
      </w:r>
      <w:r>
        <w:tab/>
        <w:t>any directions considered necessary to facilitate the hearing of the appeal;</w:t>
      </w:r>
    </w:p>
    <w:p>
      <w:pPr>
        <w:pStyle w:val="Indenta"/>
      </w:pPr>
      <w:r>
        <w:lastRenderedPageBreak/>
        <w:tab/>
        <w:t>(e)</w:t>
      </w:r>
      <w:r>
        <w:tab/>
        <w:t>for the period of 32 days beginning on the 14</w:t>
      </w:r>
      <w:r>
        <w:rPr>
          <w:vertAlign w:val="superscript"/>
        </w:rPr>
        <w:t>th</w:t>
      </w:r>
      <w:r>
        <w:t> day after the date of the filing of the appeal notice, any days within that period on which the appellant will be unavailable to attend the hearing of the appeal.</w:t>
      </w:r>
    </w:p>
    <w:p>
      <w:pPr>
        <w:pStyle w:val="Subsection"/>
      </w:pPr>
      <w:r>
        <w:tab/>
        <w:t>(4)</w:t>
      </w:r>
      <w:r>
        <w:tab/>
        <w:t>No appeal books are required for the appeal.</w:t>
      </w:r>
    </w:p>
    <w:p>
      <w:pPr>
        <w:pStyle w:val="Subsection"/>
      </w:pPr>
      <w:r>
        <w:tab/>
        <w:t>(5)</w:t>
      </w:r>
      <w:r>
        <w:tab/>
        <w:t>Within one day after filing an appeal notice under this rule a copy of it must be served on the other parties.</w:t>
      </w:r>
    </w:p>
    <w:p>
      <w:pPr>
        <w:pStyle w:val="Footnotesection"/>
      </w:pPr>
      <w:r>
        <w:tab/>
        <w:t>[Rule 5 inserted: Gazette 13 Nov 2015 p. 4648-9.]</w:t>
      </w:r>
    </w:p>
    <w:p>
      <w:pPr>
        <w:pStyle w:val="Heading5"/>
      </w:pPr>
      <w:bookmarkStart w:id="1025" w:name="_Toc163121378"/>
      <w:r>
        <w:rPr>
          <w:rStyle w:val="CharSectno"/>
        </w:rPr>
        <w:t>6A</w:t>
      </w:r>
      <w:r>
        <w:t>.</w:t>
      </w:r>
      <w:r>
        <w:tab/>
        <w:t>Other parties to appeal to advise certain matters</w:t>
      </w:r>
      <w:bookmarkEnd w:id="1025"/>
    </w:p>
    <w:p>
      <w:pPr>
        <w:pStyle w:val="Subsection"/>
      </w:pPr>
      <w:r>
        <w:tab/>
      </w:r>
      <w:r>
        <w:tab/>
        <w:t xml:space="preserve">Each party on whom an appeal notice is served under rule 5(5) must, within 3 days after the date of service on them, advise the party who filed the appeal notice and the Court, in writing, of — </w:t>
      </w:r>
    </w:p>
    <w:p>
      <w:pPr>
        <w:pStyle w:val="Indenta"/>
      </w:pPr>
      <w:r>
        <w:tab/>
        <w:t>(a)</w:t>
      </w:r>
      <w:r>
        <w:tab/>
        <w:t>any directions that the party considers necessary to facilitate the appeal; and</w:t>
      </w:r>
    </w:p>
    <w:p>
      <w:pPr>
        <w:pStyle w:val="Indenta"/>
      </w:pPr>
      <w:r>
        <w:tab/>
        <w:t>(b)</w:t>
      </w:r>
      <w:r>
        <w:tab/>
        <w:t>for the period of 32 days beginning on the 14</w:t>
      </w:r>
      <w:r>
        <w:rPr>
          <w:vertAlign w:val="superscript"/>
        </w:rPr>
        <w:t>th</w:t>
      </w:r>
      <w:r>
        <w:t> day after the date of service of the appeal notice, any days within that period on which the party will be unavailable to attend the hearing of the appeal.</w:t>
      </w:r>
    </w:p>
    <w:p>
      <w:pPr>
        <w:pStyle w:val="Footnotesection"/>
      </w:pPr>
      <w:r>
        <w:tab/>
        <w:t>[Rule 6A inserted: Gazette 13 Nov 2015 p. 4649.]</w:t>
      </w:r>
    </w:p>
    <w:p>
      <w:pPr>
        <w:pStyle w:val="Heading5"/>
      </w:pPr>
      <w:bookmarkStart w:id="1026" w:name="_Toc163121379"/>
      <w:r>
        <w:rPr>
          <w:rStyle w:val="CharSectno"/>
        </w:rPr>
        <w:t>6</w:t>
      </w:r>
      <w:r>
        <w:t>.</w:t>
      </w:r>
      <w:r>
        <w:tab/>
        <w:t>Appeal is by way of new hearing</w:t>
      </w:r>
      <w:bookmarkEnd w:id="1026"/>
      <w:r>
        <w:t xml:space="preserve"> </w:t>
      </w:r>
    </w:p>
    <w:p>
      <w:pPr>
        <w:pStyle w:val="Subsection"/>
      </w:pPr>
      <w:r>
        <w:tab/>
      </w:r>
      <w:r>
        <w:tab/>
        <w:t>An appeal from a registrar is to be by way of a new hearing of the matter that was before the registrar.</w:t>
      </w:r>
    </w:p>
    <w:p>
      <w:pPr>
        <w:pStyle w:val="Footnotesection"/>
      </w:pPr>
      <w:r>
        <w:tab/>
        <w:t>[Rule 6 inserted: Gazette 13 Nov 2015 p. 4649.]</w:t>
      </w:r>
    </w:p>
    <w:p>
      <w:pPr>
        <w:pStyle w:val="Heading5"/>
      </w:pPr>
      <w:bookmarkStart w:id="1027" w:name="_Toc163121380"/>
      <w:r>
        <w:rPr>
          <w:rStyle w:val="CharSectno"/>
        </w:rPr>
        <w:t>7</w:t>
      </w:r>
      <w:r>
        <w:t>.</w:t>
      </w:r>
      <w:r>
        <w:tab/>
        <w:t>This Order not to apply to Court of Appeal Registrar</w:t>
      </w:r>
      <w:bookmarkEnd w:id="1027"/>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Gazette 29 Apr 2005 p. 1792.] </w:t>
      </w:r>
    </w:p>
    <w:p>
      <w:pPr>
        <w:pStyle w:val="Heading2"/>
        <w:rPr>
          <w:b w:val="0"/>
        </w:rPr>
      </w:pPr>
      <w:bookmarkStart w:id="1028" w:name="_Toc162940919"/>
      <w:bookmarkStart w:id="1029" w:name="_Toc162953708"/>
      <w:bookmarkStart w:id="1030" w:name="_Toc163121381"/>
      <w:r>
        <w:rPr>
          <w:rStyle w:val="CharPartNo"/>
        </w:rPr>
        <w:lastRenderedPageBreak/>
        <w:t>Order 61</w:t>
      </w:r>
      <w:r>
        <w:t> — </w:t>
      </w:r>
      <w:r>
        <w:rPr>
          <w:rStyle w:val="CharPartText"/>
        </w:rPr>
        <w:t>Proceedings under judgments and orders</w:t>
      </w:r>
      <w:bookmarkEnd w:id="1028"/>
      <w:bookmarkEnd w:id="1029"/>
      <w:bookmarkEnd w:id="1030"/>
    </w:p>
    <w:p>
      <w:pPr>
        <w:pStyle w:val="Heading3"/>
      </w:pPr>
      <w:bookmarkStart w:id="1031" w:name="_Toc162940920"/>
      <w:bookmarkStart w:id="1032" w:name="_Toc162953709"/>
      <w:bookmarkStart w:id="1033" w:name="_Toc163121382"/>
      <w:r>
        <w:rPr>
          <w:rStyle w:val="CharDivNo"/>
        </w:rPr>
        <w:t>Division 1</w:t>
      </w:r>
      <w:r>
        <w:t> — </w:t>
      </w:r>
      <w:r>
        <w:rPr>
          <w:rStyle w:val="CharDivText"/>
        </w:rPr>
        <w:t>Application of order</w:t>
      </w:r>
      <w:bookmarkEnd w:id="1031"/>
      <w:bookmarkEnd w:id="1032"/>
      <w:bookmarkEnd w:id="1033"/>
    </w:p>
    <w:p>
      <w:pPr>
        <w:pStyle w:val="Footnoteheading"/>
      </w:pPr>
      <w:r>
        <w:tab/>
        <w:t xml:space="preserve">[Heading inserted: Gazette 22 Feb 2008 p. 638.] </w:t>
      </w:r>
    </w:p>
    <w:p>
      <w:pPr>
        <w:pStyle w:val="Heading5"/>
        <w:rPr>
          <w:snapToGrid w:val="0"/>
        </w:rPr>
      </w:pPr>
      <w:bookmarkStart w:id="1034" w:name="_Toc163121383"/>
      <w:r>
        <w:rPr>
          <w:rStyle w:val="CharSectno"/>
        </w:rPr>
        <w:t>1</w:t>
      </w:r>
      <w:r>
        <w:rPr>
          <w:snapToGrid w:val="0"/>
        </w:rPr>
        <w:t>.</w:t>
      </w:r>
      <w:r>
        <w:rPr>
          <w:snapToGrid w:val="0"/>
        </w:rPr>
        <w:tab/>
        <w:t>Application to proceedings under orders</w:t>
      </w:r>
      <w:bookmarkEnd w:id="1034"/>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Gazette 2 Jul 1982 p. 2317.] </w:t>
      </w:r>
    </w:p>
    <w:p>
      <w:pPr>
        <w:pStyle w:val="Heading3"/>
      </w:pPr>
      <w:bookmarkStart w:id="1035" w:name="_Toc162940922"/>
      <w:bookmarkStart w:id="1036" w:name="_Toc162953711"/>
      <w:bookmarkStart w:id="1037" w:name="_Toc163121384"/>
      <w:r>
        <w:rPr>
          <w:rStyle w:val="CharDivNo"/>
        </w:rPr>
        <w:t>Division 2</w:t>
      </w:r>
      <w:r>
        <w:t> — </w:t>
      </w:r>
      <w:r>
        <w:rPr>
          <w:rStyle w:val="CharDivText"/>
        </w:rPr>
        <w:t>Summons to proceed</w:t>
      </w:r>
      <w:bookmarkEnd w:id="1035"/>
      <w:bookmarkEnd w:id="1036"/>
      <w:bookmarkEnd w:id="1037"/>
    </w:p>
    <w:p>
      <w:pPr>
        <w:pStyle w:val="Footnoteheading"/>
      </w:pPr>
      <w:r>
        <w:tab/>
        <w:t xml:space="preserve">[Heading inserted: Gazette 22 Feb 2008 p. 639.] </w:t>
      </w:r>
    </w:p>
    <w:p>
      <w:pPr>
        <w:pStyle w:val="Heading5"/>
        <w:rPr>
          <w:snapToGrid w:val="0"/>
        </w:rPr>
      </w:pPr>
      <w:bookmarkStart w:id="1038" w:name="_Toc163121385"/>
      <w:r>
        <w:rPr>
          <w:rStyle w:val="CharSectno"/>
        </w:rPr>
        <w:t>2</w:t>
      </w:r>
      <w:r>
        <w:rPr>
          <w:snapToGrid w:val="0"/>
        </w:rPr>
        <w:t>.</w:t>
      </w:r>
      <w:r>
        <w:rPr>
          <w:snapToGrid w:val="0"/>
        </w:rPr>
        <w:tab/>
        <w:t>Summons to proceed, requirement for and proceedings on</w:t>
      </w:r>
      <w:bookmarkEnd w:id="1038"/>
      <w:r>
        <w:rPr>
          <w:snapToGrid w:val="0"/>
        </w:rPr>
        <w:t xml:space="preserve"> </w:t>
      </w:r>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 xml:space="preserve">If the party entitled to prosecute the judgment fails to comply with </w:t>
      </w:r>
      <w:r>
        <w:t>subrule</w:t>
      </w:r>
      <w:r>
        <w:rPr>
          <w:snapToGrid w:val="0"/>
        </w:rPr>
        <w:t>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 and</w:t>
      </w:r>
    </w:p>
    <w:p>
      <w:pPr>
        <w:pStyle w:val="Indenta"/>
        <w:rPr>
          <w:snapToGrid w:val="0"/>
        </w:rPr>
      </w:pPr>
      <w:r>
        <w:rPr>
          <w:snapToGrid w:val="0"/>
        </w:rPr>
        <w:tab/>
        <w:t>(b)</w:t>
      </w:r>
      <w:r>
        <w:rPr>
          <w:snapToGrid w:val="0"/>
        </w:rPr>
        <w:tab/>
        <w:t>the evidence to be adduced in support thereof; and</w:t>
      </w:r>
    </w:p>
    <w:p>
      <w:pPr>
        <w:pStyle w:val="Indenta"/>
        <w:rPr>
          <w:snapToGrid w:val="0"/>
        </w:rPr>
      </w:pPr>
      <w:r>
        <w:rPr>
          <w:snapToGrid w:val="0"/>
        </w:rPr>
        <w:lastRenderedPageBreak/>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Footnotesection"/>
      </w:pPr>
      <w:r>
        <w:tab/>
        <w:t>[Rule 2 amended: Gazette 28 Jun 2011 p. 2552.]</w:t>
      </w:r>
    </w:p>
    <w:p>
      <w:pPr>
        <w:pStyle w:val="Heading5"/>
        <w:spacing w:before="180"/>
        <w:rPr>
          <w:snapToGrid w:val="0"/>
        </w:rPr>
      </w:pPr>
      <w:bookmarkStart w:id="1039" w:name="_Toc163121386"/>
      <w:r>
        <w:rPr>
          <w:rStyle w:val="CharSectno"/>
        </w:rPr>
        <w:t>3</w:t>
      </w:r>
      <w:r>
        <w:rPr>
          <w:snapToGrid w:val="0"/>
        </w:rPr>
        <w:t>.</w:t>
      </w:r>
      <w:r>
        <w:rPr>
          <w:snapToGrid w:val="0"/>
        </w:rPr>
        <w:tab/>
        <w:t>Notice of judgment, Court may order service of in some cases</w:t>
      </w:r>
      <w:bookmarkEnd w:id="1039"/>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 xml:space="preserve">Any person duly served with notice of a judgment or proposed judgment in accordance with this rule shall, subject to </w:t>
      </w:r>
      <w:r>
        <w:t>subrule</w:t>
      </w:r>
      <w:r>
        <w:rPr>
          <w:snapToGrid w:val="0"/>
        </w:rPr>
        <w:t> (5), be bound by the judgment to the same extent as he would have been if he had originally been made a party to the cause or matter.</w:t>
      </w:r>
    </w:p>
    <w:p>
      <w:pPr>
        <w:pStyle w:val="Subsection"/>
        <w:spacing w:before="120"/>
        <w:rPr>
          <w:snapToGrid w:val="0"/>
        </w:rPr>
      </w:pPr>
      <w:r>
        <w:rPr>
          <w:snapToGrid w:val="0"/>
        </w:rPr>
        <w:lastRenderedPageBreak/>
        <w:tab/>
        <w:t>(3)</w:t>
      </w:r>
      <w:r>
        <w:rPr>
          <w:snapToGrid w:val="0"/>
        </w:rPr>
        <w:tab/>
        <w:t xml:space="preserve">The notice of a judgment or proposed judgment to be served pursuant to </w:t>
      </w:r>
      <w:r>
        <w:t>subrule</w:t>
      </w:r>
      <w:r>
        <w:rPr>
          <w:snapToGrid w:val="0"/>
        </w:rPr>
        <w:t>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Footnotesection"/>
      </w:pPr>
      <w:r>
        <w:tab/>
        <w:t>[Rule 3 amended: Gazette 28 Jun 2011 p. 2552.]</w:t>
      </w:r>
    </w:p>
    <w:p>
      <w:pPr>
        <w:pStyle w:val="Heading5"/>
        <w:rPr>
          <w:snapToGrid w:val="0"/>
        </w:rPr>
      </w:pPr>
      <w:bookmarkStart w:id="1040" w:name="_Toc163121387"/>
      <w:r>
        <w:rPr>
          <w:rStyle w:val="CharSectno"/>
        </w:rPr>
        <w:t>4</w:t>
      </w:r>
      <w:r>
        <w:rPr>
          <w:snapToGrid w:val="0"/>
        </w:rPr>
        <w:t>.</w:t>
      </w:r>
      <w:r>
        <w:rPr>
          <w:snapToGrid w:val="0"/>
        </w:rPr>
        <w:tab/>
        <w:t>Settling deed if parties differ, procedure for</w:t>
      </w:r>
      <w:bookmarkEnd w:id="1040"/>
    </w:p>
    <w:p>
      <w:pPr>
        <w:pStyle w:val="Subsection"/>
        <w:rPr>
          <w:snapToGrid w:val="0"/>
        </w:rPr>
      </w:pPr>
      <w:r>
        <w:rPr>
          <w:snapToGrid w:val="0"/>
        </w:rPr>
        <w:tab/>
      </w:r>
      <w:r>
        <w:rPr>
          <w:snapToGrid w:val="0"/>
        </w:rPr>
        <w:tab/>
        <w:t xml:space="preserve">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w:t>
      </w:r>
      <w:r>
        <w:rPr>
          <w:snapToGrid w:val="0"/>
        </w:rPr>
        <w:lastRenderedPageBreak/>
        <w:t>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1041" w:name="_Toc163121388"/>
      <w:r>
        <w:rPr>
          <w:rStyle w:val="CharSectno"/>
        </w:rPr>
        <w:t>5</w:t>
      </w:r>
      <w:r>
        <w:rPr>
          <w:snapToGrid w:val="0"/>
        </w:rPr>
        <w:t>.</w:t>
      </w:r>
      <w:r>
        <w:rPr>
          <w:snapToGrid w:val="0"/>
        </w:rPr>
        <w:tab/>
        <w:t>When service of notice of judgment may be dispensed with</w:t>
      </w:r>
      <w:bookmarkEnd w:id="1041"/>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1042" w:name="_Toc163121389"/>
      <w:r>
        <w:rPr>
          <w:rStyle w:val="CharSectno"/>
        </w:rPr>
        <w:t>6</w:t>
      </w:r>
      <w:r>
        <w:rPr>
          <w:snapToGrid w:val="0"/>
        </w:rPr>
        <w:t>.</w:t>
      </w:r>
      <w:r>
        <w:rPr>
          <w:snapToGrid w:val="0"/>
        </w:rPr>
        <w:tab/>
        <w:t>Judgment for accounts etc., power to bind persons in some cases</w:t>
      </w:r>
      <w:bookmarkEnd w:id="1042"/>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1043" w:name="_Toc163121390"/>
      <w:r>
        <w:rPr>
          <w:rStyle w:val="CharSectno"/>
        </w:rPr>
        <w:t>7</w:t>
      </w:r>
      <w:r>
        <w:rPr>
          <w:snapToGrid w:val="0"/>
        </w:rPr>
        <w:t>.</w:t>
      </w:r>
      <w:r>
        <w:rPr>
          <w:snapToGrid w:val="0"/>
        </w:rPr>
        <w:tab/>
        <w:t>Procedure where some parties not served etc.</w:t>
      </w:r>
      <w:bookmarkEnd w:id="1043"/>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1044" w:name="_Toc163121391"/>
      <w:r>
        <w:rPr>
          <w:rStyle w:val="CharSectno"/>
        </w:rPr>
        <w:lastRenderedPageBreak/>
        <w:t>8</w:t>
      </w:r>
      <w:r>
        <w:rPr>
          <w:snapToGrid w:val="0"/>
        </w:rPr>
        <w:t>.</w:t>
      </w:r>
      <w:r>
        <w:rPr>
          <w:snapToGrid w:val="0"/>
        </w:rPr>
        <w:tab/>
        <w:t>Course of proceedings in chambers</w:t>
      </w:r>
      <w:bookmarkEnd w:id="1044"/>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1045" w:name="_Toc162940930"/>
      <w:bookmarkStart w:id="1046" w:name="_Toc162953719"/>
      <w:bookmarkStart w:id="1047" w:name="_Toc163121392"/>
      <w:r>
        <w:rPr>
          <w:rStyle w:val="CharDivNo"/>
        </w:rPr>
        <w:t>Division 3</w:t>
      </w:r>
      <w:r>
        <w:t> — </w:t>
      </w:r>
      <w:r>
        <w:rPr>
          <w:rStyle w:val="CharDivText"/>
        </w:rPr>
        <w:t>Attendances</w:t>
      </w:r>
      <w:bookmarkEnd w:id="1045"/>
      <w:bookmarkEnd w:id="1046"/>
      <w:bookmarkEnd w:id="1047"/>
    </w:p>
    <w:p>
      <w:pPr>
        <w:pStyle w:val="Footnoteheading"/>
      </w:pPr>
      <w:r>
        <w:tab/>
        <w:t xml:space="preserve">[Heading inserted: Gazette 22 Feb 2008 p. 639.] </w:t>
      </w:r>
    </w:p>
    <w:p>
      <w:pPr>
        <w:pStyle w:val="Heading5"/>
        <w:spacing w:before="240"/>
        <w:rPr>
          <w:snapToGrid w:val="0"/>
        </w:rPr>
      </w:pPr>
      <w:bookmarkStart w:id="1048" w:name="_Toc163121393"/>
      <w:r>
        <w:rPr>
          <w:rStyle w:val="CharSectno"/>
        </w:rPr>
        <w:t>9</w:t>
      </w:r>
      <w:r>
        <w:rPr>
          <w:snapToGrid w:val="0"/>
        </w:rPr>
        <w:t>.</w:t>
      </w:r>
      <w:r>
        <w:rPr>
          <w:snapToGrid w:val="0"/>
        </w:rPr>
        <w:tab/>
        <w:t>Classifying interests of parties</w:t>
      </w:r>
      <w:bookmarkEnd w:id="1048"/>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1049" w:name="_Toc163121394"/>
      <w:r>
        <w:rPr>
          <w:rStyle w:val="CharSectno"/>
        </w:rPr>
        <w:lastRenderedPageBreak/>
        <w:t>10</w:t>
      </w:r>
      <w:r>
        <w:rPr>
          <w:snapToGrid w:val="0"/>
        </w:rPr>
        <w:t>.</w:t>
      </w:r>
      <w:r>
        <w:rPr>
          <w:snapToGrid w:val="0"/>
        </w:rPr>
        <w:tab/>
        <w:t>Judge may require distinct solicitor to represent parties</w:t>
      </w:r>
      <w:bookmarkEnd w:id="1049"/>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1050" w:name="_Toc163121395"/>
      <w:r>
        <w:rPr>
          <w:rStyle w:val="CharSectno"/>
        </w:rPr>
        <w:t>11</w:t>
      </w:r>
      <w:r>
        <w:rPr>
          <w:snapToGrid w:val="0"/>
        </w:rPr>
        <w:t>.</w:t>
      </w:r>
      <w:r>
        <w:rPr>
          <w:snapToGrid w:val="0"/>
        </w:rPr>
        <w:tab/>
        <w:t>Attendance of parties not directed to attend</w:t>
      </w:r>
      <w:bookmarkEnd w:id="1050"/>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1051" w:name="_Toc163121396"/>
      <w:r>
        <w:rPr>
          <w:rStyle w:val="CharSectno"/>
        </w:rPr>
        <w:t>12</w:t>
      </w:r>
      <w:r>
        <w:rPr>
          <w:snapToGrid w:val="0"/>
        </w:rPr>
        <w:t>.</w:t>
      </w:r>
      <w:r>
        <w:rPr>
          <w:snapToGrid w:val="0"/>
        </w:rPr>
        <w:tab/>
        <w:t>Order stating parties directed to attend</w:t>
      </w:r>
      <w:bookmarkEnd w:id="1051"/>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1052" w:name="_Toc162940935"/>
      <w:bookmarkStart w:id="1053" w:name="_Toc162953724"/>
      <w:bookmarkStart w:id="1054" w:name="_Toc163121397"/>
      <w:r>
        <w:rPr>
          <w:rStyle w:val="CharDivNo"/>
        </w:rPr>
        <w:t>Division 4</w:t>
      </w:r>
      <w:r>
        <w:t> — </w:t>
      </w:r>
      <w:r>
        <w:rPr>
          <w:rStyle w:val="CharDivText"/>
        </w:rPr>
        <w:t>Claims of creditors and other claimants</w:t>
      </w:r>
      <w:bookmarkEnd w:id="1052"/>
      <w:bookmarkEnd w:id="1053"/>
      <w:bookmarkEnd w:id="1054"/>
    </w:p>
    <w:p>
      <w:pPr>
        <w:pStyle w:val="Footnoteheading"/>
      </w:pPr>
      <w:r>
        <w:tab/>
        <w:t xml:space="preserve">[Heading inserted: Gazette 22 Feb 2008 p. 639.] </w:t>
      </w:r>
    </w:p>
    <w:p>
      <w:pPr>
        <w:pStyle w:val="Heading5"/>
        <w:rPr>
          <w:snapToGrid w:val="0"/>
        </w:rPr>
      </w:pPr>
      <w:bookmarkStart w:id="1055" w:name="_Toc163121398"/>
      <w:r>
        <w:rPr>
          <w:rStyle w:val="CharSectno"/>
        </w:rPr>
        <w:t>13</w:t>
      </w:r>
      <w:r>
        <w:rPr>
          <w:snapToGrid w:val="0"/>
        </w:rPr>
        <w:t>.</w:t>
      </w:r>
      <w:r>
        <w:rPr>
          <w:snapToGrid w:val="0"/>
        </w:rPr>
        <w:tab/>
        <w:t>Advertisements for creditors etc., power to direct</w:t>
      </w:r>
      <w:bookmarkEnd w:id="1055"/>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1056" w:name="_Toc163121399"/>
      <w:r>
        <w:rPr>
          <w:rStyle w:val="CharSectno"/>
        </w:rPr>
        <w:lastRenderedPageBreak/>
        <w:t>14</w:t>
      </w:r>
      <w:r>
        <w:rPr>
          <w:snapToGrid w:val="0"/>
        </w:rPr>
        <w:t>.</w:t>
      </w:r>
      <w:r>
        <w:rPr>
          <w:snapToGrid w:val="0"/>
        </w:rPr>
        <w:tab/>
        <w:t>Advertisements, preparation etc. of</w:t>
      </w:r>
      <w:bookmarkEnd w:id="1056"/>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1057" w:name="_Toc163121400"/>
      <w:r>
        <w:rPr>
          <w:rStyle w:val="CharSectno"/>
        </w:rPr>
        <w:t>15</w:t>
      </w:r>
      <w:r>
        <w:rPr>
          <w:snapToGrid w:val="0"/>
        </w:rPr>
        <w:t>.</w:t>
      </w:r>
      <w:r>
        <w:rPr>
          <w:snapToGrid w:val="0"/>
        </w:rPr>
        <w:tab/>
        <w:t>Advertisements, contents of</w:t>
      </w:r>
      <w:bookmarkEnd w:id="1057"/>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1058" w:name="_Toc163121401"/>
      <w:r>
        <w:rPr>
          <w:rStyle w:val="CharSectno"/>
        </w:rPr>
        <w:t>15A</w:t>
      </w:r>
      <w:r>
        <w:t>.</w:t>
      </w:r>
      <w:r>
        <w:tab/>
        <w:t>Claims to state claimant’s contact details</w:t>
      </w:r>
      <w:bookmarkEnd w:id="1058"/>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Gazette 21 Feb 2007 p. 564.]</w:t>
      </w:r>
    </w:p>
    <w:p>
      <w:pPr>
        <w:pStyle w:val="Heading5"/>
        <w:rPr>
          <w:snapToGrid w:val="0"/>
        </w:rPr>
      </w:pPr>
      <w:bookmarkStart w:id="1059" w:name="_Toc163121402"/>
      <w:r>
        <w:rPr>
          <w:rStyle w:val="CharSectno"/>
        </w:rPr>
        <w:t>16</w:t>
      </w:r>
      <w:r>
        <w:rPr>
          <w:snapToGrid w:val="0"/>
        </w:rPr>
        <w:t>.</w:t>
      </w:r>
      <w:r>
        <w:rPr>
          <w:snapToGrid w:val="0"/>
        </w:rPr>
        <w:tab/>
        <w:t>Failure to claim within specified time</w:t>
      </w:r>
      <w:bookmarkEnd w:id="1059"/>
    </w:p>
    <w:p>
      <w:pPr>
        <w:pStyle w:val="Subsection"/>
        <w:rPr>
          <w:snapToGrid w:val="0"/>
        </w:rPr>
      </w:pPr>
      <w:r>
        <w:rPr>
          <w:snapToGrid w:val="0"/>
        </w:rPr>
        <w:tab/>
      </w:r>
      <w:r>
        <w:rPr>
          <w:snapToGrid w:val="0"/>
        </w:rPr>
        <w:tab/>
        <w:t xml:space="preserve">A claimant who does not send full particulars of his claim to the person named in the advertisement within the time therein specified shall not be entitled to prove his claim except with the </w:t>
      </w:r>
      <w:r>
        <w:rPr>
          <w:snapToGrid w:val="0"/>
        </w:rPr>
        <w:lastRenderedPageBreak/>
        <w:t>leave of the Court, and in granting such leave the Court may impose such terms as to costs and otherwise as it thinks just.</w:t>
      </w:r>
    </w:p>
    <w:p>
      <w:pPr>
        <w:pStyle w:val="Heading5"/>
        <w:rPr>
          <w:snapToGrid w:val="0"/>
        </w:rPr>
      </w:pPr>
      <w:bookmarkStart w:id="1060" w:name="_Toc163121403"/>
      <w:r>
        <w:rPr>
          <w:rStyle w:val="CharSectno"/>
        </w:rPr>
        <w:t>17</w:t>
      </w:r>
      <w:r>
        <w:rPr>
          <w:snapToGrid w:val="0"/>
        </w:rPr>
        <w:t>.</w:t>
      </w:r>
      <w:r>
        <w:rPr>
          <w:snapToGrid w:val="0"/>
        </w:rPr>
        <w:tab/>
        <w:t>Examination and verification of claims</w:t>
      </w:r>
      <w:bookmarkEnd w:id="1060"/>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lastRenderedPageBreak/>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 xml:space="preserve">The affidavit referred to in </w:t>
      </w:r>
      <w:r>
        <w:t>subrules</w:t>
      </w:r>
      <w:r>
        <w:rPr>
          <w:snapToGrid w:val="0"/>
        </w:rPr>
        <w:t>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Footnotesection"/>
      </w:pPr>
      <w:r>
        <w:tab/>
        <w:t>[Rule 17 amended: Gazette 28 Jun 2011 p. 2552</w:t>
      </w:r>
      <w:r>
        <w:noBreakHyphen/>
        <w:t>3.]</w:t>
      </w:r>
    </w:p>
    <w:p>
      <w:pPr>
        <w:pStyle w:val="Heading5"/>
        <w:rPr>
          <w:snapToGrid w:val="0"/>
        </w:rPr>
      </w:pPr>
      <w:bookmarkStart w:id="1061" w:name="_Toc163121404"/>
      <w:r>
        <w:rPr>
          <w:rStyle w:val="CharSectno"/>
        </w:rPr>
        <w:t>18</w:t>
      </w:r>
      <w:r>
        <w:rPr>
          <w:snapToGrid w:val="0"/>
        </w:rPr>
        <w:t>.</w:t>
      </w:r>
      <w:r>
        <w:rPr>
          <w:snapToGrid w:val="0"/>
        </w:rPr>
        <w:tab/>
        <w:t>Adjudicating on claims</w:t>
      </w:r>
      <w:bookmarkEnd w:id="1061"/>
    </w:p>
    <w:p>
      <w:pPr>
        <w:pStyle w:val="Subsection"/>
        <w:rPr>
          <w:snapToGrid w:val="0"/>
        </w:rPr>
      </w:pPr>
      <w:r>
        <w:rPr>
          <w:snapToGrid w:val="0"/>
        </w:rPr>
        <w:tab/>
        <w:t>(1)</w:t>
      </w:r>
      <w:r>
        <w:rPr>
          <w:snapToGrid w:val="0"/>
        </w:rPr>
        <w:tab/>
        <w:t>When adjudicating on the claims the Court — </w:t>
      </w:r>
    </w:p>
    <w:p>
      <w:pPr>
        <w:pStyle w:val="Indenta"/>
        <w:spacing w:before="70"/>
        <w:rPr>
          <w:snapToGrid w:val="0"/>
        </w:rPr>
      </w:pPr>
      <w:r>
        <w:rPr>
          <w:snapToGrid w:val="0"/>
        </w:rPr>
        <w:tab/>
        <w:t>(a)</w:t>
      </w:r>
      <w:r>
        <w:rPr>
          <w:snapToGrid w:val="0"/>
        </w:rPr>
        <w:tab/>
        <w:t>may allow any of such claims without proof thereof;</w:t>
      </w:r>
    </w:p>
    <w:p>
      <w:pPr>
        <w:pStyle w:val="Indenta"/>
        <w:spacing w:before="70"/>
        <w:rPr>
          <w:snapToGrid w:val="0"/>
        </w:rPr>
      </w:pPr>
      <w:r>
        <w:rPr>
          <w:snapToGrid w:val="0"/>
        </w:rPr>
        <w:tab/>
        <w:t>(b)</w:t>
      </w:r>
      <w:r>
        <w:rPr>
          <w:snapToGrid w:val="0"/>
        </w:rPr>
        <w:tab/>
        <w:t>may direct all or any of such claims to be investigated in such manner as it thinks fit;</w:t>
      </w:r>
    </w:p>
    <w:p>
      <w:pPr>
        <w:pStyle w:val="Indenta"/>
        <w:spacing w:before="70"/>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 xml:space="preserve">Where the Court exercises the power conferred on it by </w:t>
      </w:r>
      <w:r>
        <w:t>subrule</w:t>
      </w:r>
      <w:r>
        <w:rPr>
          <w:snapToGrid w:val="0"/>
        </w:rPr>
        <w:t> (1)(c) in relation to any claimant such party as the Court may direct must serve on that claimant a notice requiring him —</w:t>
      </w:r>
    </w:p>
    <w:p>
      <w:pPr>
        <w:pStyle w:val="Indenta"/>
        <w:rPr>
          <w:snapToGrid w:val="0"/>
        </w:rPr>
      </w:pPr>
      <w:r>
        <w:rPr>
          <w:snapToGrid w:val="0"/>
        </w:rPr>
        <w:tab/>
        <w:t>(a)</w:t>
      </w:r>
      <w:r>
        <w:rPr>
          <w:snapToGrid w:val="0"/>
        </w:rPr>
        <w:tab/>
        <w:t xml:space="preserve">to file an affidavit in support of his claim within such time, being not less than 7 days after service of the notice, as may be specified in the notice, and to attend </w:t>
      </w:r>
      <w:r>
        <w:rPr>
          <w:snapToGrid w:val="0"/>
        </w:rPr>
        <w:lastRenderedPageBreak/>
        <w:t>before the Court for adjudication on the claim at such time as may be specified in such notice; or</w:t>
      </w:r>
    </w:p>
    <w:p>
      <w:pPr>
        <w:pStyle w:val="Indenta"/>
        <w:rPr>
          <w:snapToGrid w:val="0"/>
        </w:rPr>
      </w:pPr>
      <w:r>
        <w:rPr>
          <w:snapToGrid w:val="0"/>
        </w:rPr>
        <w:tab/>
        <w:t>(b)</w:t>
      </w:r>
      <w:r>
        <w:rPr>
          <w:snapToGrid w:val="0"/>
        </w:rPr>
        <w:tab/>
        <w:t xml:space="preserve">to </w:t>
      </w:r>
      <w:r>
        <w:t>file</w:t>
      </w:r>
      <w:r>
        <w:rPr>
          <w:snapToGrid w:val="0"/>
        </w:rPr>
        <w:t xml:space="preserve"> at such time as may be so specified such documents in support of his claim as may be so specified or described.</w:t>
      </w:r>
    </w:p>
    <w:p>
      <w:pPr>
        <w:pStyle w:val="Subsection"/>
        <w:spacing w:before="140"/>
        <w:rPr>
          <w:snapToGrid w:val="0"/>
        </w:rPr>
      </w:pPr>
      <w:r>
        <w:rPr>
          <w:snapToGrid w:val="0"/>
        </w:rPr>
        <w:tab/>
        <w:t>(3)</w:t>
      </w:r>
      <w:r>
        <w:rPr>
          <w:snapToGrid w:val="0"/>
        </w:rPr>
        <w:tab/>
        <w:t xml:space="preserve">If a claimant does not comply with a notice served on him under </w:t>
      </w:r>
      <w:r>
        <w:t>subrule</w:t>
      </w:r>
      <w:r>
        <w:rPr>
          <w:snapToGrid w:val="0"/>
        </w:rPr>
        <w:t> (2) his claim may be disallowed.</w:t>
      </w:r>
    </w:p>
    <w:p>
      <w:pPr>
        <w:pStyle w:val="Subsection"/>
        <w:spacing w:before="140"/>
        <w:rPr>
          <w:snapToGrid w:val="0"/>
        </w:rPr>
      </w:pPr>
      <w:r>
        <w:rPr>
          <w:snapToGrid w:val="0"/>
        </w:rPr>
        <w:tab/>
        <w:t>(4)</w:t>
      </w:r>
      <w:r>
        <w:rPr>
          <w:snapToGrid w:val="0"/>
        </w:rPr>
        <w:tab/>
        <w:t xml:space="preserve">A claimant who files an affidavit in compliance with a notice served on him under </w:t>
      </w:r>
      <w:r>
        <w:t>subrule</w:t>
      </w:r>
      <w:r>
        <w:rPr>
          <w:snapToGrid w:val="0"/>
        </w:rPr>
        <w:t> (2) must serve notice of the filing on the party by whom the first</w:t>
      </w:r>
      <w:r>
        <w:rPr>
          <w:snapToGrid w:val="0"/>
        </w:rPr>
        <w:noBreakHyphen/>
        <w:t>mentioned notice was served.</w:t>
      </w:r>
    </w:p>
    <w:p>
      <w:pPr>
        <w:pStyle w:val="Subsection"/>
      </w:pPr>
      <w:r>
        <w:tab/>
        <w:t>(5)</w:t>
      </w:r>
      <w:r>
        <w:tab/>
        <w:t>A person claiming to be a creditor need not make an affidavit or attend in support of the claim, unless the person has been served with a notice under subrule (2)(a).</w:t>
      </w:r>
    </w:p>
    <w:p>
      <w:pPr>
        <w:pStyle w:val="Subsection"/>
      </w:pPr>
      <w:r>
        <w:tab/>
        <w:t>(6)</w:t>
      </w:r>
      <w:r>
        <w:tab/>
        <w:t>Unless the Court otherwise directs, a person claiming to be a secured creditor must file evidence of the security interest claimed.</w:t>
      </w:r>
    </w:p>
    <w:p>
      <w:pPr>
        <w:pStyle w:val="Subsection"/>
        <w:spacing w:before="140"/>
        <w:rPr>
          <w:snapToGrid w:val="0"/>
        </w:rPr>
      </w:pPr>
      <w:r>
        <w:rPr>
          <w:snapToGrid w:val="0"/>
        </w:rPr>
        <w:tab/>
        <w:t>(7)</w:t>
      </w:r>
      <w:r>
        <w:rPr>
          <w:snapToGrid w:val="0"/>
        </w:rPr>
        <w:tab/>
        <w:t>In this rule references to a claim include references to a part of a claim.</w:t>
      </w:r>
    </w:p>
    <w:p>
      <w:pPr>
        <w:pStyle w:val="Footnotesection"/>
      </w:pPr>
      <w:r>
        <w:tab/>
        <w:t>[Rule 18 amended: Gazette 28 Jun 2011 p. 2552; 27 Feb 2018 p. 573-4.]</w:t>
      </w:r>
    </w:p>
    <w:p>
      <w:pPr>
        <w:pStyle w:val="Heading5"/>
        <w:rPr>
          <w:snapToGrid w:val="0"/>
        </w:rPr>
      </w:pPr>
      <w:bookmarkStart w:id="1062" w:name="_Toc163121405"/>
      <w:r>
        <w:rPr>
          <w:rStyle w:val="CharSectno"/>
        </w:rPr>
        <w:t>19</w:t>
      </w:r>
      <w:r>
        <w:rPr>
          <w:snapToGrid w:val="0"/>
        </w:rPr>
        <w:t>.</w:t>
      </w:r>
      <w:r>
        <w:rPr>
          <w:snapToGrid w:val="0"/>
        </w:rPr>
        <w:tab/>
        <w:t>Adjourning adjudications; fixing time for filing evidence etc.</w:t>
      </w:r>
      <w:bookmarkEnd w:id="1062"/>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1063" w:name="_Toc163121406"/>
      <w:r>
        <w:rPr>
          <w:rStyle w:val="CharSectno"/>
        </w:rPr>
        <w:t>20</w:t>
      </w:r>
      <w:r>
        <w:rPr>
          <w:snapToGrid w:val="0"/>
        </w:rPr>
        <w:t>.</w:t>
      </w:r>
      <w:r>
        <w:rPr>
          <w:snapToGrid w:val="0"/>
        </w:rPr>
        <w:tab/>
        <w:t>Service of notice of judgment on certain claimants</w:t>
      </w:r>
      <w:bookmarkEnd w:id="1063"/>
    </w:p>
    <w:p>
      <w:pPr>
        <w:pStyle w:val="Subsection"/>
        <w:spacing w:before="140"/>
        <w:rPr>
          <w:snapToGrid w:val="0"/>
        </w:rPr>
      </w:pPr>
      <w:r>
        <w:rPr>
          <w:snapToGrid w:val="0"/>
        </w:rPr>
        <w:tab/>
        <w:t>(1)</w:t>
      </w:r>
      <w:r>
        <w:rPr>
          <w:snapToGrid w:val="0"/>
        </w:rPr>
        <w:tab/>
        <w:t xml:space="preserve">Where a claimant other than a creditor has established his claim then, unless he is a party to the cause or matter or has previously been served with notice of the judgment or the Court otherwise </w:t>
      </w:r>
      <w:r>
        <w:rPr>
          <w:snapToGrid w:val="0"/>
        </w:rPr>
        <w:lastRenderedPageBreak/>
        <w:t>directs, the party having the conduct of the cause or matter must serve notice of the judgment on him.</w:t>
      </w:r>
    </w:p>
    <w:p>
      <w:pPr>
        <w:pStyle w:val="Subsection"/>
        <w:spacing w:before="140"/>
        <w:rPr>
          <w:snapToGrid w:val="0"/>
        </w:rPr>
      </w:pPr>
      <w:r>
        <w:rPr>
          <w:snapToGrid w:val="0"/>
        </w:rPr>
        <w:tab/>
        <w:t>(2)</w:t>
      </w:r>
      <w:r>
        <w:rPr>
          <w:snapToGrid w:val="0"/>
        </w:rPr>
        <w:tab/>
        <w:t xml:space="preserve">A person duly served with notice of a judgment under this rule shall, subject to rule 3(5) as applied by </w:t>
      </w:r>
      <w:r>
        <w:t>subrule</w:t>
      </w:r>
      <w:r>
        <w:rPr>
          <w:snapToGrid w:val="0"/>
        </w:rPr>
        <w:t> (4), be bound by the judgment to the same extent as he would have been if he had originally been made a party to the action.</w:t>
      </w:r>
    </w:p>
    <w:p>
      <w:pPr>
        <w:pStyle w:val="Subsection"/>
        <w:rPr>
          <w:snapToGrid w:val="0"/>
        </w:rPr>
      </w:pPr>
      <w:r>
        <w:rPr>
          <w:snapToGrid w:val="0"/>
        </w:rPr>
        <w:tab/>
        <w:t>(3)</w:t>
      </w:r>
      <w:r>
        <w:rPr>
          <w:snapToGrid w:val="0"/>
        </w:rPr>
        <w:tab/>
        <w:t xml:space="preserve">Where the Court directs under </w:t>
      </w:r>
      <w:r>
        <w:t>subrule</w:t>
      </w:r>
      <w:r>
        <w:rPr>
          <w:snapToGrid w:val="0"/>
        </w:rPr>
        <w:t>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Footnotesection"/>
        <w:spacing w:before="100"/>
        <w:ind w:left="890" w:hanging="890"/>
      </w:pPr>
      <w:r>
        <w:tab/>
        <w:t>[Rule 20 amended: Gazette 28 Jun 2011 p. 2552.]</w:t>
      </w:r>
    </w:p>
    <w:p>
      <w:pPr>
        <w:pStyle w:val="Heading5"/>
        <w:rPr>
          <w:snapToGrid w:val="0"/>
        </w:rPr>
      </w:pPr>
      <w:bookmarkStart w:id="1064" w:name="_Toc163121407"/>
      <w:r>
        <w:rPr>
          <w:rStyle w:val="CharSectno"/>
        </w:rPr>
        <w:t>21</w:t>
      </w:r>
      <w:r>
        <w:rPr>
          <w:snapToGrid w:val="0"/>
        </w:rPr>
        <w:t>.</w:t>
      </w:r>
      <w:r>
        <w:rPr>
          <w:snapToGrid w:val="0"/>
        </w:rPr>
        <w:tab/>
        <w:t>Notice of claims allowed or disallowed</w:t>
      </w:r>
      <w:bookmarkEnd w:id="1064"/>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 xml:space="preserve">Such party as the Court shall direct must make out a list of the creditors’ claims, and a list of any other claims, allowed and file </w:t>
      </w:r>
      <w:r>
        <w:t>it.</w:t>
      </w:r>
    </w:p>
    <w:p>
      <w:pPr>
        <w:pStyle w:val="Footnotesection"/>
        <w:spacing w:before="100"/>
        <w:ind w:left="890" w:hanging="890"/>
      </w:pPr>
      <w:r>
        <w:rPr>
          <w:i w:val="0"/>
        </w:rPr>
        <w:tab/>
      </w:r>
      <w:r>
        <w:t xml:space="preserve">[Rule 21 amended: Gazette 30 Nov 1984 p. 3954; 27 Feb 2018 p. 574.] </w:t>
      </w:r>
    </w:p>
    <w:p>
      <w:pPr>
        <w:pStyle w:val="Ednotesection"/>
      </w:pPr>
      <w:r>
        <w:t>[</w:t>
      </w:r>
      <w:r>
        <w:rPr>
          <w:b/>
        </w:rPr>
        <w:t>22.</w:t>
      </w:r>
      <w:r>
        <w:tab/>
        <w:t>Deleted: Gazette 21 Feb 2007 p. 564.]</w:t>
      </w:r>
    </w:p>
    <w:p>
      <w:pPr>
        <w:pStyle w:val="Heading3"/>
      </w:pPr>
      <w:bookmarkStart w:id="1065" w:name="_Toc162940946"/>
      <w:bookmarkStart w:id="1066" w:name="_Toc162953735"/>
      <w:bookmarkStart w:id="1067" w:name="_Toc163121408"/>
      <w:r>
        <w:rPr>
          <w:rStyle w:val="CharDivNo"/>
        </w:rPr>
        <w:lastRenderedPageBreak/>
        <w:t>Division 5</w:t>
      </w:r>
      <w:r>
        <w:t> — </w:t>
      </w:r>
      <w:r>
        <w:rPr>
          <w:rStyle w:val="CharDivText"/>
        </w:rPr>
        <w:t>Interest</w:t>
      </w:r>
      <w:bookmarkEnd w:id="1065"/>
      <w:bookmarkEnd w:id="1066"/>
      <w:bookmarkEnd w:id="1067"/>
    </w:p>
    <w:p>
      <w:pPr>
        <w:pStyle w:val="Footnoteheading"/>
        <w:keepNext/>
        <w:spacing w:before="100"/>
      </w:pPr>
      <w:r>
        <w:tab/>
        <w:t xml:space="preserve">[Heading inserted: Gazette 22 Feb 2008 p. 639.] </w:t>
      </w:r>
    </w:p>
    <w:p>
      <w:pPr>
        <w:pStyle w:val="Heading5"/>
        <w:rPr>
          <w:snapToGrid w:val="0"/>
        </w:rPr>
      </w:pPr>
      <w:bookmarkStart w:id="1068" w:name="_Toc163121409"/>
      <w:r>
        <w:rPr>
          <w:rStyle w:val="CharSectno"/>
        </w:rPr>
        <w:t>23</w:t>
      </w:r>
      <w:r>
        <w:rPr>
          <w:snapToGrid w:val="0"/>
        </w:rPr>
        <w:t>.</w:t>
      </w:r>
      <w:r>
        <w:rPr>
          <w:snapToGrid w:val="0"/>
        </w:rPr>
        <w:tab/>
        <w:t>Interest on debts</w:t>
      </w:r>
      <w:bookmarkEnd w:id="1068"/>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spacing w:before="60"/>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spacing w:before="180"/>
        <w:rPr>
          <w:snapToGrid w:val="0"/>
        </w:rPr>
      </w:pPr>
      <w:bookmarkStart w:id="1069" w:name="_Toc163121410"/>
      <w:r>
        <w:rPr>
          <w:rStyle w:val="CharSectno"/>
        </w:rPr>
        <w:t>24</w:t>
      </w:r>
      <w:r>
        <w:rPr>
          <w:snapToGrid w:val="0"/>
        </w:rPr>
        <w:t>.</w:t>
      </w:r>
      <w:r>
        <w:rPr>
          <w:snapToGrid w:val="0"/>
        </w:rPr>
        <w:tab/>
        <w:t>Interest on legacies</w:t>
      </w:r>
      <w:bookmarkEnd w:id="1069"/>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spacing w:before="200"/>
      </w:pPr>
      <w:bookmarkStart w:id="1070" w:name="_Toc162940949"/>
      <w:bookmarkStart w:id="1071" w:name="_Toc162953738"/>
      <w:bookmarkStart w:id="1072" w:name="_Toc163121411"/>
      <w:r>
        <w:rPr>
          <w:rStyle w:val="CharDivNo"/>
        </w:rPr>
        <w:t>Division 6</w:t>
      </w:r>
      <w:r>
        <w:t> — </w:t>
      </w:r>
      <w:r>
        <w:rPr>
          <w:rStyle w:val="CharDivText"/>
        </w:rPr>
        <w:t>Masters’ and registrars’ certificates</w:t>
      </w:r>
      <w:bookmarkEnd w:id="1070"/>
      <w:bookmarkEnd w:id="1071"/>
      <w:bookmarkEnd w:id="1072"/>
    </w:p>
    <w:p>
      <w:pPr>
        <w:pStyle w:val="Footnoteheading"/>
        <w:keepNext/>
        <w:keepLines/>
      </w:pPr>
      <w:r>
        <w:tab/>
        <w:t xml:space="preserve">[Heading inserted: Gazette 22 Feb 2008 p. 639.] </w:t>
      </w:r>
    </w:p>
    <w:p>
      <w:pPr>
        <w:pStyle w:val="Heading5"/>
        <w:spacing w:before="180"/>
        <w:rPr>
          <w:snapToGrid w:val="0"/>
        </w:rPr>
      </w:pPr>
      <w:bookmarkStart w:id="1073" w:name="_Toc163121412"/>
      <w:r>
        <w:rPr>
          <w:rStyle w:val="CharSectno"/>
        </w:rPr>
        <w:t>25</w:t>
      </w:r>
      <w:r>
        <w:rPr>
          <w:snapToGrid w:val="0"/>
        </w:rPr>
        <w:t>.</w:t>
      </w:r>
      <w:r>
        <w:rPr>
          <w:snapToGrid w:val="0"/>
        </w:rPr>
        <w:tab/>
        <w:t>Master’s certificate</w:t>
      </w:r>
      <w:bookmarkEnd w:id="1073"/>
    </w:p>
    <w:p>
      <w:pPr>
        <w:pStyle w:val="Subsection"/>
        <w:spacing w:before="120"/>
        <w:rPr>
          <w:snapToGrid w:val="0"/>
        </w:rPr>
      </w:pPr>
      <w:r>
        <w:rPr>
          <w:snapToGrid w:val="0"/>
        </w:rPr>
        <w:tab/>
        <w:t>(1)</w:t>
      </w:r>
      <w:r>
        <w:rPr>
          <w:snapToGrid w:val="0"/>
        </w:rPr>
        <w:tab/>
        <w:t>The result of proceedings before a master under a judgment shall be stated in a certificate signed by the master.</w:t>
      </w:r>
    </w:p>
    <w:p>
      <w:pPr>
        <w:pStyle w:val="Subsection"/>
        <w:spacing w:before="120"/>
        <w:rPr>
          <w:snapToGrid w:val="0"/>
        </w:rPr>
      </w:pPr>
      <w:r>
        <w:rPr>
          <w:snapToGrid w:val="0"/>
        </w:rPr>
        <w:tab/>
        <w:t>(2)</w:t>
      </w:r>
      <w:r>
        <w:rPr>
          <w:snapToGrid w:val="0"/>
        </w:rPr>
        <w:tab/>
        <w:t xml:space="preserve">The certificate of the master shall refer to so much of the judgment, to such documents or parts thereof, and to such of the </w:t>
      </w:r>
      <w:r>
        <w:rPr>
          <w:snapToGrid w:val="0"/>
        </w:rPr>
        <w:lastRenderedPageBreak/>
        <w:t>evidence as will make it clear upon what the result stated in the certificate is founded.</w:t>
      </w:r>
    </w:p>
    <w:p>
      <w:pPr>
        <w:pStyle w:val="Subsection"/>
        <w:spacing w:before="120"/>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spacing w:before="120"/>
        <w:rPr>
          <w:snapToGrid w:val="0"/>
        </w:rPr>
      </w:pPr>
      <w:r>
        <w:rPr>
          <w:snapToGrid w:val="0"/>
        </w:rPr>
        <w:tab/>
        <w:t>(4)</w:t>
      </w:r>
      <w:r>
        <w:rPr>
          <w:snapToGrid w:val="0"/>
        </w:rPr>
        <w:tab/>
        <w:t xml:space="preserve">Where by reason of the alterations made in the account verified by filed affidavit the Court has directed a fresh account incorporating the alterations to be made, the reference in </w:t>
      </w:r>
      <w:r>
        <w:t>subrule</w:t>
      </w:r>
      <w:r>
        <w:rPr>
          <w:snapToGrid w:val="0"/>
        </w:rPr>
        <w:t> (3) to the account so verified shall be construed as a reference to the fresh account.</w:t>
      </w:r>
    </w:p>
    <w:p>
      <w:pPr>
        <w:pStyle w:val="Footnotesection"/>
      </w:pPr>
      <w:r>
        <w:tab/>
        <w:t xml:space="preserve">[Rule 25 amended: Gazette 30 Nov 1984 p. 3952; 28 Jun 2011 p. 2552.] </w:t>
      </w:r>
    </w:p>
    <w:p>
      <w:pPr>
        <w:pStyle w:val="Heading5"/>
        <w:spacing w:before="180"/>
        <w:rPr>
          <w:snapToGrid w:val="0"/>
        </w:rPr>
      </w:pPr>
      <w:bookmarkStart w:id="1074" w:name="_Toc163121413"/>
      <w:r>
        <w:rPr>
          <w:rStyle w:val="CharSectno"/>
        </w:rPr>
        <w:t>26</w:t>
      </w:r>
      <w:r>
        <w:rPr>
          <w:snapToGrid w:val="0"/>
        </w:rPr>
        <w:t>.</w:t>
      </w:r>
      <w:r>
        <w:rPr>
          <w:snapToGrid w:val="0"/>
        </w:rPr>
        <w:tab/>
        <w:t>Settling and filing master’s certificate</w:t>
      </w:r>
      <w:bookmarkEnd w:id="1074"/>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spacing w:before="180"/>
        <w:rPr>
          <w:snapToGrid w:val="0"/>
        </w:rPr>
      </w:pPr>
      <w:bookmarkStart w:id="1075" w:name="_Toc163121414"/>
      <w:r>
        <w:rPr>
          <w:rStyle w:val="CharSectno"/>
        </w:rPr>
        <w:t>27</w:t>
      </w:r>
      <w:r>
        <w:rPr>
          <w:snapToGrid w:val="0"/>
        </w:rPr>
        <w:t>.</w:t>
      </w:r>
      <w:r>
        <w:rPr>
          <w:snapToGrid w:val="0"/>
        </w:rPr>
        <w:tab/>
        <w:t>Judge may determine questions in proceedings before master</w:t>
      </w:r>
      <w:bookmarkEnd w:id="1075"/>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lastRenderedPageBreak/>
        <w:tab/>
        <w:t>(2)</w:t>
      </w:r>
      <w:r>
        <w:rPr>
          <w:snapToGrid w:val="0"/>
        </w:rPr>
        <w:tab/>
        <w:t xml:space="preserve">Unless the Court otherwise directs, a fresh summons shall not be issued for the purpose of an application under </w:t>
      </w:r>
      <w:r>
        <w:t>subrule</w:t>
      </w:r>
      <w:r>
        <w:rPr>
          <w:snapToGrid w:val="0"/>
        </w:rPr>
        <w:t>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widowControl w:val="0"/>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keepLines w:val="0"/>
        <w:spacing w:before="80"/>
        <w:ind w:left="890" w:hanging="890"/>
      </w:pPr>
      <w:r>
        <w:tab/>
        <w:t>[Rule 27 amended: Gazette 29 Apr 2005 p. 1795; 28 Jun 2011 p. 2552.]</w:t>
      </w:r>
    </w:p>
    <w:p>
      <w:pPr>
        <w:pStyle w:val="Heading5"/>
        <w:rPr>
          <w:snapToGrid w:val="0"/>
        </w:rPr>
      </w:pPr>
      <w:bookmarkStart w:id="1076" w:name="_Toc163121415"/>
      <w:r>
        <w:rPr>
          <w:rStyle w:val="CharSectno"/>
        </w:rPr>
        <w:t>28</w:t>
      </w:r>
      <w:r>
        <w:rPr>
          <w:snapToGrid w:val="0"/>
        </w:rPr>
        <w:t>.</w:t>
      </w:r>
      <w:r>
        <w:rPr>
          <w:snapToGrid w:val="0"/>
        </w:rPr>
        <w:tab/>
        <w:t>Appeal against master’s certificate</w:t>
      </w:r>
      <w:bookmarkEnd w:id="1076"/>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w:t>
      </w:r>
      <w:r>
        <w:t>subrule</w:t>
      </w:r>
      <w:r>
        <w:rPr>
          <w:snapToGrid w:val="0"/>
        </w:rPr>
        <w:t xml:space="preserv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Gazette 2 Jul 1982 p. 2317; amended: Gazette 30 Nov 1984 p. 3952; 29 Apr 2005 p. 1792</w:t>
      </w:r>
      <w:r>
        <w:noBreakHyphen/>
        <w:t xml:space="preserve">3.] </w:t>
      </w:r>
    </w:p>
    <w:p>
      <w:pPr>
        <w:pStyle w:val="Heading5"/>
        <w:rPr>
          <w:snapToGrid w:val="0"/>
        </w:rPr>
      </w:pPr>
      <w:bookmarkStart w:id="1077" w:name="_Toc163121416"/>
      <w:r>
        <w:rPr>
          <w:rStyle w:val="CharSectno"/>
        </w:rPr>
        <w:lastRenderedPageBreak/>
        <w:t>28A</w:t>
      </w:r>
      <w:r>
        <w:rPr>
          <w:snapToGrid w:val="0"/>
        </w:rPr>
        <w:t>.</w:t>
      </w:r>
      <w:r>
        <w:rPr>
          <w:snapToGrid w:val="0"/>
        </w:rPr>
        <w:tab/>
        <w:t>Judge may discharge or vary registrar’s certificate</w:t>
      </w:r>
      <w:bookmarkEnd w:id="1077"/>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 xml:space="preserve">Subject to </w:t>
      </w:r>
      <w:r>
        <w:t>subrule</w:t>
      </w:r>
      <w:r>
        <w:rPr>
          <w:snapToGrid w:val="0"/>
        </w:rPr>
        <w:t xml:space="preserve"> (4) the registrar’s certificate shall, upon the expiry of the period specified in relation to it in </w:t>
      </w:r>
      <w:r>
        <w:t>subrule</w:t>
      </w:r>
      <w:r>
        <w:rPr>
          <w:snapToGrid w:val="0"/>
        </w:rPr>
        <w:t xml:space="preserve"> (1) be binding on the parties to the proceedings unless discharged or varied by order under </w:t>
      </w:r>
      <w:r>
        <w:t>subrule</w:t>
      </w:r>
      <w:r>
        <w:rPr>
          <w:snapToGrid w:val="0"/>
        </w:rPr>
        <w:t>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Gazette 2 Jul 1982 p. 2317; amended: Gazette 28 Jun 2011 p. 2552.] </w:t>
      </w:r>
    </w:p>
    <w:p>
      <w:pPr>
        <w:pStyle w:val="Heading3"/>
        <w:keepLines/>
        <w:spacing w:before="300"/>
      </w:pPr>
      <w:bookmarkStart w:id="1078" w:name="_Toc162940955"/>
      <w:bookmarkStart w:id="1079" w:name="_Toc162953744"/>
      <w:bookmarkStart w:id="1080" w:name="_Toc163121417"/>
      <w:r>
        <w:rPr>
          <w:rStyle w:val="CharDivNo"/>
        </w:rPr>
        <w:t>Division 7</w:t>
      </w:r>
      <w:r>
        <w:t> — </w:t>
      </w:r>
      <w:r>
        <w:rPr>
          <w:rStyle w:val="CharDivText"/>
        </w:rPr>
        <w:t>Further consideration</w:t>
      </w:r>
      <w:bookmarkEnd w:id="1078"/>
      <w:bookmarkEnd w:id="1079"/>
      <w:bookmarkEnd w:id="1080"/>
    </w:p>
    <w:p>
      <w:pPr>
        <w:pStyle w:val="Footnoteheading"/>
        <w:keepNext/>
        <w:keepLines/>
      </w:pPr>
      <w:r>
        <w:tab/>
        <w:t xml:space="preserve">[Heading inserted: Gazette 22 Feb 2008 p. 639.] </w:t>
      </w:r>
    </w:p>
    <w:p>
      <w:pPr>
        <w:pStyle w:val="Heading5"/>
        <w:rPr>
          <w:snapToGrid w:val="0"/>
        </w:rPr>
      </w:pPr>
      <w:bookmarkStart w:id="1081" w:name="_Toc163121418"/>
      <w:r>
        <w:rPr>
          <w:rStyle w:val="CharSectno"/>
        </w:rPr>
        <w:t>29</w:t>
      </w:r>
      <w:r>
        <w:rPr>
          <w:snapToGrid w:val="0"/>
        </w:rPr>
        <w:t>.</w:t>
      </w:r>
      <w:r>
        <w:rPr>
          <w:snapToGrid w:val="0"/>
        </w:rPr>
        <w:tab/>
        <w:t>Summons to have matter in chambers further considered</w:t>
      </w:r>
      <w:bookmarkEnd w:id="1081"/>
    </w:p>
    <w:p>
      <w:pPr>
        <w:pStyle w:val="Subsection"/>
      </w:pPr>
      <w:r>
        <w:tab/>
        <w:t>(1)</w:t>
      </w:r>
      <w:r>
        <w:tab/>
        <w:t xml:space="preserve">Where any matter originating in chambers shall, at the original or any subsequent hearing, have been adjourned for further consideration in chambers, such matter may, after the expiration </w:t>
      </w:r>
      <w:r>
        <w:lastRenderedPageBreak/>
        <w:t>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1082" w:name="_Toc162940957"/>
      <w:bookmarkStart w:id="1083" w:name="_Toc162953746"/>
      <w:bookmarkStart w:id="1084" w:name="_Toc163121419"/>
      <w:r>
        <w:rPr>
          <w:rStyle w:val="CharPartNo"/>
        </w:rPr>
        <w:lastRenderedPageBreak/>
        <w:t>Order 62</w:t>
      </w:r>
      <w:r>
        <w:rPr>
          <w:rStyle w:val="CharDivNo"/>
        </w:rPr>
        <w:t> </w:t>
      </w:r>
      <w:r>
        <w:t>—</w:t>
      </w:r>
      <w:r>
        <w:rPr>
          <w:rStyle w:val="CharDivText"/>
        </w:rPr>
        <w:t> </w:t>
      </w:r>
      <w:r>
        <w:rPr>
          <w:rStyle w:val="CharPartText"/>
          <w:i/>
          <w:iCs/>
        </w:rPr>
        <w:t>Trustees Act 1962</w:t>
      </w:r>
      <w:r>
        <w:rPr>
          <w:rStyle w:val="CharPartText"/>
        </w:rPr>
        <w:t xml:space="preserve"> rules</w:t>
      </w:r>
      <w:bookmarkEnd w:id="1082"/>
      <w:bookmarkEnd w:id="1083"/>
      <w:bookmarkEnd w:id="1084"/>
    </w:p>
    <w:p>
      <w:pPr>
        <w:pStyle w:val="Footnoteheading"/>
      </w:pPr>
      <w:r>
        <w:tab/>
        <w:t xml:space="preserve">[Heading inserted: Gazette 22 Feb 2008 p. 640.] </w:t>
      </w:r>
    </w:p>
    <w:p>
      <w:pPr>
        <w:pStyle w:val="Heading5"/>
        <w:rPr>
          <w:snapToGrid w:val="0"/>
        </w:rPr>
      </w:pPr>
      <w:bookmarkStart w:id="1085" w:name="_Toc163121420"/>
      <w:r>
        <w:rPr>
          <w:rStyle w:val="CharSectno"/>
        </w:rPr>
        <w:t>1</w:t>
      </w:r>
      <w:r>
        <w:rPr>
          <w:snapToGrid w:val="0"/>
        </w:rPr>
        <w:t>.</w:t>
      </w:r>
      <w:r>
        <w:rPr>
          <w:snapToGrid w:val="0"/>
        </w:rPr>
        <w:tab/>
        <w:t>Making applications under Act</w:t>
      </w:r>
      <w:bookmarkEnd w:id="1085"/>
    </w:p>
    <w:p>
      <w:pPr>
        <w:pStyle w:val="Subsection"/>
        <w:rPr>
          <w:snapToGrid w:val="0"/>
        </w:rPr>
      </w:pPr>
      <w:r>
        <w:rPr>
          <w:snapToGrid w:val="0"/>
        </w:rPr>
        <w:tab/>
        <w:t>(1)</w:t>
      </w:r>
      <w:r>
        <w:rPr>
          <w:snapToGrid w:val="0"/>
        </w:rPr>
        <w:tab/>
        <w:t xml:space="preserve">Subject to </w:t>
      </w:r>
      <w:r>
        <w:t>subrule</w:t>
      </w:r>
      <w:r>
        <w:rPr>
          <w:snapToGrid w:val="0"/>
        </w:rPr>
        <w:t xml:space="preserve"> (2) and these rules, applications under the </w:t>
      </w:r>
      <w:r>
        <w:rPr>
          <w:i/>
          <w:snapToGrid w:val="0"/>
        </w:rPr>
        <w:t xml:space="preserve">Trustees Act 1962 </w:t>
      </w:r>
      <w:r>
        <w:rPr>
          <w:snapToGrid w:val="0"/>
        </w:rPr>
        <w:t xml:space="preserve">(in this Order referred to as </w:t>
      </w:r>
      <w:r>
        <w:t xml:space="preserve">the </w:t>
      </w:r>
      <w:r>
        <w:rPr>
          <w:rStyle w:val="CharDefText"/>
        </w:rPr>
        <w:t>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 xml:space="preserve">The Chief Justice may vary or revoke any direction given under </w:t>
      </w:r>
      <w:r>
        <w:t>subrule</w:t>
      </w:r>
      <w:r>
        <w:rPr>
          <w:snapToGrid w:val="0"/>
        </w:rPr>
        <w:t> (2).</w:t>
      </w:r>
    </w:p>
    <w:p>
      <w:pPr>
        <w:pStyle w:val="Footnotesection"/>
      </w:pPr>
      <w:r>
        <w:tab/>
        <w:t xml:space="preserve">[Rule 1 amended: Gazette 15 Jun 1973 p. 2249; 28 Jun 2011 p. 2552.] </w:t>
      </w:r>
    </w:p>
    <w:p>
      <w:pPr>
        <w:pStyle w:val="Heading5"/>
        <w:rPr>
          <w:snapToGrid w:val="0"/>
        </w:rPr>
      </w:pPr>
      <w:bookmarkStart w:id="1086" w:name="_Toc163121421"/>
      <w:r>
        <w:rPr>
          <w:rStyle w:val="CharSectno"/>
        </w:rPr>
        <w:t>2</w:t>
      </w:r>
      <w:r>
        <w:rPr>
          <w:snapToGrid w:val="0"/>
        </w:rPr>
        <w:t>.</w:t>
      </w:r>
      <w:r>
        <w:rPr>
          <w:snapToGrid w:val="0"/>
        </w:rPr>
        <w:tab/>
        <w:t>Title of proceedings</w:t>
      </w:r>
      <w:bookmarkEnd w:id="1086"/>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1087" w:name="_Toc163121422"/>
      <w:r>
        <w:rPr>
          <w:rStyle w:val="CharSectno"/>
        </w:rPr>
        <w:t>3</w:t>
      </w:r>
      <w:r>
        <w:rPr>
          <w:snapToGrid w:val="0"/>
        </w:rPr>
        <w:t>.</w:t>
      </w:r>
      <w:r>
        <w:rPr>
          <w:snapToGrid w:val="0"/>
        </w:rPr>
        <w:tab/>
        <w:t>Payment into court under Act s. 99</w:t>
      </w:r>
      <w:bookmarkEnd w:id="1087"/>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lastRenderedPageBreak/>
        <w:tab/>
        <w:t>(c)</w:t>
      </w:r>
      <w:r>
        <w:rPr>
          <w:snapToGrid w:val="0"/>
        </w:rPr>
        <w:tab/>
        <w:t>his submission to answer all such inquiries relating to the application of the money or securities paid into court, as the Court may make or direct; and</w:t>
      </w:r>
    </w:p>
    <w:p>
      <w:pPr>
        <w:pStyle w:val="Indenta"/>
        <w:keepNext/>
      </w:pPr>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Gazette 21 Feb 2007 p. 564.]</w:t>
      </w:r>
    </w:p>
    <w:p>
      <w:pPr>
        <w:pStyle w:val="Heading5"/>
        <w:rPr>
          <w:snapToGrid w:val="0"/>
        </w:rPr>
      </w:pPr>
      <w:bookmarkStart w:id="1088" w:name="_Toc163121423"/>
      <w:r>
        <w:rPr>
          <w:rStyle w:val="CharSectno"/>
        </w:rPr>
        <w:t>4</w:t>
      </w:r>
      <w:r>
        <w:rPr>
          <w:snapToGrid w:val="0"/>
        </w:rPr>
        <w:t>.</w:t>
      </w:r>
      <w:r>
        <w:rPr>
          <w:snapToGrid w:val="0"/>
        </w:rPr>
        <w:tab/>
        <w:t>Notice of payment in etc.</w:t>
      </w:r>
      <w:bookmarkEnd w:id="1088"/>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1089" w:name="_Toc163121424"/>
      <w:r>
        <w:rPr>
          <w:rStyle w:val="CharSectno"/>
        </w:rPr>
        <w:t>5</w:t>
      </w:r>
      <w:r>
        <w:rPr>
          <w:snapToGrid w:val="0"/>
        </w:rPr>
        <w:t>.</w:t>
      </w:r>
      <w:r>
        <w:rPr>
          <w:snapToGrid w:val="0"/>
        </w:rPr>
        <w:tab/>
        <w:t>Applications in respect of money etc. paid into court</w:t>
      </w:r>
      <w:bookmarkEnd w:id="1089"/>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r>
        <w:tab/>
        <w:t>[Rule 5 amended: Gazette 21 Feb 2007 p. 564.]</w:t>
      </w:r>
    </w:p>
    <w:p>
      <w:pPr>
        <w:pStyle w:val="Ednotepart"/>
      </w:pPr>
      <w:r>
        <w:t>[Order 62A (r. 1-5) deleted: Gazette 16 Nov 2016 p. 5199.]</w:t>
      </w:r>
    </w:p>
    <w:p>
      <w:pPr>
        <w:pStyle w:val="Ednotepart"/>
      </w:pPr>
      <w:r>
        <w:t>[Orders 63, 63A and 64 deleted: Gazette 29 Apr 2005 p. 1793.]</w:t>
      </w:r>
    </w:p>
    <w:p>
      <w:pPr>
        <w:pStyle w:val="Heading2"/>
      </w:pPr>
      <w:bookmarkStart w:id="1090" w:name="_Toc162940963"/>
      <w:bookmarkStart w:id="1091" w:name="_Toc162953752"/>
      <w:bookmarkStart w:id="1092" w:name="_Toc163121425"/>
      <w:r>
        <w:rPr>
          <w:rStyle w:val="CharPartNo"/>
        </w:rPr>
        <w:lastRenderedPageBreak/>
        <w:t>Order 65</w:t>
      </w:r>
      <w:r>
        <w:rPr>
          <w:b w:val="0"/>
        </w:rPr>
        <w:t> </w:t>
      </w:r>
      <w:r>
        <w:t>—</w:t>
      </w:r>
      <w:r>
        <w:rPr>
          <w:b w:val="0"/>
        </w:rPr>
        <w:t> </w:t>
      </w:r>
      <w:r>
        <w:rPr>
          <w:rStyle w:val="CharPartText"/>
        </w:rPr>
        <w:t>Appeals to the General Division</w:t>
      </w:r>
      <w:bookmarkEnd w:id="1090"/>
      <w:bookmarkEnd w:id="1091"/>
      <w:bookmarkEnd w:id="1092"/>
    </w:p>
    <w:p>
      <w:pPr>
        <w:pStyle w:val="Footnoteheading"/>
      </w:pPr>
      <w:r>
        <w:tab/>
        <w:t>[Heading inserted: Gazette 21 Feb 2007 p. 564.]</w:t>
      </w:r>
    </w:p>
    <w:p>
      <w:pPr>
        <w:pStyle w:val="Heading3"/>
      </w:pPr>
      <w:bookmarkStart w:id="1093" w:name="_Toc162940964"/>
      <w:bookmarkStart w:id="1094" w:name="_Toc162953753"/>
      <w:bookmarkStart w:id="1095" w:name="_Toc163121426"/>
      <w:r>
        <w:rPr>
          <w:rStyle w:val="CharDivNo"/>
        </w:rPr>
        <w:t>Division 1</w:t>
      </w:r>
      <w:r>
        <w:t> — </w:t>
      </w:r>
      <w:r>
        <w:rPr>
          <w:rStyle w:val="CharDivText"/>
        </w:rPr>
        <w:t>Preliminary matters</w:t>
      </w:r>
      <w:bookmarkEnd w:id="1093"/>
      <w:bookmarkEnd w:id="1094"/>
      <w:bookmarkEnd w:id="1095"/>
    </w:p>
    <w:p>
      <w:pPr>
        <w:pStyle w:val="Footnoteheading"/>
      </w:pPr>
      <w:r>
        <w:tab/>
        <w:t>[Heading inserted: Gazette 21 Feb 2007 p. 564.]</w:t>
      </w:r>
    </w:p>
    <w:p>
      <w:pPr>
        <w:pStyle w:val="Heading5"/>
      </w:pPr>
      <w:bookmarkStart w:id="1096" w:name="_Toc163121427"/>
      <w:r>
        <w:rPr>
          <w:rStyle w:val="CharSectno"/>
        </w:rPr>
        <w:t>1</w:t>
      </w:r>
      <w:r>
        <w:t>.</w:t>
      </w:r>
      <w:r>
        <w:tab/>
        <w:t>Terms used</w:t>
      </w:r>
      <w:bookmarkEnd w:id="1096"/>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lastRenderedPageBreak/>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Gazette 21 Feb 2007 p. 564</w:t>
      </w:r>
      <w:r>
        <w:noBreakHyphen/>
        <w:t>5.]</w:t>
      </w:r>
    </w:p>
    <w:p>
      <w:pPr>
        <w:pStyle w:val="Heading5"/>
      </w:pPr>
      <w:bookmarkStart w:id="1097" w:name="_Toc163121428"/>
      <w:r>
        <w:rPr>
          <w:rStyle w:val="CharSectno"/>
        </w:rPr>
        <w:t>2</w:t>
      </w:r>
      <w:r>
        <w:t>.</w:t>
      </w:r>
      <w:r>
        <w:tab/>
        <w:t>Application of this Order</w:t>
      </w:r>
      <w:bookmarkEnd w:id="1097"/>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r>
        <w:tab/>
        <w:t>[Rule 2 inserted: Gazette 21 Feb 2007 p. 565.]</w:t>
      </w:r>
    </w:p>
    <w:p>
      <w:pPr>
        <w:pStyle w:val="Heading3"/>
      </w:pPr>
      <w:bookmarkStart w:id="1098" w:name="_Toc162940967"/>
      <w:bookmarkStart w:id="1099" w:name="_Toc162953756"/>
      <w:bookmarkStart w:id="1100" w:name="_Toc163121429"/>
      <w:r>
        <w:rPr>
          <w:rStyle w:val="CharDivNo"/>
        </w:rPr>
        <w:t>Division 2</w:t>
      </w:r>
      <w:r>
        <w:t> — </w:t>
      </w:r>
      <w:r>
        <w:rPr>
          <w:rStyle w:val="CharDivText"/>
        </w:rPr>
        <w:t>General matters</w:t>
      </w:r>
      <w:bookmarkEnd w:id="1098"/>
      <w:bookmarkEnd w:id="1099"/>
      <w:bookmarkEnd w:id="1100"/>
    </w:p>
    <w:p>
      <w:pPr>
        <w:pStyle w:val="Footnoteheading"/>
      </w:pPr>
      <w:r>
        <w:tab/>
        <w:t>[Heading inserted: Gazette 21 Feb 2007 p. 565.]</w:t>
      </w:r>
    </w:p>
    <w:p>
      <w:pPr>
        <w:pStyle w:val="Heading5"/>
      </w:pPr>
      <w:bookmarkStart w:id="1101" w:name="_Toc163121430"/>
      <w:r>
        <w:rPr>
          <w:rStyle w:val="CharSectno"/>
        </w:rPr>
        <w:t>3</w:t>
      </w:r>
      <w:r>
        <w:t>.</w:t>
      </w:r>
      <w:r>
        <w:tab/>
        <w:t>Hearings by telephone</w:t>
      </w:r>
      <w:bookmarkEnd w:id="1101"/>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r>
        <w:tab/>
        <w:t>[Rule 3 inserted: Gazette 21 Feb 2007 p. 565</w:t>
      </w:r>
      <w:r>
        <w:noBreakHyphen/>
        <w:t>6.]</w:t>
      </w:r>
    </w:p>
    <w:p>
      <w:pPr>
        <w:pStyle w:val="Heading5"/>
      </w:pPr>
      <w:bookmarkStart w:id="1102" w:name="_Toc163121431"/>
      <w:r>
        <w:rPr>
          <w:rStyle w:val="CharSectno"/>
        </w:rPr>
        <w:lastRenderedPageBreak/>
        <w:t>4</w:t>
      </w:r>
      <w:r>
        <w:t>.</w:t>
      </w:r>
      <w:r>
        <w:tab/>
        <w:t>Judge’s general jurisdiction</w:t>
      </w:r>
      <w:bookmarkEnd w:id="1102"/>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lastRenderedPageBreak/>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r>
        <w:tab/>
        <w:t>[Rule 4 inserted: Gazette 21 Feb 2007 p. 566; amended: Gazette 22 Feb 2008 p. 640.]</w:t>
      </w:r>
    </w:p>
    <w:p>
      <w:pPr>
        <w:pStyle w:val="Heading5"/>
      </w:pPr>
      <w:bookmarkStart w:id="1103" w:name="_Toc163121432"/>
      <w:r>
        <w:rPr>
          <w:rStyle w:val="CharSectno"/>
        </w:rPr>
        <w:t>5</w:t>
      </w:r>
      <w:r>
        <w:t>.</w:t>
      </w:r>
      <w:r>
        <w:tab/>
        <w:t>Non</w:t>
      </w:r>
      <w:r>
        <w:noBreakHyphen/>
        <w:t>attendance by party, consequences of</w:t>
      </w:r>
      <w:bookmarkEnd w:id="1103"/>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r>
        <w:tab/>
        <w:t>[Rule 5 inserted: Gazette 21 Feb 2007 p. 567.]</w:t>
      </w:r>
    </w:p>
    <w:p>
      <w:pPr>
        <w:pStyle w:val="Heading5"/>
      </w:pPr>
      <w:bookmarkStart w:id="1104" w:name="_Toc163121433"/>
      <w:r>
        <w:rPr>
          <w:rStyle w:val="CharSectno"/>
        </w:rPr>
        <w:t>6</w:t>
      </w:r>
      <w:r>
        <w:t>.</w:t>
      </w:r>
      <w:r>
        <w:tab/>
        <w:t>Decisions made in absence of party</w:t>
      </w:r>
      <w:bookmarkEnd w:id="1104"/>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r>
        <w:tab/>
        <w:t>[Rule 6 inserted: Gazette 21 Feb 2007 p. 567.]</w:t>
      </w:r>
    </w:p>
    <w:p>
      <w:pPr>
        <w:pStyle w:val="Heading5"/>
      </w:pPr>
      <w:bookmarkStart w:id="1105" w:name="_Toc163121434"/>
      <w:r>
        <w:rPr>
          <w:rStyle w:val="CharSectno"/>
        </w:rPr>
        <w:t>7</w:t>
      </w:r>
      <w:r>
        <w:t>.</w:t>
      </w:r>
      <w:r>
        <w:tab/>
        <w:t>Decisions made on the papers</w:t>
      </w:r>
      <w:bookmarkEnd w:id="1105"/>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lastRenderedPageBreak/>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r>
        <w:tab/>
        <w:t>[Rule 7 inserted: Gazette 21 Feb 2007 p. 567.]</w:t>
      </w:r>
    </w:p>
    <w:p>
      <w:pPr>
        <w:pStyle w:val="Heading3"/>
      </w:pPr>
      <w:bookmarkStart w:id="1106" w:name="_Toc162940973"/>
      <w:bookmarkStart w:id="1107" w:name="_Toc162953762"/>
      <w:bookmarkStart w:id="1108" w:name="_Toc163121435"/>
      <w:r>
        <w:rPr>
          <w:rStyle w:val="CharDivNo"/>
        </w:rPr>
        <w:t>Division 3</w:t>
      </w:r>
      <w:r>
        <w:t> — </w:t>
      </w:r>
      <w:r>
        <w:rPr>
          <w:rStyle w:val="CharDivText"/>
        </w:rPr>
        <w:t>Procedure on appeals</w:t>
      </w:r>
      <w:bookmarkEnd w:id="1106"/>
      <w:bookmarkEnd w:id="1107"/>
      <w:bookmarkEnd w:id="1108"/>
    </w:p>
    <w:p>
      <w:pPr>
        <w:pStyle w:val="Footnoteheading"/>
      </w:pPr>
      <w:r>
        <w:tab/>
        <w:t>[Heading inserted: Gazette 21 Feb 2007 p. 568.]</w:t>
      </w:r>
    </w:p>
    <w:p>
      <w:pPr>
        <w:pStyle w:val="Heading5"/>
      </w:pPr>
      <w:bookmarkStart w:id="1109" w:name="_Toc163121436"/>
      <w:r>
        <w:rPr>
          <w:rStyle w:val="CharSectno"/>
        </w:rPr>
        <w:t>8</w:t>
      </w:r>
      <w:r>
        <w:t>.</w:t>
      </w:r>
      <w:r>
        <w:tab/>
        <w:t>Nature of appeals</w:t>
      </w:r>
      <w:bookmarkEnd w:id="1109"/>
    </w:p>
    <w:p>
      <w:pPr>
        <w:pStyle w:val="Subsection"/>
      </w:pPr>
      <w:r>
        <w:tab/>
      </w:r>
      <w:r>
        <w:tab/>
        <w:t>An appeal will be by way of rehearing unless another written law provides otherwise.</w:t>
      </w:r>
    </w:p>
    <w:p>
      <w:pPr>
        <w:pStyle w:val="Footnotesection"/>
      </w:pPr>
      <w:r>
        <w:tab/>
        <w:t>[Rule 8 inserted: Gazette 21 Feb 2007 p. 568.]</w:t>
      </w:r>
    </w:p>
    <w:p>
      <w:pPr>
        <w:pStyle w:val="Heading5"/>
      </w:pPr>
      <w:bookmarkStart w:id="1110" w:name="_Toc163121437"/>
      <w:r>
        <w:rPr>
          <w:rStyle w:val="CharSectno"/>
        </w:rPr>
        <w:t>9</w:t>
      </w:r>
      <w:r>
        <w:t>.</w:t>
      </w:r>
      <w:r>
        <w:tab/>
        <w:t>Time for appealing</w:t>
      </w:r>
      <w:bookmarkEnd w:id="1110"/>
    </w:p>
    <w:p>
      <w:pPr>
        <w:pStyle w:val="Subsection"/>
      </w:pPr>
      <w:r>
        <w:tab/>
      </w:r>
      <w:r>
        <w:tab/>
        <w:t>An appeal against a decision must be commenced within 21 days after the date of the decision.</w:t>
      </w:r>
    </w:p>
    <w:p>
      <w:pPr>
        <w:pStyle w:val="Footnotesection"/>
      </w:pPr>
      <w:r>
        <w:lastRenderedPageBreak/>
        <w:tab/>
        <w:t>[Rule 9 inserted: Gazette 21 Feb 2007 p. 568.]</w:t>
      </w:r>
    </w:p>
    <w:p>
      <w:pPr>
        <w:pStyle w:val="Heading5"/>
      </w:pPr>
      <w:bookmarkStart w:id="1111" w:name="_Toc163121438"/>
      <w:r>
        <w:rPr>
          <w:rStyle w:val="CharSectno"/>
        </w:rPr>
        <w:t>10</w:t>
      </w:r>
      <w:r>
        <w:t>.</w:t>
      </w:r>
      <w:r>
        <w:tab/>
        <w:t>Appeal, how to commence</w:t>
      </w:r>
      <w:bookmarkEnd w:id="1111"/>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lastRenderedPageBreak/>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r>
        <w:tab/>
        <w:t>[Rule 10 inserted: Gazette 21 Feb 2007 p. 568</w:t>
      </w:r>
      <w:r>
        <w:noBreakHyphen/>
        <w:t>9.]</w:t>
      </w:r>
    </w:p>
    <w:p>
      <w:pPr>
        <w:pStyle w:val="Heading5"/>
      </w:pPr>
      <w:bookmarkStart w:id="1112" w:name="_Toc163121439"/>
      <w:r>
        <w:rPr>
          <w:rStyle w:val="CharSectno"/>
        </w:rPr>
        <w:t>11</w:t>
      </w:r>
      <w:r>
        <w:t>.</w:t>
      </w:r>
      <w:r>
        <w:tab/>
        <w:t>Primary court to be notified and to supply records</w:t>
      </w:r>
      <w:bookmarkEnd w:id="1112"/>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r>
        <w:tab/>
        <w:t>[Rule 11 inserted: Gazette 21 Feb 2007 p. 569.]</w:t>
      </w:r>
    </w:p>
    <w:p>
      <w:pPr>
        <w:pStyle w:val="Heading5"/>
      </w:pPr>
      <w:bookmarkStart w:id="1113" w:name="_Toc163121440"/>
      <w:r>
        <w:rPr>
          <w:rStyle w:val="CharSectno"/>
        </w:rPr>
        <w:lastRenderedPageBreak/>
        <w:t>12</w:t>
      </w:r>
      <w:r>
        <w:t>.</w:t>
      </w:r>
      <w:r>
        <w:tab/>
        <w:t>Respondent’s options</w:t>
      </w:r>
      <w:bookmarkEnd w:id="1113"/>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r>
        <w:tab/>
        <w:t>[Rule 12 inserted: Gazette 21 Feb 2007 p. 569.]</w:t>
      </w:r>
    </w:p>
    <w:p>
      <w:pPr>
        <w:pStyle w:val="Heading5"/>
      </w:pPr>
      <w:bookmarkStart w:id="1114" w:name="_Toc163121441"/>
      <w:r>
        <w:rPr>
          <w:rStyle w:val="CharSectno"/>
        </w:rPr>
        <w:t>13</w:t>
      </w:r>
      <w:r>
        <w:t>.</w:t>
      </w:r>
      <w:r>
        <w:tab/>
        <w:t>Interim order, applying for</w:t>
      </w:r>
      <w:bookmarkEnd w:id="1114"/>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r>
        <w:tab/>
        <w:t>[Rule 13 inserted: Gazette 21 Feb 2007 p. 570.]</w:t>
      </w:r>
    </w:p>
    <w:p>
      <w:pPr>
        <w:pStyle w:val="Heading5"/>
      </w:pPr>
      <w:bookmarkStart w:id="1115" w:name="_Toc163121442"/>
      <w:r>
        <w:rPr>
          <w:rStyle w:val="CharSectno"/>
        </w:rPr>
        <w:t>14</w:t>
      </w:r>
      <w:r>
        <w:t>.</w:t>
      </w:r>
      <w:r>
        <w:tab/>
        <w:t>Urgent appeal order, nature of</w:t>
      </w:r>
      <w:bookmarkEnd w:id="1115"/>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lastRenderedPageBreak/>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r>
        <w:tab/>
        <w:t>[Rule 14 inserted: Gazette 21 Feb 2007 p. 570.]</w:t>
      </w:r>
    </w:p>
    <w:p>
      <w:pPr>
        <w:pStyle w:val="Heading5"/>
      </w:pPr>
      <w:bookmarkStart w:id="1116" w:name="_Toc163121443"/>
      <w:r>
        <w:rPr>
          <w:rStyle w:val="CharSectno"/>
        </w:rPr>
        <w:t>15</w:t>
      </w:r>
      <w:r>
        <w:t>.</w:t>
      </w:r>
      <w:r>
        <w:tab/>
        <w:t>Consenting to orders</w:t>
      </w:r>
      <w:bookmarkEnd w:id="1116"/>
    </w:p>
    <w:p>
      <w:pPr>
        <w:pStyle w:val="Subsection"/>
      </w:pPr>
      <w:r>
        <w:tab/>
      </w:r>
      <w:r>
        <w:tab/>
        <w:t>The parties to an appeal may consent to an interim or other order, other than an urgent appeal order, being made by filing a Form No. 87 (Consent notice).</w:t>
      </w:r>
    </w:p>
    <w:p>
      <w:pPr>
        <w:pStyle w:val="Footnotesection"/>
      </w:pPr>
      <w:r>
        <w:tab/>
        <w:t>[Rule 15 inserted: Gazette 21 Feb 2007 p. 570.]</w:t>
      </w:r>
    </w:p>
    <w:p>
      <w:pPr>
        <w:pStyle w:val="Heading5"/>
      </w:pPr>
      <w:bookmarkStart w:id="1117" w:name="_Toc163121444"/>
      <w:r>
        <w:rPr>
          <w:rStyle w:val="CharSectno"/>
        </w:rPr>
        <w:t>16</w:t>
      </w:r>
      <w:r>
        <w:t>.</w:t>
      </w:r>
      <w:r>
        <w:tab/>
        <w:t>Appeal books not needed unless ordered</w:t>
      </w:r>
      <w:bookmarkEnd w:id="1117"/>
    </w:p>
    <w:p>
      <w:pPr>
        <w:pStyle w:val="Subsection"/>
      </w:pPr>
      <w:r>
        <w:tab/>
      </w:r>
      <w:r>
        <w:tab/>
        <w:t>An appeal book containing the documents needed to decide the appeal is not required unless it has been ordered under rule 4.</w:t>
      </w:r>
    </w:p>
    <w:p>
      <w:pPr>
        <w:pStyle w:val="Footnotesection"/>
      </w:pPr>
      <w:r>
        <w:tab/>
        <w:t>[Rule 16 inserted: Gazette 21 Feb 2007 p. 570.]</w:t>
      </w:r>
    </w:p>
    <w:p>
      <w:pPr>
        <w:pStyle w:val="Heading3"/>
      </w:pPr>
      <w:bookmarkStart w:id="1118" w:name="_Toc162940983"/>
      <w:bookmarkStart w:id="1119" w:name="_Toc162953772"/>
      <w:bookmarkStart w:id="1120" w:name="_Toc163121445"/>
      <w:r>
        <w:rPr>
          <w:rStyle w:val="CharDivNo"/>
        </w:rPr>
        <w:t>Division 4</w:t>
      </w:r>
      <w:r>
        <w:t> — </w:t>
      </w:r>
      <w:r>
        <w:rPr>
          <w:rStyle w:val="CharDivText"/>
        </w:rPr>
        <w:t>Concluding an appeal</w:t>
      </w:r>
      <w:bookmarkEnd w:id="1118"/>
      <w:bookmarkEnd w:id="1119"/>
      <w:bookmarkEnd w:id="1120"/>
    </w:p>
    <w:p>
      <w:pPr>
        <w:pStyle w:val="Footnoteheading"/>
      </w:pPr>
      <w:r>
        <w:tab/>
        <w:t>[Heading inserted: Gazette 21 Feb 2007 p. 570.]</w:t>
      </w:r>
    </w:p>
    <w:p>
      <w:pPr>
        <w:pStyle w:val="Heading5"/>
        <w:spacing w:before="180"/>
      </w:pPr>
      <w:bookmarkStart w:id="1121" w:name="_Toc163121446"/>
      <w:r>
        <w:rPr>
          <w:rStyle w:val="CharSectno"/>
        </w:rPr>
        <w:t>17</w:t>
      </w:r>
      <w:r>
        <w:t>.</w:t>
      </w:r>
      <w:r>
        <w:tab/>
        <w:t>Discontinuing an appeal</w:t>
      </w:r>
      <w:bookmarkEnd w:id="1121"/>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lastRenderedPageBreak/>
        <w:tab/>
        <w:t>(4)</w:t>
      </w:r>
      <w:r>
        <w:tab/>
        <w:t>Unless a judge orders otherwise, an appellant who discontinues an appeal must pay the respondent’s costs in respect of the appeal which must be taxed if they are not agreed.</w:t>
      </w:r>
    </w:p>
    <w:p>
      <w:pPr>
        <w:pStyle w:val="Subsection"/>
        <w:spacing w:before="120"/>
      </w:pPr>
      <w:r>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r>
        <w:tab/>
        <w:t>[Rule 17 inserted: Gazette 21 Feb 2007 p. 570</w:t>
      </w:r>
      <w:r>
        <w:noBreakHyphen/>
        <w:t>1.]</w:t>
      </w:r>
    </w:p>
    <w:p>
      <w:pPr>
        <w:pStyle w:val="Heading5"/>
      </w:pPr>
      <w:bookmarkStart w:id="1122" w:name="_Toc163121447"/>
      <w:r>
        <w:rPr>
          <w:rStyle w:val="CharSectno"/>
        </w:rPr>
        <w:t>18</w:t>
      </w:r>
      <w:r>
        <w:t>.</w:t>
      </w:r>
      <w:r>
        <w:tab/>
        <w:t>Settling an appeal</w:t>
      </w:r>
      <w:bookmarkEnd w:id="1122"/>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w:t>
      </w:r>
    </w:p>
    <w:p>
      <w:pPr>
        <w:pStyle w:val="Subsection"/>
      </w:pPr>
      <w:r>
        <w:tab/>
        <w:t>(4)</w:t>
      </w:r>
      <w:r>
        <w:tab/>
        <w:t>An application for the approval of a judge must be filed with an affidavit and, unless a judge orders otherwise, an opinion by an independent lawyer.</w:t>
      </w:r>
    </w:p>
    <w:p>
      <w:pPr>
        <w:pStyle w:val="Footnotesection"/>
      </w:pPr>
      <w:r>
        <w:tab/>
        <w:t>[Rule 18 inserted: Gazette 21 Feb 2007 p. 571; amended: Gazette 28 Jun 2011 p. 2551.]</w:t>
      </w:r>
    </w:p>
    <w:p>
      <w:pPr>
        <w:pStyle w:val="Heading5"/>
      </w:pPr>
      <w:bookmarkStart w:id="1123" w:name="_Toc163121448"/>
      <w:r>
        <w:rPr>
          <w:rStyle w:val="CharSectno"/>
        </w:rPr>
        <w:lastRenderedPageBreak/>
        <w:t>19</w:t>
      </w:r>
      <w:r>
        <w:t>.</w:t>
      </w:r>
      <w:r>
        <w:tab/>
        <w:t>Return of exhibits</w:t>
      </w:r>
      <w:bookmarkEnd w:id="1123"/>
    </w:p>
    <w:p>
      <w:pPr>
        <w:pStyle w:val="Subsection"/>
      </w:pPr>
      <w:r>
        <w:tab/>
        <w:t>(1)</w:t>
      </w:r>
      <w:r>
        <w:tab/>
        <w:t>This rule does not apply to or in respect of any record or thing that forms part of the Court’s record.</w:t>
      </w:r>
    </w:p>
    <w:p>
      <w:pPr>
        <w:pStyle w:val="Subsection"/>
        <w:keepNext/>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 xml:space="preserve">If under subrule (4)(b) a registrar releases a record or thing to a person, the registrar may require the person, as a condition of </w:t>
      </w:r>
      <w:r>
        <w:lastRenderedPageBreak/>
        <w:t>being given it, to file a written undertaking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Gazette 21 Feb 2007 p. 571</w:t>
      </w:r>
      <w:r>
        <w:noBreakHyphen/>
        <w:t>2; amended: Gazette 27 Feb 2018 p. 574.]</w:t>
      </w:r>
    </w:p>
    <w:p>
      <w:pPr>
        <w:pStyle w:val="Ednotepart"/>
      </w:pPr>
      <w:r>
        <w:t>[Orders 65A and 65B deleted: Gazette 29 Apr 2005 p. 1800.]</w:t>
      </w:r>
    </w:p>
    <w:p>
      <w:pPr>
        <w:pStyle w:val="Heading2"/>
      </w:pPr>
      <w:bookmarkStart w:id="1124" w:name="_Toc162940987"/>
      <w:bookmarkStart w:id="1125" w:name="_Toc162953776"/>
      <w:bookmarkStart w:id="1126" w:name="_Toc163121449"/>
      <w:r>
        <w:rPr>
          <w:rStyle w:val="CharPartNo"/>
        </w:rPr>
        <w:lastRenderedPageBreak/>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1124"/>
      <w:bookmarkEnd w:id="1125"/>
      <w:bookmarkEnd w:id="1126"/>
    </w:p>
    <w:p>
      <w:pPr>
        <w:pStyle w:val="Footnoteheading"/>
      </w:pPr>
      <w:r>
        <w:tab/>
        <w:t xml:space="preserve">[Heading inserted: Gazette 22 Feb 2008 p. 640.] </w:t>
      </w:r>
    </w:p>
    <w:p>
      <w:pPr>
        <w:pStyle w:val="Heading5"/>
      </w:pPr>
      <w:bookmarkStart w:id="1127" w:name="_Toc163121450"/>
      <w:r>
        <w:rPr>
          <w:rStyle w:val="CharSectno"/>
        </w:rPr>
        <w:t>1</w:t>
      </w:r>
      <w:r>
        <w:t>.</w:t>
      </w:r>
      <w:r>
        <w:tab/>
        <w:t>Term used: Electoral Commissioner</w:t>
      </w:r>
      <w:bookmarkEnd w:id="1127"/>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Gazette 2 Feb 2001 p. 698.]</w:t>
      </w:r>
    </w:p>
    <w:p>
      <w:pPr>
        <w:pStyle w:val="Heading5"/>
      </w:pPr>
      <w:bookmarkStart w:id="1128" w:name="_Toc163121451"/>
      <w:r>
        <w:rPr>
          <w:rStyle w:val="CharSectno"/>
        </w:rPr>
        <w:t>2</w:t>
      </w:r>
      <w:r>
        <w:t>.</w:t>
      </w:r>
      <w:r>
        <w:tab/>
        <w:t>Application of this Order</w:t>
      </w:r>
      <w:bookmarkEnd w:id="1128"/>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Gazette 2 Feb 2001 p. 698.]</w:t>
      </w:r>
    </w:p>
    <w:p>
      <w:pPr>
        <w:pStyle w:val="Heading5"/>
      </w:pPr>
      <w:bookmarkStart w:id="1129" w:name="_Toc163121452"/>
      <w:r>
        <w:rPr>
          <w:rStyle w:val="CharSectno"/>
        </w:rPr>
        <w:t>3</w:t>
      </w:r>
      <w:r>
        <w:t>.</w:t>
      </w:r>
      <w:r>
        <w:tab/>
        <w:t>Application for review</w:t>
      </w:r>
      <w:bookmarkEnd w:id="1129"/>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Gazette 2 Feb 2001 p. 698.]</w:t>
      </w:r>
    </w:p>
    <w:p>
      <w:pPr>
        <w:pStyle w:val="Heading5"/>
      </w:pPr>
      <w:bookmarkStart w:id="1130" w:name="_Toc163121453"/>
      <w:r>
        <w:rPr>
          <w:rStyle w:val="CharSectno"/>
        </w:rPr>
        <w:t>4</w:t>
      </w:r>
      <w:r>
        <w:t>.</w:t>
      </w:r>
      <w:r>
        <w:tab/>
        <w:t>Title of proceedings</w:t>
      </w:r>
      <w:bookmarkEnd w:id="1130"/>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lastRenderedPageBreak/>
        <w:tab/>
        <w:t>[Rule 4 inserted: Gazette 2 Feb 2001 p. 698.]</w:t>
      </w:r>
    </w:p>
    <w:p>
      <w:pPr>
        <w:pStyle w:val="Heading5"/>
      </w:pPr>
      <w:bookmarkStart w:id="1131" w:name="_Toc163121454"/>
      <w:r>
        <w:rPr>
          <w:rStyle w:val="CharSectno"/>
        </w:rPr>
        <w:t>5</w:t>
      </w:r>
      <w:r>
        <w:t>.</w:t>
      </w:r>
      <w:r>
        <w:tab/>
        <w:t>Hearing the review</w:t>
      </w:r>
      <w:bookmarkEnd w:id="1131"/>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Gazette 2 Feb 2001 p. 698</w:t>
      </w:r>
      <w:r>
        <w:noBreakHyphen/>
        <w:t>9.]</w:t>
      </w:r>
    </w:p>
    <w:p>
      <w:pPr>
        <w:pStyle w:val="Heading5"/>
      </w:pPr>
      <w:bookmarkStart w:id="1132" w:name="_Toc163121455"/>
      <w:r>
        <w:rPr>
          <w:rStyle w:val="CharSectno"/>
        </w:rPr>
        <w:t>6</w:t>
      </w:r>
      <w:r>
        <w:t>.</w:t>
      </w:r>
      <w:r>
        <w:tab/>
        <w:t>Date of hearing</w:t>
      </w:r>
      <w:bookmarkEnd w:id="1132"/>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Gazette 2 Feb 2001 p. 699.]</w:t>
      </w:r>
    </w:p>
    <w:p>
      <w:pPr>
        <w:pStyle w:val="Heading5"/>
      </w:pPr>
      <w:bookmarkStart w:id="1133" w:name="_Toc163121456"/>
      <w:r>
        <w:rPr>
          <w:rStyle w:val="CharSectno"/>
        </w:rPr>
        <w:lastRenderedPageBreak/>
        <w:t>7</w:t>
      </w:r>
      <w:r>
        <w:t>.</w:t>
      </w:r>
      <w:r>
        <w:tab/>
        <w:t>Review book</w:t>
      </w:r>
      <w:bookmarkEnd w:id="1133"/>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 and</w:t>
      </w:r>
    </w:p>
    <w:p>
      <w:pPr>
        <w:pStyle w:val="Indenta"/>
      </w:pPr>
      <w:r>
        <w:tab/>
        <w:t>(b)</w:t>
      </w:r>
      <w:r>
        <w:tab/>
        <w:t>file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Gazette 2 Feb 2001 p. 699; amended: Gazette 27 Feb 2018 p. 574.]</w:t>
      </w:r>
    </w:p>
    <w:p>
      <w:pPr>
        <w:pStyle w:val="Heading5"/>
      </w:pPr>
      <w:bookmarkStart w:id="1134" w:name="_Toc163121457"/>
      <w:r>
        <w:rPr>
          <w:rStyle w:val="CharSectno"/>
        </w:rPr>
        <w:t>8</w:t>
      </w:r>
      <w:r>
        <w:t>.</w:t>
      </w:r>
      <w:r>
        <w:tab/>
        <w:t>Applicant limited to grounds in originating motion</w:t>
      </w:r>
      <w:bookmarkEnd w:id="1134"/>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Gazette 2 Feb 2001 p. 699</w:t>
      </w:r>
      <w:r>
        <w:noBreakHyphen/>
        <w:t>700.]</w:t>
      </w:r>
    </w:p>
    <w:p>
      <w:pPr>
        <w:pStyle w:val="Heading5"/>
      </w:pPr>
      <w:bookmarkStart w:id="1135" w:name="_Toc163121458"/>
      <w:r>
        <w:rPr>
          <w:rStyle w:val="CharSectno"/>
        </w:rPr>
        <w:t>9</w:t>
      </w:r>
      <w:r>
        <w:t>.</w:t>
      </w:r>
      <w:r>
        <w:tab/>
        <w:t>Right to be heard in opposition</w:t>
      </w:r>
      <w:bookmarkEnd w:id="1135"/>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keepNext/>
      </w:pPr>
      <w:r>
        <w:lastRenderedPageBreak/>
        <w:tab/>
        <w:t>(2)</w:t>
      </w:r>
      <w:r>
        <w:tab/>
        <w:t>A person who is heard under this rule, may, in the discretion of the Court, be ordered to pay costs.</w:t>
      </w:r>
    </w:p>
    <w:p>
      <w:pPr>
        <w:pStyle w:val="Footnotesection"/>
      </w:pPr>
      <w:r>
        <w:tab/>
        <w:t>[Rule 9 inserted: Gazette 2 Feb 2001 p. 700.]</w:t>
      </w:r>
    </w:p>
    <w:p>
      <w:pPr>
        <w:pStyle w:val="Heading5"/>
      </w:pPr>
      <w:bookmarkStart w:id="1136" w:name="_Toc163121459"/>
      <w:r>
        <w:rPr>
          <w:rStyle w:val="CharSectno"/>
        </w:rPr>
        <w:t>10</w:t>
      </w:r>
      <w:r>
        <w:t>.</w:t>
      </w:r>
      <w:r>
        <w:tab/>
        <w:t>Additional affidavits, determination of issue etc.</w:t>
      </w:r>
      <w:bookmarkEnd w:id="1136"/>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Gazette 2 Feb 2001 p. 700.]</w:t>
      </w:r>
    </w:p>
    <w:p>
      <w:pPr>
        <w:pStyle w:val="Heading5"/>
      </w:pPr>
      <w:bookmarkStart w:id="1137" w:name="_Toc163121460"/>
      <w:r>
        <w:rPr>
          <w:rStyle w:val="CharSectno"/>
        </w:rPr>
        <w:t>11</w:t>
      </w:r>
      <w:r>
        <w:t>.</w:t>
      </w:r>
      <w:r>
        <w:tab/>
        <w:t>Order as to result of review</w:t>
      </w:r>
      <w:bookmarkEnd w:id="1137"/>
    </w:p>
    <w:p>
      <w:pPr>
        <w:pStyle w:val="Subsection"/>
      </w:pPr>
      <w:r>
        <w:tab/>
        <w:t>(1)</w:t>
      </w:r>
      <w:r>
        <w:tab/>
        <w:t>The result of the review must be embodied in a formal order, which must be filed.</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Gazette 2 Feb 2001 p. 700; amended: Gazette 27 Feb 2018 p. 575.]</w:t>
      </w:r>
    </w:p>
    <w:p>
      <w:pPr>
        <w:pStyle w:val="Heading5"/>
      </w:pPr>
      <w:bookmarkStart w:id="1138" w:name="_Toc163121461"/>
      <w:r>
        <w:rPr>
          <w:rStyle w:val="CharSectno"/>
        </w:rPr>
        <w:t>12</w:t>
      </w:r>
      <w:r>
        <w:t>.</w:t>
      </w:r>
      <w:r>
        <w:tab/>
        <w:t>Application of rules of court</w:t>
      </w:r>
      <w:bookmarkEnd w:id="1138"/>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Gazette 2 Feb 2001 p. 700.]</w:t>
      </w:r>
    </w:p>
    <w:p>
      <w:pPr>
        <w:pStyle w:val="Heading2"/>
      </w:pPr>
      <w:bookmarkStart w:id="1139" w:name="_Toc162941000"/>
      <w:bookmarkStart w:id="1140" w:name="_Toc162953789"/>
      <w:bookmarkStart w:id="1141" w:name="_Toc163121462"/>
      <w:r>
        <w:rPr>
          <w:rStyle w:val="CharPartNo"/>
        </w:rPr>
        <w:lastRenderedPageBreak/>
        <w:t>Order 66</w:t>
      </w:r>
      <w:r>
        <w:t> — </w:t>
      </w:r>
      <w:r>
        <w:rPr>
          <w:rStyle w:val="CharPartText"/>
        </w:rPr>
        <w:t>Costs</w:t>
      </w:r>
      <w:bookmarkEnd w:id="1139"/>
      <w:bookmarkEnd w:id="1140"/>
      <w:bookmarkEnd w:id="1141"/>
    </w:p>
    <w:p>
      <w:pPr>
        <w:pStyle w:val="Heading3"/>
      </w:pPr>
      <w:bookmarkStart w:id="1142" w:name="_Toc162941001"/>
      <w:bookmarkStart w:id="1143" w:name="_Toc162953790"/>
      <w:bookmarkStart w:id="1144" w:name="_Toc163121463"/>
      <w:r>
        <w:rPr>
          <w:rStyle w:val="CharDivNo"/>
        </w:rPr>
        <w:t>Division 1</w:t>
      </w:r>
      <w:r>
        <w:t> — </w:t>
      </w:r>
      <w:r>
        <w:rPr>
          <w:rStyle w:val="CharDivText"/>
        </w:rPr>
        <w:t>General</w:t>
      </w:r>
      <w:bookmarkEnd w:id="1142"/>
      <w:bookmarkEnd w:id="1143"/>
      <w:bookmarkEnd w:id="1144"/>
    </w:p>
    <w:p>
      <w:pPr>
        <w:pStyle w:val="Footnoteheading"/>
      </w:pPr>
      <w:r>
        <w:tab/>
        <w:t xml:space="preserve">[Heading inserted: Gazette 22 Feb 2008 p. 640.] </w:t>
      </w:r>
    </w:p>
    <w:p>
      <w:pPr>
        <w:pStyle w:val="Heading5"/>
        <w:rPr>
          <w:snapToGrid w:val="0"/>
        </w:rPr>
      </w:pPr>
      <w:bookmarkStart w:id="1145" w:name="_Toc163121464"/>
      <w:r>
        <w:rPr>
          <w:rStyle w:val="CharSectno"/>
        </w:rPr>
        <w:t>1</w:t>
      </w:r>
      <w:r>
        <w:rPr>
          <w:snapToGrid w:val="0"/>
        </w:rPr>
        <w:t>.</w:t>
      </w:r>
      <w:r>
        <w:rPr>
          <w:snapToGrid w:val="0"/>
        </w:rPr>
        <w:tab/>
        <w:t>General rules as to costs</w:t>
      </w:r>
      <w:bookmarkEnd w:id="1145"/>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xml:space="preserve">, but in such case the Court may grant that defendant such sum for costs as will compensate him for expenses necessarily incurred by him and may in doing so exercise the powers hereinafter conferred </w:t>
      </w:r>
      <w:r>
        <w:rPr>
          <w:snapToGrid w:val="0"/>
        </w:rPr>
        <w:lastRenderedPageBreak/>
        <w:t>on it to order costs out of any property or fund with or without a right of recourse against any other party to the action or matter.</w:t>
      </w:r>
    </w:p>
    <w:p>
      <w:pPr>
        <w:pStyle w:val="Heading5"/>
        <w:rPr>
          <w:snapToGrid w:val="0"/>
        </w:rPr>
      </w:pPr>
      <w:bookmarkStart w:id="1146" w:name="_Toc163121465"/>
      <w:r>
        <w:rPr>
          <w:rStyle w:val="CharSectno"/>
        </w:rPr>
        <w:t>2</w:t>
      </w:r>
      <w:r>
        <w:rPr>
          <w:snapToGrid w:val="0"/>
        </w:rPr>
        <w:t>.</w:t>
      </w:r>
      <w:r>
        <w:rPr>
          <w:snapToGrid w:val="0"/>
        </w:rPr>
        <w:tab/>
        <w:t>Costs where several causes of action, defendants etc.</w:t>
      </w:r>
      <w:bookmarkEnd w:id="1146"/>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 xml:space="preserve">where several defendants defend an action separately and it appears that the defendants or any of them might have joined in their defence, the Court may allow only one set of costs to those defendants as to whom it appears a joint defence might have been conducted and </w:t>
      </w:r>
      <w:r>
        <w:rPr>
          <w:snapToGrid w:val="0"/>
        </w:rPr>
        <w:lastRenderedPageBreak/>
        <w:t>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1147" w:name="_Toc163121466"/>
      <w:r>
        <w:rPr>
          <w:rStyle w:val="CharSectno"/>
        </w:rPr>
        <w:t>3</w:t>
      </w:r>
      <w:r>
        <w:rPr>
          <w:snapToGrid w:val="0"/>
        </w:rPr>
        <w:t>.</w:t>
      </w:r>
      <w:r>
        <w:rPr>
          <w:snapToGrid w:val="0"/>
        </w:rPr>
        <w:tab/>
        <w:t>Costs of amendment without leave or where facts or documents not admitted</w:t>
      </w:r>
      <w:bookmarkEnd w:id="1147"/>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1148" w:name="_Toc163121467"/>
      <w:r>
        <w:rPr>
          <w:rStyle w:val="CharSectno"/>
        </w:rPr>
        <w:lastRenderedPageBreak/>
        <w:t>4</w:t>
      </w:r>
      <w:r>
        <w:rPr>
          <w:snapToGrid w:val="0"/>
        </w:rPr>
        <w:t>.</w:t>
      </w:r>
      <w:r>
        <w:rPr>
          <w:snapToGrid w:val="0"/>
        </w:rPr>
        <w:tab/>
        <w:t>Action as to property, ordering costs out of property</w:t>
      </w:r>
      <w:bookmarkEnd w:id="1148"/>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1149" w:name="_Toc163121468"/>
      <w:r>
        <w:rPr>
          <w:rStyle w:val="CharSectno"/>
        </w:rPr>
        <w:t>5</w:t>
      </w:r>
      <w:r>
        <w:rPr>
          <w:snapToGrid w:val="0"/>
        </w:rPr>
        <w:t>.</w:t>
      </w:r>
      <w:r>
        <w:rPr>
          <w:snapToGrid w:val="0"/>
        </w:rPr>
        <w:tab/>
        <w:t>Lawyer may be ordered to pay costs etc.</w:t>
      </w:r>
      <w:bookmarkEnd w:id="1149"/>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legal practitioner whom it considers to be responsible (whether personally or through a servant or agent) —</w:t>
      </w:r>
    </w:p>
    <w:p>
      <w:pPr>
        <w:pStyle w:val="Indenta"/>
      </w:pPr>
      <w:r>
        <w:tab/>
        <w:t>(c)</w:t>
      </w:r>
      <w:r>
        <w:tab/>
        <w:t>to pay those costs personally or to indemnify any party who has been ordered to pay those costs; or</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lastRenderedPageBreak/>
        <w:tab/>
        <w:t>(2)</w:t>
      </w:r>
      <w:r>
        <w:rPr>
          <w:snapToGrid w:val="0"/>
        </w:rPr>
        <w:tab/>
        <w:t xml:space="preserve">No order under this rule shall be made against a </w:t>
      </w:r>
      <w:r>
        <w:t>legal practitioner</w:t>
      </w:r>
      <w:r>
        <w:rPr>
          <w:snapToGrid w:val="0"/>
        </w:rPr>
        <w:t xml:space="preserve">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spacing w:before="60"/>
        <w:rPr>
          <w:snapToGrid w:val="0"/>
        </w:rPr>
      </w:pPr>
      <w:r>
        <w:rPr>
          <w:snapToGrid w:val="0"/>
        </w:rPr>
        <w:tab/>
        <w:t>(a)</w:t>
      </w:r>
      <w:r>
        <w:rPr>
          <w:snapToGrid w:val="0"/>
        </w:rPr>
        <w:tab/>
        <w:t xml:space="preserve">because of the failure of the </w:t>
      </w:r>
      <w:r>
        <w:t>legal practitioner</w:t>
      </w:r>
      <w:r>
        <w:rPr>
          <w:snapToGrid w:val="0"/>
        </w:rPr>
        <w:t xml:space="preserve"> to attend in person or by a proper representative; or</w:t>
      </w:r>
    </w:p>
    <w:p>
      <w:pPr>
        <w:pStyle w:val="Indenta"/>
        <w:rPr>
          <w:snapToGrid w:val="0"/>
        </w:rPr>
      </w:pPr>
      <w:r>
        <w:rPr>
          <w:snapToGrid w:val="0"/>
        </w:rPr>
        <w:tab/>
        <w:t>(b)</w:t>
      </w:r>
      <w:r>
        <w:rPr>
          <w:snapToGrid w:val="0"/>
        </w:rPr>
        <w:tab/>
        <w:t xml:space="preserve">because of the failure of the </w:t>
      </w:r>
      <w:r>
        <w:t>legal practitioner</w:t>
      </w:r>
      <w:r>
        <w:rPr>
          <w:snapToGrid w:val="0"/>
        </w:rPr>
        <w:t xml:space="preserve">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 xml:space="preserve">The Court may direct that notice of any proceedings or order against a </w:t>
      </w:r>
      <w:r>
        <w:t>legal practitioner</w:t>
      </w:r>
      <w:r>
        <w:rPr>
          <w:snapToGrid w:val="0"/>
        </w:rPr>
        <w:t xml:space="preserve"> under this rule shall be given to his client in such manner as may be specified in the direction.</w:t>
      </w:r>
    </w:p>
    <w:p>
      <w:pPr>
        <w:pStyle w:val="Footnotesection"/>
      </w:pPr>
      <w:r>
        <w:tab/>
        <w:t>[Rule 5 amended: Gazette 23 Jan 2001 p. 562</w:t>
      </w:r>
      <w:r>
        <w:noBreakHyphen/>
        <w:t>3; SL 2022/74 r. 15.]</w:t>
      </w:r>
    </w:p>
    <w:p>
      <w:pPr>
        <w:pStyle w:val="Heading5"/>
        <w:rPr>
          <w:snapToGrid w:val="0"/>
        </w:rPr>
      </w:pPr>
      <w:bookmarkStart w:id="1150" w:name="_Toc163121469"/>
      <w:r>
        <w:rPr>
          <w:rStyle w:val="CharSectno"/>
        </w:rPr>
        <w:t>6</w:t>
      </w:r>
      <w:r>
        <w:rPr>
          <w:snapToGrid w:val="0"/>
        </w:rPr>
        <w:t>.</w:t>
      </w:r>
      <w:r>
        <w:rPr>
          <w:snapToGrid w:val="0"/>
        </w:rPr>
        <w:tab/>
        <w:t xml:space="preserve">Solicitor guardian </w:t>
      </w:r>
      <w:r>
        <w:rPr>
          <w:i/>
          <w:snapToGrid w:val="0"/>
        </w:rPr>
        <w:t>ad litem</w:t>
      </w:r>
      <w:r>
        <w:rPr>
          <w:snapToGrid w:val="0"/>
        </w:rPr>
        <w:t>, costs of</w:t>
      </w:r>
      <w:bookmarkEnd w:id="1150"/>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1151" w:name="_Toc163121470"/>
      <w:r>
        <w:rPr>
          <w:rStyle w:val="CharSectno"/>
        </w:rPr>
        <w:lastRenderedPageBreak/>
        <w:t>7</w:t>
      </w:r>
      <w:r>
        <w:rPr>
          <w:snapToGrid w:val="0"/>
        </w:rPr>
        <w:t>.</w:t>
      </w:r>
      <w:r>
        <w:rPr>
          <w:snapToGrid w:val="0"/>
        </w:rPr>
        <w:tab/>
        <w:t>Set</w:t>
      </w:r>
      <w:r>
        <w:rPr>
          <w:snapToGrid w:val="0"/>
        </w:rPr>
        <w:noBreakHyphen/>
        <w:t>off may be allowed despite solicitor’s lien</w:t>
      </w:r>
      <w:bookmarkEnd w:id="1151"/>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1152" w:name="_Toc163121471"/>
      <w:r>
        <w:rPr>
          <w:rStyle w:val="CharSectno"/>
        </w:rPr>
        <w:t>8</w:t>
      </w:r>
      <w:r>
        <w:rPr>
          <w:snapToGrid w:val="0"/>
        </w:rPr>
        <w:t>.</w:t>
      </w:r>
      <w:r>
        <w:rPr>
          <w:snapToGrid w:val="0"/>
        </w:rPr>
        <w:tab/>
        <w:t>State solicitors, costs of</w:t>
      </w:r>
      <w:bookmarkEnd w:id="1152"/>
    </w:p>
    <w:p>
      <w:pPr>
        <w:pStyle w:val="Subsection"/>
        <w:rPr>
          <w:snapToGrid w:val="0"/>
        </w:rPr>
      </w:pPr>
      <w:r>
        <w:rPr>
          <w:snapToGrid w:val="0"/>
        </w:rPr>
        <w:tab/>
      </w:r>
      <w:r>
        <w:rPr>
          <w:snapToGrid w:val="0"/>
        </w:rPr>
        <w:tab/>
        <w:t xml:space="preserve">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w:t>
      </w:r>
      <w:r>
        <w:t>legal practitioner</w:t>
      </w:r>
      <w:r>
        <w:rPr>
          <w:snapToGrid w:val="0"/>
        </w:rPr>
        <w:t xml:space="preserve"> engaged by such party.</w:t>
      </w:r>
    </w:p>
    <w:p>
      <w:pPr>
        <w:pStyle w:val="Footnotesection"/>
      </w:pPr>
      <w:r>
        <w:tab/>
        <w:t xml:space="preserve">[Rule 8 amended: Gazette 19 Dec 1975 p. 4571; 19 Apr 2005 p. 1299; SL 2022/74 r. 15.] </w:t>
      </w:r>
    </w:p>
    <w:p>
      <w:pPr>
        <w:pStyle w:val="Heading5"/>
      </w:pPr>
      <w:bookmarkStart w:id="1153" w:name="_Toc163121472"/>
      <w:r>
        <w:rPr>
          <w:rStyle w:val="CharSectno"/>
        </w:rPr>
        <w:t>8A</w:t>
      </w:r>
      <w:r>
        <w:t>.</w:t>
      </w:r>
      <w:r>
        <w:tab/>
        <w:t>Costs in case of legal practitioner acting pro bono</w:t>
      </w:r>
      <w:bookmarkEnd w:id="1153"/>
    </w:p>
    <w:p>
      <w:pPr>
        <w:pStyle w:val="Subsection"/>
      </w:pPr>
      <w:r>
        <w:tab/>
        <w:t>(1)</w:t>
      </w:r>
      <w:r>
        <w:tab/>
        <w:t>In an action or matter in which a legal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legal practitioner may recover the amount ordered to be paid in respect of — </w:t>
      </w:r>
    </w:p>
    <w:p>
      <w:pPr>
        <w:pStyle w:val="Indenta"/>
      </w:pPr>
      <w:r>
        <w:tab/>
        <w:t>(a)</w:t>
      </w:r>
      <w:r>
        <w:tab/>
        <w:t>fees for the legal practitioner’s services; and</w:t>
      </w:r>
    </w:p>
    <w:p>
      <w:pPr>
        <w:pStyle w:val="Indenta"/>
      </w:pPr>
      <w:r>
        <w:tab/>
        <w:t>(b)</w:t>
      </w:r>
      <w:r>
        <w:tab/>
        <w:t>disbursements incurred by the legal practitioner on behalf of the party.</w:t>
      </w:r>
    </w:p>
    <w:p>
      <w:pPr>
        <w:pStyle w:val="Footnotesection"/>
      </w:pPr>
      <w:r>
        <w:tab/>
        <w:t xml:space="preserve">[Rule 8A inserted: Gazette 22 Feb 2008 p. 641; amended: SL 2022/74 r. 15.] </w:t>
      </w:r>
    </w:p>
    <w:p>
      <w:pPr>
        <w:pStyle w:val="Heading5"/>
        <w:rPr>
          <w:snapToGrid w:val="0"/>
        </w:rPr>
      </w:pPr>
      <w:bookmarkStart w:id="1154" w:name="_Toc163121473"/>
      <w:r>
        <w:rPr>
          <w:rStyle w:val="CharSectno"/>
        </w:rPr>
        <w:t>9</w:t>
      </w:r>
      <w:r>
        <w:rPr>
          <w:snapToGrid w:val="0"/>
        </w:rPr>
        <w:t>.</w:t>
      </w:r>
      <w:r>
        <w:rPr>
          <w:snapToGrid w:val="0"/>
        </w:rPr>
        <w:tab/>
        <w:t>Restriction of discretion to order costs in some cases</w:t>
      </w:r>
      <w:bookmarkEnd w:id="1154"/>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 xml:space="preserve">examines the witnesses produced to support the will shall not be liable to pay the costs of the party propounding </w:t>
      </w:r>
      <w:r>
        <w:rPr>
          <w:snapToGrid w:val="0"/>
        </w:rPr>
        <w:lastRenderedPageBreak/>
        <w:t>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1155" w:name="_Toc163121474"/>
      <w:r>
        <w:rPr>
          <w:rStyle w:val="CharSectno"/>
        </w:rPr>
        <w:t>10</w:t>
      </w:r>
      <w:r>
        <w:rPr>
          <w:snapToGrid w:val="0"/>
        </w:rPr>
        <w:t>.</w:t>
      </w:r>
      <w:r>
        <w:rPr>
          <w:snapToGrid w:val="0"/>
        </w:rPr>
        <w:tab/>
        <w:t>Stage at which costs may be dealt with</w:t>
      </w:r>
      <w:bookmarkEnd w:id="1155"/>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 or</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lastRenderedPageBreak/>
        <w:tab/>
        <w:t>(c)</w:t>
      </w:r>
      <w:r>
        <w:rPr>
          <w:snapToGrid w:val="0"/>
        </w:rPr>
        <w:tab/>
        <w:t>order that the costs be ascertained by taxation or otherwise in that other court or tribunal.</w:t>
      </w:r>
    </w:p>
    <w:p>
      <w:pPr>
        <w:pStyle w:val="Heading5"/>
        <w:rPr>
          <w:snapToGrid w:val="0"/>
        </w:rPr>
      </w:pPr>
      <w:bookmarkStart w:id="1156" w:name="_Toc163121475"/>
      <w:r>
        <w:rPr>
          <w:rStyle w:val="CharSectno"/>
        </w:rPr>
        <w:t>11</w:t>
      </w:r>
      <w:r>
        <w:rPr>
          <w:snapToGrid w:val="0"/>
        </w:rPr>
        <w:t>.</w:t>
      </w:r>
      <w:r>
        <w:rPr>
          <w:snapToGrid w:val="0"/>
        </w:rPr>
        <w:tab/>
        <w:t>Scale of costs</w:t>
      </w:r>
      <w:bookmarkEnd w:id="1156"/>
    </w:p>
    <w:p>
      <w:pPr>
        <w:pStyle w:val="Subsection"/>
        <w:keepNext/>
        <w:spacing w:before="120"/>
        <w:rPr>
          <w:snapToGrid w:val="0"/>
        </w:rPr>
      </w:pPr>
      <w:r>
        <w:rPr>
          <w:snapToGrid w:val="0"/>
        </w:rPr>
        <w:tab/>
        <w:t>(1)</w:t>
      </w:r>
      <w:r>
        <w:rPr>
          <w:snapToGrid w:val="0"/>
        </w:rPr>
        <w:tab/>
        <w:t>For the purposes of this Order — </w:t>
      </w:r>
    </w:p>
    <w:p>
      <w:pPr>
        <w:pStyle w:val="Defstart"/>
      </w:pPr>
      <w:r>
        <w:tab/>
      </w:r>
      <w:r>
        <w:rPr>
          <w:rStyle w:val="CharDefText"/>
        </w:rPr>
        <w:t>any relevant scale</w:t>
      </w:r>
      <w:r>
        <w:t xml:space="preserve"> means any legal costs determination made under the </w:t>
      </w:r>
      <w:r>
        <w:rPr>
          <w:i/>
        </w:rPr>
        <w:t>Legal Profession Uniform Law Application Act 2022</w:t>
      </w:r>
      <w:r>
        <w:t xml:space="preserve"> section 133, that relates to the costs that may be charged by law practices in respect of business before the Court carried out by legal practitioners.</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Profession Uniform Law (WA)</w:t>
      </w:r>
      <w:r>
        <w:t xml:space="preserve"> permitting law practices</w:t>
      </w:r>
      <w:r>
        <w:rPr>
          <w:i/>
        </w:rPr>
        <w:t xml:space="preserve"> </w:t>
      </w:r>
      <w:r>
        <w:t xml:space="preserve">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keepNext/>
        <w:spacing w:before="120"/>
        <w:rPr>
          <w:snapToGrid w:val="0"/>
        </w:rPr>
      </w:pPr>
      <w:r>
        <w:rPr>
          <w:snapToGrid w:val="0"/>
        </w:rPr>
        <w:lastRenderedPageBreak/>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Gazette 7 Feb 1992 p. 686</w:t>
      </w:r>
      <w:r>
        <w:noBreakHyphen/>
        <w:t xml:space="preserve">7; amended: Gazette 19 Apr 2005 p. 1299; 3 Jul 2009 p. 2699; SL 2022/74 r. 11(1) and (2) and 15.] </w:t>
      </w:r>
    </w:p>
    <w:p>
      <w:pPr>
        <w:pStyle w:val="Ednotesection"/>
      </w:pPr>
      <w:r>
        <w:t>[</w:t>
      </w:r>
      <w:r>
        <w:rPr>
          <w:b/>
        </w:rPr>
        <w:t>12.</w:t>
      </w:r>
      <w:r>
        <w:tab/>
        <w:t>Deleted: Gazette 21 Feb 2007 p. 575.]</w:t>
      </w:r>
    </w:p>
    <w:p>
      <w:pPr>
        <w:pStyle w:val="Heading5"/>
        <w:keepNext w:val="0"/>
        <w:keepLines w:val="0"/>
        <w:rPr>
          <w:snapToGrid w:val="0"/>
        </w:rPr>
      </w:pPr>
      <w:bookmarkStart w:id="1157" w:name="_Toc163121476"/>
      <w:r>
        <w:rPr>
          <w:rStyle w:val="CharSectno"/>
        </w:rPr>
        <w:t>13</w:t>
      </w:r>
      <w:r>
        <w:rPr>
          <w:snapToGrid w:val="0"/>
        </w:rPr>
        <w:t>.</w:t>
      </w:r>
      <w:r>
        <w:rPr>
          <w:snapToGrid w:val="0"/>
        </w:rPr>
        <w:tab/>
        <w:t>Costs where scale does not apply</w:t>
      </w:r>
      <w:bookmarkEnd w:id="1157"/>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Gazette 7 Feb 1992 p. 687.] </w:t>
      </w:r>
    </w:p>
    <w:p>
      <w:pPr>
        <w:pStyle w:val="Heading5"/>
        <w:rPr>
          <w:snapToGrid w:val="0"/>
        </w:rPr>
      </w:pPr>
      <w:bookmarkStart w:id="1158" w:name="_Toc163121477"/>
      <w:r>
        <w:rPr>
          <w:rStyle w:val="CharSectno"/>
        </w:rPr>
        <w:t>14</w:t>
      </w:r>
      <w:r>
        <w:rPr>
          <w:snapToGrid w:val="0"/>
        </w:rPr>
        <w:t>.</w:t>
      </w:r>
      <w:r>
        <w:rPr>
          <w:snapToGrid w:val="0"/>
        </w:rPr>
        <w:tab/>
        <w:t>Lump sum award for costs, interim award as to</w:t>
      </w:r>
      <w:bookmarkEnd w:id="1158"/>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lastRenderedPageBreak/>
        <w:t>[</w:t>
      </w:r>
      <w:r>
        <w:rPr>
          <w:b/>
        </w:rPr>
        <w:t>15.</w:t>
      </w:r>
      <w:r>
        <w:rPr>
          <w:b/>
        </w:rPr>
        <w:tab/>
      </w:r>
      <w:r>
        <w:t xml:space="preserve">Deleted: Gazette 19 Dec 1975 p. 4572.] </w:t>
      </w:r>
    </w:p>
    <w:p>
      <w:pPr>
        <w:pStyle w:val="Ednotesection"/>
      </w:pPr>
      <w:r>
        <w:t>[</w:t>
      </w:r>
      <w:r>
        <w:rPr>
          <w:b/>
        </w:rPr>
        <w:t>16.</w:t>
      </w:r>
      <w:r>
        <w:rPr>
          <w:b/>
        </w:rPr>
        <w:tab/>
      </w:r>
      <w:r>
        <w:t xml:space="preserve">Deleted: Gazette 7 Feb 1992 p. 687.] </w:t>
      </w:r>
    </w:p>
    <w:p>
      <w:pPr>
        <w:pStyle w:val="Heading5"/>
        <w:rPr>
          <w:snapToGrid w:val="0"/>
        </w:rPr>
      </w:pPr>
      <w:bookmarkStart w:id="1159" w:name="_Toc163121478"/>
      <w:r>
        <w:rPr>
          <w:rStyle w:val="CharSectno"/>
        </w:rPr>
        <w:t>17</w:t>
      </w:r>
      <w:r>
        <w:rPr>
          <w:snapToGrid w:val="0"/>
        </w:rPr>
        <w:t>.</w:t>
      </w:r>
      <w:r>
        <w:rPr>
          <w:snapToGrid w:val="0"/>
        </w:rPr>
        <w:tab/>
        <w:t>Cases that Magistrates Court could have decided, costs in</w:t>
      </w:r>
      <w:bookmarkEnd w:id="1159"/>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r>
        <w:tab/>
        <w:t>[Rule 17 amended: Gazette 29 Apr 2005 p. 1800.]</w:t>
      </w:r>
    </w:p>
    <w:p>
      <w:pPr>
        <w:pStyle w:val="Heading5"/>
        <w:rPr>
          <w:snapToGrid w:val="0"/>
        </w:rPr>
      </w:pPr>
      <w:bookmarkStart w:id="1160" w:name="_Toc163121479"/>
      <w:r>
        <w:rPr>
          <w:rStyle w:val="CharSectno"/>
        </w:rPr>
        <w:t>18</w:t>
      </w:r>
      <w:r>
        <w:rPr>
          <w:snapToGrid w:val="0"/>
        </w:rPr>
        <w:t>.</w:t>
      </w:r>
      <w:r>
        <w:rPr>
          <w:snapToGrid w:val="0"/>
        </w:rPr>
        <w:tab/>
        <w:t>Matters not provided for in scale</w:t>
      </w:r>
      <w:bookmarkEnd w:id="1160"/>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 xml:space="preserve">Without limiting the generality of </w:t>
      </w:r>
      <w:r>
        <w:t>subrule</w:t>
      </w:r>
      <w:r>
        <w:rPr>
          <w:snapToGrid w:val="0"/>
        </w:rPr>
        <w:t>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lastRenderedPageBreak/>
        <w:tab/>
        <w:t>(b)</w:t>
      </w:r>
      <w:r>
        <w:rPr>
          <w:snapToGrid w:val="0"/>
        </w:rPr>
        <w:tab/>
        <w:t>for a conference or consultation where and to the extent that the conference or consultation was necessary.</w:t>
      </w:r>
    </w:p>
    <w:p>
      <w:pPr>
        <w:pStyle w:val="Footnotesection"/>
      </w:pPr>
      <w:r>
        <w:tab/>
        <w:t>[Rule 18 inserted: Gazette 19 Dec 1975 p. 4572</w:t>
      </w:r>
      <w:r>
        <w:noBreakHyphen/>
        <w:t xml:space="preserve">3; amended: Gazette 14 Dec 1979 p. 3871; 7 Feb 1992 p. 687; 28 Jun 2011 p. 2552.] </w:t>
      </w:r>
    </w:p>
    <w:p>
      <w:pPr>
        <w:pStyle w:val="Heading5"/>
        <w:rPr>
          <w:snapToGrid w:val="0"/>
        </w:rPr>
      </w:pPr>
      <w:bookmarkStart w:id="1161" w:name="_Toc163121480"/>
      <w:r>
        <w:rPr>
          <w:rStyle w:val="CharSectno"/>
        </w:rPr>
        <w:t>19</w:t>
      </w:r>
      <w:r>
        <w:rPr>
          <w:snapToGrid w:val="0"/>
        </w:rPr>
        <w:t>.</w:t>
      </w:r>
      <w:r>
        <w:rPr>
          <w:snapToGrid w:val="0"/>
        </w:rPr>
        <w:tab/>
        <w:t>Disbursements etc. allowable on taxation</w:t>
      </w:r>
      <w:bookmarkEnd w:id="1161"/>
    </w:p>
    <w:p>
      <w:pPr>
        <w:pStyle w:val="Subsection"/>
        <w:keepNext/>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Gazette 30 Jun 2000 p. 3418.]</w:t>
      </w:r>
    </w:p>
    <w:p>
      <w:pPr>
        <w:pStyle w:val="Heading5"/>
        <w:rPr>
          <w:snapToGrid w:val="0"/>
        </w:rPr>
      </w:pPr>
      <w:bookmarkStart w:id="1162" w:name="_Toc163121481"/>
      <w:r>
        <w:rPr>
          <w:rStyle w:val="CharSectno"/>
        </w:rPr>
        <w:t>20</w:t>
      </w:r>
      <w:r>
        <w:rPr>
          <w:snapToGrid w:val="0"/>
        </w:rPr>
        <w:t>.</w:t>
      </w:r>
      <w:r>
        <w:rPr>
          <w:snapToGrid w:val="0"/>
        </w:rPr>
        <w:tab/>
        <w:t>Basis for calculating costs</w:t>
      </w:r>
      <w:bookmarkEnd w:id="1162"/>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 xml:space="preserve">Where relief other than a liquidated sum is claimed, either alone or in addition to a liquidated sum, the Court in giving judgment </w:t>
      </w:r>
      <w:r>
        <w:rPr>
          <w:snapToGrid w:val="0"/>
        </w:rPr>
        <w:lastRenderedPageBreak/>
        <w:t>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Gazette 30 Nov 1984 p. 3952.] </w:t>
      </w:r>
    </w:p>
    <w:p>
      <w:pPr>
        <w:pStyle w:val="Heading5"/>
        <w:rPr>
          <w:snapToGrid w:val="0"/>
        </w:rPr>
      </w:pPr>
      <w:bookmarkStart w:id="1163" w:name="_Toc163121482"/>
      <w:r>
        <w:rPr>
          <w:rStyle w:val="CharSectno"/>
        </w:rPr>
        <w:t>21</w:t>
      </w:r>
      <w:r>
        <w:rPr>
          <w:snapToGrid w:val="0"/>
        </w:rPr>
        <w:t>.</w:t>
      </w:r>
      <w:r>
        <w:rPr>
          <w:snapToGrid w:val="0"/>
        </w:rPr>
        <w:tab/>
        <w:t>No substantial trial, costs in case of</w:t>
      </w:r>
      <w:bookmarkEnd w:id="1163"/>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Gazette 19 Dec 1975 p. 4573; 7 Feb 1992 p. 687.] </w:t>
      </w:r>
    </w:p>
    <w:p>
      <w:pPr>
        <w:pStyle w:val="Ednotesection"/>
      </w:pPr>
      <w:r>
        <w:t>[</w:t>
      </w:r>
      <w:r>
        <w:rPr>
          <w:b/>
        </w:rPr>
        <w:t>22.</w:t>
      </w:r>
      <w:r>
        <w:rPr>
          <w:b/>
        </w:rPr>
        <w:tab/>
      </w:r>
      <w:r>
        <w:t xml:space="preserve">Deleted: Gazette 19 Dec 1975 p. 4573.] </w:t>
      </w:r>
    </w:p>
    <w:p>
      <w:pPr>
        <w:pStyle w:val="Heading5"/>
        <w:rPr>
          <w:snapToGrid w:val="0"/>
        </w:rPr>
      </w:pPr>
      <w:bookmarkStart w:id="1164" w:name="_Toc163121483"/>
      <w:r>
        <w:rPr>
          <w:rStyle w:val="CharSectno"/>
        </w:rPr>
        <w:t>23</w:t>
      </w:r>
      <w:r>
        <w:rPr>
          <w:snapToGrid w:val="0"/>
        </w:rPr>
        <w:t>.</w:t>
      </w:r>
      <w:r>
        <w:rPr>
          <w:snapToGrid w:val="0"/>
        </w:rPr>
        <w:tab/>
        <w:t>Certain fees in scales may be increased if inadequate</w:t>
      </w:r>
      <w:bookmarkEnd w:id="1164"/>
    </w:p>
    <w:p>
      <w:pPr>
        <w:pStyle w:val="Subsection"/>
        <w:keepNext/>
        <w:rPr>
          <w:snapToGrid w:val="0"/>
        </w:rPr>
      </w:pPr>
      <w:r>
        <w:rPr>
          <w:snapToGrid w:val="0"/>
        </w:rPr>
        <w:tab/>
      </w:r>
      <w:r>
        <w:rPr>
          <w:snapToGrid w:val="0"/>
        </w:rPr>
        <w:tab/>
        <w:t xml:space="preserve">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w:t>
      </w:r>
      <w:r>
        <w:rPr>
          <w:snapToGrid w:val="0"/>
        </w:rPr>
        <w:lastRenderedPageBreak/>
        <w:t>document has been drawn or settled by counsel or by the solicitor.</w:t>
      </w:r>
    </w:p>
    <w:p>
      <w:pPr>
        <w:pStyle w:val="Footnotesection"/>
      </w:pPr>
      <w:r>
        <w:tab/>
        <w:t xml:space="preserve">[Rule 23 amended: Gazette 19 Dec 1975 p. 4573; 7 Feb 1992 p. 687.] </w:t>
      </w:r>
    </w:p>
    <w:p>
      <w:pPr>
        <w:pStyle w:val="Heading5"/>
        <w:rPr>
          <w:snapToGrid w:val="0"/>
        </w:rPr>
      </w:pPr>
      <w:bookmarkStart w:id="1165" w:name="_Toc163121484"/>
      <w:r>
        <w:rPr>
          <w:rStyle w:val="CharSectno"/>
        </w:rPr>
        <w:t>24</w:t>
      </w:r>
      <w:r>
        <w:rPr>
          <w:snapToGrid w:val="0"/>
        </w:rPr>
        <w:t>.</w:t>
      </w:r>
      <w:r>
        <w:rPr>
          <w:snapToGrid w:val="0"/>
        </w:rPr>
        <w:tab/>
        <w:t>Judgment for person under disability, solicitor’s costs in case of</w:t>
      </w:r>
      <w:bookmarkEnd w:id="1165"/>
    </w:p>
    <w:p>
      <w:pPr>
        <w:pStyle w:val="Subsection"/>
        <w:spacing w:before="140"/>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spacing w:before="140"/>
        <w:rPr>
          <w:snapToGrid w:val="0"/>
        </w:rPr>
      </w:pPr>
      <w:r>
        <w:rPr>
          <w:snapToGrid w:val="0"/>
        </w:rPr>
        <w:tab/>
        <w:t>(2)</w:t>
      </w:r>
      <w:r>
        <w:rPr>
          <w:snapToGrid w:val="0"/>
        </w:rPr>
        <w:tab/>
        <w:t>This rule applies to — </w:t>
      </w:r>
    </w:p>
    <w:p>
      <w:pPr>
        <w:pStyle w:val="Indenta"/>
        <w:spacing w:before="60"/>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spacing w:before="60"/>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paragraph (a).</w:t>
      </w:r>
    </w:p>
    <w:p>
      <w:pPr>
        <w:pStyle w:val="Subsection"/>
        <w:spacing w:before="140"/>
        <w:rPr>
          <w:snapToGrid w:val="0"/>
        </w:rPr>
      </w:pPr>
      <w:r>
        <w:rPr>
          <w:snapToGrid w:val="0"/>
        </w:rPr>
        <w:tab/>
        <w:t>(3)</w:t>
      </w:r>
      <w:r>
        <w:rPr>
          <w:snapToGrid w:val="0"/>
        </w:rPr>
        <w:tab/>
        <w:t xml:space="preserve">Except as provided by </w:t>
      </w:r>
      <w:r>
        <w:t>subrule</w:t>
      </w:r>
      <w:r>
        <w:rPr>
          <w:snapToGrid w:val="0"/>
        </w:rPr>
        <w:t>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spacing w:before="140"/>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spacing w:before="140"/>
        <w:rPr>
          <w:snapToGrid w:val="0"/>
        </w:rPr>
      </w:pPr>
      <w:r>
        <w:rPr>
          <w:snapToGrid w:val="0"/>
        </w:rPr>
        <w:lastRenderedPageBreak/>
        <w:tab/>
        <w:t>(5)</w:t>
      </w:r>
      <w:r>
        <w:rPr>
          <w:snapToGrid w:val="0"/>
        </w:rPr>
        <w:tab/>
      </w:r>
      <w:r>
        <w:t>Subrule</w:t>
      </w:r>
      <w:r>
        <w:rPr>
          <w:snapToGrid w:val="0"/>
        </w:rPr>
        <w:t xml:space="preserve"> (3) applies in relation to any proceedings to which this rule applies by virtue of </w:t>
      </w:r>
      <w:r>
        <w:t>subrule</w:t>
      </w:r>
      <w:r>
        <w:rPr>
          <w:snapToGrid w:val="0"/>
        </w:rPr>
        <w:t> (2)(b) as if for references to a plaintiff there were substituted references to the party, whether appellant or respondent, who was the plaintiff in the proceedings in the court below.</w:t>
      </w:r>
    </w:p>
    <w:p>
      <w:pPr>
        <w:pStyle w:val="Subsection"/>
        <w:spacing w:before="140"/>
        <w:rPr>
          <w:snapToGrid w:val="0"/>
        </w:rPr>
      </w:pPr>
      <w:r>
        <w:rPr>
          <w:snapToGrid w:val="0"/>
        </w:rPr>
        <w:tab/>
        <w:t>(6)</w:t>
      </w:r>
      <w:r>
        <w:rPr>
          <w:snapToGrid w:val="0"/>
        </w:rPr>
        <w:tab/>
        <w:t xml:space="preserve">Nothing in </w:t>
      </w:r>
      <w:r>
        <w:t xml:space="preserve">subrules (1) to (5) </w:t>
      </w:r>
      <w:r>
        <w:rPr>
          <w:snapToGrid w:val="0"/>
        </w:rPr>
        <w:t>shall prejudice a solicitor’s lien for costs.</w:t>
      </w:r>
    </w:p>
    <w:p>
      <w:pPr>
        <w:pStyle w:val="Subsection"/>
        <w:rPr>
          <w:snapToGrid w:val="0"/>
        </w:rPr>
      </w:pPr>
      <w:r>
        <w:rPr>
          <w:snapToGrid w:val="0"/>
        </w:rPr>
        <w:tab/>
        <w:t>(7)</w:t>
      </w:r>
      <w:r>
        <w:rPr>
          <w:snapToGrid w:val="0"/>
        </w:rPr>
        <w:tab/>
      </w:r>
      <w:r>
        <w:t xml:space="preserve">Subrules (1) to (6) </w:t>
      </w:r>
      <w:r>
        <w:rPr>
          <w:snapToGrid w:val="0"/>
        </w:rPr>
        <w:t>apply in relation to a counterclaim by or on behalf or for the benefit of a person under disability, as if for references to a plaintiff there were substituted references to a defendant.</w:t>
      </w:r>
    </w:p>
    <w:p>
      <w:pPr>
        <w:pStyle w:val="Footnotesection"/>
      </w:pPr>
      <w:r>
        <w:tab/>
        <w:t>[Rule 24 amended: Gazette 29 Apr 2005 p. 1795; 28 Jun 2011 p. 2552 and 2555.]</w:t>
      </w:r>
    </w:p>
    <w:p>
      <w:pPr>
        <w:pStyle w:val="Heading5"/>
      </w:pPr>
      <w:bookmarkStart w:id="1166" w:name="_Toc163121485"/>
      <w:r>
        <w:rPr>
          <w:rStyle w:val="CharSectno"/>
        </w:rPr>
        <w:t>25</w:t>
      </w:r>
      <w:r>
        <w:t>.</w:t>
      </w:r>
      <w:r>
        <w:tab/>
        <w:t>Own costs orders</w:t>
      </w:r>
      <w:bookmarkEnd w:id="1166"/>
    </w:p>
    <w:p>
      <w:pPr>
        <w:pStyle w:val="Subsection"/>
      </w:pPr>
      <w:r>
        <w:tab/>
        <w:t>(1)</w:t>
      </w:r>
      <w:r>
        <w:tab/>
        <w:t xml:space="preserve">In this rule — </w:t>
      </w:r>
    </w:p>
    <w:p>
      <w:pPr>
        <w:pStyle w:val="Defstart"/>
      </w:pPr>
      <w:r>
        <w:tab/>
      </w:r>
      <w:r>
        <w:rPr>
          <w:rStyle w:val="CharDefText"/>
        </w:rPr>
        <w:t>claim</w:t>
      </w:r>
      <w:r>
        <w:t xml:space="preserve"> means a claim for relief in connection with — </w:t>
      </w:r>
    </w:p>
    <w:p>
      <w:pPr>
        <w:pStyle w:val="Defpara"/>
      </w:pPr>
      <w:r>
        <w:tab/>
        <w:t>(a)</w:t>
      </w:r>
      <w:r>
        <w:tab/>
        <w:t xml:space="preserve">an alleged breach of any provision in the Australian Consumer Law (as defined in the </w:t>
      </w:r>
      <w:r>
        <w:rPr>
          <w:i/>
        </w:rPr>
        <w:t>Fair Trading Act 2010</w:t>
      </w:r>
      <w:r>
        <w:t xml:space="preserve"> section 17) Part 2.2, 2.3 or 5.5; or</w:t>
      </w:r>
    </w:p>
    <w:p>
      <w:pPr>
        <w:pStyle w:val="Defpara"/>
      </w:pPr>
      <w:r>
        <w:tab/>
        <w:t>(b)</w:t>
      </w:r>
      <w:r>
        <w:tab/>
        <w:t xml:space="preserve">an alleged breach of the </w:t>
      </w:r>
      <w:r>
        <w:rPr>
          <w:i/>
        </w:rPr>
        <w:t>Corporations Act 2001</w:t>
      </w:r>
      <w:r>
        <w:t xml:space="preserve"> (Commonwealth) section 991A or 1325C; or</w:t>
      </w:r>
    </w:p>
    <w:p>
      <w:pPr>
        <w:pStyle w:val="Defpara"/>
      </w:pPr>
      <w:r>
        <w:tab/>
        <w:t>(c)</w:t>
      </w:r>
      <w:r>
        <w:tab/>
        <w:t>an allegation of unconscionable conduct; or</w:t>
      </w:r>
    </w:p>
    <w:p>
      <w:pPr>
        <w:pStyle w:val="Defpara"/>
      </w:pPr>
      <w:r>
        <w:tab/>
        <w:t>(d)</w:t>
      </w:r>
      <w:r>
        <w:tab/>
        <w:t>an allegation of economic duress or abuse of power;</w:t>
      </w:r>
    </w:p>
    <w:p>
      <w:pPr>
        <w:pStyle w:val="Defstart"/>
      </w:pPr>
      <w:r>
        <w:tab/>
      </w:r>
      <w:r>
        <w:rPr>
          <w:rStyle w:val="CharDefText"/>
        </w:rPr>
        <w:t>claimant</w:t>
      </w:r>
      <w:r>
        <w:t xml:space="preserve"> means a person making a claim;</w:t>
      </w:r>
    </w:p>
    <w:p>
      <w:pPr>
        <w:pStyle w:val="Defstart"/>
      </w:pPr>
      <w:r>
        <w:tab/>
      </w:r>
      <w:r>
        <w:rPr>
          <w:rStyle w:val="CharDefText"/>
        </w:rPr>
        <w:t>own costs order</w:t>
      </w:r>
      <w:r>
        <w:t>, in relation to a case, means an order that each party to the case is to bear its own costs of the proceedings.</w:t>
      </w:r>
    </w:p>
    <w:p>
      <w:pPr>
        <w:pStyle w:val="Subsection"/>
      </w:pPr>
      <w:r>
        <w:tab/>
        <w:t>(2)</w:t>
      </w:r>
      <w:r>
        <w:tab/>
        <w:t>Subject to subrules (3) and (4), the Court may, on an application by a claimant, make an own costs order at any time during proceedings on a case that involves a claim.</w:t>
      </w:r>
    </w:p>
    <w:p>
      <w:pPr>
        <w:pStyle w:val="Subsection"/>
      </w:pPr>
      <w:r>
        <w:tab/>
        <w:t>(3)</w:t>
      </w:r>
      <w:r>
        <w:tab/>
        <w:t xml:space="preserve">Before making the own costs order the Court must have regard to the following — </w:t>
      </w:r>
    </w:p>
    <w:p>
      <w:pPr>
        <w:pStyle w:val="Indenta"/>
      </w:pPr>
      <w:r>
        <w:lastRenderedPageBreak/>
        <w:tab/>
        <w:t>(a)</w:t>
      </w:r>
      <w:r>
        <w:tab/>
        <w:t>whether the proceedings raise an issue of general importance;</w:t>
      </w:r>
    </w:p>
    <w:p>
      <w:pPr>
        <w:pStyle w:val="Indenta"/>
      </w:pPr>
      <w:r>
        <w:tab/>
        <w:t>(b)</w:t>
      </w:r>
      <w:r>
        <w:tab/>
        <w:t>whether a defendant to the claim has substantially greater financial resources than a claimant;</w:t>
      </w:r>
    </w:p>
    <w:p>
      <w:pPr>
        <w:pStyle w:val="Indenta"/>
      </w:pPr>
      <w:r>
        <w:tab/>
        <w:t>(c)</w:t>
      </w:r>
      <w:r>
        <w:tab/>
        <w:t>whether the claim has reasonable merit;</w:t>
      </w:r>
    </w:p>
    <w:p>
      <w:pPr>
        <w:pStyle w:val="Indenta"/>
      </w:pPr>
      <w:r>
        <w:tab/>
        <w:t>(d)</w:t>
      </w:r>
      <w:r>
        <w:tab/>
        <w:t>whether the legal practitioners of each claimant have agreed to act on a fee arrangement that, viewed objectively at the time the arrangement is made, is likely to result in the claimant being charged no more than the fees that could be recovered under the applicable Court scale;</w:t>
      </w:r>
    </w:p>
    <w:p>
      <w:pPr>
        <w:pStyle w:val="Indenta"/>
      </w:pPr>
      <w:r>
        <w:tab/>
        <w:t>(e)</w:t>
      </w:r>
      <w:r>
        <w:tab/>
        <w:t>any other matter the Court considers appropriate.</w:t>
      </w:r>
    </w:p>
    <w:p>
      <w:pPr>
        <w:pStyle w:val="Subsection"/>
      </w:pPr>
      <w:r>
        <w:tab/>
        <w:t>(4)</w:t>
      </w:r>
      <w:r>
        <w:tab/>
        <w:t>The Court must not make an own costs order if a claimant has agreed to pay any part of the proceeds obtained by way of judgment or settlement of the claim to any third party who is in the business of providing litigation funding or support.</w:t>
      </w:r>
    </w:p>
    <w:p>
      <w:pPr>
        <w:pStyle w:val="Subsection"/>
      </w:pPr>
      <w:r>
        <w:tab/>
        <w:t>(5)</w:t>
      </w:r>
      <w:r>
        <w:tab/>
        <w:t>An own costs order does not affect a party’s liability for costs ordered against the party —</w:t>
      </w:r>
    </w:p>
    <w:p>
      <w:pPr>
        <w:pStyle w:val="Indenta"/>
      </w:pPr>
      <w:r>
        <w:tab/>
        <w:t>(a)</w:t>
      </w:r>
      <w:r>
        <w:tab/>
        <w:t>by way of sanction for improper conduct or abuse of process, including persistently advancing by way of claim or defence contentions that are not reasonably arguable; or</w:t>
      </w:r>
    </w:p>
    <w:p>
      <w:pPr>
        <w:pStyle w:val="Indenta"/>
      </w:pPr>
      <w:r>
        <w:tab/>
        <w:t>(b)</w:t>
      </w:r>
      <w:r>
        <w:tab/>
        <w:t>in other exceptional circumstances that the Court considers warrant the making of a special order for costs.</w:t>
      </w:r>
    </w:p>
    <w:p>
      <w:pPr>
        <w:pStyle w:val="Subsection"/>
      </w:pPr>
      <w:r>
        <w:tab/>
        <w:t>(6)</w:t>
      </w:r>
      <w:r>
        <w:tab/>
        <w:t xml:space="preserve">An own costs order applies to costs incurred by the parties — </w:t>
      </w:r>
    </w:p>
    <w:p>
      <w:pPr>
        <w:pStyle w:val="Indenta"/>
      </w:pPr>
      <w:r>
        <w:tab/>
        <w:t>(a)</w:t>
      </w:r>
      <w:r>
        <w:tab/>
        <w:t>from a time during the proceedings specified in the order; or</w:t>
      </w:r>
    </w:p>
    <w:p>
      <w:pPr>
        <w:pStyle w:val="Indenta"/>
      </w:pPr>
      <w:r>
        <w:tab/>
        <w:t>(b)</w:t>
      </w:r>
      <w:r>
        <w:tab/>
        <w:t>if no time is specified in the order, from the day on which the order is made.</w:t>
      </w:r>
    </w:p>
    <w:p>
      <w:pPr>
        <w:pStyle w:val="Subsection"/>
      </w:pPr>
      <w:r>
        <w:lastRenderedPageBreak/>
        <w:tab/>
        <w:t>(7)</w:t>
      </w:r>
      <w:r>
        <w:tab/>
        <w:t>For the purposes of subrule (6)(a), the Court may specify a time during the proceedings that is before the own costs order was made or applied for.</w:t>
      </w:r>
    </w:p>
    <w:p>
      <w:pPr>
        <w:pStyle w:val="Subsection"/>
      </w:pPr>
      <w:r>
        <w:tab/>
        <w:t>(8)</w:t>
      </w:r>
      <w:r>
        <w:tab/>
        <w:t>The Court may revoke an own costs order at any time during proceedings if the Court considers that there has been a material change in the circumstances warranting the revocation.</w:t>
      </w:r>
    </w:p>
    <w:p>
      <w:pPr>
        <w:pStyle w:val="Subsection"/>
      </w:pPr>
      <w:r>
        <w:tab/>
        <w:t>(9)</w:t>
      </w:r>
      <w:r>
        <w:tab/>
        <w:t>An own costs order revoked under subrule (8) continues to apply to costs incurred by the parties before the day on which the order was revoked as if the order had not been revoked.</w:t>
      </w:r>
    </w:p>
    <w:p>
      <w:pPr>
        <w:pStyle w:val="Subsection"/>
      </w:pPr>
      <w:r>
        <w:tab/>
        <w:t>(10)</w:t>
      </w:r>
      <w:r>
        <w:tab/>
        <w:t>This rule does not affect the Court’s general discretion with respect to costs.</w:t>
      </w:r>
    </w:p>
    <w:p>
      <w:pPr>
        <w:pStyle w:val="Footnotesection"/>
        <w:spacing w:before="100"/>
        <w:ind w:left="890" w:hanging="890"/>
      </w:pPr>
      <w:r>
        <w:tab/>
        <w:t>[Rule 25 inserted: Gazette 26 Sep 2014 p. 3560</w:t>
      </w:r>
      <w:r>
        <w:noBreakHyphen/>
        <w:t>1; amended: SL 2022/74 r. 15.]</w:t>
      </w:r>
    </w:p>
    <w:p>
      <w:pPr>
        <w:pStyle w:val="Ednotesection"/>
      </w:pPr>
      <w:r>
        <w:t>[</w:t>
      </w:r>
      <w:r>
        <w:rPr>
          <w:b/>
        </w:rPr>
        <w:t>26</w:t>
      </w:r>
      <w:r>
        <w:rPr>
          <w:b/>
        </w:rPr>
        <w:noBreakHyphen/>
        <w:t>31.</w:t>
      </w:r>
      <w:r>
        <w:tab/>
        <w:t xml:space="preserve">Deleted: Gazette 19 Dec 1975 p. 4573.] </w:t>
      </w:r>
    </w:p>
    <w:p>
      <w:pPr>
        <w:pStyle w:val="Heading3"/>
      </w:pPr>
      <w:bookmarkStart w:id="1167" w:name="_Toc162941024"/>
      <w:bookmarkStart w:id="1168" w:name="_Toc162953813"/>
      <w:bookmarkStart w:id="1169" w:name="_Toc163121486"/>
      <w:r>
        <w:rPr>
          <w:rStyle w:val="CharDivNo"/>
        </w:rPr>
        <w:t>Division 2</w:t>
      </w:r>
      <w:r>
        <w:t> — </w:t>
      </w:r>
      <w:r>
        <w:rPr>
          <w:rStyle w:val="CharDivText"/>
        </w:rPr>
        <w:t>Taxation of costs</w:t>
      </w:r>
      <w:bookmarkEnd w:id="1167"/>
      <w:bookmarkEnd w:id="1168"/>
      <w:bookmarkEnd w:id="1169"/>
    </w:p>
    <w:p>
      <w:pPr>
        <w:pStyle w:val="Footnoteheading"/>
      </w:pPr>
      <w:r>
        <w:tab/>
        <w:t xml:space="preserve">[Heading inserted: Gazette 22 Feb 2008 p. 640.] </w:t>
      </w:r>
    </w:p>
    <w:p>
      <w:pPr>
        <w:pStyle w:val="Heading5"/>
        <w:rPr>
          <w:snapToGrid w:val="0"/>
        </w:rPr>
      </w:pPr>
      <w:bookmarkStart w:id="1170" w:name="_Toc163121487"/>
      <w:r>
        <w:rPr>
          <w:rStyle w:val="CharSectno"/>
        </w:rPr>
        <w:t>32</w:t>
      </w:r>
      <w:r>
        <w:rPr>
          <w:snapToGrid w:val="0"/>
        </w:rPr>
        <w:t>.</w:t>
      </w:r>
      <w:r>
        <w:rPr>
          <w:snapToGrid w:val="0"/>
        </w:rPr>
        <w:tab/>
        <w:t>Bills of costs to be taxed</w:t>
      </w:r>
      <w:bookmarkEnd w:id="1170"/>
    </w:p>
    <w:p>
      <w:pPr>
        <w:pStyle w:val="Subsection"/>
        <w:rPr>
          <w:snapToGrid w:val="0"/>
        </w:rPr>
      </w:pPr>
      <w:r>
        <w:rPr>
          <w:snapToGrid w:val="0"/>
        </w:rPr>
        <w:tab/>
        <w:t>(1)</w:t>
      </w:r>
      <w:r>
        <w:rPr>
          <w:snapToGrid w:val="0"/>
        </w:rPr>
        <w:tab/>
        <w:t xml:space="preserve">Unless the Court in a particular case otherwise directs, bills of costs and fees which are payable to </w:t>
      </w:r>
      <w:r>
        <w:t>legal practitioners</w:t>
      </w:r>
      <w:r>
        <w:rPr>
          <w:snapToGrid w:val="0"/>
        </w:rPr>
        <w:t xml:space="preserve">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Footnotesection"/>
      </w:pPr>
      <w:r>
        <w:lastRenderedPageBreak/>
        <w:tab/>
        <w:t>[Rule 32 amended: SL 2022/74 r. 15.]</w:t>
      </w:r>
    </w:p>
    <w:p>
      <w:pPr>
        <w:pStyle w:val="Heading5"/>
        <w:rPr>
          <w:snapToGrid w:val="0"/>
        </w:rPr>
      </w:pPr>
      <w:bookmarkStart w:id="1171" w:name="_Toc163121488"/>
      <w:r>
        <w:rPr>
          <w:rStyle w:val="CharSectno"/>
        </w:rPr>
        <w:t>33</w:t>
      </w:r>
      <w:r>
        <w:rPr>
          <w:snapToGrid w:val="0"/>
        </w:rPr>
        <w:t>.</w:t>
      </w:r>
      <w:r>
        <w:rPr>
          <w:snapToGrid w:val="0"/>
        </w:rPr>
        <w:tab/>
        <w:t>Indorsements on bill of costs</w:t>
      </w:r>
      <w:bookmarkEnd w:id="1171"/>
    </w:p>
    <w:p>
      <w:pPr>
        <w:pStyle w:val="Subsection"/>
        <w:keepNext/>
        <w:rPr>
          <w:snapToGrid w:val="0"/>
        </w:rPr>
      </w:pPr>
      <w:r>
        <w:rPr>
          <w:snapToGrid w:val="0"/>
        </w:rPr>
        <w:tab/>
      </w:r>
      <w:r>
        <w:rPr>
          <w:snapToGrid w:val="0"/>
        </w:rPr>
        <w:tab/>
        <w:t>Every bill of costs which is left for taxation shall have indorsed therein a notice of appointment, and the name and address of the solicitor by whom it is so left, including any solicitor who is entitled or intended to participate in the costs to be taxed.</w:t>
      </w:r>
    </w:p>
    <w:p>
      <w:pPr>
        <w:pStyle w:val="Footnotesection"/>
      </w:pPr>
      <w:r>
        <w:tab/>
        <w:t>[Rule 33 amended: Gazette 27 Feb 2018 p. 575.]</w:t>
      </w:r>
    </w:p>
    <w:p>
      <w:pPr>
        <w:pStyle w:val="Heading5"/>
        <w:rPr>
          <w:snapToGrid w:val="0"/>
        </w:rPr>
      </w:pPr>
      <w:bookmarkStart w:id="1172" w:name="_Toc163121489"/>
      <w:r>
        <w:rPr>
          <w:rStyle w:val="CharSectno"/>
        </w:rPr>
        <w:t>34</w:t>
      </w:r>
      <w:r>
        <w:rPr>
          <w:snapToGrid w:val="0"/>
        </w:rPr>
        <w:t>.</w:t>
      </w:r>
      <w:r>
        <w:rPr>
          <w:snapToGrid w:val="0"/>
        </w:rPr>
        <w:tab/>
        <w:t>When notice of taxation need not be given</w:t>
      </w:r>
      <w:bookmarkEnd w:id="1172"/>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1173" w:name="_Toc163121490"/>
      <w:r>
        <w:rPr>
          <w:rStyle w:val="CharSectno"/>
        </w:rPr>
        <w:t>35</w:t>
      </w:r>
      <w:r>
        <w:rPr>
          <w:snapToGrid w:val="0"/>
        </w:rPr>
        <w:t>.</w:t>
      </w:r>
      <w:r>
        <w:rPr>
          <w:snapToGrid w:val="0"/>
        </w:rPr>
        <w:tab/>
        <w:t>Notice of taxation</w:t>
      </w:r>
      <w:bookmarkEnd w:id="1173"/>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1174" w:name="_Toc163121491"/>
      <w:r>
        <w:rPr>
          <w:rStyle w:val="CharSectno"/>
        </w:rPr>
        <w:t>36</w:t>
      </w:r>
      <w:r>
        <w:rPr>
          <w:snapToGrid w:val="0"/>
        </w:rPr>
        <w:t>.</w:t>
      </w:r>
      <w:r>
        <w:rPr>
          <w:snapToGrid w:val="0"/>
        </w:rPr>
        <w:tab/>
        <w:t>Vouchers as to disbursements to be filed</w:t>
      </w:r>
      <w:bookmarkEnd w:id="1174"/>
    </w:p>
    <w:p>
      <w:pPr>
        <w:pStyle w:val="Subsection"/>
        <w:rPr>
          <w:snapToGrid w:val="0"/>
        </w:rPr>
      </w:pPr>
      <w:r>
        <w:rPr>
          <w:snapToGrid w:val="0"/>
        </w:rPr>
        <w:tab/>
      </w:r>
      <w:r>
        <w:rPr>
          <w:snapToGrid w:val="0"/>
        </w:rPr>
        <w:tab/>
        <w:t xml:space="preserve">A party leaving a bill of costs for taxation must </w:t>
      </w:r>
      <w:r>
        <w:t>file</w:t>
      </w:r>
      <w:r>
        <w:rPr>
          <w:snapToGrid w:val="0"/>
        </w:rPr>
        <w:t xml:space="preserv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Gazette 19 Dec 1975 p. 4573; amended: Gazette 27 Feb 2018 p. 575.] </w:t>
      </w:r>
    </w:p>
    <w:p>
      <w:pPr>
        <w:pStyle w:val="Heading5"/>
        <w:rPr>
          <w:snapToGrid w:val="0"/>
        </w:rPr>
      </w:pPr>
      <w:bookmarkStart w:id="1175" w:name="_Toc163121492"/>
      <w:r>
        <w:rPr>
          <w:rStyle w:val="CharSectno"/>
        </w:rPr>
        <w:t>37</w:t>
      </w:r>
      <w:r>
        <w:rPr>
          <w:snapToGrid w:val="0"/>
        </w:rPr>
        <w:t>.</w:t>
      </w:r>
      <w:r>
        <w:rPr>
          <w:snapToGrid w:val="0"/>
        </w:rPr>
        <w:tab/>
        <w:t>Solicitor delaying taxation</w:t>
      </w:r>
      <w:bookmarkEnd w:id="1175"/>
    </w:p>
    <w:p>
      <w:pPr>
        <w:pStyle w:val="Subsection"/>
        <w:rPr>
          <w:snapToGrid w:val="0"/>
        </w:rPr>
      </w:pPr>
      <w:r>
        <w:rPr>
          <w:snapToGrid w:val="0"/>
        </w:rPr>
        <w:tab/>
      </w:r>
      <w:r>
        <w:rPr>
          <w:snapToGrid w:val="0"/>
        </w:rPr>
        <w:tab/>
        <w:t xml:space="preserve">Where any solicitor fails to </w:t>
      </w:r>
      <w:r>
        <w:t>file</w:t>
      </w:r>
      <w:r>
        <w:rPr>
          <w:snapToGrid w:val="0"/>
        </w:rPr>
        <w:t xml:space="preserve"> his bill with the necessary papers and vouchers within the time or extended time fixed by </w:t>
      </w:r>
      <w:r>
        <w:rPr>
          <w:snapToGrid w:val="0"/>
        </w:rPr>
        <w:lastRenderedPageBreak/>
        <w:t>the taxing officer, or in any way delays or impedes the taxation he shall, unless the taxing officer otherwise directs, forfeit the fees to which he would be entitled for preparing his bill of costs and attending on taxation.</w:t>
      </w:r>
    </w:p>
    <w:p>
      <w:pPr>
        <w:pStyle w:val="Footnotesection"/>
      </w:pPr>
      <w:r>
        <w:rPr>
          <w:i w:val="0"/>
        </w:rPr>
        <w:tab/>
      </w:r>
      <w:r>
        <w:t xml:space="preserve">[Rule 37 amended: Gazette 27 Feb 2018 p. 575.] </w:t>
      </w:r>
    </w:p>
    <w:p>
      <w:pPr>
        <w:pStyle w:val="Heading5"/>
        <w:rPr>
          <w:snapToGrid w:val="0"/>
        </w:rPr>
      </w:pPr>
      <w:bookmarkStart w:id="1176" w:name="_Toc163121493"/>
      <w:r>
        <w:rPr>
          <w:rStyle w:val="CharSectno"/>
        </w:rPr>
        <w:t>38</w:t>
      </w:r>
      <w:r>
        <w:rPr>
          <w:snapToGrid w:val="0"/>
        </w:rPr>
        <w:t>.</w:t>
      </w:r>
      <w:r>
        <w:rPr>
          <w:snapToGrid w:val="0"/>
        </w:rPr>
        <w:tab/>
        <w:t>Appointment to tax costs to be peremptory</w:t>
      </w:r>
      <w:bookmarkEnd w:id="1176"/>
    </w:p>
    <w:p>
      <w:pPr>
        <w:pStyle w:val="Subsection"/>
        <w:rPr>
          <w:snapToGrid w:val="0"/>
        </w:rPr>
      </w:pPr>
      <w:r>
        <w:rPr>
          <w:snapToGrid w:val="0"/>
        </w:rPr>
        <w:tab/>
      </w:r>
      <w:r>
        <w:rPr>
          <w:snapToGrid w:val="0"/>
        </w:rPr>
        <w:tab/>
        <w:t xml:space="preserve">The appointment made by the taxing officer shall be peremptory, and he shall proceed thereon </w:t>
      </w:r>
      <w:r>
        <w:rPr>
          <w:i/>
          <w:snapToGrid w:val="0"/>
        </w:rPr>
        <w:t>ex parte</w:t>
      </w:r>
      <w:r>
        <w:rPr>
          <w:snapToGrid w:val="0"/>
        </w:rPr>
        <w:t xml:space="preserve"> on proof that due notice has been given to the opposite party, unless sufficient cause appears for postponement.</w:t>
      </w:r>
    </w:p>
    <w:p>
      <w:pPr>
        <w:pStyle w:val="Heading5"/>
        <w:rPr>
          <w:snapToGrid w:val="0"/>
        </w:rPr>
      </w:pPr>
      <w:bookmarkStart w:id="1177" w:name="_Toc163121494"/>
      <w:r>
        <w:rPr>
          <w:rStyle w:val="CharSectno"/>
        </w:rPr>
        <w:t>39</w:t>
      </w:r>
      <w:r>
        <w:rPr>
          <w:snapToGrid w:val="0"/>
        </w:rPr>
        <w:t>.</w:t>
      </w:r>
      <w:r>
        <w:rPr>
          <w:snapToGrid w:val="0"/>
        </w:rPr>
        <w:tab/>
        <w:t>Taxing officer may direct bills of costs to be brought in</w:t>
      </w:r>
      <w:bookmarkEnd w:id="1177"/>
    </w:p>
    <w:p>
      <w:pPr>
        <w:pStyle w:val="Subsection"/>
        <w:spacing w:before="120"/>
        <w:rPr>
          <w:snapToGrid w:val="0"/>
        </w:rPr>
      </w:pPr>
      <w:r>
        <w:rPr>
          <w:snapToGrid w:val="0"/>
        </w:rPr>
        <w:tab/>
      </w:r>
      <w:r>
        <w:rPr>
          <w:snapToGrid w:val="0"/>
        </w:rPr>
        <w:tab/>
        <w:t xml:space="preserve">When an order directing the taxation of any costs in a proceeding has been made, the taxing officer may of his own motion give notice to a party to </w:t>
      </w:r>
      <w:r>
        <w:t>file</w:t>
      </w:r>
      <w:r>
        <w:rPr>
          <w:snapToGrid w:val="0"/>
        </w:rPr>
        <w:t xml:space="preserve"> his bills of costs for taxation and may limit a time for that purpose.</w:t>
      </w:r>
    </w:p>
    <w:p>
      <w:pPr>
        <w:pStyle w:val="Footnotesection"/>
      </w:pPr>
      <w:r>
        <w:rPr>
          <w:i w:val="0"/>
        </w:rPr>
        <w:tab/>
      </w:r>
      <w:r>
        <w:t xml:space="preserve">[Rule 39 amended: Gazette 27 Feb 2018 p. 575.] </w:t>
      </w:r>
    </w:p>
    <w:p>
      <w:pPr>
        <w:pStyle w:val="Heading5"/>
        <w:spacing w:before="200"/>
        <w:rPr>
          <w:snapToGrid w:val="0"/>
        </w:rPr>
      </w:pPr>
      <w:bookmarkStart w:id="1178" w:name="_Toc163121495"/>
      <w:r>
        <w:rPr>
          <w:rStyle w:val="CharSectno"/>
        </w:rPr>
        <w:t>40</w:t>
      </w:r>
      <w:r>
        <w:rPr>
          <w:snapToGrid w:val="0"/>
        </w:rPr>
        <w:t>.</w:t>
      </w:r>
      <w:r>
        <w:rPr>
          <w:snapToGrid w:val="0"/>
        </w:rPr>
        <w:tab/>
        <w:t>Default by party in taxing costs</w:t>
      </w:r>
      <w:bookmarkEnd w:id="1178"/>
    </w:p>
    <w:p>
      <w:pPr>
        <w:pStyle w:val="Subsection"/>
        <w:spacing w:before="120"/>
        <w:rPr>
          <w:snapToGrid w:val="0"/>
        </w:rPr>
      </w:pPr>
      <w:r>
        <w:rPr>
          <w:snapToGrid w:val="0"/>
        </w:rPr>
        <w:tab/>
      </w:r>
      <w:r>
        <w:rPr>
          <w:snapToGrid w:val="0"/>
        </w:rPr>
        <w:tab/>
        <w:t xml:space="preserve">When a party entitled to costs refuses or neglects to </w:t>
      </w:r>
      <w:r>
        <w:t>file</w:t>
      </w:r>
      <w:r>
        <w:rPr>
          <w:snapToGrid w:val="0"/>
        </w:rPr>
        <w:t xml:space="preserve"> his costs for taxation within any period limited under rule 39, the taxing officer may — </w:t>
      </w:r>
    </w:p>
    <w:p>
      <w:pPr>
        <w:pStyle w:val="Indenta"/>
        <w:spacing w:before="60"/>
        <w:rPr>
          <w:snapToGrid w:val="0"/>
        </w:rPr>
      </w:pPr>
      <w:r>
        <w:rPr>
          <w:snapToGrid w:val="0"/>
        </w:rPr>
        <w:tab/>
        <w:t>(a)</w:t>
      </w:r>
      <w:r>
        <w:rPr>
          <w:snapToGrid w:val="0"/>
        </w:rPr>
        <w:tab/>
        <w:t>certify the costs of the other parties and the refusal or neglect; or</w:t>
      </w:r>
    </w:p>
    <w:p>
      <w:pPr>
        <w:pStyle w:val="Indenta"/>
        <w:spacing w:before="60"/>
        <w:rPr>
          <w:snapToGrid w:val="0"/>
        </w:rPr>
      </w:pPr>
      <w:r>
        <w:rPr>
          <w:snapToGrid w:val="0"/>
        </w:rPr>
        <w:tab/>
        <w:t>(b)</w:t>
      </w:r>
      <w:r>
        <w:rPr>
          <w:snapToGrid w:val="0"/>
        </w:rPr>
        <w:tab/>
        <w:t>allow a nominal or other sum to the party refusing or neglecting, for his costs.</w:t>
      </w:r>
    </w:p>
    <w:p>
      <w:pPr>
        <w:pStyle w:val="Footnotesection"/>
      </w:pPr>
      <w:r>
        <w:rPr>
          <w:i w:val="0"/>
        </w:rPr>
        <w:tab/>
      </w:r>
      <w:r>
        <w:t xml:space="preserve">[Rule 40 amended: Gazette 27 Feb 2018 p. 575.] </w:t>
      </w:r>
    </w:p>
    <w:p>
      <w:pPr>
        <w:pStyle w:val="Heading5"/>
        <w:spacing w:before="200"/>
        <w:rPr>
          <w:snapToGrid w:val="0"/>
        </w:rPr>
      </w:pPr>
      <w:bookmarkStart w:id="1179" w:name="_Toc163121496"/>
      <w:r>
        <w:rPr>
          <w:rStyle w:val="CharSectno"/>
        </w:rPr>
        <w:t>41</w:t>
      </w:r>
      <w:r>
        <w:rPr>
          <w:snapToGrid w:val="0"/>
        </w:rPr>
        <w:t>.</w:t>
      </w:r>
      <w:r>
        <w:rPr>
          <w:snapToGrid w:val="0"/>
        </w:rPr>
        <w:tab/>
        <w:t>If costs payable out of property, notice to clients may be directed</w:t>
      </w:r>
      <w:bookmarkEnd w:id="1179"/>
    </w:p>
    <w:p>
      <w:pPr>
        <w:pStyle w:val="Subsection"/>
        <w:spacing w:before="120"/>
        <w:rPr>
          <w:snapToGrid w:val="0"/>
        </w:rPr>
      </w:pPr>
      <w:r>
        <w:rPr>
          <w:snapToGrid w:val="0"/>
        </w:rPr>
        <w:tab/>
      </w:r>
      <w:r>
        <w:rPr>
          <w:snapToGrid w:val="0"/>
        </w:rPr>
        <w:tab/>
        <w:t xml:space="preserve">Where in any action or matter any bill of costs is directed to be taxed for the purpose of being paid or raised out of any fund or property, the taxing officer may, previously to completing the </w:t>
      </w:r>
      <w:r>
        <w:rPr>
          <w:snapToGrid w:val="0"/>
        </w:rPr>
        <w:lastRenderedPageBreak/>
        <w:t>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spacing w:before="200"/>
        <w:rPr>
          <w:snapToGrid w:val="0"/>
        </w:rPr>
      </w:pPr>
      <w:bookmarkStart w:id="1180" w:name="_Toc163121497"/>
      <w:r>
        <w:rPr>
          <w:rStyle w:val="CharSectno"/>
        </w:rPr>
        <w:t>42</w:t>
      </w:r>
      <w:r>
        <w:rPr>
          <w:snapToGrid w:val="0"/>
        </w:rPr>
        <w:t>.</w:t>
      </w:r>
      <w:r>
        <w:rPr>
          <w:snapToGrid w:val="0"/>
        </w:rPr>
        <w:tab/>
        <w:t>Bills of costs, content of</w:t>
      </w:r>
      <w:bookmarkEnd w:id="1180"/>
    </w:p>
    <w:p>
      <w:pPr>
        <w:pStyle w:val="Subsection"/>
        <w:spacing w:before="120"/>
        <w:rPr>
          <w:snapToGrid w:val="0"/>
        </w:rPr>
      </w:pPr>
      <w:r>
        <w:rPr>
          <w:snapToGrid w:val="0"/>
        </w:rPr>
        <w:tab/>
        <w:t>(1)</w:t>
      </w:r>
      <w:r>
        <w:rPr>
          <w:snapToGrid w:val="0"/>
        </w:rPr>
        <w:tab/>
        <w:t>A bill of costs for taxation shall be prepared so as to show clearly — </w:t>
      </w:r>
    </w:p>
    <w:p>
      <w:pPr>
        <w:pStyle w:val="Indenta"/>
        <w:spacing w:before="60"/>
        <w:rPr>
          <w:snapToGrid w:val="0"/>
        </w:rPr>
      </w:pPr>
      <w:r>
        <w:rPr>
          <w:snapToGrid w:val="0"/>
        </w:rPr>
        <w:tab/>
        <w:t>(a)</w:t>
      </w:r>
      <w:r>
        <w:rPr>
          <w:snapToGrid w:val="0"/>
        </w:rPr>
        <w:tab/>
        <w:t>items consecutively numbered, together with a reference to the item in the scale to which the item in the bill relates; and</w:t>
      </w:r>
    </w:p>
    <w:p>
      <w:pPr>
        <w:pStyle w:val="Indenta"/>
        <w:rPr>
          <w:snapToGrid w:val="0"/>
        </w:rPr>
      </w:pPr>
      <w:r>
        <w:rPr>
          <w:snapToGrid w:val="0"/>
        </w:rPr>
        <w:tab/>
        <w:t>(b)</w:t>
      </w:r>
      <w:r>
        <w:rPr>
          <w:snapToGrid w:val="0"/>
        </w:rPr>
        <w:tab/>
        <w:t>dates of items (specifying years, months and days); and</w:t>
      </w:r>
    </w:p>
    <w:p>
      <w:pPr>
        <w:pStyle w:val="Indenta"/>
        <w:rPr>
          <w:snapToGrid w:val="0"/>
        </w:rPr>
      </w:pPr>
      <w:r>
        <w:rPr>
          <w:snapToGrid w:val="0"/>
        </w:rPr>
        <w:tab/>
        <w:t>(c)</w:t>
      </w:r>
      <w:r>
        <w:rPr>
          <w:snapToGrid w:val="0"/>
        </w:rPr>
        <w:tab/>
        <w:t>where necessary, particulars of the services charged for; and</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Gazette 30 Aug 1974 p. 3242; amended: Gazette 19 Dec 1975 p. 4573.] </w:t>
      </w:r>
    </w:p>
    <w:p>
      <w:pPr>
        <w:pStyle w:val="Heading5"/>
        <w:rPr>
          <w:snapToGrid w:val="0"/>
        </w:rPr>
      </w:pPr>
      <w:bookmarkStart w:id="1181" w:name="_Toc163121498"/>
      <w:r>
        <w:rPr>
          <w:rStyle w:val="CharSectno"/>
        </w:rPr>
        <w:t>43</w:t>
      </w:r>
      <w:r>
        <w:rPr>
          <w:snapToGrid w:val="0"/>
        </w:rPr>
        <w:t>.</w:t>
      </w:r>
      <w:r>
        <w:rPr>
          <w:snapToGrid w:val="0"/>
        </w:rPr>
        <w:tab/>
        <w:t>Taxing officer’s decisions on fact are final</w:t>
      </w:r>
      <w:bookmarkEnd w:id="1181"/>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1182" w:name="_Toc163121499"/>
      <w:r>
        <w:rPr>
          <w:rStyle w:val="CharSectno"/>
        </w:rPr>
        <w:t>44</w:t>
      </w:r>
      <w:r>
        <w:rPr>
          <w:snapToGrid w:val="0"/>
        </w:rPr>
        <w:t>.</w:t>
      </w:r>
      <w:r>
        <w:rPr>
          <w:snapToGrid w:val="0"/>
        </w:rPr>
        <w:tab/>
        <w:t>Taxing officer’s powers</w:t>
      </w:r>
      <w:bookmarkEnd w:id="1182"/>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lastRenderedPageBreak/>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Gazette 26 Mar 1993 p. 1845</w:t>
      </w:r>
      <w:r>
        <w:noBreakHyphen/>
        <w:t xml:space="preserve">6; 26 Aug 1994 p. 4415.] </w:t>
      </w:r>
    </w:p>
    <w:p>
      <w:pPr>
        <w:pStyle w:val="Heading5"/>
        <w:rPr>
          <w:snapToGrid w:val="0"/>
        </w:rPr>
      </w:pPr>
      <w:bookmarkStart w:id="1183" w:name="_Toc163121500"/>
      <w:r>
        <w:rPr>
          <w:rStyle w:val="CharSectno"/>
        </w:rPr>
        <w:t>45</w:t>
      </w:r>
      <w:r>
        <w:rPr>
          <w:snapToGrid w:val="0"/>
        </w:rPr>
        <w:t>.</w:t>
      </w:r>
      <w:r>
        <w:rPr>
          <w:snapToGrid w:val="0"/>
        </w:rPr>
        <w:tab/>
        <w:t>Taxing officer may refer taxation question to Court</w:t>
      </w:r>
      <w:bookmarkEnd w:id="1183"/>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1184" w:name="_Toc163121501"/>
      <w:r>
        <w:rPr>
          <w:rStyle w:val="CharSectno"/>
        </w:rPr>
        <w:t>46</w:t>
      </w:r>
      <w:r>
        <w:rPr>
          <w:snapToGrid w:val="0"/>
        </w:rPr>
        <w:t>.</w:t>
      </w:r>
      <w:r>
        <w:rPr>
          <w:snapToGrid w:val="0"/>
        </w:rPr>
        <w:tab/>
        <w:t>Where proceedings adjourned into court</w:t>
      </w:r>
      <w:bookmarkEnd w:id="1184"/>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1185" w:name="_Toc163121502"/>
      <w:r>
        <w:rPr>
          <w:rStyle w:val="CharSectno"/>
        </w:rPr>
        <w:t>47</w:t>
      </w:r>
      <w:r>
        <w:rPr>
          <w:snapToGrid w:val="0"/>
        </w:rPr>
        <w:t>.</w:t>
      </w:r>
      <w:r>
        <w:rPr>
          <w:snapToGrid w:val="0"/>
        </w:rPr>
        <w:tab/>
        <w:t>Interrogatories and discovery, costs of</w:t>
      </w:r>
      <w:bookmarkEnd w:id="1185"/>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lastRenderedPageBreak/>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1186" w:name="_Toc163121503"/>
      <w:r>
        <w:rPr>
          <w:rStyle w:val="CharSectno"/>
        </w:rPr>
        <w:t>48</w:t>
      </w:r>
      <w:r>
        <w:rPr>
          <w:snapToGrid w:val="0"/>
        </w:rPr>
        <w:t>.</w:t>
      </w:r>
      <w:r>
        <w:rPr>
          <w:snapToGrid w:val="0"/>
        </w:rPr>
        <w:tab/>
        <w:t>Costs of motion etc. follow event</w:t>
      </w:r>
      <w:bookmarkEnd w:id="1186"/>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1187" w:name="_Toc163121504"/>
      <w:r>
        <w:rPr>
          <w:rStyle w:val="CharSectno"/>
        </w:rPr>
        <w:t>49</w:t>
      </w:r>
      <w:r>
        <w:rPr>
          <w:snapToGrid w:val="0"/>
        </w:rPr>
        <w:t>.</w:t>
      </w:r>
      <w:r>
        <w:rPr>
          <w:snapToGrid w:val="0"/>
        </w:rPr>
        <w:tab/>
        <w:t>Motion etc. stood over to trial and no order made as to costs, costs in case of</w:t>
      </w:r>
      <w:bookmarkEnd w:id="1187"/>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1188" w:name="_Toc163121505"/>
      <w:r>
        <w:rPr>
          <w:rStyle w:val="CharSectno"/>
        </w:rPr>
        <w:lastRenderedPageBreak/>
        <w:t>50</w:t>
      </w:r>
      <w:r>
        <w:rPr>
          <w:snapToGrid w:val="0"/>
        </w:rPr>
        <w:t>.</w:t>
      </w:r>
      <w:r>
        <w:rPr>
          <w:snapToGrid w:val="0"/>
        </w:rPr>
        <w:tab/>
        <w:t>Costs reserved</w:t>
      </w:r>
      <w:bookmarkEnd w:id="1188"/>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pPr>
      <w:bookmarkStart w:id="1189" w:name="_Toc163121506"/>
      <w:r>
        <w:rPr>
          <w:rStyle w:val="CharSectno"/>
        </w:rPr>
        <w:t>51</w:t>
      </w:r>
      <w:r>
        <w:t>.</w:t>
      </w:r>
      <w:r>
        <w:tab/>
        <w:t>When Court may fix costs</w:t>
      </w:r>
      <w:bookmarkEnd w:id="1189"/>
    </w:p>
    <w:p>
      <w:pPr>
        <w:pStyle w:val="Subsection"/>
        <w:keepNext/>
      </w:pPr>
      <w:r>
        <w:tab/>
        <w:t>(1)</w:t>
      </w:r>
      <w:r>
        <w:tab/>
        <w:t xml:space="preserve">In a particular action or matter the Court may, instead of making an order for taxation of costs — </w:t>
      </w:r>
    </w:p>
    <w:p>
      <w:pPr>
        <w:pStyle w:val="Indenta"/>
      </w:pPr>
      <w:r>
        <w:tab/>
        <w:t>(a)</w:t>
      </w:r>
      <w:r>
        <w:tab/>
        <w:t>make an order fixing the costs of a party to the action or matter in accordance with this Order; or</w:t>
      </w:r>
    </w:p>
    <w:p>
      <w:pPr>
        <w:pStyle w:val="Indenta"/>
      </w:pPr>
      <w:r>
        <w:tab/>
        <w:t>(b)</w:t>
      </w:r>
      <w:r>
        <w:tab/>
        <w:t xml:space="preserve">make an order under the </w:t>
      </w:r>
      <w:r>
        <w:rPr>
          <w:i/>
        </w:rPr>
        <w:t>Legal Profession Uniform Law Application Act 2022</w:t>
      </w:r>
      <w:r>
        <w:t xml:space="preserve"> section 141(3).</w:t>
      </w:r>
    </w:p>
    <w:p>
      <w:pPr>
        <w:pStyle w:val="Subsection"/>
      </w:pPr>
      <w:r>
        <w:tab/>
        <w:t>(2)</w:t>
      </w:r>
      <w:r>
        <w:tab/>
        <w:t>The Court may make an order under subrule (1) on its own motion or on an application by a party.</w:t>
      </w:r>
    </w:p>
    <w:p>
      <w:pPr>
        <w:pStyle w:val="Subsection"/>
      </w:pPr>
      <w:r>
        <w:tab/>
        <w:t>(3)</w:t>
      </w:r>
      <w:r>
        <w:tab/>
        <w:t>A party seeking an order under subrule (1)(b) must apply for the order within —</w:t>
      </w:r>
    </w:p>
    <w:p>
      <w:pPr>
        <w:pStyle w:val="Indenta"/>
      </w:pPr>
      <w:r>
        <w:tab/>
        <w:t>(a)</w:t>
      </w:r>
      <w:r>
        <w:tab/>
        <w:t>30 days after the date of the relevant judgment; or</w:t>
      </w:r>
    </w:p>
    <w:p>
      <w:pPr>
        <w:pStyle w:val="Indenta"/>
      </w:pPr>
      <w:r>
        <w:tab/>
        <w:t>(b)</w:t>
      </w:r>
      <w:r>
        <w:tab/>
        <w:t>another time fixed by the Court.</w:t>
      </w:r>
    </w:p>
    <w:p>
      <w:pPr>
        <w:pStyle w:val="Footnotesection"/>
      </w:pPr>
      <w:r>
        <w:tab/>
        <w:t>[Rule 51 inserted: Gazette 29 Jun 2018 p. 2438; amended: SL 2022/74 r. 11(3).]</w:t>
      </w:r>
    </w:p>
    <w:p>
      <w:pPr>
        <w:pStyle w:val="Heading5"/>
        <w:rPr>
          <w:snapToGrid w:val="0"/>
        </w:rPr>
      </w:pPr>
      <w:bookmarkStart w:id="1190" w:name="_Toc163121507"/>
      <w:r>
        <w:rPr>
          <w:rStyle w:val="CharSectno"/>
        </w:rPr>
        <w:t>52</w:t>
      </w:r>
      <w:r>
        <w:rPr>
          <w:snapToGrid w:val="0"/>
        </w:rPr>
        <w:t>.</w:t>
      </w:r>
      <w:r>
        <w:rPr>
          <w:snapToGrid w:val="0"/>
        </w:rPr>
        <w:tab/>
        <w:t>Taxing officer may refer question to judge if costs to be apportioned etc.</w:t>
      </w:r>
      <w:bookmarkEnd w:id="1190"/>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1191" w:name="_Toc162941046"/>
      <w:bookmarkStart w:id="1192" w:name="_Toc162953835"/>
      <w:bookmarkStart w:id="1193" w:name="_Toc163121508"/>
      <w:r>
        <w:rPr>
          <w:rStyle w:val="CharDivNo"/>
        </w:rPr>
        <w:lastRenderedPageBreak/>
        <w:t>Division 3</w:t>
      </w:r>
      <w:r>
        <w:t> — </w:t>
      </w:r>
      <w:r>
        <w:rPr>
          <w:rStyle w:val="CharDivText"/>
        </w:rPr>
        <w:t>Review of taxation</w:t>
      </w:r>
      <w:bookmarkEnd w:id="1191"/>
      <w:bookmarkEnd w:id="1192"/>
      <w:bookmarkEnd w:id="1193"/>
    </w:p>
    <w:p>
      <w:pPr>
        <w:pStyle w:val="Footnoteheading"/>
        <w:keepNext/>
      </w:pPr>
      <w:r>
        <w:tab/>
        <w:t xml:space="preserve">[Heading inserted: Gazette 22 Feb 2008 p. 641.] </w:t>
      </w:r>
    </w:p>
    <w:p>
      <w:pPr>
        <w:pStyle w:val="Heading5"/>
        <w:rPr>
          <w:snapToGrid w:val="0"/>
        </w:rPr>
      </w:pPr>
      <w:bookmarkStart w:id="1194" w:name="_Toc163121509"/>
      <w:r>
        <w:rPr>
          <w:rStyle w:val="CharSectno"/>
        </w:rPr>
        <w:t>53</w:t>
      </w:r>
      <w:r>
        <w:rPr>
          <w:snapToGrid w:val="0"/>
        </w:rPr>
        <w:t>.</w:t>
      </w:r>
      <w:r>
        <w:rPr>
          <w:snapToGrid w:val="0"/>
        </w:rPr>
        <w:tab/>
        <w:t>Party dissatisfied with taxation may object and apply for review</w:t>
      </w:r>
      <w:bookmarkEnd w:id="1194"/>
    </w:p>
    <w:p>
      <w:pPr>
        <w:pStyle w:val="Subsection"/>
        <w:keepNext/>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1195" w:name="_Toc163121510"/>
      <w:r>
        <w:rPr>
          <w:rStyle w:val="CharSectno"/>
        </w:rPr>
        <w:t>54</w:t>
      </w:r>
      <w:r>
        <w:rPr>
          <w:snapToGrid w:val="0"/>
        </w:rPr>
        <w:t>.</w:t>
      </w:r>
      <w:r>
        <w:rPr>
          <w:snapToGrid w:val="0"/>
        </w:rPr>
        <w:tab/>
        <w:t>Review of taxation by taxing officer</w:t>
      </w:r>
      <w:bookmarkEnd w:id="1195"/>
    </w:p>
    <w:p>
      <w:pPr>
        <w:pStyle w:val="Subsection"/>
        <w:rPr>
          <w:snapToGrid w:val="0"/>
        </w:rPr>
      </w:pPr>
      <w:r>
        <w:rPr>
          <w:snapToGrid w:val="0"/>
        </w:rPr>
        <w:tab/>
        <w:t>(1)</w:t>
      </w:r>
      <w:r>
        <w:rPr>
          <w:snapToGrid w:val="0"/>
        </w:rPr>
        <w:tab/>
        <w:t xml:space="preserve">Upon an application under </w:t>
      </w:r>
      <w:r>
        <w:t xml:space="preserve">rule 53 </w:t>
      </w:r>
      <w:r>
        <w:rPr>
          <w:snapToGrid w:val="0"/>
        </w:rPr>
        <w:t>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 xml:space="preserve">If so required by a party, the taxing officer shall state in his certificate of taxation or by reference to the objection, the </w:t>
      </w:r>
      <w:r>
        <w:rPr>
          <w:snapToGrid w:val="0"/>
        </w:rPr>
        <w:lastRenderedPageBreak/>
        <w:t>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keepNext/>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Gazette 7 Feb 1992 p. 687; 28 Jun 2011 p. 2555.] </w:t>
      </w:r>
    </w:p>
    <w:p>
      <w:pPr>
        <w:pStyle w:val="Heading5"/>
        <w:rPr>
          <w:snapToGrid w:val="0"/>
        </w:rPr>
      </w:pPr>
      <w:bookmarkStart w:id="1196" w:name="_Toc163121511"/>
      <w:r>
        <w:rPr>
          <w:rStyle w:val="CharSectno"/>
        </w:rPr>
        <w:t>55</w:t>
      </w:r>
      <w:r>
        <w:rPr>
          <w:snapToGrid w:val="0"/>
        </w:rPr>
        <w:t>.</w:t>
      </w:r>
      <w:r>
        <w:rPr>
          <w:snapToGrid w:val="0"/>
        </w:rPr>
        <w:tab/>
        <w:t>Review of taxation by judge</w:t>
      </w:r>
      <w:bookmarkEnd w:id="1196"/>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1197" w:name="_Toc163121512"/>
      <w:r>
        <w:rPr>
          <w:rStyle w:val="CharSectno"/>
        </w:rPr>
        <w:t>56</w:t>
      </w:r>
      <w:r>
        <w:rPr>
          <w:snapToGrid w:val="0"/>
        </w:rPr>
        <w:t>.</w:t>
      </w:r>
      <w:r>
        <w:rPr>
          <w:snapToGrid w:val="0"/>
        </w:rPr>
        <w:tab/>
        <w:t>No further evidence on review except with leave</w:t>
      </w:r>
      <w:bookmarkEnd w:id="1197"/>
    </w:p>
    <w:p>
      <w:pPr>
        <w:pStyle w:val="Subsection"/>
        <w:keepNext/>
        <w:rPr>
          <w:snapToGrid w:val="0"/>
        </w:rPr>
      </w:pPr>
      <w:r>
        <w:rPr>
          <w:snapToGrid w:val="0"/>
        </w:rPr>
        <w:tab/>
      </w:r>
      <w:r>
        <w:rPr>
          <w:snapToGrid w:val="0"/>
        </w:rPr>
        <w:tab/>
        <w:t xml:space="preserve">An application under </w:t>
      </w:r>
      <w:r>
        <w:t>rule 55</w:t>
      </w:r>
      <w:r>
        <w:rPr>
          <w:snapToGrid w:val="0"/>
        </w:rPr>
        <w:t xml:space="preserve"> to a judge to review the taxation shall be heard and determined by the judge upon the evidence </w:t>
      </w:r>
      <w:r>
        <w:rPr>
          <w:snapToGrid w:val="0"/>
        </w:rPr>
        <w:lastRenderedPageBreak/>
        <w:t>which has been brought in before the taxing officer, and further evidence shall not be received upon the hearing of the application unless the judge otherwise directs.</w:t>
      </w:r>
    </w:p>
    <w:p>
      <w:pPr>
        <w:pStyle w:val="Footnotesection"/>
      </w:pPr>
      <w:r>
        <w:tab/>
        <w:t>[Rule 56 amended: Gazette 28 Jun 2011 p. 2555.]</w:t>
      </w:r>
    </w:p>
    <w:p>
      <w:pPr>
        <w:pStyle w:val="Heading3"/>
      </w:pPr>
      <w:bookmarkStart w:id="1198" w:name="_Toc162941051"/>
      <w:bookmarkStart w:id="1199" w:name="_Toc162953840"/>
      <w:bookmarkStart w:id="1200" w:name="_Toc163121513"/>
      <w:r>
        <w:rPr>
          <w:rStyle w:val="CharDivNo"/>
        </w:rPr>
        <w:t>Division 4</w:t>
      </w:r>
      <w:r>
        <w:t> — </w:t>
      </w:r>
      <w:r>
        <w:rPr>
          <w:rStyle w:val="CharDivText"/>
        </w:rPr>
        <w:t>Miscellaneous</w:t>
      </w:r>
      <w:bookmarkEnd w:id="1198"/>
      <w:bookmarkEnd w:id="1199"/>
      <w:bookmarkEnd w:id="1200"/>
    </w:p>
    <w:p>
      <w:pPr>
        <w:pStyle w:val="Footnoteheading"/>
        <w:keepNext/>
      </w:pPr>
      <w:r>
        <w:tab/>
        <w:t xml:space="preserve">[Heading inserted: Gazette 22 Feb 2008 p. 641.] </w:t>
      </w:r>
    </w:p>
    <w:p>
      <w:pPr>
        <w:pStyle w:val="Heading5"/>
        <w:rPr>
          <w:snapToGrid w:val="0"/>
        </w:rPr>
      </w:pPr>
      <w:bookmarkStart w:id="1201" w:name="_Toc163121514"/>
      <w:r>
        <w:rPr>
          <w:rStyle w:val="CharSectno"/>
        </w:rPr>
        <w:t>57</w:t>
      </w:r>
      <w:r>
        <w:rPr>
          <w:snapToGrid w:val="0"/>
        </w:rPr>
        <w:t>.</w:t>
      </w:r>
      <w:r>
        <w:rPr>
          <w:snapToGrid w:val="0"/>
        </w:rPr>
        <w:tab/>
        <w:t>Taxing officer’s certificate enforceable as judgment</w:t>
      </w:r>
      <w:bookmarkEnd w:id="1201"/>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1202" w:name="_Toc163121515"/>
      <w:r>
        <w:rPr>
          <w:rStyle w:val="CharSectno"/>
        </w:rPr>
        <w:t>58</w:t>
      </w:r>
      <w:r>
        <w:rPr>
          <w:snapToGrid w:val="0"/>
        </w:rPr>
        <w:t>.</w:t>
      </w:r>
      <w:r>
        <w:rPr>
          <w:snapToGrid w:val="0"/>
        </w:rPr>
        <w:tab/>
        <w:t>Stay on review</w:t>
      </w:r>
      <w:bookmarkEnd w:id="1202"/>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1203" w:name="_Toc163121516"/>
      <w:r>
        <w:rPr>
          <w:rStyle w:val="CharSectno"/>
        </w:rPr>
        <w:t>59</w:t>
      </w:r>
      <w:r>
        <w:rPr>
          <w:snapToGrid w:val="0"/>
        </w:rPr>
        <w:t>.</w:t>
      </w:r>
      <w:r>
        <w:rPr>
          <w:snapToGrid w:val="0"/>
        </w:rPr>
        <w:tab/>
        <w:t>Party liable to be paid and to pay costs, taxing officer’s powers in case of</w:t>
      </w:r>
      <w:bookmarkEnd w:id="1203"/>
    </w:p>
    <w:p>
      <w:pPr>
        <w:pStyle w:val="Subsection"/>
        <w:keepNext/>
        <w:spacing w:before="120"/>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spacing w:before="60"/>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spacing w:before="60"/>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1204" w:name="_Toc163121517"/>
      <w:r>
        <w:rPr>
          <w:rStyle w:val="CharSectno"/>
        </w:rPr>
        <w:lastRenderedPageBreak/>
        <w:t>60</w:t>
      </w:r>
      <w:r>
        <w:rPr>
          <w:snapToGrid w:val="0"/>
        </w:rPr>
        <w:t>.</w:t>
      </w:r>
      <w:r>
        <w:rPr>
          <w:snapToGrid w:val="0"/>
        </w:rPr>
        <w:tab/>
        <w:t>Taking of accounts, taxing officer’s duties and powers on</w:t>
      </w:r>
      <w:bookmarkEnd w:id="1204"/>
    </w:p>
    <w:p>
      <w:pPr>
        <w:pStyle w:val="Subsection"/>
        <w:spacing w:before="120"/>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spacing w:before="120"/>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keepNext/>
        <w:spacing w:before="120"/>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spacing w:before="80"/>
        <w:ind w:left="890" w:hanging="890"/>
      </w:pPr>
      <w:r>
        <w:tab/>
        <w:t xml:space="preserve">[Rule 60 amended: Gazette 14 Dec 1979 p. 3871.] </w:t>
      </w:r>
    </w:p>
    <w:p>
      <w:pPr>
        <w:pStyle w:val="Heading5"/>
        <w:rPr>
          <w:snapToGrid w:val="0"/>
        </w:rPr>
      </w:pPr>
      <w:bookmarkStart w:id="1205" w:name="_Toc163121518"/>
      <w:r>
        <w:rPr>
          <w:rStyle w:val="CharSectno"/>
        </w:rPr>
        <w:t>61</w:t>
      </w:r>
      <w:r>
        <w:rPr>
          <w:snapToGrid w:val="0"/>
        </w:rPr>
        <w:t>.</w:t>
      </w:r>
      <w:r>
        <w:rPr>
          <w:snapToGrid w:val="0"/>
        </w:rPr>
        <w:tab/>
        <w:t>Interim certificate in matters of account</w:t>
      </w:r>
      <w:bookmarkEnd w:id="1205"/>
    </w:p>
    <w:p>
      <w:pPr>
        <w:pStyle w:val="Subsection"/>
        <w:spacing w:before="120"/>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1206" w:name="_Toc162941057"/>
      <w:bookmarkStart w:id="1207" w:name="_Toc162953846"/>
      <w:bookmarkStart w:id="1208" w:name="_Toc163121519"/>
      <w:r>
        <w:rPr>
          <w:rStyle w:val="CharPartNo"/>
        </w:rPr>
        <w:lastRenderedPageBreak/>
        <w:t>Order 67</w:t>
      </w:r>
      <w:r>
        <w:rPr>
          <w:rStyle w:val="CharDivNo"/>
        </w:rPr>
        <w:t> </w:t>
      </w:r>
      <w:r>
        <w:t>—</w:t>
      </w:r>
      <w:r>
        <w:rPr>
          <w:rStyle w:val="CharDivText"/>
        </w:rPr>
        <w:t> </w:t>
      </w:r>
      <w:r>
        <w:rPr>
          <w:rStyle w:val="CharPartText"/>
        </w:rPr>
        <w:t>Central Office, officers</w:t>
      </w:r>
      <w:bookmarkEnd w:id="1206"/>
      <w:bookmarkEnd w:id="1207"/>
      <w:bookmarkEnd w:id="1208"/>
    </w:p>
    <w:p>
      <w:pPr>
        <w:pStyle w:val="Heading5"/>
        <w:rPr>
          <w:snapToGrid w:val="0"/>
        </w:rPr>
      </w:pPr>
      <w:bookmarkStart w:id="1209" w:name="_Toc163121520"/>
      <w:r>
        <w:rPr>
          <w:rStyle w:val="CharSectno"/>
        </w:rPr>
        <w:t>1</w:t>
      </w:r>
      <w:r>
        <w:rPr>
          <w:snapToGrid w:val="0"/>
        </w:rPr>
        <w:t>.</w:t>
      </w:r>
      <w:r>
        <w:rPr>
          <w:snapToGrid w:val="0"/>
        </w:rPr>
        <w:tab/>
        <w:t>Superintendence of Central Office</w:t>
      </w:r>
      <w:bookmarkEnd w:id="1209"/>
    </w:p>
    <w:p>
      <w:pPr>
        <w:pStyle w:val="Subsection"/>
        <w:rPr>
          <w:snapToGrid w:val="0"/>
        </w:rPr>
      </w:pPr>
      <w:r>
        <w:rPr>
          <w:snapToGrid w:val="0"/>
        </w:rPr>
        <w:tab/>
      </w:r>
      <w:r>
        <w:rPr>
          <w:snapToGrid w:val="0"/>
        </w:rPr>
        <w:tab/>
        <w:t xml:space="preserve">The </w:t>
      </w:r>
      <w:r>
        <w:t>Chief Justice or the Principal Registrar must</w:t>
      </w:r>
      <w:r>
        <w:rPr>
          <w:snapToGrid w:val="0"/>
        </w:rPr>
        <w:t xml:space="preserve"> superintend the business of the Central Office </w:t>
      </w:r>
      <w:r>
        <w:t>and give</w:t>
      </w:r>
      <w:r>
        <w:rPr>
          <w:snapToGrid w:val="0"/>
        </w:rPr>
        <w:t xml:space="preserve"> any directions that may be required on questions of practice and procedure.</w:t>
      </w:r>
    </w:p>
    <w:p>
      <w:pPr>
        <w:pStyle w:val="Footnotesection"/>
      </w:pPr>
      <w:r>
        <w:rPr>
          <w:i w:val="0"/>
        </w:rPr>
        <w:tab/>
      </w:r>
      <w:r>
        <w:t>[Rule 1 inserted: Gazette 14 Dec 1979 p. 3871; amended: Gazette 30 Nov 1984 p. 3952; SL 2020/242 r. 7(1).]</w:t>
      </w:r>
    </w:p>
    <w:p>
      <w:pPr>
        <w:pStyle w:val="Heading5"/>
        <w:rPr>
          <w:snapToGrid w:val="0"/>
        </w:rPr>
      </w:pPr>
      <w:bookmarkStart w:id="1210" w:name="_Toc163121521"/>
      <w:r>
        <w:rPr>
          <w:rStyle w:val="CharSectno"/>
        </w:rPr>
        <w:t>2</w:t>
      </w:r>
      <w:r>
        <w:rPr>
          <w:snapToGrid w:val="0"/>
        </w:rPr>
        <w:t>.</w:t>
      </w:r>
      <w:r>
        <w:rPr>
          <w:snapToGrid w:val="0"/>
        </w:rPr>
        <w:tab/>
        <w:t>Ministerial acts of registrar</w:t>
      </w:r>
      <w:bookmarkEnd w:id="1210"/>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Gazette 14 Dec 1979 p. 3871.]</w:t>
      </w:r>
    </w:p>
    <w:p>
      <w:pPr>
        <w:pStyle w:val="Heading5"/>
        <w:rPr>
          <w:snapToGrid w:val="0"/>
        </w:rPr>
      </w:pPr>
      <w:bookmarkStart w:id="1211" w:name="_Toc163121522"/>
      <w:r>
        <w:rPr>
          <w:rStyle w:val="CharSectno"/>
        </w:rPr>
        <w:t>3</w:t>
      </w:r>
      <w:r>
        <w:rPr>
          <w:snapToGrid w:val="0"/>
        </w:rPr>
        <w:t>.</w:t>
      </w:r>
      <w:r>
        <w:rPr>
          <w:snapToGrid w:val="0"/>
        </w:rPr>
        <w:tab/>
        <w:t>Taking of oaths and affidavits</w:t>
      </w:r>
      <w:bookmarkEnd w:id="1211"/>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Gazette 14 Dec 1979 p. 3871; amended: Gazette 30 Nov 1984 p. 3952.]</w:t>
      </w:r>
    </w:p>
    <w:p>
      <w:pPr>
        <w:pStyle w:val="Heading5"/>
        <w:rPr>
          <w:snapToGrid w:val="0"/>
        </w:rPr>
      </w:pPr>
      <w:bookmarkStart w:id="1212" w:name="_Toc163121523"/>
      <w:r>
        <w:rPr>
          <w:rStyle w:val="CharSectno"/>
        </w:rPr>
        <w:t>4</w:t>
      </w:r>
      <w:r>
        <w:rPr>
          <w:snapToGrid w:val="0"/>
        </w:rPr>
        <w:t>.</w:t>
      </w:r>
      <w:r>
        <w:rPr>
          <w:snapToGrid w:val="0"/>
        </w:rPr>
        <w:tab/>
        <w:t>Seals</w:t>
      </w:r>
      <w:bookmarkEnd w:id="1212"/>
    </w:p>
    <w:p>
      <w:pPr>
        <w:pStyle w:val="Subsection"/>
        <w:rPr>
          <w:snapToGrid w:val="0"/>
        </w:rPr>
      </w:pPr>
      <w:r>
        <w:rPr>
          <w:snapToGrid w:val="0"/>
        </w:rPr>
        <w:tab/>
      </w:r>
      <w:r>
        <w:rPr>
          <w:snapToGrid w:val="0"/>
        </w:rPr>
        <w:tab/>
        <w:t xml:space="preserve">The official seals </w:t>
      </w:r>
      <w:r>
        <w:t>of the Court</w:t>
      </w:r>
      <w:r>
        <w:rPr>
          <w:snapToGrid w:val="0"/>
        </w:rPr>
        <w:t xml:space="preserve"> shall be such as the Chief Justice from time to time directs.</w:t>
      </w:r>
    </w:p>
    <w:p>
      <w:pPr>
        <w:pStyle w:val="Footnotesection"/>
      </w:pPr>
      <w:r>
        <w:rPr>
          <w:i w:val="0"/>
        </w:rPr>
        <w:tab/>
      </w:r>
      <w:r>
        <w:t xml:space="preserve">[Rule 4 amended: Gazette 27 Feb 2018 p. 576.] </w:t>
      </w:r>
    </w:p>
    <w:p>
      <w:pPr>
        <w:pStyle w:val="Heading5"/>
        <w:rPr>
          <w:snapToGrid w:val="0"/>
        </w:rPr>
      </w:pPr>
      <w:bookmarkStart w:id="1213" w:name="_Toc163121524"/>
      <w:r>
        <w:rPr>
          <w:rStyle w:val="CharSectno"/>
        </w:rPr>
        <w:t>5</w:t>
      </w:r>
      <w:r>
        <w:rPr>
          <w:snapToGrid w:val="0"/>
        </w:rPr>
        <w:t>.</w:t>
      </w:r>
      <w:r>
        <w:rPr>
          <w:snapToGrid w:val="0"/>
        </w:rPr>
        <w:tab/>
        <w:t>Abuse of process etc., procedure in case of</w:t>
      </w:r>
      <w:bookmarkEnd w:id="1213"/>
    </w:p>
    <w:p>
      <w:pPr>
        <w:pStyle w:val="Subsection"/>
        <w:rPr>
          <w:snapToGrid w:val="0"/>
        </w:rPr>
      </w:pPr>
      <w:r>
        <w:rPr>
          <w:snapToGrid w:val="0"/>
        </w:rPr>
        <w:tab/>
        <w:t>(1)</w:t>
      </w:r>
      <w:r>
        <w:rPr>
          <w:snapToGrid w:val="0"/>
        </w:rPr>
        <w:tab/>
        <w:t xml:space="preserve">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w:t>
      </w:r>
      <w:r>
        <w:rPr>
          <w:snapToGrid w:val="0"/>
        </w:rPr>
        <w:lastRenderedPageBreak/>
        <w:t>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 xml:space="preserve">Applications for leave under </w:t>
      </w:r>
      <w:r>
        <w:t>subrules</w:t>
      </w:r>
      <w:r>
        <w:rPr>
          <w:snapToGrid w:val="0"/>
        </w:rPr>
        <w:t xml:space="preserve"> (2) and (3) shall be made </w:t>
      </w:r>
      <w:r>
        <w:rPr>
          <w:i/>
          <w:snapToGrid w:val="0"/>
        </w:rPr>
        <w:t>ex parte</w:t>
      </w:r>
      <w:r>
        <w:rPr>
          <w:snapToGrid w:val="0"/>
        </w:rPr>
        <w:t xml:space="preserve"> and shall be supported by affidavit.</w:t>
      </w:r>
    </w:p>
    <w:p>
      <w:pPr>
        <w:pStyle w:val="Footnotesection"/>
      </w:pPr>
      <w:r>
        <w:rPr>
          <w:i w:val="0"/>
        </w:rPr>
        <w:tab/>
      </w:r>
      <w:r>
        <w:t>[Rule 5 inserted: Gazette 24 Jan 1995 p. 271; amended: Gazette 28 Jun 2011 p. 2552</w:t>
      </w:r>
      <w:r>
        <w:noBreakHyphen/>
        <w:t>3.]</w:t>
      </w:r>
    </w:p>
    <w:p>
      <w:pPr>
        <w:pStyle w:val="Heading5"/>
        <w:rPr>
          <w:snapToGrid w:val="0"/>
        </w:rPr>
      </w:pPr>
      <w:bookmarkStart w:id="1214" w:name="_Toc163121525"/>
      <w:r>
        <w:rPr>
          <w:rStyle w:val="CharSectno"/>
        </w:rPr>
        <w:t>6</w:t>
      </w:r>
      <w:r>
        <w:rPr>
          <w:snapToGrid w:val="0"/>
        </w:rPr>
        <w:t>.</w:t>
      </w:r>
      <w:r>
        <w:rPr>
          <w:snapToGrid w:val="0"/>
        </w:rPr>
        <w:tab/>
        <w:t>Sealed documents, evidentiary status of</w:t>
      </w:r>
      <w:bookmarkEnd w:id="1214"/>
    </w:p>
    <w:p>
      <w:pPr>
        <w:pStyle w:val="Subsection"/>
        <w:rPr>
          <w:snapToGrid w:val="0"/>
        </w:rPr>
      </w:pPr>
      <w:r>
        <w:rPr>
          <w:snapToGrid w:val="0"/>
        </w:rPr>
        <w:tab/>
      </w:r>
      <w:r>
        <w:rPr>
          <w:snapToGrid w:val="0"/>
        </w:rPr>
        <w:tab/>
        <w:t xml:space="preserve">All copies, certificates, and other documents appearing to be sealed with a seal of the </w:t>
      </w:r>
      <w:r>
        <w:t>Court</w:t>
      </w:r>
      <w:r>
        <w:rPr>
          <w:snapToGrid w:val="0"/>
        </w:rPr>
        <w:t xml:space="preserve"> shall be presumed to be </w:t>
      </w:r>
      <w:r>
        <w:t>true</w:t>
      </w:r>
      <w:r>
        <w:rPr>
          <w:snapToGrid w:val="0"/>
        </w:rPr>
        <w:t xml:space="preserve"> copies or certificates or other documents issued </w:t>
      </w:r>
      <w:r>
        <w:t xml:space="preserve">by the Court, </w:t>
      </w:r>
      <w:r>
        <w:rPr>
          <w:snapToGrid w:val="0"/>
        </w:rPr>
        <w:t xml:space="preserve">and if duly stamped may be received in evidence, and no signature or other formality, except the sealing with a seal </w:t>
      </w:r>
      <w:r>
        <w:t xml:space="preserve">of the Court, </w:t>
      </w:r>
      <w:r>
        <w:rPr>
          <w:snapToGrid w:val="0"/>
        </w:rPr>
        <w:t>shall be required for the authentication of any such copy, certificate, or other document.</w:t>
      </w:r>
    </w:p>
    <w:p>
      <w:pPr>
        <w:pStyle w:val="Footnotesection"/>
      </w:pPr>
      <w:r>
        <w:rPr>
          <w:i w:val="0"/>
        </w:rPr>
        <w:tab/>
      </w:r>
      <w:r>
        <w:t xml:space="preserve">[Rule 6 amended: Gazette 27 Feb 2018 p. 576.] </w:t>
      </w:r>
    </w:p>
    <w:p>
      <w:pPr>
        <w:pStyle w:val="Heading5"/>
        <w:rPr>
          <w:snapToGrid w:val="0"/>
        </w:rPr>
      </w:pPr>
      <w:bookmarkStart w:id="1215" w:name="_Toc163121526"/>
      <w:r>
        <w:rPr>
          <w:rStyle w:val="CharSectno"/>
        </w:rPr>
        <w:t>7</w:t>
      </w:r>
      <w:r>
        <w:rPr>
          <w:snapToGrid w:val="0"/>
        </w:rPr>
        <w:t>.</w:t>
      </w:r>
      <w:r>
        <w:rPr>
          <w:snapToGrid w:val="0"/>
        </w:rPr>
        <w:tab/>
        <w:t>Petition, award etc. to be filed before judgment etc. passed</w:t>
      </w:r>
      <w:bookmarkEnd w:id="1215"/>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pPr>
      <w:bookmarkStart w:id="1216" w:name="_Toc163121527"/>
      <w:r>
        <w:rPr>
          <w:rStyle w:val="CharSectno"/>
        </w:rPr>
        <w:lastRenderedPageBreak/>
        <w:t>8</w:t>
      </w:r>
      <w:r>
        <w:t>.</w:t>
      </w:r>
      <w:r>
        <w:tab/>
        <w:t>Indexes to filed documents</w:t>
      </w:r>
      <w:bookmarkEnd w:id="1216"/>
    </w:p>
    <w:p>
      <w:pPr>
        <w:pStyle w:val="Subsection"/>
      </w:pPr>
      <w:r>
        <w:tab/>
      </w:r>
      <w:r>
        <w:tab/>
        <w:t>Proper indexes or calendars to the files or bundles of all documents that are filed must be kept, in the manner directed by the Chief Justice from time to time, so that they may be conveniently referred to when required.</w:t>
      </w:r>
    </w:p>
    <w:p>
      <w:pPr>
        <w:pStyle w:val="Footnotesection"/>
      </w:pPr>
      <w:r>
        <w:rPr>
          <w:i w:val="0"/>
        </w:rPr>
        <w:tab/>
      </w:r>
      <w:r>
        <w:t xml:space="preserve">[Rule 8 inserted: Gazette 27 Feb 2018 p. 576.] </w:t>
      </w:r>
    </w:p>
    <w:p>
      <w:pPr>
        <w:pStyle w:val="Heading5"/>
        <w:rPr>
          <w:snapToGrid w:val="0"/>
        </w:rPr>
      </w:pPr>
      <w:bookmarkStart w:id="1217" w:name="_Toc163121528"/>
      <w:r>
        <w:rPr>
          <w:rStyle w:val="CharSectno"/>
        </w:rPr>
        <w:t>9</w:t>
      </w:r>
      <w:r>
        <w:rPr>
          <w:snapToGrid w:val="0"/>
        </w:rPr>
        <w:t>.</w:t>
      </w:r>
      <w:r>
        <w:rPr>
          <w:snapToGrid w:val="0"/>
        </w:rPr>
        <w:tab/>
        <w:t>Date of filing to be marked etc.</w:t>
      </w:r>
      <w:bookmarkEnd w:id="1217"/>
    </w:p>
    <w:p>
      <w:pPr>
        <w:pStyle w:val="Subsection"/>
        <w:rPr>
          <w:snapToGrid w:val="0"/>
        </w:rPr>
      </w:pPr>
      <w:r>
        <w:rPr>
          <w:snapToGrid w:val="0"/>
        </w:rPr>
        <w:tab/>
        <w:t>(1)</w:t>
      </w:r>
      <w:r>
        <w:rPr>
          <w:snapToGrid w:val="0"/>
        </w:rPr>
        <w:tab/>
        <w:t>All documents filed in any proceedings must be sealed with a seal showing the date on which the document was filed</w:t>
      </w:r>
      <w:r>
        <w:t xml:space="preserve"> and, if the document was filed electronically, a record of the fact that it was filed electronically</w:t>
      </w:r>
      <w:r>
        <w:rPr>
          <w:snapToGrid w:val="0"/>
        </w:rPr>
        <w:t>.</w:t>
      </w:r>
    </w:p>
    <w:p>
      <w:pPr>
        <w:pStyle w:val="Subsection"/>
      </w:pPr>
      <w:r>
        <w:tab/>
        <w:t>(1A)</w:t>
      </w:r>
      <w:r>
        <w:tab/>
        <w:t>A document filed electronically may be sealed by means of the ECMS.</w:t>
      </w:r>
    </w:p>
    <w:p>
      <w:pPr>
        <w:pStyle w:val="Subsection"/>
        <w:rPr>
          <w:snapToGrid w:val="0"/>
        </w:rPr>
      </w:pPr>
      <w:r>
        <w:rPr>
          <w:snapToGrid w:val="0"/>
        </w:rPr>
        <w:tab/>
        <w:t>(2)</w:t>
      </w:r>
      <w:r>
        <w:rPr>
          <w:snapToGrid w:val="0"/>
        </w:rPr>
        <w:tab/>
        <w:t xml:space="preserve">There shall be entered in records kept in the </w:t>
      </w:r>
      <w:r>
        <w:t>manner directed by the Chief Justice from time to time</w:t>
      </w:r>
      <w:r>
        <w:rPr>
          <w:snapToGrid w:val="0"/>
        </w:rPr>
        <w:t xml:space="preserve"> for the purpose particulars of the date of delivery </w:t>
      </w:r>
      <w:r>
        <w:t>or receipt</w:t>
      </w:r>
      <w:r>
        <w:rPr>
          <w:snapToGrid w:val="0"/>
        </w:rPr>
        <w:t xml:space="preserve"> of every document for filing, the date of the document and the title of the cause or matter of which the document forms part of the record.</w:t>
      </w:r>
    </w:p>
    <w:p>
      <w:pPr>
        <w:pStyle w:val="Footnotesection"/>
      </w:pPr>
      <w:r>
        <w:tab/>
        <w:t xml:space="preserve">[Rule 9 amended: Gazette 26 Mar 1993 p. 1846; 22 Feb 2008 p. 650; 27 Feb 2018 p. 577; 31 Dec 2019 p. 4677-8.] </w:t>
      </w:r>
    </w:p>
    <w:p>
      <w:pPr>
        <w:pStyle w:val="Heading5"/>
      </w:pPr>
      <w:bookmarkStart w:id="1218" w:name="_Toc163121529"/>
      <w:r>
        <w:rPr>
          <w:rStyle w:val="CharSectno"/>
        </w:rPr>
        <w:t>10</w:t>
      </w:r>
      <w:r>
        <w:t>.</w:t>
      </w:r>
      <w:r>
        <w:tab/>
        <w:t>Custody of documents and things</w:t>
      </w:r>
      <w:bookmarkEnd w:id="1218"/>
    </w:p>
    <w:p>
      <w:pPr>
        <w:pStyle w:val="Subsection"/>
      </w:pPr>
      <w:r>
        <w:tab/>
        <w:t>(1)</w:t>
      </w:r>
      <w:r>
        <w:tab/>
        <w:t xml:space="preserve">The Principal Registrar has custody of all — </w:t>
      </w:r>
    </w:p>
    <w:p>
      <w:pPr>
        <w:pStyle w:val="Indenta"/>
      </w:pPr>
      <w:r>
        <w:tab/>
        <w:t>(a)</w:t>
      </w:r>
      <w:r>
        <w:tab/>
        <w:t>filed documents; and</w:t>
      </w:r>
    </w:p>
    <w:p>
      <w:pPr>
        <w:pStyle w:val="Indenta"/>
      </w:pPr>
      <w:r>
        <w:tab/>
        <w:t>(b)</w:t>
      </w:r>
      <w:r>
        <w:tab/>
        <w:t>things and other documents kept, left or deposited in the Central Office, whether or not due to a Court order.</w:t>
      </w:r>
    </w:p>
    <w:p>
      <w:pPr>
        <w:pStyle w:val="Subsection"/>
      </w:pPr>
      <w:r>
        <w:tab/>
        <w:t>(2)</w:t>
      </w:r>
      <w:r>
        <w:tab/>
        <w:t>The Principal Registrar must ensure the things referred to in subrule (1) are kept in safe custody.</w:t>
      </w:r>
    </w:p>
    <w:p>
      <w:pPr>
        <w:pStyle w:val="Footnotesection"/>
      </w:pPr>
      <w:r>
        <w:rPr>
          <w:i w:val="0"/>
        </w:rPr>
        <w:tab/>
      </w:r>
      <w:r>
        <w:t xml:space="preserve">[Rule 10 inserted: Gazette 27 Feb 2018 p. 577.] </w:t>
      </w:r>
    </w:p>
    <w:p>
      <w:pPr>
        <w:pStyle w:val="Ednotesection"/>
      </w:pPr>
      <w:r>
        <w:t>[</w:t>
      </w:r>
      <w:r>
        <w:rPr>
          <w:b/>
        </w:rPr>
        <w:t>11.</w:t>
      </w:r>
      <w:r>
        <w:tab/>
        <w:t>Deleted: Gazette 27 Feb 2018 p. 577.]</w:t>
      </w:r>
    </w:p>
    <w:p>
      <w:pPr>
        <w:pStyle w:val="Heading5"/>
        <w:rPr>
          <w:snapToGrid w:val="0"/>
        </w:rPr>
      </w:pPr>
      <w:bookmarkStart w:id="1219" w:name="_Toc163121530"/>
      <w:r>
        <w:rPr>
          <w:rStyle w:val="CharSectno"/>
        </w:rPr>
        <w:lastRenderedPageBreak/>
        <w:t>12</w:t>
      </w:r>
      <w:r>
        <w:rPr>
          <w:snapToGrid w:val="0"/>
        </w:rPr>
        <w:t>.</w:t>
      </w:r>
      <w:r>
        <w:rPr>
          <w:snapToGrid w:val="0"/>
        </w:rPr>
        <w:tab/>
        <w:t>Deposit of documents</w:t>
      </w:r>
      <w:bookmarkEnd w:id="1219"/>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1220" w:name="_Toc163121531"/>
      <w:r>
        <w:rPr>
          <w:rStyle w:val="CharSectno"/>
        </w:rPr>
        <w:t>13</w:t>
      </w:r>
      <w:r>
        <w:rPr>
          <w:snapToGrid w:val="0"/>
        </w:rPr>
        <w:t>.</w:t>
      </w:r>
      <w:r>
        <w:rPr>
          <w:snapToGrid w:val="0"/>
        </w:rPr>
        <w:tab/>
        <w:t>Restriction on removal of documents</w:t>
      </w:r>
      <w:bookmarkEnd w:id="1220"/>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Gazette 14 Dec 1979 p. 3871.] </w:t>
      </w:r>
    </w:p>
    <w:p>
      <w:pPr>
        <w:pStyle w:val="Heading5"/>
        <w:spacing w:before="240"/>
        <w:rPr>
          <w:snapToGrid w:val="0"/>
        </w:rPr>
      </w:pPr>
      <w:bookmarkStart w:id="1221" w:name="_Toc163121532"/>
      <w:r>
        <w:rPr>
          <w:rStyle w:val="CharSectno"/>
        </w:rPr>
        <w:t>14</w:t>
      </w:r>
      <w:r>
        <w:rPr>
          <w:snapToGrid w:val="0"/>
        </w:rPr>
        <w:t>.</w:t>
      </w:r>
      <w:r>
        <w:rPr>
          <w:snapToGrid w:val="0"/>
        </w:rPr>
        <w:tab/>
        <w:t>Deposit for officer’s expenses</w:t>
      </w:r>
      <w:bookmarkEnd w:id="1221"/>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spacing w:before="240"/>
        <w:rPr>
          <w:snapToGrid w:val="0"/>
        </w:rPr>
      </w:pPr>
      <w:bookmarkStart w:id="1222" w:name="_Toc163121533"/>
      <w:r>
        <w:rPr>
          <w:rStyle w:val="CharSectno"/>
        </w:rPr>
        <w:t>15</w:t>
      </w:r>
      <w:r>
        <w:rPr>
          <w:snapToGrid w:val="0"/>
        </w:rPr>
        <w:t>.</w:t>
      </w:r>
      <w:r>
        <w:rPr>
          <w:snapToGrid w:val="0"/>
        </w:rPr>
        <w:tab/>
        <w:t>Admissions, awards etc. to be filed</w:t>
      </w:r>
      <w:bookmarkEnd w:id="1222"/>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copies thereof, or of any part thereof that may be required, shall be ready to be delivered to the party requiring the same within 48 hours after the same shall have been bespoken.</w:t>
      </w:r>
    </w:p>
    <w:p>
      <w:pPr>
        <w:pStyle w:val="Footnotesection"/>
      </w:pPr>
      <w:r>
        <w:rPr>
          <w:i w:val="0"/>
        </w:rPr>
        <w:lastRenderedPageBreak/>
        <w:tab/>
      </w:r>
      <w:r>
        <w:t xml:space="preserve">[Rule 15 amended: Gazette 27 Feb 2018 p. 577.] </w:t>
      </w:r>
    </w:p>
    <w:p>
      <w:pPr>
        <w:pStyle w:val="Heading5"/>
        <w:spacing w:before="240"/>
        <w:rPr>
          <w:snapToGrid w:val="0"/>
        </w:rPr>
      </w:pPr>
      <w:bookmarkStart w:id="1223" w:name="_Toc163121534"/>
      <w:r>
        <w:rPr>
          <w:rStyle w:val="CharSectno"/>
        </w:rPr>
        <w:t>16</w:t>
      </w:r>
      <w:r>
        <w:rPr>
          <w:snapToGrid w:val="0"/>
        </w:rPr>
        <w:t>.</w:t>
      </w:r>
      <w:r>
        <w:rPr>
          <w:snapToGrid w:val="0"/>
        </w:rPr>
        <w:tab/>
        <w:t>New forms</w:t>
      </w:r>
      <w:bookmarkEnd w:id="1223"/>
    </w:p>
    <w:p>
      <w:pPr>
        <w:pStyle w:val="Subsection"/>
        <w:rPr>
          <w:snapToGrid w:val="0"/>
        </w:rPr>
      </w:pPr>
      <w:r>
        <w:rPr>
          <w:snapToGrid w:val="0"/>
        </w:rPr>
        <w:tab/>
      </w:r>
      <w:r>
        <w:rPr>
          <w:snapToGrid w:val="0"/>
        </w:rPr>
        <w:tab/>
        <w:t xml:space="preserve">The </w:t>
      </w:r>
      <w:r>
        <w:t>Chief Justice or the Principal Registrar</w:t>
      </w:r>
      <w:r>
        <w:rPr>
          <w:snapToGrid w:val="0"/>
        </w:rPr>
        <w:t xml:space="preserve"> may from time to time prescribe the use in or for the purpose of the Central Office of such additional forms to those contained in </w:t>
      </w:r>
      <w:r>
        <w:t>Schedule 2</w:t>
      </w:r>
      <w:r>
        <w:rPr>
          <w:snapToGrid w:val="0"/>
        </w:rPr>
        <w:t>, or of such modified forms, as may be deemed expedient.</w:t>
      </w:r>
    </w:p>
    <w:p>
      <w:pPr>
        <w:pStyle w:val="Footnotesection"/>
      </w:pPr>
      <w:r>
        <w:tab/>
        <w:t xml:space="preserve">[Rule 16 amended: Gazette 30 Nov 1984 p. 3952; 28 Jun 2011 p. 2555; SL 2020/242 r. 7(2).] </w:t>
      </w:r>
    </w:p>
    <w:p>
      <w:pPr>
        <w:pStyle w:val="Heading5"/>
        <w:spacing w:before="240"/>
        <w:rPr>
          <w:snapToGrid w:val="0"/>
        </w:rPr>
      </w:pPr>
      <w:bookmarkStart w:id="1224" w:name="_Toc163121535"/>
      <w:r>
        <w:rPr>
          <w:rStyle w:val="CharSectno"/>
        </w:rPr>
        <w:t>17</w:t>
      </w:r>
      <w:r>
        <w:rPr>
          <w:snapToGrid w:val="0"/>
        </w:rPr>
        <w:t>.</w:t>
      </w:r>
      <w:r>
        <w:rPr>
          <w:snapToGrid w:val="0"/>
        </w:rPr>
        <w:tab/>
        <w:t>Accounts etc. to be taken by registrar, rules applying to</w:t>
      </w:r>
      <w:bookmarkEnd w:id="1224"/>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Gazette 14 Dec 1979 p. 3872; amended: Gazette 1 Aug 1980 p. 2559.] </w:t>
      </w:r>
    </w:p>
    <w:p>
      <w:pPr>
        <w:pStyle w:val="Heading5"/>
        <w:rPr>
          <w:snapToGrid w:val="0"/>
        </w:rPr>
      </w:pPr>
      <w:bookmarkStart w:id="1225" w:name="_Toc163121536"/>
      <w:r>
        <w:rPr>
          <w:rStyle w:val="CharSectno"/>
        </w:rPr>
        <w:t>18</w:t>
      </w:r>
      <w:r>
        <w:rPr>
          <w:snapToGrid w:val="0"/>
        </w:rPr>
        <w:t>.</w:t>
      </w:r>
      <w:r>
        <w:rPr>
          <w:snapToGrid w:val="0"/>
        </w:rPr>
        <w:tab/>
        <w:t>Reference in judgment etc. to registrar, effect of</w:t>
      </w:r>
      <w:bookmarkEnd w:id="1225"/>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Gazette 14 Dec 1979 p. 3872.] </w:t>
      </w:r>
    </w:p>
    <w:p>
      <w:pPr>
        <w:pStyle w:val="Ednotesection"/>
      </w:pPr>
      <w:r>
        <w:t>[</w:t>
      </w:r>
      <w:r>
        <w:rPr>
          <w:b/>
        </w:rPr>
        <w:t>18A, 18B.</w:t>
      </w:r>
      <w:r>
        <w:tab/>
        <w:t>Deleted: Gazette 27 Feb 2018 p. 578]</w:t>
      </w:r>
    </w:p>
    <w:p>
      <w:pPr>
        <w:pStyle w:val="Heading5"/>
      </w:pPr>
      <w:bookmarkStart w:id="1226" w:name="_Toc163121537"/>
      <w:r>
        <w:rPr>
          <w:rStyle w:val="CharSectno"/>
        </w:rPr>
        <w:t>19</w:t>
      </w:r>
      <w:r>
        <w:t>.</w:t>
      </w:r>
      <w:r>
        <w:tab/>
        <w:t>Principal Registrar may declare ECMS unavailable</w:t>
      </w:r>
      <w:bookmarkEnd w:id="1226"/>
    </w:p>
    <w:p>
      <w:pPr>
        <w:pStyle w:val="Subsection"/>
      </w:pPr>
      <w:r>
        <w:tab/>
        <w:t>(1)</w:t>
      </w:r>
      <w:r>
        <w:tab/>
        <w:t>The Principal Registrar may, in any manner the Principal Registrar thinks fit, declare that the ECMS is unavailable for use for a period set by the Principal Registrar.</w:t>
      </w:r>
    </w:p>
    <w:p>
      <w:pPr>
        <w:pStyle w:val="Subsection"/>
      </w:pPr>
      <w:r>
        <w:lastRenderedPageBreak/>
        <w:tab/>
        <w:t>(2)</w:t>
      </w:r>
      <w:r>
        <w:tab/>
        <w:t>The Principal Registrar, in writing, may delegate the Principal Registrar’s function under this rule to 1 or more other officers of the Court.</w:t>
      </w:r>
    </w:p>
    <w:p>
      <w:pPr>
        <w:pStyle w:val="Subsection"/>
      </w:pPr>
      <w:r>
        <w:tab/>
        <w:t>(3)</w:t>
      </w:r>
      <w:r>
        <w:tab/>
        <w:t>For the purposes of these rules, a declaration made by a delegate of the Principal Registrar under this rule is taken to be a declaration made by the Principal Registrar.</w:t>
      </w:r>
    </w:p>
    <w:p>
      <w:pPr>
        <w:pStyle w:val="Footnotesection"/>
      </w:pPr>
      <w:r>
        <w:rPr>
          <w:i w:val="0"/>
        </w:rPr>
        <w:tab/>
      </w:r>
      <w:r>
        <w:t xml:space="preserve">[Rule 19 inserted: Gazette 27 Feb 2018 p. 578; amended: Gazette 31 Dec 2019 p. 4677-8.] </w:t>
      </w:r>
    </w:p>
    <w:p>
      <w:pPr>
        <w:pStyle w:val="Ednotesection"/>
      </w:pPr>
      <w:r>
        <w:t>[</w:t>
      </w:r>
      <w:r>
        <w:rPr>
          <w:b/>
        </w:rPr>
        <w:t>20, 21.</w:t>
      </w:r>
      <w:r>
        <w:tab/>
        <w:t>Deleted: Gazette 27 Feb 2018 p. 578.]</w:t>
      </w:r>
    </w:p>
    <w:p>
      <w:pPr>
        <w:pStyle w:val="Heading2"/>
      </w:pPr>
      <w:bookmarkStart w:id="1227" w:name="_Toc162941076"/>
      <w:bookmarkStart w:id="1228" w:name="_Toc162953865"/>
      <w:bookmarkStart w:id="1229" w:name="_Toc163121538"/>
      <w:r>
        <w:rPr>
          <w:rStyle w:val="CharPartNo"/>
        </w:rPr>
        <w:lastRenderedPageBreak/>
        <w:t>Order 67A</w:t>
      </w:r>
      <w:r>
        <w:rPr>
          <w:b w:val="0"/>
        </w:rPr>
        <w:t> </w:t>
      </w:r>
      <w:r>
        <w:t>—</w:t>
      </w:r>
      <w:r>
        <w:rPr>
          <w:b w:val="0"/>
        </w:rPr>
        <w:t> </w:t>
      </w:r>
      <w:r>
        <w:rPr>
          <w:rStyle w:val="CharPartText"/>
        </w:rPr>
        <w:t>Filing documents</w:t>
      </w:r>
      <w:bookmarkEnd w:id="1227"/>
      <w:bookmarkEnd w:id="1228"/>
      <w:bookmarkEnd w:id="1229"/>
    </w:p>
    <w:p>
      <w:pPr>
        <w:pStyle w:val="Footnoteheading"/>
      </w:pPr>
      <w:r>
        <w:tab/>
        <w:t xml:space="preserve">[Heading inserted: Gazette 27 Feb 2018 p. 578.] </w:t>
      </w:r>
    </w:p>
    <w:p>
      <w:pPr>
        <w:pStyle w:val="Heading3"/>
      </w:pPr>
      <w:bookmarkStart w:id="1230" w:name="_Toc162941077"/>
      <w:bookmarkStart w:id="1231" w:name="_Toc162953866"/>
      <w:bookmarkStart w:id="1232" w:name="_Toc163121539"/>
      <w:r>
        <w:rPr>
          <w:rStyle w:val="CharDivNo"/>
        </w:rPr>
        <w:t>Division 1</w:t>
      </w:r>
      <w:r>
        <w:t> — </w:t>
      </w:r>
      <w:r>
        <w:rPr>
          <w:rStyle w:val="CharDivText"/>
        </w:rPr>
        <w:t>Preliminary matters</w:t>
      </w:r>
      <w:bookmarkEnd w:id="1230"/>
      <w:bookmarkEnd w:id="1231"/>
      <w:bookmarkEnd w:id="1232"/>
    </w:p>
    <w:p>
      <w:pPr>
        <w:pStyle w:val="Footnoteheading"/>
      </w:pPr>
      <w:r>
        <w:tab/>
        <w:t xml:space="preserve">[Heading inserted: Gazette 27 Feb 2018 p. 578.] </w:t>
      </w:r>
    </w:p>
    <w:p>
      <w:pPr>
        <w:pStyle w:val="Heading5"/>
      </w:pPr>
      <w:bookmarkStart w:id="1233" w:name="_Toc163121540"/>
      <w:r>
        <w:rPr>
          <w:rStyle w:val="CharSectno"/>
        </w:rPr>
        <w:t>1</w:t>
      </w:r>
      <w:r>
        <w:t>.</w:t>
      </w:r>
      <w:r>
        <w:tab/>
        <w:t>Terms used</w:t>
      </w:r>
      <w:bookmarkEnd w:id="1233"/>
    </w:p>
    <w:p>
      <w:pPr>
        <w:pStyle w:val="Subsection"/>
      </w:pPr>
      <w:r>
        <w:tab/>
      </w:r>
      <w:r>
        <w:tab/>
        <w:t>In this Order —</w:t>
      </w:r>
    </w:p>
    <w:p>
      <w:pPr>
        <w:pStyle w:val="Defstart"/>
      </w:pPr>
      <w:r>
        <w:tab/>
      </w:r>
      <w:r>
        <w:rPr>
          <w:rStyle w:val="CharDefText"/>
        </w:rPr>
        <w:t>complying document</w:t>
      </w:r>
      <w:r>
        <w:t xml:space="preserve"> means a document the form and content of which comply with these rules and any Court order or direction;</w:t>
      </w:r>
    </w:p>
    <w:p>
      <w:pPr>
        <w:pStyle w:val="Defstart"/>
      </w:pPr>
      <w:r>
        <w:tab/>
      </w:r>
      <w:r>
        <w:rPr>
          <w:rStyle w:val="CharDefText"/>
        </w:rPr>
        <w:t>deliver</w:t>
      </w:r>
      <w:r>
        <w:t xml:space="preserve"> means deliver by hand;</w:t>
      </w:r>
    </w:p>
    <w:p>
      <w:pPr>
        <w:pStyle w:val="Defstart"/>
      </w:pPr>
      <w:r>
        <w:tab/>
      </w:r>
      <w:r>
        <w:rPr>
          <w:rStyle w:val="CharDefText"/>
        </w:rPr>
        <w:t>Practice Directions</w:t>
      </w:r>
      <w:r>
        <w:t xml:space="preserve"> means practice directions issued by the Court from time to time.</w:t>
      </w:r>
    </w:p>
    <w:p>
      <w:pPr>
        <w:pStyle w:val="Footnotesection"/>
      </w:pPr>
      <w:r>
        <w:tab/>
        <w:t xml:space="preserve">[Rule 1 inserted: Gazette 27 Feb 2018 p. 578.] </w:t>
      </w:r>
    </w:p>
    <w:p>
      <w:pPr>
        <w:pStyle w:val="Heading3"/>
      </w:pPr>
      <w:bookmarkStart w:id="1234" w:name="_Toc162941079"/>
      <w:bookmarkStart w:id="1235" w:name="_Toc162953868"/>
      <w:bookmarkStart w:id="1236" w:name="_Toc163121541"/>
      <w:r>
        <w:rPr>
          <w:rStyle w:val="CharDivNo"/>
        </w:rPr>
        <w:t>Division 2</w:t>
      </w:r>
      <w:r>
        <w:t> — </w:t>
      </w:r>
      <w:r>
        <w:rPr>
          <w:rStyle w:val="CharDivText"/>
        </w:rPr>
        <w:t>Filing documents</w:t>
      </w:r>
      <w:bookmarkEnd w:id="1234"/>
      <w:bookmarkEnd w:id="1235"/>
      <w:bookmarkEnd w:id="1236"/>
    </w:p>
    <w:p>
      <w:pPr>
        <w:pStyle w:val="Footnoteheading"/>
      </w:pPr>
      <w:r>
        <w:tab/>
        <w:t xml:space="preserve">[Heading inserted: Gazette 27 Feb 2018 p. 579.] </w:t>
      </w:r>
    </w:p>
    <w:p>
      <w:pPr>
        <w:pStyle w:val="Heading5"/>
      </w:pPr>
      <w:bookmarkStart w:id="1237" w:name="_Toc163121542"/>
      <w:r>
        <w:rPr>
          <w:rStyle w:val="CharSectno"/>
        </w:rPr>
        <w:t>2</w:t>
      </w:r>
      <w:r>
        <w:t>.</w:t>
      </w:r>
      <w:r>
        <w:tab/>
        <w:t>General rules about filing documents</w:t>
      </w:r>
      <w:bookmarkEnd w:id="1237"/>
    </w:p>
    <w:p>
      <w:pPr>
        <w:pStyle w:val="Subsection"/>
      </w:pPr>
      <w:r>
        <w:tab/>
        <w:t>(1)</w:t>
      </w:r>
      <w:r>
        <w:tab/>
        <w:t>A person who is required by these rules or the Court to file a document, or who wants to do so, must, in accordance with this Order, present a complying document to the Court for filing.</w:t>
      </w:r>
    </w:p>
    <w:p>
      <w:pPr>
        <w:pStyle w:val="Subsection"/>
      </w:pPr>
      <w:r>
        <w:tab/>
        <w:t>(2)</w:t>
      </w:r>
      <w:r>
        <w:tab/>
        <w:t>The complying document must be presented together with any fee required to be paid when filing it or with the information the Court needs to enable the Court to be paid the fee.</w:t>
      </w:r>
    </w:p>
    <w:p>
      <w:pPr>
        <w:pStyle w:val="Subsection"/>
      </w:pPr>
      <w:r>
        <w:tab/>
        <w:t>(3)</w:t>
      </w:r>
      <w:r>
        <w:tab/>
        <w:t>A person must not present more than 1 copy of a document to the Court for filing unless these rules or the Court requires more than 1 copy to be filed.</w:t>
      </w:r>
    </w:p>
    <w:p>
      <w:pPr>
        <w:pStyle w:val="Subsection"/>
      </w:pPr>
      <w:r>
        <w:tab/>
        <w:t>(4)</w:t>
      </w:r>
      <w:r>
        <w:tab/>
        <w:t xml:space="preserve">If a party is required by these rules or the Court to file a document, the party cannot, without the Court’s leave, refer to </w:t>
      </w:r>
      <w:r>
        <w:lastRenderedPageBreak/>
        <w:t>or rely on the document in any hearing or in any other filed document unless it has been filed.</w:t>
      </w:r>
    </w:p>
    <w:p>
      <w:pPr>
        <w:pStyle w:val="Subsection"/>
      </w:pPr>
      <w:r>
        <w:tab/>
        <w:t>(5)</w:t>
      </w:r>
      <w:r>
        <w:tab/>
        <w:t>If under subrule (4) a party is given leave, the party must file the document as soon as practicable after the leave is given.</w:t>
      </w:r>
    </w:p>
    <w:p>
      <w:pPr>
        <w:pStyle w:val="Subsection"/>
      </w:pPr>
      <w:r>
        <w:tab/>
        <w:t>(6)</w:t>
      </w:r>
      <w:r>
        <w:tab/>
        <w:t>The Principal Registrar may refuse to file a document that is presented for filing if it is not a complying document or has been presented in contravention of this Order or a direction given under rule 3(4).</w:t>
      </w:r>
    </w:p>
    <w:p>
      <w:pPr>
        <w:pStyle w:val="Footnotesection"/>
      </w:pPr>
      <w:r>
        <w:tab/>
        <w:t xml:space="preserve">[Rule 2 inserted: Gazette 27 Feb 2018 p. 579.] </w:t>
      </w:r>
    </w:p>
    <w:p>
      <w:pPr>
        <w:pStyle w:val="Heading5"/>
      </w:pPr>
      <w:bookmarkStart w:id="1238" w:name="_Toc163121543"/>
      <w:r>
        <w:rPr>
          <w:rStyle w:val="CharSectno"/>
        </w:rPr>
        <w:t>3</w:t>
      </w:r>
      <w:r>
        <w:t>.</w:t>
      </w:r>
      <w:r>
        <w:tab/>
        <w:t>Documents must be filed using ECMS</w:t>
      </w:r>
      <w:bookmarkEnd w:id="1238"/>
    </w:p>
    <w:p>
      <w:pPr>
        <w:pStyle w:val="Subsection"/>
      </w:pPr>
      <w:r>
        <w:tab/>
        <w:t>(1)</w:t>
      </w:r>
      <w:r>
        <w:tab/>
        <w:t>To present a complying document to the Court for filing, a person must present it electronically using the ECMS and in accordance with rule 4 unless —</w:t>
      </w:r>
    </w:p>
    <w:p>
      <w:pPr>
        <w:pStyle w:val="Indenta"/>
      </w:pPr>
      <w:r>
        <w:tab/>
        <w:t>(a)</w:t>
      </w:r>
      <w:r>
        <w:tab/>
        <w:t>the ECMS has been declared unavailable for use under Order 67 rule 19, is otherwise unavailable for use or does not permit the document to be presented; or</w:t>
      </w:r>
    </w:p>
    <w:p>
      <w:pPr>
        <w:pStyle w:val="Indenta"/>
      </w:pPr>
      <w:r>
        <w:tab/>
        <w:t>(b)</w:t>
      </w:r>
      <w:r>
        <w:tab/>
        <w:t>these rules state that the document cannot be filed electronically; or</w:t>
      </w:r>
    </w:p>
    <w:p>
      <w:pPr>
        <w:pStyle w:val="Indenta"/>
      </w:pPr>
      <w:r>
        <w:tab/>
        <w:t>(c)</w:t>
      </w:r>
      <w:r>
        <w:tab/>
        <w:t>the document is filed for the purposes of proceedings or matters referred to in Order 1 rule 3(2) or (3); or</w:t>
      </w:r>
    </w:p>
    <w:p>
      <w:pPr>
        <w:pStyle w:val="Indenta"/>
      </w:pPr>
      <w:r>
        <w:tab/>
        <w:t>(d)</w:t>
      </w:r>
      <w:r>
        <w:tab/>
        <w:t>the document is filed for the purposes of Order 75A or 81H; or</w:t>
      </w:r>
    </w:p>
    <w:p>
      <w:pPr>
        <w:pStyle w:val="Indenta"/>
      </w:pPr>
      <w:r>
        <w:tab/>
        <w:t>(e)</w:t>
      </w:r>
      <w:r>
        <w:tab/>
        <w:t xml:space="preserve">the document is filed for the purposes of a criminal appeal, as defined in the </w:t>
      </w:r>
      <w:r>
        <w:rPr>
          <w:i/>
        </w:rPr>
        <w:t>Supreme Court (Court of Appeal) Rules 2005</w:t>
      </w:r>
      <w:r>
        <w:t xml:space="preserve"> rule 3(1); or</w:t>
      </w:r>
    </w:p>
    <w:p>
      <w:pPr>
        <w:pStyle w:val="Indenta"/>
      </w:pPr>
      <w:r>
        <w:tab/>
        <w:t>(f)</w:t>
      </w:r>
      <w:r>
        <w:tab/>
        <w:t xml:space="preserve">the document is filed for the purposes of an application under the </w:t>
      </w:r>
      <w:r>
        <w:rPr>
          <w:i/>
        </w:rPr>
        <w:t>Terrorism (Extraordinary Powers) Act 2005</w:t>
      </w:r>
      <w:r>
        <w:t xml:space="preserve"> or the </w:t>
      </w:r>
      <w:r>
        <w:rPr>
          <w:i/>
        </w:rPr>
        <w:t>Terrorism (Preventative Detention) Act 2006</w:t>
      </w:r>
      <w:r>
        <w:t>; or</w:t>
      </w:r>
    </w:p>
    <w:p>
      <w:pPr>
        <w:pStyle w:val="Indenta"/>
      </w:pPr>
      <w:r>
        <w:tab/>
        <w:t>(g)</w:t>
      </w:r>
      <w:r>
        <w:tab/>
        <w:t>the document is filed for the purposes of an urgent application made outside office hours; or</w:t>
      </w:r>
    </w:p>
    <w:p>
      <w:pPr>
        <w:pStyle w:val="Indenta"/>
      </w:pPr>
      <w:r>
        <w:lastRenderedPageBreak/>
        <w:tab/>
        <w:t>(h)</w:t>
      </w:r>
      <w:r>
        <w:tab/>
        <w:t>the document is filed by a person given permission under subrule (3) to file it otherwise than in accordance with this rule; or</w:t>
      </w:r>
    </w:p>
    <w:p>
      <w:pPr>
        <w:pStyle w:val="Indenta"/>
      </w:pPr>
      <w:r>
        <w:tab/>
        <w:t>(i)</w:t>
      </w:r>
      <w:r>
        <w:tab/>
        <w:t>the document is in a class of documents declared in the Practice Directions to be exempt from the requirement to be filed using the ECMS; or</w:t>
      </w:r>
    </w:p>
    <w:p>
      <w:pPr>
        <w:pStyle w:val="Indenta"/>
      </w:pPr>
      <w:r>
        <w:tab/>
        <w:t>(j)</w:t>
      </w:r>
      <w:r>
        <w:tab/>
        <w:t>the document is filed by a person in a class of persons declared in the Practice Directions to be exempt from the requirement to file using the ECMS.</w:t>
      </w:r>
    </w:p>
    <w:p>
      <w:pPr>
        <w:pStyle w:val="Subsection"/>
      </w:pPr>
      <w:r>
        <w:tab/>
        <w:t>(2)</w:t>
      </w:r>
      <w:r>
        <w:tab/>
        <w:t>If under subrule (1) a person cannot present a document electronically using the ECMS, the person may present it to the Court —</w:t>
      </w:r>
    </w:p>
    <w:p>
      <w:pPr>
        <w:pStyle w:val="Indenta"/>
      </w:pPr>
      <w:r>
        <w:tab/>
        <w:t>(a)</w:t>
      </w:r>
      <w:r>
        <w:tab/>
        <w:t>subject to rule 4, by emailing it; or</w:t>
      </w:r>
    </w:p>
    <w:p>
      <w:pPr>
        <w:pStyle w:val="Indenta"/>
      </w:pPr>
      <w:r>
        <w:tab/>
        <w:t>(b)</w:t>
      </w:r>
      <w:r>
        <w:tab/>
        <w:t>subject to rule 5, by delivering it; or</w:t>
      </w:r>
    </w:p>
    <w:p>
      <w:pPr>
        <w:pStyle w:val="Indenta"/>
      </w:pPr>
      <w:r>
        <w:tab/>
        <w:t>(c)</w:t>
      </w:r>
      <w:r>
        <w:tab/>
        <w:t>subject to rule 6, by posting it; or</w:t>
      </w:r>
    </w:p>
    <w:p>
      <w:pPr>
        <w:pStyle w:val="Indenta"/>
      </w:pPr>
      <w:r>
        <w:tab/>
        <w:t>(d)</w:t>
      </w:r>
      <w:r>
        <w:tab/>
        <w:t>subject to rule 7, by faxing it.</w:t>
      </w:r>
    </w:p>
    <w:p>
      <w:pPr>
        <w:pStyle w:val="Subsection"/>
      </w:pPr>
      <w:r>
        <w:tab/>
        <w:t>(3)</w:t>
      </w:r>
      <w:r>
        <w:tab/>
        <w:t>The Principal Registrar, for any good reason and without a formal application or request, may permit a person to present a document otherwise than in accordance with subrule (1).</w:t>
      </w:r>
    </w:p>
    <w:p>
      <w:pPr>
        <w:pStyle w:val="Subsection"/>
      </w:pPr>
      <w:r>
        <w:tab/>
        <w:t>(4)</w:t>
      </w:r>
      <w:r>
        <w:tab/>
        <w:t>When giving permission under subrule (3), the Principal Registrar may give directions as to the manner in which the document is to be presented, including as to whether the document is to be presented to the Court —</w:t>
      </w:r>
    </w:p>
    <w:p>
      <w:pPr>
        <w:pStyle w:val="Indenta"/>
      </w:pPr>
      <w:r>
        <w:tab/>
        <w:t>(a)</w:t>
      </w:r>
      <w:r>
        <w:tab/>
        <w:t>by emailing it; or</w:t>
      </w:r>
    </w:p>
    <w:p>
      <w:pPr>
        <w:pStyle w:val="Indenta"/>
      </w:pPr>
      <w:r>
        <w:tab/>
        <w:t>(b)</w:t>
      </w:r>
      <w:r>
        <w:tab/>
        <w:t>by delivering it; or</w:t>
      </w:r>
    </w:p>
    <w:p>
      <w:pPr>
        <w:pStyle w:val="Indenta"/>
      </w:pPr>
      <w:r>
        <w:tab/>
        <w:t>(c)</w:t>
      </w:r>
      <w:r>
        <w:tab/>
        <w:t>by posting it; or</w:t>
      </w:r>
    </w:p>
    <w:p>
      <w:pPr>
        <w:pStyle w:val="Indenta"/>
      </w:pPr>
      <w:r>
        <w:tab/>
        <w:t>(d)</w:t>
      </w:r>
      <w:r>
        <w:tab/>
        <w:t>by faxing it.</w:t>
      </w:r>
    </w:p>
    <w:p>
      <w:pPr>
        <w:pStyle w:val="Footnotesection"/>
      </w:pPr>
      <w:r>
        <w:tab/>
        <w:t xml:space="preserve">[Rule 3 inserted: Gazette 27 Feb 2018 p. 579-81; amended: Gazette 31 Dec 2019 p. 4677-8; SL 2021/34 r. 15.] </w:t>
      </w:r>
    </w:p>
    <w:p>
      <w:pPr>
        <w:pStyle w:val="Heading5"/>
      </w:pPr>
      <w:bookmarkStart w:id="1239" w:name="_Toc163121544"/>
      <w:r>
        <w:rPr>
          <w:rStyle w:val="CharSectno"/>
        </w:rPr>
        <w:lastRenderedPageBreak/>
        <w:t>4</w:t>
      </w:r>
      <w:r>
        <w:t>.</w:t>
      </w:r>
      <w:r>
        <w:tab/>
        <w:t>Documents presented for filing using ECMS or email</w:t>
      </w:r>
      <w:bookmarkEnd w:id="1239"/>
    </w:p>
    <w:p>
      <w:pPr>
        <w:pStyle w:val="Subsection"/>
      </w:pPr>
      <w:r>
        <w:tab/>
        <w:t>(1)</w:t>
      </w:r>
      <w:r>
        <w:tab/>
        <w:t>This rule applies to documents being presented to the Court for filing using the ECMS or email.</w:t>
      </w:r>
    </w:p>
    <w:p>
      <w:pPr>
        <w:pStyle w:val="Subsection"/>
      </w:pPr>
      <w:r>
        <w:tab/>
        <w:t>(2)</w:t>
      </w:r>
      <w:r>
        <w:tab/>
        <w:t>A person must not email a document to the Court for filing unless —</w:t>
      </w:r>
    </w:p>
    <w:p>
      <w:pPr>
        <w:pStyle w:val="Indenta"/>
      </w:pPr>
      <w:r>
        <w:tab/>
        <w:t>(a)</w:t>
      </w:r>
      <w:r>
        <w:tab/>
        <w:t>these rules say it cannot be filed electronically; or</w:t>
      </w:r>
    </w:p>
    <w:p>
      <w:pPr>
        <w:pStyle w:val="Indenta"/>
      </w:pPr>
      <w:r>
        <w:tab/>
        <w:t>(b)</w:t>
      </w:r>
      <w:r>
        <w:tab/>
        <w:t>the Principal Registrar has permitted the person to email it.</w:t>
      </w:r>
    </w:p>
    <w:p>
      <w:pPr>
        <w:pStyle w:val="Subsection"/>
      </w:pPr>
      <w:r>
        <w:tab/>
        <w:t>(3)</w:t>
      </w:r>
      <w:r>
        <w:tab/>
        <w:t xml:space="preserve">If under subrule (2) a person can email a document to the Court, the person must ensure — </w:t>
      </w:r>
    </w:p>
    <w:p>
      <w:pPr>
        <w:pStyle w:val="Indenta"/>
      </w:pPr>
      <w:r>
        <w:tab/>
        <w:t>(a)</w:t>
      </w:r>
      <w:r>
        <w:tab/>
        <w:t>the document is emailed to the email address of the Court specified by the Practice Directions; and</w:t>
      </w:r>
    </w:p>
    <w:p>
      <w:pPr>
        <w:pStyle w:val="Indenta"/>
      </w:pPr>
      <w:r>
        <w:tab/>
        <w:t>(b)</w:t>
      </w:r>
      <w:r>
        <w:tab/>
        <w:t xml:space="preserve">the email by which the document is sent to the Court includes the following — </w:t>
      </w:r>
    </w:p>
    <w:p>
      <w:pPr>
        <w:pStyle w:val="Indenti"/>
      </w:pPr>
      <w:r>
        <w:tab/>
        <w:t>(i)</w:t>
      </w:r>
      <w:r>
        <w:tab/>
        <w:t>the name of the person sending the document;</w:t>
      </w:r>
    </w:p>
    <w:p>
      <w:pPr>
        <w:pStyle w:val="Indenti"/>
      </w:pPr>
      <w:r>
        <w:tab/>
        <w:t>(ii)</w:t>
      </w:r>
      <w:r>
        <w:tab/>
        <w:t>the title and number of the proceeding to which the document relates;</w:t>
      </w:r>
    </w:p>
    <w:p>
      <w:pPr>
        <w:pStyle w:val="Indenti"/>
      </w:pPr>
      <w:r>
        <w:tab/>
        <w:t>(iii)</w:t>
      </w:r>
      <w:r>
        <w:tab/>
        <w:t>a description of the document;</w:t>
      </w:r>
    </w:p>
    <w:p>
      <w:pPr>
        <w:pStyle w:val="Indenti"/>
      </w:pPr>
      <w:r>
        <w:tab/>
        <w:t>(iv)</w:t>
      </w:r>
      <w:r>
        <w:tab/>
        <w:t>an explanation of the basis on which subrule (2) applies to the document.</w:t>
      </w:r>
    </w:p>
    <w:p>
      <w:pPr>
        <w:pStyle w:val="Subsection"/>
      </w:pPr>
      <w:r>
        <w:tab/>
        <w:t>(4)</w:t>
      </w:r>
      <w:r>
        <w:tab/>
        <w:t>Subrule (5) applies to these documents —</w:t>
      </w:r>
    </w:p>
    <w:p>
      <w:pPr>
        <w:pStyle w:val="Indenta"/>
      </w:pPr>
      <w:r>
        <w:tab/>
        <w:t>(a)</w:t>
      </w:r>
      <w:r>
        <w:tab/>
        <w:t>an affidavit;</w:t>
      </w:r>
    </w:p>
    <w:p>
      <w:pPr>
        <w:pStyle w:val="Indenta"/>
      </w:pPr>
      <w:r>
        <w:tab/>
        <w:t>(b)</w:t>
      </w:r>
      <w:r>
        <w:tab/>
        <w:t>a consent to the Court doing anything;</w:t>
      </w:r>
    </w:p>
    <w:p>
      <w:pPr>
        <w:pStyle w:val="Indenta"/>
      </w:pPr>
      <w:r>
        <w:tab/>
        <w:t>(c)</w:t>
      </w:r>
      <w:r>
        <w:tab/>
        <w:t>a document signed by a person who is not a party to the proceedings.</w:t>
      </w:r>
    </w:p>
    <w:p>
      <w:pPr>
        <w:pStyle w:val="Subsection"/>
      </w:pPr>
      <w:r>
        <w:tab/>
        <w:t>(5)</w:t>
      </w:r>
      <w:r>
        <w:tab/>
        <w:t>A document to which this subrule applies must not be presented for filing using the ECMS or email unless it is signed and is presented in a .pdf electronic format.</w:t>
      </w:r>
    </w:p>
    <w:p>
      <w:pPr>
        <w:pStyle w:val="Subsection"/>
      </w:pPr>
      <w:r>
        <w:tab/>
        <w:t>(6)</w:t>
      </w:r>
      <w:r>
        <w:tab/>
        <w:t>Subrule (7) applies to any document that is not listed in subrule (4) and that, under these rules, must be signed before it is filed.</w:t>
      </w:r>
    </w:p>
    <w:p>
      <w:pPr>
        <w:pStyle w:val="Subsection"/>
      </w:pPr>
      <w:r>
        <w:lastRenderedPageBreak/>
        <w:tab/>
        <w:t>(7)</w:t>
      </w:r>
      <w:r>
        <w:tab/>
        <w:t>If a document to which this subrule applies is to be presented for filing —</w:t>
      </w:r>
    </w:p>
    <w:p>
      <w:pPr>
        <w:pStyle w:val="Indenta"/>
      </w:pPr>
      <w:r>
        <w:tab/>
        <w:t>(a)</w:t>
      </w:r>
      <w:r>
        <w:tab/>
        <w:t>it must be signed before it is presented; and</w:t>
      </w:r>
    </w:p>
    <w:p>
      <w:pPr>
        <w:pStyle w:val="Indenta"/>
      </w:pPr>
      <w:r>
        <w:tab/>
        <w:t>(b)</w:t>
      </w:r>
      <w:r>
        <w:tab/>
        <w:t>a copy of it, in .docx electronic format, that states the name of the person who is required to sign it instead of showing the person’s signature, at any place in it where the signature is required, must be presented instead of the signed copy; and</w:t>
      </w:r>
    </w:p>
    <w:p>
      <w:pPr>
        <w:pStyle w:val="Indenta"/>
      </w:pPr>
      <w:r>
        <w:tab/>
        <w:t>(c)</w:t>
      </w:r>
      <w:r>
        <w:tab/>
        <w:t>the electronic copy must be presented using the ECMS or, subject to subrule (2), email; and</w:t>
      </w:r>
    </w:p>
    <w:p>
      <w:pPr>
        <w:pStyle w:val="Indenta"/>
      </w:pPr>
      <w:r>
        <w:tab/>
        <w:t>(d)</w:t>
      </w:r>
      <w:r>
        <w:tab/>
        <w:t>the person filing it must retain the signed copy and produce it if required to do so by the Court.</w:t>
      </w:r>
    </w:p>
    <w:p>
      <w:pPr>
        <w:pStyle w:val="Subsection"/>
      </w:pPr>
      <w:r>
        <w:tab/>
        <w:t>(8)</w:t>
      </w:r>
      <w:r>
        <w:tab/>
        <w:t>A person who files a document by email must —</w:t>
      </w:r>
    </w:p>
    <w:p>
      <w:pPr>
        <w:pStyle w:val="Indenta"/>
      </w:pPr>
      <w:r>
        <w:tab/>
        <w:t>(a)</w:t>
      </w:r>
      <w:r>
        <w:tab/>
        <w:t>indorse the first page of the original document with —</w:t>
      </w:r>
    </w:p>
    <w:p>
      <w:pPr>
        <w:pStyle w:val="Indenti"/>
      </w:pPr>
      <w:r>
        <w:tab/>
        <w:t>(i)</w:t>
      </w:r>
      <w:r>
        <w:tab/>
        <w:t>a statement that the document is the original of a document sent by email; and</w:t>
      </w:r>
    </w:p>
    <w:p>
      <w:pPr>
        <w:pStyle w:val="Indenti"/>
      </w:pPr>
      <w:r>
        <w:tab/>
        <w:t>(ii)</w:t>
      </w:r>
      <w:r>
        <w:tab/>
        <w:t>the date and time the document was sent by email;</w:t>
      </w:r>
    </w:p>
    <w:p>
      <w:pPr>
        <w:pStyle w:val="Indenta"/>
      </w:pPr>
      <w:r>
        <w:tab/>
      </w:r>
      <w:r>
        <w:tab/>
        <w:t>and</w:t>
      </w:r>
    </w:p>
    <w:p>
      <w:pPr>
        <w:pStyle w:val="Indenta"/>
      </w:pPr>
      <w:r>
        <w:tab/>
        <w:t>(b)</w:t>
      </w:r>
      <w:r>
        <w:tab/>
        <w:t>keep the indorsed original document; and</w:t>
      </w:r>
    </w:p>
    <w:p>
      <w:pPr>
        <w:pStyle w:val="Indenta"/>
      </w:pPr>
      <w:r>
        <w:tab/>
        <w:t>(c)</w:t>
      </w:r>
      <w:r>
        <w:tab/>
        <w:t>if required to do so by the Court, produce the indorsed original document to the Court.</w:t>
      </w:r>
    </w:p>
    <w:p>
      <w:pPr>
        <w:pStyle w:val="Subsection"/>
      </w:pPr>
      <w:r>
        <w:tab/>
        <w:t>(9)</w:t>
      </w:r>
      <w:r>
        <w:tab/>
        <w:t>Subject to subrules (4) to (7), all documents presented to the Court for filing using the ECMS or email must be in an electronic format specified by the Practice Directions.</w:t>
      </w:r>
    </w:p>
    <w:p>
      <w:pPr>
        <w:pStyle w:val="Subsection"/>
      </w:pPr>
      <w:r>
        <w:tab/>
        <w:t>(10)</w:t>
      </w:r>
      <w:r>
        <w:tab/>
        <w:t>A document filed electronically is taken to have been filed on the day and at the time recorded by the ECMS.</w:t>
      </w:r>
    </w:p>
    <w:p>
      <w:pPr>
        <w:pStyle w:val="Subsection"/>
      </w:pPr>
      <w:r>
        <w:tab/>
        <w:t>(11)</w:t>
      </w:r>
      <w:r>
        <w:tab/>
        <w:t>A document filed by email is taken to have been filed on the day and at the time when the Court receives the email.</w:t>
      </w:r>
    </w:p>
    <w:p>
      <w:pPr>
        <w:pStyle w:val="Subsection"/>
      </w:pPr>
      <w:r>
        <w:tab/>
        <w:t>(12)</w:t>
      </w:r>
      <w:r>
        <w:tab/>
        <w:t>Subrule (10) does not apply to a document that is recorded in the ECMS under rule 8(1) as if it had been filed electronically.</w:t>
      </w:r>
    </w:p>
    <w:p>
      <w:pPr>
        <w:pStyle w:val="Subsection"/>
      </w:pPr>
      <w:r>
        <w:lastRenderedPageBreak/>
        <w:tab/>
        <w:t>(13)</w:t>
      </w:r>
      <w:r>
        <w:tab/>
        <w:t xml:space="preserve">If — </w:t>
      </w:r>
    </w:p>
    <w:p>
      <w:pPr>
        <w:pStyle w:val="Indenta"/>
      </w:pPr>
      <w:r>
        <w:tab/>
        <w:t>(a)</w:t>
      </w:r>
      <w:r>
        <w:tab/>
        <w:t>these rules require 2 or more copies of a document to be filed; and</w:t>
      </w:r>
    </w:p>
    <w:p>
      <w:pPr>
        <w:pStyle w:val="Indenta"/>
      </w:pPr>
      <w:r>
        <w:tab/>
        <w:t>(b)</w:t>
      </w:r>
      <w:r>
        <w:tab/>
        <w:t>the document is filed electronically or by email,</w:t>
      </w:r>
    </w:p>
    <w:p>
      <w:pPr>
        <w:pStyle w:val="Subsection"/>
      </w:pPr>
      <w:r>
        <w:tab/>
      </w:r>
      <w:r>
        <w:tab/>
        <w:t>the requirement in paragraph (a) is taken to have been complied with.</w:t>
      </w:r>
    </w:p>
    <w:p>
      <w:pPr>
        <w:pStyle w:val="Subsection"/>
      </w:pPr>
      <w:r>
        <w:tab/>
        <w:t>(14)</w:t>
      </w:r>
      <w:r>
        <w:tab/>
        <w:t>A document that is presented for filing using the ECMS or email but not in accordance with the requirements of the ECMS and this rule is taken not to have been filed.</w:t>
      </w:r>
    </w:p>
    <w:p>
      <w:pPr>
        <w:pStyle w:val="Subsection"/>
      </w:pPr>
      <w:r>
        <w:tab/>
        <w:t>(15)</w:t>
      </w:r>
      <w:r>
        <w:tab/>
        <w:t>The Court may at any time, on the application of a party or on its own initiative, order a person who has presented a document for filing using the ECMS or email —</w:t>
      </w:r>
    </w:p>
    <w:p>
      <w:pPr>
        <w:pStyle w:val="Indenta"/>
      </w:pPr>
      <w:r>
        <w:tab/>
        <w:t>(a)</w:t>
      </w:r>
      <w:r>
        <w:tab/>
        <w:t>to have the original paper copy of it with the person at any conference or hearing in the course of the case concerned;</w:t>
      </w:r>
    </w:p>
    <w:p>
      <w:pPr>
        <w:pStyle w:val="Indenta"/>
      </w:pPr>
      <w:r>
        <w:tab/>
        <w:t>(b)</w:t>
      </w:r>
      <w:r>
        <w:tab/>
        <w:t>to file the original paper copy of it by a means specified in the order.</w:t>
      </w:r>
    </w:p>
    <w:p>
      <w:pPr>
        <w:pStyle w:val="Footnotesection"/>
      </w:pPr>
      <w:r>
        <w:tab/>
        <w:t xml:space="preserve">[Rule 4 inserted: Gazette 27 Feb 2018 p. 581-4; amended: Gazette 31 Dec 2019 p. 4677-8.] </w:t>
      </w:r>
    </w:p>
    <w:p>
      <w:pPr>
        <w:pStyle w:val="Heading5"/>
      </w:pPr>
      <w:bookmarkStart w:id="1240" w:name="_Toc163121545"/>
      <w:r>
        <w:rPr>
          <w:rStyle w:val="CharSectno"/>
        </w:rPr>
        <w:t>5</w:t>
      </w:r>
      <w:r>
        <w:t>.</w:t>
      </w:r>
      <w:r>
        <w:tab/>
        <w:t>Delivering documents for filing</w:t>
      </w:r>
      <w:bookmarkEnd w:id="1240"/>
    </w:p>
    <w:p>
      <w:pPr>
        <w:pStyle w:val="Subsection"/>
      </w:pPr>
      <w:r>
        <w:tab/>
      </w:r>
      <w:r>
        <w:tab/>
        <w:t>A person must not deliver a document to the Court for filing unless —</w:t>
      </w:r>
    </w:p>
    <w:p>
      <w:pPr>
        <w:pStyle w:val="Indenta"/>
      </w:pPr>
      <w:r>
        <w:tab/>
        <w:t>(a)</w:t>
      </w:r>
      <w:r>
        <w:tab/>
        <w:t>these rules say it cannot be filed electronically; or</w:t>
      </w:r>
    </w:p>
    <w:p>
      <w:pPr>
        <w:pStyle w:val="Indenta"/>
      </w:pPr>
      <w:r>
        <w:tab/>
        <w:t>(b)</w:t>
      </w:r>
      <w:r>
        <w:tab/>
        <w:t>the Principal Registrar has permitted the person to deliver it.</w:t>
      </w:r>
    </w:p>
    <w:p>
      <w:pPr>
        <w:pStyle w:val="Footnotesection"/>
      </w:pPr>
      <w:r>
        <w:tab/>
        <w:t xml:space="preserve">[Rule 5 inserted: Gazette 27 Feb 2018 p. 584.] </w:t>
      </w:r>
    </w:p>
    <w:p>
      <w:pPr>
        <w:pStyle w:val="Heading5"/>
      </w:pPr>
      <w:bookmarkStart w:id="1241" w:name="_Toc163121546"/>
      <w:r>
        <w:rPr>
          <w:rStyle w:val="CharSectno"/>
        </w:rPr>
        <w:t>6</w:t>
      </w:r>
      <w:r>
        <w:t>.</w:t>
      </w:r>
      <w:r>
        <w:tab/>
        <w:t>Posting documents for filing</w:t>
      </w:r>
      <w:bookmarkEnd w:id="1241"/>
    </w:p>
    <w:p>
      <w:pPr>
        <w:pStyle w:val="Subsection"/>
      </w:pPr>
      <w:r>
        <w:tab/>
        <w:t>(1)</w:t>
      </w:r>
      <w:r>
        <w:tab/>
        <w:t>A person must not post a document to the Court for filing unless —</w:t>
      </w:r>
    </w:p>
    <w:p>
      <w:pPr>
        <w:pStyle w:val="Indenta"/>
      </w:pPr>
      <w:r>
        <w:lastRenderedPageBreak/>
        <w:tab/>
        <w:t>(a)</w:t>
      </w:r>
      <w:r>
        <w:tab/>
        <w:t>these rules say it cannot be filed electronically; or</w:t>
      </w:r>
    </w:p>
    <w:p>
      <w:pPr>
        <w:pStyle w:val="Indenta"/>
      </w:pPr>
      <w:r>
        <w:tab/>
        <w:t>(b)</w:t>
      </w:r>
      <w:r>
        <w:tab/>
        <w:t>the Principal Registrar has permitted the person to post it.</w:t>
      </w:r>
    </w:p>
    <w:p>
      <w:pPr>
        <w:pStyle w:val="Subsection"/>
      </w:pPr>
      <w:r>
        <w:tab/>
        <w:t>(2)</w:t>
      </w:r>
      <w:r>
        <w:tab/>
        <w:t>If under subrule (1) a person can post a document to the Court, the person must comply with subrules (3) and (4).</w:t>
      </w:r>
    </w:p>
    <w:p>
      <w:pPr>
        <w:pStyle w:val="Subsection"/>
      </w:pPr>
      <w:r>
        <w:tab/>
        <w:t>(3)</w:t>
      </w:r>
      <w:r>
        <w:tab/>
        <w:t>A document sent by post to the Court must have a cover page stating the following —</w:t>
      </w:r>
    </w:p>
    <w:p>
      <w:pPr>
        <w:pStyle w:val="Indenta"/>
      </w:pPr>
      <w:r>
        <w:tab/>
        <w:t>(a)</w:t>
      </w:r>
      <w:r>
        <w:tab/>
        <w:t>the name of the person sending the document;</w:t>
      </w:r>
    </w:p>
    <w:p>
      <w:pPr>
        <w:pStyle w:val="Indenta"/>
      </w:pPr>
      <w:r>
        <w:tab/>
        <w:t>(b)</w:t>
      </w:r>
      <w:r>
        <w:tab/>
        <w:t>the title and number of the proceeding to which the document relates;</w:t>
      </w:r>
    </w:p>
    <w:p>
      <w:pPr>
        <w:pStyle w:val="Indenta"/>
      </w:pPr>
      <w:r>
        <w:tab/>
        <w:t>(c)</w:t>
      </w:r>
      <w:r>
        <w:tab/>
        <w:t>a description of the document;</w:t>
      </w:r>
    </w:p>
    <w:p>
      <w:pPr>
        <w:pStyle w:val="Indenta"/>
      </w:pPr>
      <w:r>
        <w:tab/>
        <w:t>(d)</w:t>
      </w:r>
      <w:r>
        <w:tab/>
        <w:t>an explanation of the basis on which subrule (1) applies to the document.</w:t>
      </w:r>
    </w:p>
    <w:p>
      <w:pPr>
        <w:pStyle w:val="Subsection"/>
      </w:pPr>
      <w:r>
        <w:tab/>
        <w:t>(4)</w:t>
      </w:r>
      <w:r>
        <w:tab/>
        <w:t>The document must be posted —</w:t>
      </w:r>
    </w:p>
    <w:p>
      <w:pPr>
        <w:pStyle w:val="Indenta"/>
      </w:pPr>
      <w:r>
        <w:tab/>
        <w:t>(a)</w:t>
      </w:r>
      <w:r>
        <w:tab/>
        <w:t>in an A4 or larger envelope; and</w:t>
      </w:r>
    </w:p>
    <w:p>
      <w:pPr>
        <w:pStyle w:val="Indenta"/>
      </w:pPr>
      <w:r>
        <w:tab/>
        <w:t>(b)</w:t>
      </w:r>
      <w:r>
        <w:tab/>
        <w:t>to the postal address of the Court specified in the Practice Directions.</w:t>
      </w:r>
    </w:p>
    <w:p>
      <w:pPr>
        <w:pStyle w:val="Footnotesection"/>
      </w:pPr>
      <w:r>
        <w:tab/>
        <w:t xml:space="preserve">[Rule 6 inserted: Gazette 27 Feb 2018 p. 584-5.] </w:t>
      </w:r>
    </w:p>
    <w:p>
      <w:pPr>
        <w:pStyle w:val="Heading5"/>
      </w:pPr>
      <w:bookmarkStart w:id="1242" w:name="_Toc163121547"/>
      <w:r>
        <w:rPr>
          <w:rStyle w:val="CharSectno"/>
        </w:rPr>
        <w:t>7</w:t>
      </w:r>
      <w:r>
        <w:t>.</w:t>
      </w:r>
      <w:r>
        <w:tab/>
        <w:t>Faxing documents for filing</w:t>
      </w:r>
      <w:bookmarkEnd w:id="1242"/>
    </w:p>
    <w:p>
      <w:pPr>
        <w:pStyle w:val="Subsection"/>
      </w:pPr>
      <w:r>
        <w:tab/>
        <w:t>(1)</w:t>
      </w:r>
      <w:r>
        <w:tab/>
        <w:t>A person must not fax a document to the Court for filing unless the Principal Registrar has permitted the person to fax it.</w:t>
      </w:r>
    </w:p>
    <w:p>
      <w:pPr>
        <w:pStyle w:val="Subsection"/>
      </w:pPr>
      <w:r>
        <w:tab/>
        <w:t>(2)</w:t>
      </w:r>
      <w:r>
        <w:tab/>
        <w:t>If under subrule (1) a person can fax a document to the Court, the person must comply with subrules (3) to (8).</w:t>
      </w:r>
    </w:p>
    <w:p>
      <w:pPr>
        <w:pStyle w:val="Subsection"/>
      </w:pPr>
      <w:r>
        <w:tab/>
        <w:t>(3)</w:t>
      </w:r>
      <w:r>
        <w:tab/>
        <w:t>The person must use the fax number of the Court specified in the Practice Directions.</w:t>
      </w:r>
    </w:p>
    <w:p>
      <w:pPr>
        <w:pStyle w:val="Subsection"/>
      </w:pPr>
      <w:r>
        <w:tab/>
        <w:t>(4)</w:t>
      </w:r>
      <w:r>
        <w:tab/>
        <w:t>A document that, with any attachments and a cover page, has more than 20 pages, must not be filed by fax and any such document received by the Court is to be taken not to have been filed.</w:t>
      </w:r>
    </w:p>
    <w:p>
      <w:pPr>
        <w:pStyle w:val="Subsection"/>
        <w:keepNext/>
      </w:pPr>
      <w:r>
        <w:lastRenderedPageBreak/>
        <w:tab/>
        <w:t>(5)</w:t>
      </w:r>
      <w:r>
        <w:tab/>
        <w:t>A document sent by fax to the Court must have a cover page stating —</w:t>
      </w:r>
    </w:p>
    <w:p>
      <w:pPr>
        <w:pStyle w:val="Indenta"/>
      </w:pPr>
      <w:r>
        <w:tab/>
        <w:t>(a)</w:t>
      </w:r>
      <w:r>
        <w:tab/>
        <w:t>the name, postal address, document exchange number (if any), telephone number and fax number of the person sending the document; and</w:t>
      </w:r>
    </w:p>
    <w:p>
      <w:pPr>
        <w:pStyle w:val="Indenta"/>
      </w:pPr>
      <w:r>
        <w:tab/>
        <w:t>(b)</w:t>
      </w:r>
      <w:r>
        <w:tab/>
        <w:t>the number of pages (including the cover page) being sent by fax.</w:t>
      </w:r>
    </w:p>
    <w:p>
      <w:pPr>
        <w:pStyle w:val="Subsection"/>
      </w:pPr>
      <w:r>
        <w:tab/>
        <w:t>(6)</w:t>
      </w:r>
      <w:r>
        <w:tab/>
        <w:t>A person who files a document by fax must —</w:t>
      </w:r>
    </w:p>
    <w:p>
      <w:pPr>
        <w:pStyle w:val="Indenta"/>
      </w:pPr>
      <w:r>
        <w:tab/>
        <w:t>(a)</w:t>
      </w:r>
      <w:r>
        <w:tab/>
        <w:t>indorse the first page of the original document with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indorsed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(7)</w:t>
      </w:r>
      <w:r>
        <w:tab/>
        <w:t>A document filed by fax is to be taken to have been filed on the day and at the time when the Court receives the fax.</w:t>
      </w:r>
    </w:p>
    <w:p>
      <w:pPr>
        <w:pStyle w:val="Subsection"/>
      </w:pPr>
      <w:r>
        <w:tab/>
        <w:t>(8)</w:t>
      </w:r>
      <w:r>
        <w:tab/>
        <w:t>The Court may at any time, on the application of a party or on its own initiative, order a person who has faxed a document to the Court —</w:t>
      </w:r>
    </w:p>
    <w:p>
      <w:pPr>
        <w:pStyle w:val="Indenta"/>
      </w:pPr>
      <w:r>
        <w:tab/>
        <w:t>(a)</w:t>
      </w:r>
      <w:r>
        <w:tab/>
        <w:t>to have the original paper copy of it with the person at any conference or hearing in the course of the case concerned;</w:t>
      </w:r>
    </w:p>
    <w:p>
      <w:pPr>
        <w:pStyle w:val="Indenta"/>
      </w:pPr>
      <w:r>
        <w:tab/>
        <w:t>(b)</w:t>
      </w:r>
      <w:r>
        <w:tab/>
        <w:t>to file the original paper copy of it by a means specified in the order.</w:t>
      </w:r>
    </w:p>
    <w:p>
      <w:pPr>
        <w:pStyle w:val="Footnotesection"/>
      </w:pPr>
      <w:r>
        <w:tab/>
        <w:t xml:space="preserve">[Rule 7 inserted: Gazette 27 Feb 2018 p. 585-6.] </w:t>
      </w:r>
    </w:p>
    <w:p>
      <w:pPr>
        <w:pStyle w:val="Heading5"/>
      </w:pPr>
      <w:bookmarkStart w:id="1243" w:name="_Toc163121548"/>
      <w:r>
        <w:rPr>
          <w:rStyle w:val="CharSectno"/>
        </w:rPr>
        <w:lastRenderedPageBreak/>
        <w:t>8</w:t>
      </w:r>
      <w:r>
        <w:t>.</w:t>
      </w:r>
      <w:r>
        <w:tab/>
        <w:t>How filed paper documents are to be dealt with</w:t>
      </w:r>
      <w:bookmarkEnd w:id="1243"/>
    </w:p>
    <w:p>
      <w:pPr>
        <w:pStyle w:val="Subsection"/>
        <w:keepNext/>
      </w:pPr>
      <w:r>
        <w:tab/>
        <w:t>(1)</w:t>
      </w:r>
      <w:r>
        <w:tab/>
        <w:t xml:space="preserve">If — </w:t>
      </w:r>
    </w:p>
    <w:p>
      <w:pPr>
        <w:pStyle w:val="Indenta"/>
      </w:pPr>
      <w:r>
        <w:tab/>
        <w:t>(a)</w:t>
      </w:r>
      <w:r>
        <w:tab/>
        <w:t>a paper copy of a document is filed in accordance with these rules; and</w:t>
      </w:r>
    </w:p>
    <w:p>
      <w:pPr>
        <w:pStyle w:val="Indenta"/>
      </w:pPr>
      <w:r>
        <w:tab/>
        <w:t>(b)</w:t>
      </w:r>
      <w:r>
        <w:tab/>
        <w:t>an electronic copy of it is not filed,</w:t>
      </w:r>
    </w:p>
    <w:p>
      <w:pPr>
        <w:pStyle w:val="Subsection"/>
      </w:pPr>
      <w:r>
        <w:tab/>
      </w:r>
      <w:r>
        <w:tab/>
        <w:t>the Principal Registrar may convert the document to an electronic format and record it in the ECMS as if it had been filed electronically.</w:t>
      </w:r>
    </w:p>
    <w:p>
      <w:pPr>
        <w:pStyle w:val="Subsection"/>
      </w:pPr>
      <w:r>
        <w:tab/>
        <w:t>(2)</w:t>
      </w:r>
      <w:r>
        <w:tab/>
        <w:t>Subrules (3) to (6) apply to a paper version of a document filed in the Court if the document is recorded in the ECMS under subrule (1) as if it had been filed electronically.</w:t>
      </w:r>
    </w:p>
    <w:p>
      <w:pPr>
        <w:pStyle w:val="Subsection"/>
      </w:pPr>
      <w:r>
        <w:tab/>
        <w:t>(3)</w:t>
      </w:r>
      <w:r>
        <w:tab/>
        <w:t xml:space="preserve">If a document is recorded in the ECMS under subrule (1) as if it had been filed electronically, the paper version of the document must be retained by the Court — </w:t>
      </w:r>
    </w:p>
    <w:p>
      <w:pPr>
        <w:pStyle w:val="Indenta"/>
      </w:pPr>
      <w:r>
        <w:tab/>
        <w:t>(a)</w:t>
      </w:r>
      <w:r>
        <w:tab/>
        <w:t>for 90 days from the day it was filed; and</w:t>
      </w:r>
    </w:p>
    <w:p>
      <w:pPr>
        <w:pStyle w:val="Indenta"/>
      </w:pPr>
      <w:r>
        <w:tab/>
        <w:t>(b)</w:t>
      </w:r>
      <w:r>
        <w:tab/>
        <w:t>until it is collected or the period referred to in subrule (4) expires, whichever occurs first.</w:t>
      </w:r>
    </w:p>
    <w:p>
      <w:pPr>
        <w:pStyle w:val="Subsection"/>
      </w:pPr>
      <w:r>
        <w:tab/>
        <w:t>(4)</w:t>
      </w:r>
      <w:r>
        <w:tab/>
        <w:t>The person who filed the paper version of the document may collect it from the Court within 30 days after the period referred to in subrule (3)(a) expires.</w:t>
      </w:r>
    </w:p>
    <w:p>
      <w:pPr>
        <w:pStyle w:val="Subsection"/>
      </w:pPr>
      <w:r>
        <w:tab/>
        <w:t>(5)</w:t>
      </w:r>
      <w:r>
        <w:tab/>
        <w:t>If the paper version of the document is not collected within the period referred to in subrule (4), a registrar may cause the document to be destroyed.</w:t>
      </w:r>
    </w:p>
    <w:p>
      <w:pPr>
        <w:pStyle w:val="Subsection"/>
      </w:pPr>
      <w:r>
        <w:tab/>
        <w:t>(6)</w:t>
      </w:r>
      <w:r>
        <w:tab/>
        <w:t xml:space="preserve">If the paper version of the document is collected within the period referred to in subrule (4), the person who filed it must, unless a registrar approves the destruction of the document — </w:t>
      </w:r>
    </w:p>
    <w:p>
      <w:pPr>
        <w:pStyle w:val="Indenta"/>
      </w:pPr>
      <w:r>
        <w:tab/>
        <w:t>(a)</w:t>
      </w:r>
      <w:r>
        <w:tab/>
        <w:t>keep the document; and</w:t>
      </w:r>
    </w:p>
    <w:p>
      <w:pPr>
        <w:pStyle w:val="Indenta"/>
      </w:pPr>
      <w:r>
        <w:tab/>
        <w:t>(b)</w:t>
      </w:r>
      <w:r>
        <w:tab/>
        <w:t>if directed to do so by the Court, produce the document to the Court.</w:t>
      </w:r>
    </w:p>
    <w:p>
      <w:pPr>
        <w:pStyle w:val="Footnotesection"/>
      </w:pPr>
      <w:r>
        <w:lastRenderedPageBreak/>
        <w:tab/>
        <w:t xml:space="preserve">[Rule 8 inserted: Gazette 27 Feb 2018 p. 587; amended: Gazette 31 Dec 2019 p. 4677-8.] </w:t>
      </w:r>
    </w:p>
    <w:p>
      <w:pPr>
        <w:pStyle w:val="Heading3"/>
      </w:pPr>
      <w:bookmarkStart w:id="1244" w:name="_Toc162941087"/>
      <w:bookmarkStart w:id="1245" w:name="_Toc162953876"/>
      <w:bookmarkStart w:id="1246" w:name="_Toc163121549"/>
      <w:r>
        <w:rPr>
          <w:rStyle w:val="CharDivNo"/>
        </w:rPr>
        <w:t>Division 3</w:t>
      </w:r>
      <w:r>
        <w:t> — </w:t>
      </w:r>
      <w:r>
        <w:rPr>
          <w:rStyle w:val="CharDivText"/>
        </w:rPr>
        <w:t>Documents containing sensitive information</w:t>
      </w:r>
      <w:bookmarkEnd w:id="1244"/>
      <w:bookmarkEnd w:id="1245"/>
      <w:bookmarkEnd w:id="1246"/>
    </w:p>
    <w:p>
      <w:pPr>
        <w:pStyle w:val="Footnoteheading"/>
        <w:keepNext/>
      </w:pPr>
      <w:r>
        <w:tab/>
        <w:t xml:space="preserve">[Heading inserted: Gazette 27 Feb 2018 p. 588.] </w:t>
      </w:r>
    </w:p>
    <w:p>
      <w:pPr>
        <w:pStyle w:val="Heading5"/>
      </w:pPr>
      <w:bookmarkStart w:id="1247" w:name="_Toc163121550"/>
      <w:r>
        <w:rPr>
          <w:rStyle w:val="CharSectno"/>
        </w:rPr>
        <w:t>9</w:t>
      </w:r>
      <w:r>
        <w:t>.</w:t>
      </w:r>
      <w:r>
        <w:tab/>
        <w:t>Terms used</w:t>
      </w:r>
      <w:bookmarkEnd w:id="1247"/>
    </w:p>
    <w:p>
      <w:pPr>
        <w:pStyle w:val="Subsection"/>
      </w:pPr>
      <w:r>
        <w:tab/>
      </w:r>
      <w:r>
        <w:tab/>
        <w:t>In this Division —</w:t>
      </w:r>
    </w:p>
    <w:p>
      <w:pPr>
        <w:pStyle w:val="Defstart"/>
      </w:pPr>
      <w:r>
        <w:tab/>
      </w:r>
      <w:r>
        <w:rPr>
          <w:rStyle w:val="CharDefText"/>
        </w:rPr>
        <w:t>legislation</w:t>
      </w:r>
      <w:r>
        <w:t xml:space="preserve"> means — </w:t>
      </w:r>
    </w:p>
    <w:p>
      <w:pPr>
        <w:pStyle w:val="Defpara"/>
      </w:pPr>
      <w:r>
        <w:tab/>
        <w:t>(a)</w:t>
      </w:r>
      <w:r>
        <w:tab/>
        <w:t>a written law; or</w:t>
      </w:r>
    </w:p>
    <w:p>
      <w:pPr>
        <w:pStyle w:val="Defpara"/>
      </w:pPr>
      <w:r>
        <w:tab/>
        <w:t>(b)</w:t>
      </w:r>
      <w:r>
        <w:tab/>
        <w:t>legislation of another Australian jurisdiction;</w:t>
      </w:r>
    </w:p>
    <w:p>
      <w:pPr>
        <w:pStyle w:val="Defstart"/>
      </w:pPr>
      <w:r>
        <w:tab/>
      </w:r>
      <w:r>
        <w:rPr>
          <w:rStyle w:val="CharDefText"/>
        </w:rPr>
        <w:t>restricted document</w:t>
      </w:r>
      <w:r>
        <w:t xml:space="preserve"> means a document the existence and the whole of the contents of which must not be known or accessible to anyone other than the person filing it and a judge, master or registrar;</w:t>
      </w:r>
    </w:p>
    <w:p>
      <w:pPr>
        <w:pStyle w:val="Defstart"/>
      </w:pPr>
      <w:r>
        <w:tab/>
      </w:r>
      <w:r>
        <w:rPr>
          <w:rStyle w:val="CharDefText"/>
        </w:rPr>
        <w:t>restricted information</w:t>
      </w:r>
      <w:r>
        <w:t xml:space="preserve"> means information access to which is restricted by —</w:t>
      </w:r>
    </w:p>
    <w:p>
      <w:pPr>
        <w:pStyle w:val="Defpara"/>
      </w:pPr>
      <w:r>
        <w:tab/>
        <w:t>(a)</w:t>
      </w:r>
      <w:r>
        <w:tab/>
        <w:t>legislation; or</w:t>
      </w:r>
    </w:p>
    <w:p>
      <w:pPr>
        <w:pStyle w:val="Defpara"/>
      </w:pPr>
      <w:r>
        <w:tab/>
        <w:t>(b)</w:t>
      </w:r>
      <w:r>
        <w:tab/>
        <w:t>an order made by a court in Australia.</w:t>
      </w:r>
    </w:p>
    <w:p>
      <w:pPr>
        <w:pStyle w:val="Footnotesection"/>
      </w:pPr>
      <w:r>
        <w:tab/>
        <w:t xml:space="preserve">[Rule 9 inserted: Gazette 27 Feb 2018 p. 588.] </w:t>
      </w:r>
    </w:p>
    <w:p>
      <w:pPr>
        <w:pStyle w:val="Heading5"/>
      </w:pPr>
      <w:bookmarkStart w:id="1248" w:name="_Toc163121551"/>
      <w:r>
        <w:rPr>
          <w:rStyle w:val="CharSectno"/>
        </w:rPr>
        <w:t>10</w:t>
      </w:r>
      <w:r>
        <w:t>.</w:t>
      </w:r>
      <w:r>
        <w:tab/>
        <w:t>Person to advise Court if filing sensitive document</w:t>
      </w:r>
      <w:bookmarkEnd w:id="1248"/>
    </w:p>
    <w:p>
      <w:pPr>
        <w:pStyle w:val="Subsection"/>
      </w:pPr>
      <w:r>
        <w:tab/>
        <w:t>(1)</w:t>
      </w:r>
      <w:r>
        <w:tab/>
        <w:t>A person presenting a document to the Court for filing must advise the Court —</w:t>
      </w:r>
    </w:p>
    <w:p>
      <w:pPr>
        <w:pStyle w:val="Indenta"/>
      </w:pPr>
      <w:r>
        <w:tab/>
        <w:t>(a)</w:t>
      </w:r>
      <w:r>
        <w:tab/>
        <w:t xml:space="preserve">if access to all or a part of the information in the document is restricted because — </w:t>
      </w:r>
    </w:p>
    <w:p>
      <w:pPr>
        <w:pStyle w:val="Indenti"/>
      </w:pPr>
      <w:r>
        <w:tab/>
        <w:t>(i)</w:t>
      </w:r>
      <w:r>
        <w:tab/>
        <w:t>the information is restricted information; or</w:t>
      </w:r>
    </w:p>
    <w:p>
      <w:pPr>
        <w:pStyle w:val="Indenti"/>
      </w:pPr>
      <w:r>
        <w:tab/>
        <w:t>(ii)</w:t>
      </w:r>
      <w:r>
        <w:tab/>
        <w:t>the person is applying under Order 67B rule 5 for an order restricting access to the information;</w:t>
      </w:r>
    </w:p>
    <w:p>
      <w:pPr>
        <w:pStyle w:val="Indenta"/>
      </w:pPr>
      <w:r>
        <w:tab/>
      </w:r>
      <w:r>
        <w:tab/>
        <w:t>or</w:t>
      </w:r>
    </w:p>
    <w:p>
      <w:pPr>
        <w:pStyle w:val="Indenta"/>
      </w:pPr>
      <w:r>
        <w:tab/>
        <w:t>(b)</w:t>
      </w:r>
      <w:r>
        <w:tab/>
        <w:t>if the document is a restricted document; or</w:t>
      </w:r>
    </w:p>
    <w:p>
      <w:pPr>
        <w:pStyle w:val="Indenta"/>
      </w:pPr>
      <w:r>
        <w:lastRenderedPageBreak/>
        <w:tab/>
        <w:t>(c)</w:t>
      </w:r>
      <w:r>
        <w:tab/>
        <w:t>if the existence and content of the document must not be made accessible or known to the judge or master who is or will be trying the case in respect of which the document is filed.</w:t>
      </w:r>
    </w:p>
    <w:p>
      <w:pPr>
        <w:pStyle w:val="Subsection"/>
      </w:pPr>
      <w:r>
        <w:tab/>
        <w:t>(2)</w:t>
      </w:r>
      <w:r>
        <w:tab/>
        <w:t>If a person presents a document to the Court for filing electronically, 2 or more of paragraphs (a), (b) and (c) in subrule (1) cannot apply to the document.</w:t>
      </w:r>
    </w:p>
    <w:p>
      <w:pPr>
        <w:pStyle w:val="Subsection"/>
      </w:pPr>
      <w:r>
        <w:tab/>
        <w:t>(3)</w:t>
      </w:r>
      <w:r>
        <w:tab/>
        <w:t xml:space="preserve">A person wanting to advise the Court under subrule (1) must — </w:t>
      </w:r>
    </w:p>
    <w:p>
      <w:pPr>
        <w:pStyle w:val="Indenta"/>
      </w:pPr>
      <w:r>
        <w:tab/>
        <w:t>(a)</w:t>
      </w:r>
      <w:r>
        <w:tab/>
        <w:t>if the person is presenting the document for filing electronically, record the advice on the ECMS and —</w:t>
      </w:r>
    </w:p>
    <w:p>
      <w:pPr>
        <w:pStyle w:val="Indenti"/>
      </w:pPr>
      <w:r>
        <w:tab/>
        <w:t>(i)</w:t>
      </w:r>
      <w:r>
        <w:tab/>
        <w:t>if subrule (1)(a)(i) applies to information in the document, comply with rule 11;</w:t>
      </w:r>
    </w:p>
    <w:p>
      <w:pPr>
        <w:pStyle w:val="Indenti"/>
      </w:pPr>
      <w:r>
        <w:tab/>
        <w:t>(ii)</w:t>
      </w:r>
      <w:r>
        <w:tab/>
        <w:t>if subrule (1)(a)(ii) applies to information in the document, comply with rule 12;</w:t>
      </w:r>
    </w:p>
    <w:p>
      <w:pPr>
        <w:pStyle w:val="Indenti"/>
      </w:pPr>
      <w:r>
        <w:tab/>
        <w:t>(iii)</w:t>
      </w:r>
      <w:r>
        <w:tab/>
        <w:t>if subrule (1)(b) applies to the document, comply with rule 13;</w:t>
      </w:r>
    </w:p>
    <w:p>
      <w:pPr>
        <w:pStyle w:val="Indenti"/>
      </w:pPr>
      <w:r>
        <w:tab/>
        <w:t>(iv)</w:t>
      </w:r>
      <w:r>
        <w:tab/>
        <w:t>if subrule (1)(c) applies to the document, comply with rule 14;</w:t>
      </w:r>
    </w:p>
    <w:p>
      <w:pPr>
        <w:pStyle w:val="Indenta"/>
      </w:pPr>
      <w:r>
        <w:tab/>
        <w:t>(b)</w:t>
      </w:r>
      <w:r>
        <w:tab/>
        <w:t xml:space="preserve">otherwise comply with — </w:t>
      </w:r>
    </w:p>
    <w:p>
      <w:pPr>
        <w:pStyle w:val="Indenti"/>
      </w:pPr>
      <w:r>
        <w:tab/>
        <w:t>(i)</w:t>
      </w:r>
      <w:r>
        <w:tab/>
        <w:t>rule 11 if subrule (1)(a)(i) applies to information in the document;</w:t>
      </w:r>
    </w:p>
    <w:p>
      <w:pPr>
        <w:pStyle w:val="Indenti"/>
      </w:pPr>
      <w:r>
        <w:tab/>
        <w:t>(ii)</w:t>
      </w:r>
      <w:r>
        <w:tab/>
        <w:t>rule 12 if subrule (1)(a)(ii) applies to information in the document;</w:t>
      </w:r>
    </w:p>
    <w:p>
      <w:pPr>
        <w:pStyle w:val="Indenti"/>
      </w:pPr>
      <w:r>
        <w:tab/>
        <w:t>(iii)</w:t>
      </w:r>
      <w:r>
        <w:tab/>
        <w:t>rule 13 if subrule (1)(b) applies to the document;</w:t>
      </w:r>
    </w:p>
    <w:p>
      <w:pPr>
        <w:pStyle w:val="Indenti"/>
      </w:pPr>
      <w:r>
        <w:tab/>
        <w:t>(iv)</w:t>
      </w:r>
      <w:r>
        <w:tab/>
        <w:t>rule 14 if subrule (1)(c) applies to the document.</w:t>
      </w:r>
    </w:p>
    <w:p>
      <w:pPr>
        <w:pStyle w:val="Subsection"/>
      </w:pPr>
      <w:r>
        <w:tab/>
        <w:t>(4)</w:t>
      </w:r>
      <w:r>
        <w:tab/>
        <w:t>A person who has presented a document to the Court for filing may subsequently advise the Court that 1 of paragraphs (a), (b) and (c) in subrule (1) applies to a document by asking the Principal Registrar to act under subrule (6).</w:t>
      </w:r>
    </w:p>
    <w:p>
      <w:pPr>
        <w:pStyle w:val="Subsection"/>
      </w:pPr>
      <w:r>
        <w:lastRenderedPageBreak/>
        <w:tab/>
        <w:t>(5)</w:t>
      </w:r>
      <w:r>
        <w:tab/>
        <w:t>If under this rule the Court has been advised that 1 of paragraphs (a), (b) or (c) in subrule (1) applies to a document, it is to be presumed that the paragraph does apply to it until —</w:t>
      </w:r>
    </w:p>
    <w:p>
      <w:pPr>
        <w:pStyle w:val="Indenta"/>
      </w:pPr>
      <w:r>
        <w:tab/>
        <w:t>(a)</w:t>
      </w:r>
      <w:r>
        <w:tab/>
        <w:t>its classification is changed or cancelled under subrule (6); or</w:t>
      </w:r>
    </w:p>
    <w:p>
      <w:pPr>
        <w:pStyle w:val="Indenta"/>
      </w:pPr>
      <w:r>
        <w:tab/>
        <w:t>(b)</w:t>
      </w:r>
      <w:r>
        <w:tab/>
        <w:t>if an order made under Order 67B rule 5(3) applies to it, the order is cancelled.</w:t>
      </w:r>
    </w:p>
    <w:p>
      <w:pPr>
        <w:pStyle w:val="Subsection"/>
      </w:pPr>
      <w:r>
        <w:tab/>
        <w:t>(6)</w:t>
      </w:r>
      <w:r>
        <w:tab/>
        <w:t>If satisfied there is good reason to do so, the Principal Registrar, by amending information on the ECMS or by taking other reasonable steps, may —</w:t>
      </w:r>
    </w:p>
    <w:p>
      <w:pPr>
        <w:pStyle w:val="Indenta"/>
      </w:pPr>
      <w:r>
        <w:tab/>
        <w:t>(a)</w:t>
      </w:r>
      <w:r>
        <w:tab/>
        <w:t>classify a filed document as being a document to which 1 of paragraphs (a), (b) and (c) in subrule (1) applies;</w:t>
      </w:r>
    </w:p>
    <w:p>
      <w:pPr>
        <w:pStyle w:val="Indenta"/>
      </w:pPr>
      <w:r>
        <w:tab/>
        <w:t>(b)</w:t>
      </w:r>
      <w:r>
        <w:tab/>
        <w:t>if a filed document is already such a document —</w:t>
      </w:r>
    </w:p>
    <w:p>
      <w:pPr>
        <w:pStyle w:val="Indenti"/>
      </w:pPr>
      <w:r>
        <w:tab/>
        <w:t>(i)</w:t>
      </w:r>
      <w:r>
        <w:tab/>
        <w:t>change its classification; or</w:t>
      </w:r>
    </w:p>
    <w:p>
      <w:pPr>
        <w:pStyle w:val="Indenti"/>
      </w:pPr>
      <w:r>
        <w:tab/>
        <w:t>(ii)</w:t>
      </w:r>
      <w:r>
        <w:tab/>
        <w:t>cancel its classification as a document to which any of paragraphs (a), (b) and (c) in subrule (1) applies.</w:t>
      </w:r>
    </w:p>
    <w:p>
      <w:pPr>
        <w:pStyle w:val="Subsection"/>
      </w:pPr>
      <w:r>
        <w:tab/>
        <w:t>(7)</w:t>
      </w:r>
      <w:r>
        <w:tab/>
        <w:t>The Principal Registrar must not act under subrule (6) unless the Principal Registrar has given the person who filed the document, and any person served with the document, an opportunity to object to the action.</w:t>
      </w:r>
    </w:p>
    <w:p>
      <w:pPr>
        <w:pStyle w:val="Subsection"/>
      </w:pPr>
      <w:r>
        <w:tab/>
        <w:t>(8)</w:t>
      </w:r>
      <w:r>
        <w:tab/>
        <w:t>Before acting under subrule (6), the Principal Registrar may give the person who filed the document any directions reasonably necessary to enable the Principal Registrar to properly classify the document, including directions that require the person to serve the document on 1 or more other persons.</w:t>
      </w:r>
    </w:p>
    <w:p>
      <w:pPr>
        <w:pStyle w:val="Footnotesection"/>
      </w:pPr>
      <w:r>
        <w:tab/>
        <w:t xml:space="preserve">[Rule 10 inserted: Gazette 27 Feb 2018 p. 588-90; amended: Gazette 31 Dec 2019 p. 4677-8.] </w:t>
      </w:r>
    </w:p>
    <w:p>
      <w:pPr>
        <w:pStyle w:val="Heading5"/>
      </w:pPr>
      <w:bookmarkStart w:id="1249" w:name="_Toc163121552"/>
      <w:r>
        <w:rPr>
          <w:rStyle w:val="CharSectno"/>
        </w:rPr>
        <w:lastRenderedPageBreak/>
        <w:t>11</w:t>
      </w:r>
      <w:r>
        <w:t>.</w:t>
      </w:r>
      <w:r>
        <w:tab/>
        <w:t>Documents containing restricted information</w:t>
      </w:r>
      <w:bookmarkEnd w:id="1249"/>
    </w:p>
    <w:p>
      <w:pPr>
        <w:pStyle w:val="Subsection"/>
      </w:pPr>
      <w:r>
        <w:tab/>
        <w:t>(1)</w:t>
      </w:r>
      <w:r>
        <w:tab/>
        <w:t>This rule applies if under rule 10(1) a person advises the Court that a document presented for filing contains restricted information.</w:t>
      </w:r>
    </w:p>
    <w:p>
      <w:pPr>
        <w:pStyle w:val="Subsection"/>
      </w:pPr>
      <w:r>
        <w:t xml:space="preserve"> </w:t>
      </w:r>
      <w:r>
        <w:tab/>
        <w:t>(2)</w:t>
      </w:r>
      <w:r>
        <w:tab/>
        <w:t>If the document was filed electronically, by email or by fax, the person who filed it must, within 24 hours after filing it, do the following —</w:t>
      </w:r>
    </w:p>
    <w:p>
      <w:pPr>
        <w:pStyle w:val="Indenta"/>
      </w:pPr>
      <w:r>
        <w:tab/>
        <w:t>(a)</w:t>
      </w:r>
      <w:r>
        <w:tab/>
        <w:t>file a memorandum that does the following —</w:t>
      </w:r>
    </w:p>
    <w:p>
      <w:pPr>
        <w:pStyle w:val="Indenti"/>
      </w:pPr>
      <w:r>
        <w:tab/>
        <w:t>(i)</w:t>
      </w:r>
      <w:r>
        <w:tab/>
        <w:t>states —</w:t>
      </w:r>
    </w:p>
    <w:p>
      <w:pPr>
        <w:pStyle w:val="Indenti"/>
      </w:pPr>
      <w:r>
        <w:tab/>
      </w:r>
      <w:r>
        <w:tab/>
      </w:r>
      <w:r>
        <w:rPr>
          <w:b/>
        </w:rPr>
        <w:t>Attention:</w:t>
      </w:r>
      <w:r>
        <w:t xml:space="preserve"> [</w:t>
      </w:r>
      <w:r>
        <w:rPr>
          <w:i/>
        </w:rPr>
        <w:t>Identify the document</w:t>
      </w:r>
      <w:r>
        <w:t>] contains information to which access is restricted by [</w:t>
      </w:r>
      <w:r>
        <w:rPr>
          <w:i/>
        </w:rPr>
        <w:t>the short title and provision of applicable legislation or the details of the applicable court order</w:t>
      </w:r>
      <w:r>
        <w:t>].;</w:t>
      </w:r>
    </w:p>
    <w:p>
      <w:pPr>
        <w:pStyle w:val="Indenti"/>
      </w:pPr>
      <w:r>
        <w:tab/>
        <w:t>(ii)</w:t>
      </w:r>
      <w:r>
        <w:tab/>
        <w:t>identifies the legislation, or court order, that restricts access to the information;</w:t>
      </w:r>
    </w:p>
    <w:p>
      <w:pPr>
        <w:pStyle w:val="Indenti"/>
      </w:pPr>
      <w:r>
        <w:tab/>
        <w:t>(iii)</w:t>
      </w:r>
      <w:r>
        <w:tab/>
        <w:t>identifies the restricted information in the document;</w:t>
      </w:r>
    </w:p>
    <w:p>
      <w:pPr>
        <w:pStyle w:val="Indenti"/>
      </w:pPr>
      <w:r>
        <w:tab/>
        <w:t>(iv)</w:t>
      </w:r>
      <w:r>
        <w:tab/>
        <w:t>identifies the person, or class of persons, who can have access to the information lawfully;</w:t>
      </w:r>
    </w:p>
    <w:p>
      <w:pPr>
        <w:pStyle w:val="Indenti"/>
      </w:pPr>
      <w:r>
        <w:tab/>
        <w:t>(v)</w:t>
      </w:r>
      <w:r>
        <w:tab/>
        <w:t>identifies the person, or class of persons, whose access to the information is restricted;</w:t>
      </w:r>
    </w:p>
    <w:p>
      <w:pPr>
        <w:pStyle w:val="Indenti"/>
      </w:pPr>
      <w:r>
        <w:tab/>
        <w:t>(vi)</w:t>
      </w:r>
      <w:r>
        <w:tab/>
        <w:t>states the conditions, if any, that the Court should impose if it were to give access to the information to any such person;</w:t>
      </w:r>
    </w:p>
    <w:p>
      <w:pPr>
        <w:pStyle w:val="Indenti"/>
      </w:pPr>
      <w:r>
        <w:tab/>
        <w:t>(vii)</w:t>
      </w:r>
      <w:r>
        <w:tab/>
        <w:t>states whether the information will cease to be restricted information and, if so, when it will cease to be restricted information;</w:t>
      </w:r>
    </w:p>
    <w:p>
      <w:pPr>
        <w:pStyle w:val="Indenta"/>
      </w:pPr>
      <w:r>
        <w:tab/>
        <w:t>(b)</w:t>
      </w:r>
      <w:r>
        <w:tab/>
        <w:t>if a court order restricts access to the information, file a copy of the order.</w:t>
      </w:r>
    </w:p>
    <w:p>
      <w:pPr>
        <w:pStyle w:val="Subsection"/>
      </w:pPr>
      <w:r>
        <w:tab/>
        <w:t>(3)</w:t>
      </w:r>
      <w:r>
        <w:tab/>
        <w:t>If the document was filed by delivering it, the person who filed it must do the following —</w:t>
      </w:r>
    </w:p>
    <w:p>
      <w:pPr>
        <w:pStyle w:val="Indenta"/>
      </w:pPr>
      <w:r>
        <w:lastRenderedPageBreak/>
        <w:tab/>
        <w:t>(a)</w:t>
      </w:r>
      <w:r>
        <w:tab/>
        <w:t>ensure the document has a cover sheet that includes this statement —</w:t>
      </w:r>
    </w:p>
    <w:p>
      <w:pPr>
        <w:pStyle w:val="Indenta"/>
      </w:pPr>
      <w:r>
        <w:tab/>
      </w:r>
      <w:r>
        <w:tab/>
      </w:r>
      <w:r>
        <w:rPr>
          <w:b/>
        </w:rPr>
        <w:t xml:space="preserve">Attention: </w:t>
      </w:r>
      <w:r>
        <w:t>This document contains information to which access is restricted by [</w:t>
      </w:r>
      <w:r>
        <w:rPr>
          <w:i/>
        </w:rPr>
        <w:t>the short title and provision of applicable legislation or the details of the applicable court order</w:t>
      </w:r>
      <w:r>
        <w:t>].;</w:t>
      </w:r>
    </w:p>
    <w:p>
      <w:pPr>
        <w:pStyle w:val="Indenta"/>
      </w:pPr>
      <w:r>
        <w:tab/>
        <w:t>(b)</w:t>
      </w:r>
      <w:r>
        <w:tab/>
        <w:t>within 1 day after filing it, file a memorandum that does the following —</w:t>
      </w:r>
    </w:p>
    <w:p>
      <w:pPr>
        <w:pStyle w:val="Indenti"/>
      </w:pPr>
      <w:r>
        <w:tab/>
        <w:t>(i)</w:t>
      </w:r>
      <w:r>
        <w:tab/>
        <w:t>identifies the legislation, or court order, that restricts access to the information;</w:t>
      </w:r>
    </w:p>
    <w:p>
      <w:pPr>
        <w:pStyle w:val="Indenti"/>
      </w:pPr>
      <w:r>
        <w:tab/>
        <w:t>(ii)</w:t>
      </w:r>
      <w:r>
        <w:tab/>
        <w:t>identifies the restricted information in the document;</w:t>
      </w:r>
    </w:p>
    <w:p>
      <w:pPr>
        <w:pStyle w:val="Indenti"/>
      </w:pPr>
      <w:r>
        <w:tab/>
        <w:t>(iii)</w:t>
      </w:r>
      <w:r>
        <w:tab/>
        <w:t>identifies the person, or class of persons, who can have access to the information lawfully;</w:t>
      </w:r>
    </w:p>
    <w:p>
      <w:pPr>
        <w:pStyle w:val="Indenti"/>
      </w:pPr>
      <w:r>
        <w:tab/>
        <w:t>(iv)</w:t>
      </w:r>
      <w:r>
        <w:tab/>
        <w:t>identifies the person, or class of persons, whose access to the information is restricted;</w:t>
      </w:r>
    </w:p>
    <w:p>
      <w:pPr>
        <w:pStyle w:val="Indenti"/>
      </w:pPr>
      <w:r>
        <w:tab/>
        <w:t>(v)</w:t>
      </w:r>
      <w:r>
        <w:tab/>
        <w:t>states the conditions, if any, that the Court should impose if it were to give access to the information to any such person;</w:t>
      </w:r>
    </w:p>
    <w:p>
      <w:pPr>
        <w:pStyle w:val="Indenta"/>
      </w:pPr>
      <w:r>
        <w:tab/>
        <w:t>(c)</w:t>
      </w:r>
      <w:r>
        <w:tab/>
        <w:t>if a court order restricts access to the information in the document, file a copy of the order within 1 day after filing the document.</w:t>
      </w:r>
    </w:p>
    <w:p>
      <w:pPr>
        <w:pStyle w:val="Subsection"/>
      </w:pPr>
      <w:r>
        <w:tab/>
        <w:t>(4)</w:t>
      </w:r>
      <w:r>
        <w:tab/>
        <w:t>If the person who filed the document does not comply with subrule (2) or (3), as the case requires, the Principal Registrar may exercise the powers in rule 10(6).</w:t>
      </w:r>
    </w:p>
    <w:p>
      <w:pPr>
        <w:pStyle w:val="Subsection"/>
      </w:pPr>
      <w:r>
        <w:tab/>
        <w:t>(5)</w:t>
      </w:r>
      <w:r>
        <w:tab/>
        <w:t>If a judge, master or registrar is not satisfied the document contains restricted information, the judge, master or registrar —</w:t>
      </w:r>
    </w:p>
    <w:p>
      <w:pPr>
        <w:pStyle w:val="Indenta"/>
      </w:pPr>
      <w:r>
        <w:tab/>
        <w:t>(a)</w:t>
      </w:r>
      <w:r>
        <w:tab/>
        <w:t>must notify the person who filed the document accordingly; and</w:t>
      </w:r>
    </w:p>
    <w:p>
      <w:pPr>
        <w:pStyle w:val="Indenta"/>
      </w:pPr>
      <w:r>
        <w:tab/>
        <w:t>(b)</w:t>
      </w:r>
      <w:r>
        <w:tab/>
        <w:t>may direct the Principal Registrar to exercise the powers in rule 10(6).</w:t>
      </w:r>
    </w:p>
    <w:p>
      <w:pPr>
        <w:pStyle w:val="Footnotesection"/>
      </w:pPr>
      <w:r>
        <w:tab/>
        <w:t xml:space="preserve">[Rule 11 inserted: Gazette 27 Feb 2018 p. 591-3.] </w:t>
      </w:r>
    </w:p>
    <w:p>
      <w:pPr>
        <w:pStyle w:val="Heading5"/>
      </w:pPr>
      <w:bookmarkStart w:id="1250" w:name="_Toc163121553"/>
      <w:r>
        <w:rPr>
          <w:rStyle w:val="CharSectno"/>
        </w:rPr>
        <w:lastRenderedPageBreak/>
        <w:t>12</w:t>
      </w:r>
      <w:r>
        <w:t>.</w:t>
      </w:r>
      <w:r>
        <w:tab/>
        <w:t>Documents containing information to which access should be restricted</w:t>
      </w:r>
      <w:bookmarkEnd w:id="1250"/>
    </w:p>
    <w:p>
      <w:pPr>
        <w:pStyle w:val="Subsection"/>
      </w:pPr>
      <w:r>
        <w:tab/>
        <w:t>(1)</w:t>
      </w:r>
      <w:r>
        <w:tab/>
        <w:t>This rule applies if under rule 10(1) a person advises the Court that the person is applying under Order 67B rule 5 for an order restricting access to information in a document presented for filing.</w:t>
      </w:r>
    </w:p>
    <w:p>
      <w:pPr>
        <w:pStyle w:val="Subsection"/>
      </w:pPr>
      <w:r>
        <w:tab/>
        <w:t>(2)</w:t>
      </w:r>
      <w:r>
        <w:tab/>
        <w:t>If the document was filed electronically, the person who filed it must, within 24 hours after filing it, file electronically an application that complies with Order 67B rule 5(2) and that applies for an order made under Order 67B rule 5(3).</w:t>
      </w:r>
    </w:p>
    <w:p>
      <w:pPr>
        <w:pStyle w:val="Subsection"/>
        <w:keepNext/>
      </w:pPr>
      <w:r>
        <w:tab/>
        <w:t>(3)</w:t>
      </w:r>
      <w:r>
        <w:tab/>
        <w:t>If the document was not filed electronically, the person who filed it must do the following —</w:t>
      </w:r>
    </w:p>
    <w:p>
      <w:pPr>
        <w:pStyle w:val="Indenta"/>
      </w:pPr>
      <w:r>
        <w:tab/>
        <w:t>(a)</w:t>
      </w:r>
      <w:r>
        <w:tab/>
        <w:t>ensure the document has a cover sheet that includes this statement —</w:t>
      </w:r>
    </w:p>
    <w:p>
      <w:pPr>
        <w:pStyle w:val="Indenta"/>
      </w:pPr>
      <w:r>
        <w:tab/>
      </w:r>
      <w:r>
        <w:tab/>
      </w:r>
      <w:r>
        <w:rPr>
          <w:b/>
        </w:rPr>
        <w:t xml:space="preserve">Attention: </w:t>
      </w:r>
      <w:r>
        <w:t xml:space="preserve">This document contains information that is the subject of an application for an order made under the </w:t>
      </w:r>
      <w:r>
        <w:rPr>
          <w:i/>
        </w:rPr>
        <w:t>Rules of the Supreme Court 1971</w:t>
      </w:r>
      <w:r>
        <w:t xml:space="preserve"> Order 67B rule 5 that restricts access to it.;</w:t>
      </w:r>
    </w:p>
    <w:p>
      <w:pPr>
        <w:pStyle w:val="Indenta"/>
      </w:pPr>
      <w:r>
        <w:tab/>
        <w:t>(b)</w:t>
      </w:r>
      <w:r>
        <w:tab/>
        <w:t>within 1 day after filing it, file an application that complies with Order 67B rule 5(2) and that applies for an order made under Order 67B rule 5(3).</w:t>
      </w:r>
    </w:p>
    <w:p>
      <w:pPr>
        <w:pStyle w:val="Subsection"/>
      </w:pPr>
      <w:r>
        <w:tab/>
        <w:t>(4)</w:t>
      </w:r>
      <w:r>
        <w:tab/>
        <w:t>If the person who filed the document does not comply with subrule (2) or (3), as the case requires, the Principal Registrar may exercise the powers in rule 10(6).</w:t>
      </w:r>
    </w:p>
    <w:p>
      <w:pPr>
        <w:pStyle w:val="Footnotesection"/>
      </w:pPr>
      <w:r>
        <w:tab/>
        <w:t xml:space="preserve">[Rule 12 inserted: Gazette 27 Feb 2018 p. 593-4.] </w:t>
      </w:r>
    </w:p>
    <w:p>
      <w:pPr>
        <w:pStyle w:val="Heading5"/>
      </w:pPr>
      <w:bookmarkStart w:id="1251" w:name="_Toc163121554"/>
      <w:r>
        <w:rPr>
          <w:rStyle w:val="CharSectno"/>
        </w:rPr>
        <w:t>13</w:t>
      </w:r>
      <w:r>
        <w:t>.</w:t>
      </w:r>
      <w:r>
        <w:tab/>
        <w:t>Restricted documents</w:t>
      </w:r>
      <w:bookmarkEnd w:id="1251"/>
    </w:p>
    <w:p>
      <w:pPr>
        <w:pStyle w:val="Subsection"/>
      </w:pPr>
      <w:r>
        <w:tab/>
        <w:t>(1)</w:t>
      </w:r>
      <w:r>
        <w:tab/>
        <w:t>This rule applies if under rule 10(1) a person advises the Court that a document presented for filing is a restricted document.</w:t>
      </w:r>
    </w:p>
    <w:p>
      <w:pPr>
        <w:pStyle w:val="Subsection"/>
      </w:pPr>
      <w:r>
        <w:tab/>
        <w:t>(2)</w:t>
      </w:r>
      <w:r>
        <w:tab/>
        <w:t xml:space="preserve">If the document was filed electronically, the person who filed it must, within 24 hours after filing it, do the following — </w:t>
      </w:r>
    </w:p>
    <w:p>
      <w:pPr>
        <w:pStyle w:val="Indenta"/>
      </w:pPr>
      <w:r>
        <w:lastRenderedPageBreak/>
        <w:tab/>
        <w:t>(a)</w:t>
      </w:r>
      <w:r>
        <w:tab/>
        <w:t>file electronically a memorandum that does the following —</w:t>
      </w:r>
    </w:p>
    <w:p>
      <w:pPr>
        <w:pStyle w:val="Indenti"/>
      </w:pPr>
      <w:r>
        <w:tab/>
        <w:t>(i)</w:t>
      </w:r>
      <w:r>
        <w:tab/>
        <w:t>states —</w:t>
      </w:r>
    </w:p>
    <w:p>
      <w:pPr>
        <w:pStyle w:val="Indenti"/>
      </w:pPr>
      <w:r>
        <w:tab/>
      </w:r>
      <w:r>
        <w:tab/>
      </w:r>
      <w:r>
        <w:rPr>
          <w:b/>
        </w:rPr>
        <w:t>Attention:</w:t>
      </w:r>
      <w:r>
        <w:t xml:space="preserve"> [</w:t>
      </w:r>
      <w:r>
        <w:rPr>
          <w:i/>
        </w:rPr>
        <w:t>Identify the document</w:t>
      </w:r>
      <w:r>
        <w:t>] is a document the existence and the whole of the contents of which must not be known or accessible to anyone other than the person filing it and a judge or master.;</w:t>
      </w:r>
    </w:p>
    <w:p>
      <w:pPr>
        <w:pStyle w:val="Indenti"/>
      </w:pPr>
      <w:r>
        <w:tab/>
        <w:t>(ii)</w:t>
      </w:r>
      <w:r>
        <w:tab/>
        <w:t>explains why the document is a restricted document;</w:t>
      </w:r>
    </w:p>
    <w:p>
      <w:pPr>
        <w:pStyle w:val="Indenti"/>
      </w:pPr>
      <w:r>
        <w:tab/>
        <w:t>(iii)</w:t>
      </w:r>
      <w:r>
        <w:tab/>
        <w:t>if the document is a restricted document by virtue of legislation, or a court order, identify the legislation or order;</w:t>
      </w:r>
    </w:p>
    <w:p>
      <w:pPr>
        <w:pStyle w:val="Indenti"/>
      </w:pPr>
      <w:r>
        <w:tab/>
        <w:t>(iv)</w:t>
      </w:r>
      <w:r>
        <w:tab/>
        <w:t>states the conditions, if any, that the Court should impose if it were to give access to the document to anyone other than the person filing it and a judge or master;</w:t>
      </w:r>
    </w:p>
    <w:p>
      <w:pPr>
        <w:pStyle w:val="Indenti"/>
      </w:pPr>
      <w:r>
        <w:tab/>
        <w:t>(v)</w:t>
      </w:r>
      <w:r>
        <w:tab/>
        <w:t>states whether the document will cease to be a restricted document and, if so, when it will cease to be a restricted document;</w:t>
      </w:r>
    </w:p>
    <w:p>
      <w:pPr>
        <w:pStyle w:val="Indenta"/>
      </w:pPr>
      <w:r>
        <w:tab/>
        <w:t>(b)</w:t>
      </w:r>
      <w:r>
        <w:tab/>
        <w:t>if the document is a restricted document by virtue of a court order, file electronically a copy of the order;</w:t>
      </w:r>
    </w:p>
    <w:p>
      <w:pPr>
        <w:pStyle w:val="Indenta"/>
      </w:pPr>
      <w:r>
        <w:tab/>
        <w:t>(c)</w:t>
      </w:r>
      <w:r>
        <w:tab/>
        <w:t>if the document is a not a restricted document by virtue of legislation or a court order — file electronically an application that complies with Order 67B rule 5(2) and that applies for an order made under Order 67B rule 5(3).</w:t>
      </w:r>
    </w:p>
    <w:p>
      <w:pPr>
        <w:pStyle w:val="Subsection"/>
      </w:pPr>
      <w:r>
        <w:tab/>
        <w:t>(3)</w:t>
      </w:r>
      <w:r>
        <w:tab/>
        <w:t>If the document was not filed electronically, the person who filed it must do the following —</w:t>
      </w:r>
    </w:p>
    <w:p>
      <w:pPr>
        <w:pStyle w:val="Indenta"/>
      </w:pPr>
      <w:r>
        <w:tab/>
        <w:t>(a)</w:t>
      </w:r>
      <w:r>
        <w:tab/>
        <w:t>ensure the document has a cover sheet that includes this statement —</w:t>
      </w:r>
    </w:p>
    <w:p>
      <w:pPr>
        <w:pStyle w:val="Indenta"/>
      </w:pPr>
      <w:r>
        <w:tab/>
      </w:r>
      <w:r>
        <w:tab/>
      </w:r>
      <w:r>
        <w:rPr>
          <w:b/>
        </w:rPr>
        <w:t>Attention:</w:t>
      </w:r>
      <w:r>
        <w:t xml:space="preserve"> [</w:t>
      </w:r>
      <w:r>
        <w:rPr>
          <w:i/>
        </w:rPr>
        <w:t>Identify the document</w:t>
      </w:r>
      <w:r>
        <w:t xml:space="preserve">] is a document the existence and the whole of the contents of which must </w:t>
      </w:r>
      <w:r>
        <w:lastRenderedPageBreak/>
        <w:t>not be known or accessible to anyone other than the person filing it and a judge or master.;</w:t>
      </w:r>
    </w:p>
    <w:p>
      <w:pPr>
        <w:pStyle w:val="Indenta"/>
      </w:pPr>
      <w:r>
        <w:tab/>
        <w:t>(b)</w:t>
      </w:r>
      <w:r>
        <w:tab/>
        <w:t>within 1 day after filing it, file an application that complies with Order 67B rule 5(2) and that applies for an order made under Order 67B rule 5(3).</w:t>
      </w:r>
    </w:p>
    <w:p>
      <w:pPr>
        <w:pStyle w:val="Subsection"/>
      </w:pPr>
      <w:r>
        <w:tab/>
        <w:t>(4)</w:t>
      </w:r>
      <w:r>
        <w:tab/>
        <w:t>If the person who filed the document does not comply with subrule (2) or (3), as the case requires, the Principal Registrar may exercise the powers in rule 10(6).</w:t>
      </w:r>
    </w:p>
    <w:p>
      <w:pPr>
        <w:pStyle w:val="Subsection"/>
        <w:keepNext/>
      </w:pPr>
      <w:r>
        <w:tab/>
        <w:t>(5)</w:t>
      </w:r>
      <w:r>
        <w:tab/>
        <w:t>If a judge or master is not satisfied the document is a restricted document, the judge or master —</w:t>
      </w:r>
    </w:p>
    <w:p>
      <w:pPr>
        <w:pStyle w:val="Indenta"/>
      </w:pPr>
      <w:r>
        <w:tab/>
        <w:t>(a)</w:t>
      </w:r>
      <w:r>
        <w:tab/>
        <w:t>must notify the person who filed the document accordingly; and</w:t>
      </w:r>
    </w:p>
    <w:p>
      <w:pPr>
        <w:pStyle w:val="Indenta"/>
      </w:pPr>
      <w:r>
        <w:tab/>
        <w:t>(b)</w:t>
      </w:r>
      <w:r>
        <w:tab/>
        <w:t>may direct the Principal Registrar to exercise the powers in rule 10(6).</w:t>
      </w:r>
    </w:p>
    <w:p>
      <w:pPr>
        <w:pStyle w:val="Footnotesection"/>
      </w:pPr>
      <w:r>
        <w:tab/>
        <w:t xml:space="preserve">[Rule 13 inserted: Gazette 27 Feb 2018 p. 594-5.] </w:t>
      </w:r>
    </w:p>
    <w:p>
      <w:pPr>
        <w:pStyle w:val="Heading5"/>
      </w:pPr>
      <w:bookmarkStart w:id="1252" w:name="_Toc163121555"/>
      <w:r>
        <w:rPr>
          <w:rStyle w:val="CharSectno"/>
        </w:rPr>
        <w:t>14</w:t>
      </w:r>
      <w:r>
        <w:t>.</w:t>
      </w:r>
      <w:r>
        <w:tab/>
        <w:t>Documents that are not to be accessible to judiciary</w:t>
      </w:r>
      <w:bookmarkEnd w:id="1252"/>
    </w:p>
    <w:p>
      <w:pPr>
        <w:pStyle w:val="Subsection"/>
      </w:pPr>
      <w:r>
        <w:tab/>
        <w:t>(1)</w:t>
      </w:r>
      <w:r>
        <w:tab/>
        <w:t>This rule applies if under rule 10(1) a person advises the Court that the existence and content of a document presented for filing must not be made accessible or known to the judge or master who is or will be trying the case in respect of which the document is filed.</w:t>
      </w:r>
    </w:p>
    <w:p>
      <w:pPr>
        <w:pStyle w:val="Subsection"/>
      </w:pPr>
      <w:r>
        <w:tab/>
        <w:t>(2)</w:t>
      </w:r>
      <w:r>
        <w:tab/>
        <w:t>If the document was filed electronically, the person who filed it must, within 24 hours after filing it, file electronically a memorandum that does the following —</w:t>
      </w:r>
    </w:p>
    <w:p>
      <w:pPr>
        <w:pStyle w:val="Indenta"/>
      </w:pPr>
      <w:r>
        <w:tab/>
        <w:t>(a)</w:t>
      </w:r>
      <w:r>
        <w:tab/>
        <w:t>states —</w:t>
      </w:r>
    </w:p>
    <w:p>
      <w:pPr>
        <w:pStyle w:val="Indenta"/>
      </w:pPr>
      <w:r>
        <w:tab/>
      </w:r>
      <w:r>
        <w:tab/>
      </w:r>
      <w:r>
        <w:rPr>
          <w:b/>
        </w:rPr>
        <w:t>Attention:</w:t>
      </w:r>
      <w:r>
        <w:t xml:space="preserve"> [</w:t>
      </w:r>
      <w:r>
        <w:rPr>
          <w:i/>
        </w:rPr>
        <w:t>Identify the document</w:t>
      </w:r>
      <w:r>
        <w:t>] is a document the existence and content of which must not be made accessible or known to the judge or master who is or will be trying the case in respect of which it is filed.;</w:t>
      </w:r>
    </w:p>
    <w:p>
      <w:pPr>
        <w:pStyle w:val="Indenta"/>
      </w:pPr>
      <w:r>
        <w:tab/>
        <w:t>(b)</w:t>
      </w:r>
      <w:r>
        <w:tab/>
        <w:t>explains why the document is such a document;</w:t>
      </w:r>
    </w:p>
    <w:p>
      <w:pPr>
        <w:pStyle w:val="Indenta"/>
      </w:pPr>
      <w:r>
        <w:lastRenderedPageBreak/>
        <w:tab/>
        <w:t>(c)</w:t>
      </w:r>
      <w:r>
        <w:tab/>
        <w:t>states whether the document will cease to be such a document and, if so, when it will cease to be such a document.</w:t>
      </w:r>
    </w:p>
    <w:p>
      <w:pPr>
        <w:pStyle w:val="Subsection"/>
      </w:pPr>
      <w:r>
        <w:tab/>
        <w:t>(3)</w:t>
      </w:r>
      <w:r>
        <w:tab/>
        <w:t>If the document was not filed electronically, the person who filed it must do the following —</w:t>
      </w:r>
    </w:p>
    <w:p>
      <w:pPr>
        <w:pStyle w:val="Indenta"/>
      </w:pPr>
      <w:r>
        <w:tab/>
        <w:t>(a)</w:t>
      </w:r>
      <w:r>
        <w:tab/>
        <w:t>ensure the document has a cover sheet that includes this statement —</w:t>
      </w:r>
    </w:p>
    <w:p>
      <w:pPr>
        <w:pStyle w:val="Indenta"/>
      </w:pPr>
      <w:r>
        <w:tab/>
      </w:r>
      <w:r>
        <w:tab/>
      </w:r>
      <w:r>
        <w:rPr>
          <w:b/>
        </w:rPr>
        <w:t>Attention:</w:t>
      </w:r>
      <w:r>
        <w:t xml:space="preserve"> [</w:t>
      </w:r>
      <w:r>
        <w:rPr>
          <w:i/>
        </w:rPr>
        <w:t>Identify the document</w:t>
      </w:r>
      <w:r>
        <w:t>] is a document the existence and content of which must not be made accessible or known to the judge or master who is or will be trying the case in respect of which it is filed.;</w:t>
      </w:r>
    </w:p>
    <w:p>
      <w:pPr>
        <w:pStyle w:val="Indenta"/>
      </w:pPr>
      <w:r>
        <w:tab/>
        <w:t>(b)</w:t>
      </w:r>
      <w:r>
        <w:tab/>
        <w:t>within 1 day after filing it, file a memorandum that does the following —</w:t>
      </w:r>
    </w:p>
    <w:p>
      <w:pPr>
        <w:pStyle w:val="Indenti"/>
      </w:pPr>
      <w:r>
        <w:tab/>
        <w:t>(i)</w:t>
      </w:r>
      <w:r>
        <w:tab/>
        <w:t>explains why the document is such a document;</w:t>
      </w:r>
    </w:p>
    <w:p>
      <w:pPr>
        <w:pStyle w:val="Indenti"/>
      </w:pPr>
      <w:r>
        <w:tab/>
        <w:t>(ii)</w:t>
      </w:r>
      <w:r>
        <w:tab/>
        <w:t>states whether the document will cease to be such a document and, if so, when it will cease to be such a document.</w:t>
      </w:r>
    </w:p>
    <w:p>
      <w:pPr>
        <w:pStyle w:val="Subsection"/>
      </w:pPr>
      <w:r>
        <w:tab/>
        <w:t>(4)</w:t>
      </w:r>
      <w:r>
        <w:tab/>
        <w:t>If the person who filed the document does not comply with subrule (2) or (3), as the case requires, the Principal Registrar may exercise the powers in rule 10(6).</w:t>
      </w:r>
    </w:p>
    <w:p>
      <w:pPr>
        <w:pStyle w:val="Footnotesection"/>
      </w:pPr>
      <w:r>
        <w:tab/>
        <w:t xml:space="preserve">[Rule 14 inserted: Gazette 27 Feb 2018 p. 596-7.] </w:t>
      </w:r>
    </w:p>
    <w:p>
      <w:pPr>
        <w:pStyle w:val="Heading3"/>
      </w:pPr>
      <w:bookmarkStart w:id="1253" w:name="_Toc162941094"/>
      <w:bookmarkStart w:id="1254" w:name="_Toc162953883"/>
      <w:bookmarkStart w:id="1255" w:name="_Toc163121556"/>
      <w:r>
        <w:rPr>
          <w:rStyle w:val="CharDivNo"/>
        </w:rPr>
        <w:t>Division 4</w:t>
      </w:r>
      <w:r>
        <w:t> — </w:t>
      </w:r>
      <w:r>
        <w:rPr>
          <w:rStyle w:val="CharDivText"/>
        </w:rPr>
        <w:t>Miscellaneous matters</w:t>
      </w:r>
      <w:bookmarkEnd w:id="1253"/>
      <w:bookmarkEnd w:id="1254"/>
      <w:bookmarkEnd w:id="1255"/>
    </w:p>
    <w:p>
      <w:pPr>
        <w:pStyle w:val="Footnoteheading"/>
      </w:pPr>
      <w:r>
        <w:tab/>
        <w:t xml:space="preserve">[Heading inserted: Gazette 27 Feb 2018 p. 597.] </w:t>
      </w:r>
    </w:p>
    <w:p>
      <w:pPr>
        <w:pStyle w:val="Heading5"/>
      </w:pPr>
      <w:bookmarkStart w:id="1256" w:name="_Toc163121557"/>
      <w:r>
        <w:rPr>
          <w:rStyle w:val="CharSectno"/>
        </w:rPr>
        <w:t>15</w:t>
      </w:r>
      <w:r>
        <w:t>.</w:t>
      </w:r>
      <w:r>
        <w:tab/>
        <w:t>Principal Registrar may delegate</w:t>
      </w:r>
      <w:bookmarkEnd w:id="1256"/>
    </w:p>
    <w:p>
      <w:pPr>
        <w:pStyle w:val="Subsection"/>
      </w:pPr>
      <w:r>
        <w:tab/>
        <w:t>(1)</w:t>
      </w:r>
      <w:r>
        <w:tab/>
        <w:t>The Principal Registrar, in writing, may delegate all or any of the Principal Registrar’s functions under this Order to 1 or more other officers of the Court.</w:t>
      </w:r>
    </w:p>
    <w:p>
      <w:pPr>
        <w:pStyle w:val="Subsection"/>
      </w:pPr>
      <w:r>
        <w:tab/>
        <w:t>(2)</w:t>
      </w:r>
      <w:r>
        <w:tab/>
        <w:t>For the purposes of these rules, a decision made by a delegate of the Principal Registrar under this Order is taken to be a decision made by the Principal Registrar.</w:t>
      </w:r>
    </w:p>
    <w:p>
      <w:pPr>
        <w:pStyle w:val="Footnotesection"/>
      </w:pPr>
      <w:r>
        <w:lastRenderedPageBreak/>
        <w:tab/>
        <w:t xml:space="preserve">[Rule 15 inserted: Gazette 27 Feb 2018 p. 597.] </w:t>
      </w:r>
    </w:p>
    <w:p>
      <w:pPr>
        <w:pStyle w:val="Heading5"/>
      </w:pPr>
      <w:bookmarkStart w:id="1257" w:name="_Toc163121558"/>
      <w:r>
        <w:rPr>
          <w:rStyle w:val="CharSectno"/>
        </w:rPr>
        <w:t>16</w:t>
      </w:r>
      <w:r>
        <w:t>.</w:t>
      </w:r>
      <w:r>
        <w:tab/>
        <w:t>Principal Registrar may refer matters to judge or master</w:t>
      </w:r>
      <w:bookmarkEnd w:id="1257"/>
    </w:p>
    <w:p>
      <w:pPr>
        <w:pStyle w:val="Subsection"/>
      </w:pPr>
      <w:r>
        <w:tab/>
      </w:r>
      <w:r>
        <w:tab/>
        <w:t>The Principal Registrar may refer a question that arises under this Order in respect of a document to a judge or master.</w:t>
      </w:r>
    </w:p>
    <w:p>
      <w:pPr>
        <w:pStyle w:val="Footnotesection"/>
      </w:pPr>
      <w:r>
        <w:tab/>
        <w:t xml:space="preserve">[Rule 16 inserted: Gazette 27 Feb 2018 p. 597.] </w:t>
      </w:r>
    </w:p>
    <w:p>
      <w:pPr>
        <w:pStyle w:val="Heading5"/>
      </w:pPr>
      <w:bookmarkStart w:id="1258" w:name="_Toc163121559"/>
      <w:r>
        <w:rPr>
          <w:rStyle w:val="CharSectno"/>
        </w:rPr>
        <w:t>17</w:t>
      </w:r>
      <w:r>
        <w:t>.</w:t>
      </w:r>
      <w:r>
        <w:tab/>
        <w:t>Appeals from decisions made under this Order</w:t>
      </w:r>
      <w:bookmarkEnd w:id="1258"/>
    </w:p>
    <w:p>
      <w:pPr>
        <w:pStyle w:val="Subsection"/>
      </w:pPr>
      <w:r>
        <w:tab/>
        <w:t>(1)</w:t>
      </w:r>
      <w:r>
        <w:tab/>
        <w:t>A person who is dissatisfied by a decision made under this Order by the Principal Registrar may ask the Principal Registrar for the decision to be made afresh by a judge or master.</w:t>
      </w:r>
    </w:p>
    <w:p>
      <w:pPr>
        <w:pStyle w:val="Subsection"/>
      </w:pPr>
      <w:r>
        <w:tab/>
        <w:t>(2)</w:t>
      </w:r>
      <w:r>
        <w:tab/>
        <w:t>If the Principal Registrar receives a request made under subrule (1), the Principal Registrar must refer the matter concerned to a judge or master.</w:t>
      </w:r>
    </w:p>
    <w:p>
      <w:pPr>
        <w:pStyle w:val="Footnotesection"/>
      </w:pPr>
      <w:r>
        <w:tab/>
        <w:t xml:space="preserve">[Rule 17 inserted: Gazette 27 Feb 2018 p. 597.] </w:t>
      </w:r>
    </w:p>
    <w:p>
      <w:pPr>
        <w:pStyle w:val="Heading2"/>
      </w:pPr>
      <w:bookmarkStart w:id="1259" w:name="_Toc162941098"/>
      <w:bookmarkStart w:id="1260" w:name="_Toc162953887"/>
      <w:bookmarkStart w:id="1261" w:name="_Toc163121560"/>
      <w:r>
        <w:rPr>
          <w:rStyle w:val="CharPartNo"/>
        </w:rPr>
        <w:lastRenderedPageBreak/>
        <w:t>Order 67B</w:t>
      </w:r>
      <w:r>
        <w:rPr>
          <w:b w:val="0"/>
        </w:rPr>
        <w:t> </w:t>
      </w:r>
      <w:r>
        <w:t>—</w:t>
      </w:r>
      <w:r>
        <w:rPr>
          <w:b w:val="0"/>
        </w:rPr>
        <w:t> </w:t>
      </w:r>
      <w:r>
        <w:rPr>
          <w:rStyle w:val="CharPartText"/>
        </w:rPr>
        <w:t>Access to information and things held by the Court</w:t>
      </w:r>
      <w:bookmarkEnd w:id="1259"/>
      <w:bookmarkEnd w:id="1260"/>
      <w:bookmarkEnd w:id="1261"/>
    </w:p>
    <w:p>
      <w:pPr>
        <w:pStyle w:val="Footnoteheading"/>
      </w:pPr>
      <w:r>
        <w:tab/>
        <w:t xml:space="preserve">[Heading inserted: Gazette 27 Feb 2018 p. 598.] </w:t>
      </w:r>
    </w:p>
    <w:p>
      <w:pPr>
        <w:pStyle w:val="Heading3"/>
      </w:pPr>
      <w:bookmarkStart w:id="1262" w:name="_Toc162941099"/>
      <w:bookmarkStart w:id="1263" w:name="_Toc162953888"/>
      <w:bookmarkStart w:id="1264" w:name="_Toc163121561"/>
      <w:r>
        <w:rPr>
          <w:rStyle w:val="CharDivNo"/>
        </w:rPr>
        <w:t>Division 1</w:t>
      </w:r>
      <w:r>
        <w:t> — </w:t>
      </w:r>
      <w:r>
        <w:rPr>
          <w:rStyle w:val="CharDivText"/>
        </w:rPr>
        <w:t>Preliminary matters</w:t>
      </w:r>
      <w:bookmarkEnd w:id="1262"/>
      <w:bookmarkEnd w:id="1263"/>
      <w:bookmarkEnd w:id="1264"/>
    </w:p>
    <w:p>
      <w:pPr>
        <w:pStyle w:val="Footnoteheading"/>
      </w:pPr>
      <w:r>
        <w:tab/>
        <w:t xml:space="preserve">[Heading inserted: Gazette 27 Feb 2018 p. 598.] </w:t>
      </w:r>
    </w:p>
    <w:p>
      <w:pPr>
        <w:pStyle w:val="Heading5"/>
      </w:pPr>
      <w:bookmarkStart w:id="1265" w:name="_Toc163121562"/>
      <w:r>
        <w:rPr>
          <w:rStyle w:val="CharSectno"/>
        </w:rPr>
        <w:t>1</w:t>
      </w:r>
      <w:r>
        <w:t>.</w:t>
      </w:r>
      <w:r>
        <w:tab/>
        <w:t>Terms used</w:t>
      </w:r>
      <w:bookmarkEnd w:id="1265"/>
    </w:p>
    <w:p>
      <w:pPr>
        <w:pStyle w:val="Subsection"/>
      </w:pPr>
      <w:r>
        <w:tab/>
        <w:t>(1)</w:t>
      </w:r>
      <w:r>
        <w:tab/>
        <w:t>In this Order —</w:t>
      </w:r>
    </w:p>
    <w:p>
      <w:pPr>
        <w:pStyle w:val="Defstart"/>
      </w:pPr>
      <w:r>
        <w:tab/>
      </w:r>
      <w:r>
        <w:rPr>
          <w:rStyle w:val="CharDefText"/>
        </w:rPr>
        <w:t>hearing</w:t>
      </w:r>
      <w:r>
        <w:t xml:space="preserve"> means any hearing, including a trial, held by the Court in a proceeding;</w:t>
      </w:r>
    </w:p>
    <w:p>
      <w:pPr>
        <w:pStyle w:val="Defstart"/>
      </w:pPr>
      <w:r>
        <w:tab/>
      </w:r>
      <w:r>
        <w:rPr>
          <w:rStyle w:val="CharDefText"/>
        </w:rPr>
        <w:t>legislation</w:t>
      </w:r>
      <w:r>
        <w:t xml:space="preserve"> means — </w:t>
      </w:r>
    </w:p>
    <w:p>
      <w:pPr>
        <w:pStyle w:val="Defpara"/>
      </w:pPr>
      <w:r>
        <w:tab/>
        <w:t>(a)</w:t>
      </w:r>
      <w:r>
        <w:tab/>
        <w:t>a written law; or</w:t>
      </w:r>
    </w:p>
    <w:p>
      <w:pPr>
        <w:pStyle w:val="Defpara"/>
      </w:pPr>
      <w:r>
        <w:tab/>
        <w:t>(b)</w:t>
      </w:r>
      <w:r>
        <w:tab/>
        <w:t>legislation of another Australian jurisdiction;</w:t>
      </w:r>
    </w:p>
    <w:p>
      <w:pPr>
        <w:pStyle w:val="Defstart"/>
      </w:pPr>
      <w:r>
        <w:rPr>
          <w:szCs w:val="24"/>
        </w:rPr>
        <w:tab/>
      </w:r>
      <w:r>
        <w:rPr>
          <w:rStyle w:val="CharDefText"/>
          <w:szCs w:val="24"/>
        </w:rPr>
        <w:t>media manager</w:t>
      </w:r>
      <w:r>
        <w:rPr>
          <w:szCs w:val="24"/>
        </w:rPr>
        <w:t xml:space="preserve"> means the person who, on behalf of the Court, manages its relations with media organisations;</w:t>
      </w:r>
    </w:p>
    <w:p>
      <w:pPr>
        <w:pStyle w:val="Defstart"/>
      </w:pPr>
      <w:r>
        <w:tab/>
      </w:r>
      <w:r>
        <w:rPr>
          <w:rStyle w:val="CharDefText"/>
        </w:rPr>
        <w:t xml:space="preserve">media </w:t>
      </w:r>
      <w:r>
        <w:rPr>
          <w:rStyle w:val="CharDefText"/>
          <w:szCs w:val="24"/>
        </w:rPr>
        <w:t>organisation</w:t>
      </w:r>
      <w:r>
        <w:t xml:space="preserve"> means an organisation the principal purpose of which is to, and which itself does, disseminate news or information directly to the public by means of printed paper, radio, television or the internet;</w:t>
      </w:r>
    </w:p>
    <w:p>
      <w:pPr>
        <w:pStyle w:val="Defstart"/>
      </w:pPr>
      <w:r>
        <w:tab/>
      </w:r>
      <w:r>
        <w:rPr>
          <w:rStyle w:val="CharDefText"/>
        </w:rPr>
        <w:t>media representative</w:t>
      </w:r>
      <w:r>
        <w:t xml:space="preserve"> means a person who is employed by a media organisation;</w:t>
      </w:r>
    </w:p>
    <w:p>
      <w:pPr>
        <w:pStyle w:val="Defstart"/>
      </w:pPr>
      <w:r>
        <w:tab/>
      </w:r>
      <w:r>
        <w:rPr>
          <w:rStyle w:val="CharDefText"/>
        </w:rPr>
        <w:t>probate application</w:t>
      </w:r>
      <w:r>
        <w:t xml:space="preserve"> means an application for a grant, as defined in the </w:t>
      </w:r>
      <w:r>
        <w:rPr>
          <w:i/>
        </w:rPr>
        <w:t>Non</w:t>
      </w:r>
      <w:r>
        <w:rPr>
          <w:i/>
        </w:rPr>
        <w:noBreakHyphen/>
        <w:t>contentious Probate Rules 1967</w:t>
      </w:r>
      <w:r>
        <w:t xml:space="preserve"> rule 2;</w:t>
      </w:r>
    </w:p>
    <w:p>
      <w:pPr>
        <w:pStyle w:val="Defstart"/>
      </w:pPr>
      <w:r>
        <w:tab/>
      </w:r>
      <w:r>
        <w:rPr>
          <w:rStyle w:val="CharDefText"/>
        </w:rPr>
        <w:t>proceeding</w:t>
      </w:r>
      <w:r>
        <w:t xml:space="preserve"> means —</w:t>
      </w:r>
    </w:p>
    <w:p>
      <w:pPr>
        <w:pStyle w:val="Defpara"/>
      </w:pPr>
      <w:r>
        <w:tab/>
        <w:t>(a)</w:t>
      </w:r>
      <w:r>
        <w:tab/>
        <w:t>any case, or appeal, in the civil jurisdiction of the General Division; and</w:t>
      </w:r>
    </w:p>
    <w:p>
      <w:pPr>
        <w:pStyle w:val="Defpara"/>
      </w:pPr>
      <w:r>
        <w:tab/>
        <w:t>(b)</w:t>
      </w:r>
      <w:r>
        <w:tab/>
        <w:t xml:space="preserve">any civil appeal, as defined in the </w:t>
      </w:r>
      <w:r>
        <w:rPr>
          <w:i/>
        </w:rPr>
        <w:t>Supreme Court (Court of Appeal) Rules 2005</w:t>
      </w:r>
      <w:r>
        <w:t xml:space="preserve"> rule 3(1); and</w:t>
      </w:r>
    </w:p>
    <w:p>
      <w:pPr>
        <w:pStyle w:val="Defpara"/>
      </w:pPr>
      <w:r>
        <w:tab/>
        <w:t>(c)</w:t>
      </w:r>
      <w:r>
        <w:tab/>
        <w:t>any proceeding on a probate application;</w:t>
      </w:r>
    </w:p>
    <w:p>
      <w:pPr>
        <w:pStyle w:val="Defstart"/>
        <w:keepNext/>
      </w:pPr>
      <w:r>
        <w:lastRenderedPageBreak/>
        <w:tab/>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r>
      <w:r>
        <w:rPr>
          <w:rStyle w:val="CharDefText"/>
        </w:rPr>
        <w:t>transcript</w:t>
      </w:r>
      <w:r>
        <w:t xml:space="preserve"> means a transcript of an audio or audio</w:t>
      </w:r>
      <w:r>
        <w:noBreakHyphen/>
        <w:t>visual recording of a hearing in the Court.</w:t>
      </w:r>
    </w:p>
    <w:p>
      <w:pPr>
        <w:pStyle w:val="Subsection"/>
      </w:pPr>
      <w:r>
        <w:tab/>
        <w:t>(2)</w:t>
      </w:r>
      <w:r>
        <w:tab/>
        <w:t>In this Order, a reference to information or to a record or thing includes a reference to a part of it.</w:t>
      </w:r>
    </w:p>
    <w:p>
      <w:pPr>
        <w:pStyle w:val="Footnotesection"/>
      </w:pPr>
      <w:r>
        <w:tab/>
        <w:t xml:space="preserve">[Rule 1 inserted: Gazette 27 Feb 2018 p. 598-9.] </w:t>
      </w:r>
    </w:p>
    <w:p>
      <w:pPr>
        <w:pStyle w:val="Heading5"/>
      </w:pPr>
      <w:bookmarkStart w:id="1266" w:name="_Toc163121563"/>
      <w:r>
        <w:rPr>
          <w:rStyle w:val="CharSectno"/>
        </w:rPr>
        <w:t>2</w:t>
      </w:r>
      <w:r>
        <w:t>.</w:t>
      </w:r>
      <w:r>
        <w:tab/>
        <w:t>Application of this Order</w:t>
      </w:r>
      <w:bookmarkEnd w:id="1266"/>
    </w:p>
    <w:p>
      <w:pPr>
        <w:pStyle w:val="Subsection"/>
      </w:pPr>
      <w:r>
        <w:tab/>
        <w:t>(1)</w:t>
      </w:r>
      <w:r>
        <w:tab/>
        <w:t>This Order applies to information, records and other things held by the Court in respect of proceedings, whether or not due to a Court order.</w:t>
      </w:r>
    </w:p>
    <w:p>
      <w:pPr>
        <w:pStyle w:val="Subsection"/>
      </w:pPr>
      <w:r>
        <w:tab/>
        <w:t>(2)</w:t>
      </w:r>
      <w:r>
        <w:tab/>
        <w:t xml:space="preserve">This Order, other than Division 7, applies — </w:t>
      </w:r>
    </w:p>
    <w:p>
      <w:pPr>
        <w:pStyle w:val="Indenta"/>
      </w:pPr>
      <w:r>
        <w:tab/>
        <w:t>(a)</w:t>
      </w:r>
      <w:r>
        <w:tab/>
        <w:t>to any person, other than a party to a proceeding, who wants access to information or a record or other thing held by the Court in respect of a proceeding commenced on or after 1 March 2018; and</w:t>
      </w:r>
    </w:p>
    <w:p>
      <w:pPr>
        <w:pStyle w:val="Indenta"/>
      </w:pPr>
      <w:r>
        <w:tab/>
        <w:t>(b)</w:t>
      </w:r>
      <w:r>
        <w:tab/>
        <w:t>to any party to a proceeding who wants access to information or a record or other thing held by the Court in respect of the proceeding, no matter when it was commenced.</w:t>
      </w:r>
    </w:p>
    <w:p>
      <w:pPr>
        <w:pStyle w:val="Subsection"/>
      </w:pPr>
      <w:r>
        <w:tab/>
        <w:t>(3)</w:t>
      </w:r>
      <w:r>
        <w:tab/>
        <w:t>Despite subrules (1) and (2), this Order does not apply to these —</w:t>
      </w:r>
    </w:p>
    <w:p>
      <w:pPr>
        <w:pStyle w:val="Indenta"/>
      </w:pPr>
      <w:r>
        <w:tab/>
        <w:t>(a)</w:t>
      </w:r>
      <w:r>
        <w:tab/>
        <w:t>a record or other thing —</w:t>
      </w:r>
    </w:p>
    <w:p>
      <w:pPr>
        <w:pStyle w:val="Indenti"/>
      </w:pPr>
      <w:r>
        <w:tab/>
        <w:t>(i)</w:t>
      </w:r>
      <w:r>
        <w:tab/>
        <w:t>that is held by the Court as a result of a subpoena it issued in a proceeding; and</w:t>
      </w:r>
    </w:p>
    <w:p>
      <w:pPr>
        <w:pStyle w:val="Indenti"/>
      </w:pPr>
      <w:r>
        <w:lastRenderedPageBreak/>
        <w:tab/>
        <w:t>(ii)</w:t>
      </w:r>
      <w:r>
        <w:tab/>
        <w:t>that has not been formally admitted into evidence as an exhibit, or marked for identification, in the proceeding;</w:t>
      </w:r>
    </w:p>
    <w:p>
      <w:pPr>
        <w:pStyle w:val="Indenta"/>
      </w:pPr>
      <w:r>
        <w:tab/>
        <w:t>(b)</w:t>
      </w:r>
      <w:r>
        <w:tab/>
        <w:t>information, records or other things that the Court has ceased to hold in respect of proceedings;</w:t>
      </w:r>
    </w:p>
    <w:p>
      <w:pPr>
        <w:pStyle w:val="Indenta"/>
      </w:pPr>
      <w:r>
        <w:tab/>
        <w:t>(c)</w:t>
      </w:r>
      <w:r>
        <w:tab/>
        <w:t>a record that —</w:t>
      </w:r>
    </w:p>
    <w:p>
      <w:pPr>
        <w:pStyle w:val="Indenti"/>
      </w:pPr>
      <w:r>
        <w:tab/>
        <w:t>(i)</w:t>
      </w:r>
      <w:r>
        <w:tab/>
        <w:t>is created by or sent to the Court in respect of a proceeding for administrative purposes; and</w:t>
      </w:r>
    </w:p>
    <w:p>
      <w:pPr>
        <w:pStyle w:val="Indenti"/>
      </w:pPr>
      <w:r>
        <w:tab/>
        <w:t>(ii)</w:t>
      </w:r>
      <w:r>
        <w:tab/>
        <w:t>is not a filed document; and</w:t>
      </w:r>
    </w:p>
    <w:p>
      <w:pPr>
        <w:pStyle w:val="Indenti"/>
      </w:pPr>
      <w:r>
        <w:tab/>
        <w:t>(iii)</w:t>
      </w:r>
      <w:r>
        <w:tab/>
        <w:t>is not part of an index or other record of all cases in the Court.</w:t>
      </w:r>
    </w:p>
    <w:p>
      <w:pPr>
        <w:pStyle w:val="Footnotesection"/>
      </w:pPr>
      <w:r>
        <w:tab/>
        <w:t xml:space="preserve">[Rule 2 inserted: Gazette 27 Feb 2018 p. 599-600.] </w:t>
      </w:r>
    </w:p>
    <w:p>
      <w:pPr>
        <w:pStyle w:val="Heading5"/>
      </w:pPr>
      <w:bookmarkStart w:id="1267" w:name="_Toc163121564"/>
      <w:r>
        <w:rPr>
          <w:rStyle w:val="CharSectno"/>
        </w:rPr>
        <w:t>3</w:t>
      </w:r>
      <w:r>
        <w:t>.</w:t>
      </w:r>
      <w:r>
        <w:tab/>
        <w:t>Access to information and things under other legislation</w:t>
      </w:r>
      <w:bookmarkEnd w:id="1267"/>
    </w:p>
    <w:p>
      <w:pPr>
        <w:pStyle w:val="Subsection"/>
      </w:pPr>
      <w:r>
        <w:tab/>
      </w:r>
      <w:r>
        <w:tab/>
        <w:t>This Order does not affect any entitlement a person has under any other legislation to be given access to information or a record or thing.</w:t>
      </w:r>
    </w:p>
    <w:p>
      <w:pPr>
        <w:pStyle w:val="Footnotesection"/>
      </w:pPr>
      <w:r>
        <w:tab/>
        <w:t xml:space="preserve">[Rule 3 inserted: Gazette 27 Feb 2018 p. 600.] </w:t>
      </w:r>
    </w:p>
    <w:p>
      <w:pPr>
        <w:pStyle w:val="Heading5"/>
      </w:pPr>
      <w:bookmarkStart w:id="1268" w:name="_Toc163121565"/>
      <w:r>
        <w:rPr>
          <w:rStyle w:val="CharSectno"/>
        </w:rPr>
        <w:t>4</w:t>
      </w:r>
      <w:r>
        <w:t>.</w:t>
      </w:r>
      <w:r>
        <w:tab/>
        <w:t>Order does not limit Court’s general power to release information</w:t>
      </w:r>
      <w:bookmarkEnd w:id="1268"/>
    </w:p>
    <w:p>
      <w:pPr>
        <w:pStyle w:val="Subsection"/>
      </w:pPr>
      <w:r>
        <w:tab/>
      </w:r>
      <w:r>
        <w:tab/>
        <w:t>This Order does not prevent the Court from releasing, on its own initiative, any information, record or other thing to any person, on any terms and conditions and in any manner, it thinks ﬁt.</w:t>
      </w:r>
    </w:p>
    <w:p>
      <w:pPr>
        <w:pStyle w:val="Footnotesection"/>
      </w:pPr>
      <w:r>
        <w:tab/>
        <w:t xml:space="preserve">[Rule 4 inserted: Gazette 27 Feb 2018 p. 600.] </w:t>
      </w:r>
    </w:p>
    <w:p>
      <w:pPr>
        <w:pStyle w:val="Heading3"/>
      </w:pPr>
      <w:bookmarkStart w:id="1269" w:name="_Toc162941104"/>
      <w:bookmarkStart w:id="1270" w:name="_Toc162953893"/>
      <w:bookmarkStart w:id="1271" w:name="_Toc163121566"/>
      <w:r>
        <w:rPr>
          <w:rStyle w:val="CharDivNo"/>
        </w:rPr>
        <w:t>Division 2</w:t>
      </w:r>
      <w:r>
        <w:t> — </w:t>
      </w:r>
      <w:r>
        <w:rPr>
          <w:rStyle w:val="CharDivText"/>
        </w:rPr>
        <w:t>Orders restricting access</w:t>
      </w:r>
      <w:bookmarkEnd w:id="1269"/>
      <w:bookmarkEnd w:id="1270"/>
      <w:bookmarkEnd w:id="1271"/>
    </w:p>
    <w:p>
      <w:pPr>
        <w:pStyle w:val="Footnoteheading"/>
      </w:pPr>
      <w:r>
        <w:tab/>
        <w:t xml:space="preserve">[Heading inserted: Gazette 27 Feb 2018 p. 601.] </w:t>
      </w:r>
    </w:p>
    <w:p>
      <w:pPr>
        <w:pStyle w:val="Heading5"/>
      </w:pPr>
      <w:bookmarkStart w:id="1272" w:name="_Toc163121567"/>
      <w:r>
        <w:rPr>
          <w:rStyle w:val="CharSectno"/>
        </w:rPr>
        <w:t>5</w:t>
      </w:r>
      <w:r>
        <w:t>.</w:t>
      </w:r>
      <w:r>
        <w:tab/>
        <w:t>Court’s powers to restrict access</w:t>
      </w:r>
      <w:bookmarkEnd w:id="1272"/>
    </w:p>
    <w:p>
      <w:pPr>
        <w:pStyle w:val="Subsection"/>
      </w:pPr>
      <w:r>
        <w:tab/>
        <w:t>(1)</w:t>
      </w:r>
      <w:r>
        <w:tab/>
        <w:t xml:space="preserve">The Court may make an order under this rule — </w:t>
      </w:r>
    </w:p>
    <w:p>
      <w:pPr>
        <w:pStyle w:val="Indenta"/>
      </w:pPr>
      <w:r>
        <w:lastRenderedPageBreak/>
        <w:tab/>
        <w:t>(a)</w:t>
      </w:r>
      <w:r>
        <w:tab/>
        <w:t xml:space="preserve">on its own initiative; or </w:t>
      </w:r>
    </w:p>
    <w:p>
      <w:pPr>
        <w:pStyle w:val="Indenta"/>
      </w:pPr>
      <w:r>
        <w:tab/>
        <w:t>(b)</w:t>
      </w:r>
      <w:r>
        <w:tab/>
        <w:t>on the application of any person.</w:t>
      </w:r>
    </w:p>
    <w:p>
      <w:pPr>
        <w:pStyle w:val="Subsection"/>
      </w:pPr>
      <w:r>
        <w:tab/>
        <w:t>(2)</w:t>
      </w:r>
      <w:r>
        <w:tab/>
        <w:t>An application for an order made under subrule (3) must do the following —</w:t>
      </w:r>
    </w:p>
    <w:p>
      <w:pPr>
        <w:pStyle w:val="Indenta"/>
      </w:pPr>
      <w:r>
        <w:tab/>
        <w:t>(a)</w:t>
      </w:r>
      <w:r>
        <w:tab/>
        <w:t>state the grounds for the application;</w:t>
      </w:r>
    </w:p>
    <w:p>
      <w:pPr>
        <w:pStyle w:val="Indenta"/>
      </w:pPr>
      <w:r>
        <w:tab/>
        <w:t>(b)</w:t>
      </w:r>
      <w:r>
        <w:tab/>
        <w:t>identify the information, record or thing to which the order should apply;</w:t>
      </w:r>
    </w:p>
    <w:p>
      <w:pPr>
        <w:pStyle w:val="Indenta"/>
      </w:pPr>
      <w:r>
        <w:tab/>
        <w:t>(c)</w:t>
      </w:r>
      <w:r>
        <w:tab/>
        <w:t>state the person, or class of persons, whose access to the information, record or thing should be restricted by the order;</w:t>
      </w:r>
    </w:p>
    <w:p>
      <w:pPr>
        <w:pStyle w:val="Indenta"/>
      </w:pPr>
      <w:r>
        <w:tab/>
        <w:t>(d)</w:t>
      </w:r>
      <w:r>
        <w:tab/>
        <w:t>state any conditions that should apply if the Court were to give access to the information, record or thing;</w:t>
      </w:r>
    </w:p>
    <w:p>
      <w:pPr>
        <w:pStyle w:val="Indenta"/>
      </w:pPr>
      <w:r>
        <w:tab/>
        <w:t>(e)</w:t>
      </w:r>
      <w:r>
        <w:tab/>
        <w:t>state the period for which the order should apply.</w:t>
      </w:r>
    </w:p>
    <w:p>
      <w:pPr>
        <w:pStyle w:val="Subsection"/>
      </w:pPr>
      <w:r>
        <w:tab/>
        <w:t>(3)</w:t>
      </w:r>
      <w:r>
        <w:tab/>
        <w:t>The Court may make an order that restricts access to information or a record or other thing if it considers —</w:t>
      </w:r>
    </w:p>
    <w:p>
      <w:pPr>
        <w:pStyle w:val="Indenta"/>
      </w:pPr>
      <w:r>
        <w:tab/>
        <w:t>(a)</w:t>
      </w:r>
      <w:r>
        <w:tab/>
        <w:t>that the information, record or thing is the subject of a pending claim that it is privileged or confidential; or</w:t>
      </w:r>
    </w:p>
    <w:p>
      <w:pPr>
        <w:pStyle w:val="Indenta"/>
      </w:pPr>
      <w:r>
        <w:tab/>
        <w:t>(b)</w:t>
      </w:r>
      <w:r>
        <w:tab/>
        <w:t>that the information, record or thing is privileged or confidential; or</w:t>
      </w:r>
    </w:p>
    <w:p>
      <w:pPr>
        <w:pStyle w:val="Indenta"/>
      </w:pPr>
      <w:r>
        <w:tab/>
        <w:t>(c)</w:t>
      </w:r>
      <w:r>
        <w:tab/>
        <w:t>that in the interests of justice, access to the information, record or thing should be restricted.</w:t>
      </w:r>
    </w:p>
    <w:p>
      <w:pPr>
        <w:pStyle w:val="Subsection"/>
      </w:pPr>
      <w:r>
        <w:tab/>
        <w:t>(4)</w:t>
      </w:r>
      <w:r>
        <w:tab/>
        <w:t xml:space="preserve">An order made under subrule (3) must include the reasons for it and sufficient information to identify clearly — </w:t>
      </w:r>
    </w:p>
    <w:p>
      <w:pPr>
        <w:pStyle w:val="Indenta"/>
      </w:pPr>
      <w:r>
        <w:tab/>
        <w:t>(a)</w:t>
      </w:r>
      <w:r>
        <w:tab/>
        <w:t>the information, record or thing to which the order applies; and</w:t>
      </w:r>
    </w:p>
    <w:p>
      <w:pPr>
        <w:pStyle w:val="Indenta"/>
      </w:pPr>
      <w:r>
        <w:tab/>
        <w:t>(b)</w:t>
      </w:r>
      <w:r>
        <w:tab/>
        <w:t>the person, or class of persons, whose access to the information, record or thing is restricted by the order; and</w:t>
      </w:r>
    </w:p>
    <w:p>
      <w:pPr>
        <w:pStyle w:val="Indenta"/>
      </w:pPr>
      <w:r>
        <w:tab/>
        <w:t>(c)</w:t>
      </w:r>
      <w:r>
        <w:tab/>
        <w:t>any conditions that will apply if access to the information, record or thing were to be given by the Court; and</w:t>
      </w:r>
    </w:p>
    <w:p>
      <w:pPr>
        <w:pStyle w:val="Indenta"/>
      </w:pPr>
      <w:r>
        <w:lastRenderedPageBreak/>
        <w:tab/>
        <w:t>(d)</w:t>
      </w:r>
      <w:r>
        <w:tab/>
        <w:t>the period during which the order applies.</w:t>
      </w:r>
    </w:p>
    <w:p>
      <w:pPr>
        <w:pStyle w:val="Subsection"/>
      </w:pPr>
      <w:r>
        <w:tab/>
        <w:t>(5)</w:t>
      </w:r>
      <w:r>
        <w:tab/>
        <w:t>The Court may at any time, by order, amend or cancel an order made under subrule (3).</w:t>
      </w:r>
    </w:p>
    <w:p>
      <w:pPr>
        <w:pStyle w:val="Subsection"/>
      </w:pPr>
      <w:r>
        <w:tab/>
        <w:t>(6)</w:t>
      </w:r>
      <w:r>
        <w:tab/>
        <w:t>If an application is made for an order made under subrule (3) in respect of information or a record or other thing, access to the information, record or thing is taken to be unavailable to all but the Court and the applicant until the application is decided.</w:t>
      </w:r>
    </w:p>
    <w:p>
      <w:pPr>
        <w:pStyle w:val="Footnotesection"/>
      </w:pPr>
      <w:r>
        <w:tab/>
        <w:t xml:space="preserve">[Rule 5 inserted: Gazette 27 Feb 2018 p. 601-2.] </w:t>
      </w:r>
    </w:p>
    <w:p>
      <w:pPr>
        <w:pStyle w:val="Heading3"/>
      </w:pPr>
      <w:bookmarkStart w:id="1273" w:name="_Toc162941106"/>
      <w:bookmarkStart w:id="1274" w:name="_Toc162953895"/>
      <w:bookmarkStart w:id="1275" w:name="_Toc163121568"/>
      <w:r>
        <w:rPr>
          <w:rStyle w:val="CharDivNo"/>
        </w:rPr>
        <w:t>Division 3</w:t>
      </w:r>
      <w:r>
        <w:t> — </w:t>
      </w:r>
      <w:r>
        <w:rPr>
          <w:rStyle w:val="CharDivText"/>
        </w:rPr>
        <w:t>Entitlements to access</w:t>
      </w:r>
      <w:bookmarkEnd w:id="1273"/>
      <w:bookmarkEnd w:id="1274"/>
      <w:bookmarkEnd w:id="1275"/>
    </w:p>
    <w:p>
      <w:pPr>
        <w:pStyle w:val="Footnoteheading"/>
      </w:pPr>
      <w:r>
        <w:tab/>
        <w:t xml:space="preserve">[Heading inserted: Gazette 27 Feb 2018 p. 602.] </w:t>
      </w:r>
    </w:p>
    <w:p>
      <w:pPr>
        <w:pStyle w:val="Heading5"/>
      </w:pPr>
      <w:bookmarkStart w:id="1276" w:name="_Toc163121569"/>
      <w:r>
        <w:rPr>
          <w:rStyle w:val="CharSectno"/>
        </w:rPr>
        <w:t>6</w:t>
      </w:r>
      <w:r>
        <w:t>.</w:t>
      </w:r>
      <w:r>
        <w:tab/>
        <w:t>Entitlements of every person</w:t>
      </w:r>
      <w:bookmarkEnd w:id="1276"/>
    </w:p>
    <w:p>
      <w:pPr>
        <w:pStyle w:val="Subsection"/>
      </w:pPr>
      <w:r>
        <w:tab/>
        <w:t>(1)</w:t>
      </w:r>
      <w:r>
        <w:tab/>
        <w:t>For the purposes of this rule, a person’s access to information or a document is restricted if the person’s access to it is restricted by —</w:t>
      </w:r>
    </w:p>
    <w:p>
      <w:pPr>
        <w:pStyle w:val="Indenta"/>
      </w:pPr>
      <w:r>
        <w:tab/>
        <w:t>(a)</w:t>
      </w:r>
      <w:r>
        <w:tab/>
        <w:t>legislation; or</w:t>
      </w:r>
    </w:p>
    <w:p>
      <w:pPr>
        <w:pStyle w:val="Indenta"/>
      </w:pPr>
      <w:r>
        <w:tab/>
        <w:t>(b)</w:t>
      </w:r>
      <w:r>
        <w:tab/>
        <w:t>an order made by a court in Australia.</w:t>
      </w:r>
    </w:p>
    <w:p>
      <w:pPr>
        <w:pStyle w:val="Subsection"/>
      </w:pPr>
      <w:r>
        <w:tab/>
        <w:t>(2)</w:t>
      </w:r>
      <w:r>
        <w:tab/>
        <w:t>Unless the person’s access to the information is restricted, any person is entitled to have access to the information listed in the Table held by the Court.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trPr>
          <w:cantSplit/>
        </w:trPr>
        <w:tc>
          <w:tcPr>
            <w:tcW w:w="5500" w:type="dxa"/>
            <w:tcBorders>
              <w:bottom w:val="single" w:sz="4" w:space="0" w:color="auto"/>
            </w:tcBorders>
          </w:tcPr>
          <w:p>
            <w:pPr>
              <w:pStyle w:val="TableNAm"/>
              <w:spacing w:before="0"/>
              <w:ind w:left="573" w:hanging="573"/>
            </w:pPr>
            <w:r>
              <w:rPr>
                <w:b/>
                <w:bCs/>
              </w:rPr>
              <w:t>A.</w:t>
            </w:r>
            <w:r>
              <w:rPr>
                <w:b/>
                <w:bCs/>
              </w:rPr>
              <w:tab/>
              <w:t>General Division (general jurisdiction) and Court of Appeal information</w:t>
            </w:r>
          </w:p>
        </w:tc>
      </w:tr>
      <w:tr>
        <w:trPr>
          <w:cantSplit/>
        </w:trPr>
        <w:tc>
          <w:tcPr>
            <w:tcW w:w="5500" w:type="dxa"/>
            <w:tcBorders>
              <w:bottom w:val="nil"/>
            </w:tcBorders>
          </w:tcPr>
          <w:p>
            <w:pPr>
              <w:pStyle w:val="TableNAm"/>
              <w:spacing w:before="0"/>
              <w:ind w:left="590" w:hanging="590"/>
            </w:pPr>
            <w:r>
              <w:t>1.</w:t>
            </w:r>
            <w:r>
              <w:tab/>
              <w:t>Whether a named person is or is not a party to a proceeding.</w:t>
            </w:r>
          </w:p>
        </w:tc>
      </w:tr>
      <w:tr>
        <w:trPr>
          <w:cantSplit/>
        </w:trPr>
        <w:tc>
          <w:tcPr>
            <w:tcW w:w="5500" w:type="dxa"/>
            <w:tcBorders>
              <w:top w:val="nil"/>
              <w:bottom w:val="nil"/>
            </w:tcBorders>
          </w:tcPr>
          <w:p>
            <w:pPr>
              <w:pStyle w:val="TableNAm"/>
              <w:spacing w:before="0"/>
              <w:ind w:left="590" w:hanging="590"/>
            </w:pPr>
            <w:r>
              <w:t>2.</w:t>
            </w:r>
            <w:r>
              <w:tab/>
              <w:t>Whether a named person is or is not a witness in a proceeding.</w:t>
            </w:r>
          </w:p>
        </w:tc>
      </w:tr>
      <w:tr>
        <w:trPr>
          <w:cantSplit/>
        </w:trPr>
        <w:tc>
          <w:tcPr>
            <w:tcW w:w="5500" w:type="dxa"/>
            <w:tcBorders>
              <w:top w:val="nil"/>
              <w:bottom w:val="nil"/>
            </w:tcBorders>
          </w:tcPr>
          <w:p>
            <w:pPr>
              <w:pStyle w:val="TableNAm"/>
              <w:spacing w:before="0"/>
              <w:ind w:left="590" w:hanging="590"/>
            </w:pPr>
            <w:r>
              <w:t>3.</w:t>
            </w:r>
            <w:r>
              <w:tab/>
              <w:t>Whether an identified record or thing that relates to a proceeding is or is not held by the Court.</w:t>
            </w:r>
          </w:p>
        </w:tc>
      </w:tr>
      <w:tr>
        <w:trPr>
          <w:cantSplit/>
        </w:trPr>
        <w:tc>
          <w:tcPr>
            <w:tcW w:w="5500" w:type="dxa"/>
            <w:tcBorders>
              <w:top w:val="nil"/>
              <w:bottom w:val="nil"/>
            </w:tcBorders>
          </w:tcPr>
          <w:p>
            <w:pPr>
              <w:pStyle w:val="TableNAm"/>
              <w:spacing w:before="0"/>
              <w:ind w:left="590" w:hanging="590"/>
            </w:pPr>
            <w:r>
              <w:lastRenderedPageBreak/>
              <w:t>4.</w:t>
            </w:r>
            <w:r>
              <w:tab/>
              <w:t>In respect of an identified proceeding —</w:t>
            </w:r>
          </w:p>
          <w:p>
            <w:pPr>
              <w:pStyle w:val="TableNAm"/>
              <w:tabs>
                <w:tab w:val="left" w:pos="1111"/>
              </w:tabs>
              <w:spacing w:before="0"/>
              <w:ind w:left="1123" w:hanging="1123"/>
            </w:pPr>
            <w:r>
              <w:tab/>
              <w:t>(a)</w:t>
            </w:r>
            <w:r>
              <w:tab/>
              <w:t>the name of each party to it;</w:t>
            </w:r>
          </w:p>
          <w:p>
            <w:pPr>
              <w:pStyle w:val="TableNAm"/>
              <w:tabs>
                <w:tab w:val="left" w:pos="1111"/>
              </w:tabs>
              <w:spacing w:before="0"/>
              <w:ind w:left="1123" w:hanging="1123"/>
            </w:pPr>
            <w:r>
              <w:tab/>
              <w:t>(b)</w:t>
            </w:r>
            <w:r>
              <w:tab/>
              <w:t>the name of the representative (if any) of each party to it;</w:t>
            </w:r>
          </w:p>
          <w:p>
            <w:pPr>
              <w:pStyle w:val="TableNAm"/>
              <w:tabs>
                <w:tab w:val="left" w:pos="1111"/>
              </w:tabs>
              <w:spacing w:before="0"/>
              <w:ind w:left="1123" w:hanging="1123"/>
            </w:pPr>
            <w:r>
              <w:tab/>
              <w:t>(c)</w:t>
            </w:r>
            <w:r>
              <w:tab/>
              <w:t>the date on which it was commenced;</w:t>
            </w:r>
          </w:p>
          <w:p>
            <w:pPr>
              <w:pStyle w:val="TableNAm"/>
              <w:tabs>
                <w:tab w:val="left" w:pos="1111"/>
              </w:tabs>
              <w:spacing w:before="0"/>
              <w:ind w:left="1123" w:hanging="1123"/>
            </w:pPr>
            <w:r>
              <w:tab/>
              <w:t>(d)</w:t>
            </w:r>
            <w:r>
              <w:tab/>
              <w:t>the matter reference number assigned to it by the Court;</w:t>
            </w:r>
          </w:p>
        </w:tc>
      </w:tr>
      <w:tr>
        <w:trPr>
          <w:cantSplit/>
        </w:trPr>
        <w:tc>
          <w:tcPr>
            <w:tcW w:w="5500" w:type="dxa"/>
            <w:tcBorders>
              <w:top w:val="nil"/>
            </w:tcBorders>
          </w:tcPr>
          <w:p>
            <w:pPr>
              <w:pStyle w:val="TableNAm"/>
              <w:tabs>
                <w:tab w:val="left" w:pos="1111"/>
              </w:tabs>
              <w:spacing w:before="0"/>
              <w:ind w:left="1123" w:hanging="1123"/>
            </w:pPr>
            <w:r>
              <w:tab/>
              <w:t>(e)</w:t>
            </w:r>
            <w:r>
              <w:tab/>
              <w:t>the title of any filed document held in relation to it;</w:t>
            </w:r>
          </w:p>
          <w:p>
            <w:pPr>
              <w:pStyle w:val="TableNAm"/>
              <w:tabs>
                <w:tab w:val="left" w:pos="1111"/>
              </w:tabs>
              <w:spacing w:before="0"/>
              <w:ind w:left="1123" w:hanging="1123"/>
            </w:pPr>
            <w:r>
              <w:tab/>
              <w:t>(f)</w:t>
            </w:r>
            <w:r>
              <w:tab/>
              <w:t>the date on which a filed document was filed;</w:t>
            </w:r>
          </w:p>
          <w:p>
            <w:pPr>
              <w:pStyle w:val="TableNAm"/>
              <w:tabs>
                <w:tab w:val="left" w:pos="1111"/>
              </w:tabs>
              <w:spacing w:before="0"/>
              <w:ind w:left="1123" w:hanging="1123"/>
            </w:pPr>
            <w:r>
              <w:tab/>
              <w:t>(g)</w:t>
            </w:r>
            <w:r>
              <w:tab/>
              <w:t>the date, time and nature of any hearing in it;</w:t>
            </w:r>
          </w:p>
          <w:p>
            <w:pPr>
              <w:pStyle w:val="TableNAm"/>
              <w:tabs>
                <w:tab w:val="left" w:pos="1111"/>
              </w:tabs>
              <w:spacing w:before="0"/>
              <w:ind w:left="1123" w:hanging="1123"/>
            </w:pPr>
            <w:r>
              <w:tab/>
              <w:t>(h)</w:t>
            </w:r>
            <w:r>
              <w:tab/>
              <w:t>the current status of it.</w:t>
            </w:r>
          </w:p>
        </w:tc>
      </w:tr>
      <w:tr>
        <w:tc>
          <w:tcPr>
            <w:tcW w:w="5500" w:type="dxa"/>
            <w:tcBorders>
              <w:bottom w:val="single" w:sz="4" w:space="0" w:color="auto"/>
            </w:tcBorders>
            <w:shd w:val="clear" w:color="auto" w:fill="auto"/>
          </w:tcPr>
          <w:p>
            <w:pPr>
              <w:pStyle w:val="TableNAm"/>
              <w:spacing w:before="0"/>
              <w:ind w:left="573" w:hanging="573"/>
            </w:pPr>
            <w:r>
              <w:rPr>
                <w:b/>
              </w:rPr>
              <w:t>B.</w:t>
            </w:r>
            <w:r>
              <w:rPr>
                <w:b/>
              </w:rPr>
              <w:tab/>
            </w:r>
            <w:r>
              <w:rPr>
                <w:b/>
                <w:bCs/>
              </w:rPr>
              <w:t>General</w:t>
            </w:r>
            <w:r>
              <w:rPr>
                <w:b/>
              </w:rPr>
              <w:t xml:space="preserve"> Division (non</w:t>
            </w:r>
            <w:r>
              <w:rPr>
                <w:b/>
              </w:rPr>
              <w:noBreakHyphen/>
              <w:t>contentious probate jurisdiction) information</w:t>
            </w:r>
          </w:p>
        </w:tc>
      </w:tr>
      <w:tr>
        <w:tc>
          <w:tcPr>
            <w:tcW w:w="5500" w:type="dxa"/>
            <w:tcBorders>
              <w:bottom w:val="nil"/>
            </w:tcBorders>
            <w:shd w:val="clear" w:color="auto" w:fill="auto"/>
          </w:tcPr>
          <w:p>
            <w:pPr>
              <w:pStyle w:val="TableNAm"/>
              <w:spacing w:before="0"/>
              <w:ind w:left="590" w:hanging="590"/>
            </w:pPr>
            <w:r>
              <w:t>1.</w:t>
            </w:r>
            <w:r>
              <w:tab/>
              <w:t>Whether a named person has made a probate application.</w:t>
            </w:r>
          </w:p>
        </w:tc>
      </w:tr>
      <w:tr>
        <w:tc>
          <w:tcPr>
            <w:tcW w:w="5500" w:type="dxa"/>
            <w:tcBorders>
              <w:top w:val="nil"/>
              <w:bottom w:val="nil"/>
            </w:tcBorders>
            <w:shd w:val="clear" w:color="auto" w:fill="auto"/>
          </w:tcPr>
          <w:p>
            <w:pPr>
              <w:pStyle w:val="TableNAm"/>
              <w:spacing w:before="0"/>
              <w:ind w:left="590" w:hanging="590"/>
            </w:pPr>
            <w:r>
              <w:t>2.</w:t>
            </w:r>
            <w:r>
              <w:tab/>
              <w:t>Whether an identified record or thing that relates to a probate application is or is not held by the Court.</w:t>
            </w:r>
          </w:p>
        </w:tc>
      </w:tr>
      <w:tr>
        <w:trPr>
          <w:cantSplit/>
        </w:trPr>
        <w:tc>
          <w:tcPr>
            <w:tcW w:w="5500" w:type="dxa"/>
            <w:tcBorders>
              <w:top w:val="nil"/>
            </w:tcBorders>
            <w:shd w:val="clear" w:color="auto" w:fill="auto"/>
          </w:tcPr>
          <w:p>
            <w:pPr>
              <w:pStyle w:val="TableNAm"/>
              <w:spacing w:before="0"/>
              <w:ind w:left="588" w:hanging="588"/>
            </w:pPr>
            <w:r>
              <w:t>3.</w:t>
            </w:r>
            <w:r>
              <w:tab/>
              <w:t>In respect of an identified probate application —</w:t>
            </w:r>
          </w:p>
          <w:p>
            <w:pPr>
              <w:pStyle w:val="TableNAm"/>
              <w:tabs>
                <w:tab w:val="left" w:pos="1111"/>
              </w:tabs>
              <w:spacing w:before="0"/>
              <w:ind w:left="1120" w:hanging="1120"/>
            </w:pPr>
            <w:r>
              <w:tab/>
              <w:t>(a)</w:t>
            </w:r>
            <w:r>
              <w:tab/>
              <w:t>the name of the applicant;</w:t>
            </w:r>
          </w:p>
          <w:p>
            <w:pPr>
              <w:pStyle w:val="TableNAm"/>
              <w:tabs>
                <w:tab w:val="left" w:pos="1111"/>
              </w:tabs>
              <w:spacing w:before="0"/>
              <w:ind w:left="1120" w:hanging="1120"/>
            </w:pPr>
            <w:r>
              <w:tab/>
              <w:t>(b)</w:t>
            </w:r>
            <w:r>
              <w:tab/>
              <w:t>the name of the representative (if any) of the applicant;</w:t>
            </w:r>
          </w:p>
          <w:p>
            <w:pPr>
              <w:pStyle w:val="TableNAm"/>
              <w:tabs>
                <w:tab w:val="left" w:pos="1111"/>
              </w:tabs>
              <w:spacing w:before="0"/>
              <w:ind w:left="1120" w:hanging="1120"/>
            </w:pPr>
            <w:r>
              <w:tab/>
              <w:t>(c)</w:t>
            </w:r>
            <w:r>
              <w:tab/>
              <w:t>the date on which it was made;</w:t>
            </w:r>
          </w:p>
          <w:p>
            <w:pPr>
              <w:pStyle w:val="TableNAm"/>
              <w:tabs>
                <w:tab w:val="left" w:pos="1111"/>
              </w:tabs>
              <w:spacing w:before="0"/>
              <w:ind w:left="1120" w:hanging="1120"/>
            </w:pPr>
            <w:r>
              <w:tab/>
              <w:t>(d)</w:t>
            </w:r>
            <w:r>
              <w:tab/>
              <w:t>the matter reference number assigned to it by the Court;</w:t>
            </w:r>
          </w:p>
          <w:p>
            <w:pPr>
              <w:pStyle w:val="TableNAm"/>
              <w:tabs>
                <w:tab w:val="left" w:pos="1111"/>
              </w:tabs>
              <w:spacing w:before="0"/>
              <w:ind w:left="1120" w:hanging="1120"/>
            </w:pPr>
            <w:r>
              <w:tab/>
              <w:t>(e)</w:t>
            </w:r>
            <w:r>
              <w:tab/>
              <w:t>the title of any filed document held in relation to it;</w:t>
            </w:r>
          </w:p>
          <w:p>
            <w:pPr>
              <w:pStyle w:val="TableNAm"/>
              <w:tabs>
                <w:tab w:val="left" w:pos="1111"/>
              </w:tabs>
              <w:spacing w:before="0"/>
              <w:ind w:left="1120" w:hanging="1120"/>
            </w:pPr>
            <w:r>
              <w:tab/>
              <w:t>(f)</w:t>
            </w:r>
            <w:r>
              <w:tab/>
              <w:t>the date on which a filed document was filed;</w:t>
            </w:r>
          </w:p>
          <w:p>
            <w:pPr>
              <w:pStyle w:val="TableNAm"/>
              <w:tabs>
                <w:tab w:val="left" w:pos="1111"/>
              </w:tabs>
              <w:spacing w:before="0"/>
              <w:ind w:left="1120" w:hanging="1120"/>
            </w:pPr>
            <w:r>
              <w:tab/>
              <w:t>(g)</w:t>
            </w:r>
            <w:r>
              <w:tab/>
              <w:t>the date, time and nature of any hearing in it;</w:t>
            </w:r>
          </w:p>
          <w:p>
            <w:pPr>
              <w:pStyle w:val="TableNAm"/>
              <w:tabs>
                <w:tab w:val="left" w:pos="1111"/>
              </w:tabs>
              <w:spacing w:before="0"/>
              <w:ind w:left="1120" w:hanging="1120"/>
            </w:pPr>
            <w:r>
              <w:tab/>
              <w:t>(h)</w:t>
            </w:r>
            <w:r>
              <w:tab/>
              <w:t>the current status of it.</w:t>
            </w:r>
          </w:p>
        </w:tc>
      </w:tr>
    </w:tbl>
    <w:p>
      <w:pPr>
        <w:pStyle w:val="Subsection"/>
      </w:pPr>
      <w:r>
        <w:lastRenderedPageBreak/>
        <w:tab/>
        <w:t>(3)</w:t>
      </w:r>
      <w:r>
        <w:tab/>
        <w:t>Unless the person’s access to the document is restricted, any person is entitled to have access to any of the filed documents, listed in the Table, that commenced a proceeding.</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trPr>
          <w:cantSplit/>
        </w:trPr>
        <w:tc>
          <w:tcPr>
            <w:tcW w:w="5500" w:type="dxa"/>
            <w:tcBorders>
              <w:bottom w:val="single" w:sz="4" w:space="0" w:color="auto"/>
            </w:tcBorders>
          </w:tcPr>
          <w:p>
            <w:pPr>
              <w:pStyle w:val="TableNAm"/>
              <w:spacing w:before="0"/>
              <w:ind w:left="573" w:hanging="573"/>
            </w:pPr>
            <w:r>
              <w:rPr>
                <w:b/>
                <w:bCs/>
              </w:rPr>
              <w:t>A.</w:t>
            </w:r>
            <w:r>
              <w:rPr>
                <w:b/>
                <w:bCs/>
              </w:rPr>
              <w:tab/>
              <w:t>General Division (general jurisdiction) documents</w:t>
            </w:r>
          </w:p>
        </w:tc>
      </w:tr>
      <w:tr>
        <w:trPr>
          <w:cantSplit/>
        </w:trPr>
        <w:tc>
          <w:tcPr>
            <w:tcW w:w="5500" w:type="dxa"/>
            <w:tcBorders>
              <w:bottom w:val="nil"/>
            </w:tcBorders>
          </w:tcPr>
          <w:p>
            <w:pPr>
              <w:pStyle w:val="TableNAm"/>
              <w:spacing w:before="0"/>
              <w:ind w:left="588" w:hanging="588"/>
            </w:pPr>
            <w:r>
              <w:t xml:space="preserve">1. </w:t>
            </w:r>
            <w:r>
              <w:tab/>
              <w:t>A writ indorsed under Order 6 rule 1 or indorsed with a statement of claim.</w:t>
            </w:r>
          </w:p>
        </w:tc>
      </w:tr>
      <w:tr>
        <w:trPr>
          <w:cantSplit/>
        </w:trPr>
        <w:tc>
          <w:tcPr>
            <w:tcW w:w="5500" w:type="dxa"/>
            <w:tcBorders>
              <w:top w:val="nil"/>
              <w:bottom w:val="nil"/>
            </w:tcBorders>
          </w:tcPr>
          <w:p>
            <w:pPr>
              <w:pStyle w:val="TableNAm"/>
              <w:spacing w:before="0"/>
              <w:ind w:left="588" w:hanging="588"/>
            </w:pPr>
            <w:r>
              <w:t>2.</w:t>
            </w:r>
            <w:r>
              <w:tab/>
              <w:t>An originating summons or motion, or other document, that commenced a proceeding under any of these Acts —</w:t>
            </w:r>
          </w:p>
          <w:p>
            <w:pPr>
              <w:pStyle w:val="TableNAm"/>
              <w:tabs>
                <w:tab w:val="left" w:pos="1111"/>
              </w:tabs>
              <w:spacing w:before="0"/>
              <w:ind w:left="1123" w:hanging="1123"/>
            </w:pPr>
            <w:r>
              <w:tab/>
              <w:t>(a)</w:t>
            </w:r>
            <w:r>
              <w:tab/>
              <w:t xml:space="preserve">the </w:t>
            </w:r>
            <w:r>
              <w:rPr>
                <w:i/>
              </w:rPr>
              <w:t>Corporations Act 2001</w:t>
            </w:r>
            <w:r>
              <w:t xml:space="preserve"> (Commonwealth);</w:t>
            </w:r>
          </w:p>
          <w:p>
            <w:pPr>
              <w:pStyle w:val="TableNAm"/>
              <w:tabs>
                <w:tab w:val="left" w:pos="1111"/>
              </w:tabs>
              <w:spacing w:before="0"/>
              <w:ind w:left="1123" w:hanging="1123"/>
            </w:pPr>
            <w:r>
              <w:tab/>
              <w:t>(b)</w:t>
            </w:r>
            <w:r>
              <w:tab/>
              <w:t xml:space="preserve">the </w:t>
            </w:r>
            <w:r>
              <w:rPr>
                <w:i/>
              </w:rPr>
              <w:t>Family Provision Act 1972</w:t>
            </w:r>
            <w:r>
              <w:t>;</w:t>
            </w:r>
          </w:p>
          <w:p>
            <w:pPr>
              <w:pStyle w:val="TableNAm"/>
              <w:tabs>
                <w:tab w:val="left" w:pos="1111"/>
              </w:tabs>
              <w:spacing w:before="0"/>
              <w:ind w:left="1123" w:hanging="1123"/>
            </w:pPr>
            <w:r>
              <w:tab/>
              <w:t>(c)</w:t>
            </w:r>
            <w:r>
              <w:tab/>
              <w:t xml:space="preserve">the </w:t>
            </w:r>
            <w:r>
              <w:rPr>
                <w:i/>
              </w:rPr>
              <w:t>Transfer of Land Act 1893</w:t>
            </w:r>
            <w:r>
              <w:t>;</w:t>
            </w:r>
          </w:p>
          <w:p>
            <w:pPr>
              <w:pStyle w:val="TableNAm"/>
              <w:tabs>
                <w:tab w:val="left" w:pos="1111"/>
              </w:tabs>
              <w:spacing w:before="0"/>
              <w:ind w:left="1123" w:hanging="1123"/>
            </w:pPr>
            <w:r>
              <w:tab/>
              <w:t>(d)</w:t>
            </w:r>
            <w:r>
              <w:tab/>
              <w:t xml:space="preserve">the </w:t>
            </w:r>
            <w:r>
              <w:rPr>
                <w:i/>
              </w:rPr>
              <w:t>Trustees Act 1962</w:t>
            </w:r>
            <w:r>
              <w:t>.</w:t>
            </w:r>
          </w:p>
        </w:tc>
      </w:tr>
      <w:tr>
        <w:trPr>
          <w:cantSplit/>
        </w:trPr>
        <w:tc>
          <w:tcPr>
            <w:tcW w:w="5500" w:type="dxa"/>
            <w:tcBorders>
              <w:top w:val="nil"/>
            </w:tcBorders>
          </w:tcPr>
          <w:p>
            <w:pPr>
              <w:pStyle w:val="TableNAm"/>
              <w:spacing w:before="0"/>
              <w:ind w:left="588" w:hanging="588"/>
            </w:pPr>
            <w:r>
              <w:t>3.</w:t>
            </w:r>
            <w:r>
              <w:tab/>
              <w:t>An appeal notice.</w:t>
            </w:r>
          </w:p>
        </w:tc>
      </w:tr>
      <w:tr>
        <w:trPr>
          <w:cantSplit/>
        </w:trPr>
        <w:tc>
          <w:tcPr>
            <w:tcW w:w="5500" w:type="dxa"/>
          </w:tcPr>
          <w:p>
            <w:pPr>
              <w:pStyle w:val="TableNAm"/>
              <w:spacing w:before="0"/>
              <w:ind w:left="574" w:hanging="574"/>
            </w:pPr>
            <w:r>
              <w:rPr>
                <w:b/>
              </w:rPr>
              <w:t>B.</w:t>
            </w:r>
            <w:r>
              <w:rPr>
                <w:b/>
              </w:rPr>
              <w:tab/>
              <w:t>Court of Appeal document</w:t>
            </w:r>
          </w:p>
        </w:tc>
      </w:tr>
      <w:tr>
        <w:trPr>
          <w:cantSplit/>
        </w:trPr>
        <w:tc>
          <w:tcPr>
            <w:tcW w:w="5500" w:type="dxa"/>
          </w:tcPr>
          <w:p>
            <w:pPr>
              <w:pStyle w:val="TableNAm"/>
              <w:spacing w:before="0"/>
              <w:ind w:left="588" w:hanging="588"/>
            </w:pPr>
            <w:r>
              <w:t>1.</w:t>
            </w:r>
            <w:r>
              <w:tab/>
              <w:t>An appeal notice.</w:t>
            </w:r>
          </w:p>
        </w:tc>
      </w:tr>
      <w:tr>
        <w:trPr>
          <w:cantSplit/>
        </w:trPr>
        <w:tc>
          <w:tcPr>
            <w:tcW w:w="5500" w:type="dxa"/>
          </w:tcPr>
          <w:p>
            <w:pPr>
              <w:pStyle w:val="TableNAm"/>
              <w:spacing w:before="0"/>
              <w:ind w:left="574" w:hanging="574"/>
            </w:pPr>
            <w:r>
              <w:rPr>
                <w:b/>
              </w:rPr>
              <w:t>C.</w:t>
            </w:r>
            <w:r>
              <w:rPr>
                <w:b/>
              </w:rPr>
              <w:tab/>
              <w:t>General Division (non</w:t>
            </w:r>
            <w:r>
              <w:rPr>
                <w:b/>
              </w:rPr>
              <w:noBreakHyphen/>
              <w:t>contentious probate jurisdiction) documents</w:t>
            </w:r>
          </w:p>
        </w:tc>
      </w:tr>
      <w:tr>
        <w:trPr>
          <w:cantSplit/>
        </w:trPr>
        <w:tc>
          <w:tcPr>
            <w:tcW w:w="5500" w:type="dxa"/>
          </w:tcPr>
          <w:p>
            <w:pPr>
              <w:pStyle w:val="TableNAm"/>
              <w:spacing w:before="0"/>
              <w:ind w:left="588" w:hanging="588"/>
            </w:pPr>
            <w:r>
              <w:t>1.</w:t>
            </w:r>
            <w:r>
              <w:tab/>
              <w:t xml:space="preserve">The originating motion that applies for a grant (as defined in the </w:t>
            </w:r>
            <w:r>
              <w:rPr>
                <w:i/>
              </w:rPr>
              <w:t>Non</w:t>
            </w:r>
            <w:r>
              <w:rPr>
                <w:i/>
              </w:rPr>
              <w:noBreakHyphen/>
              <w:t>contentious Probate Rules 1967</w:t>
            </w:r>
            <w:r>
              <w:t xml:space="preserve"> rule 2).</w:t>
            </w:r>
          </w:p>
        </w:tc>
      </w:tr>
    </w:tbl>
    <w:p>
      <w:pPr>
        <w:pStyle w:val="Subsection"/>
      </w:pPr>
      <w:r>
        <w:tab/>
        <w:t>(4)</w:t>
      </w:r>
      <w:r>
        <w:tab/>
        <w:t>Unless the person’s access to the document is restricted, any person is entitled to have access to —</w:t>
      </w:r>
    </w:p>
    <w:p>
      <w:pPr>
        <w:pStyle w:val="Indenta"/>
      </w:pPr>
      <w:r>
        <w:tab/>
        <w:t>(a)</w:t>
      </w:r>
      <w:r>
        <w:tab/>
        <w:t>any of the documents listed in Part A of the Table held by the Court in respect of a proceeding that was commenced by means of a document listed in Part A of the Table to subrule (3);</w:t>
      </w:r>
    </w:p>
    <w:p>
      <w:pPr>
        <w:pStyle w:val="Indenta"/>
      </w:pPr>
      <w:r>
        <w:tab/>
        <w:t>(b)</w:t>
      </w:r>
      <w:r>
        <w:tab/>
        <w:t>any of the documents listed in Part B of the Table held by the Court in respect of a proceeding that was commenced by means of a document listed in Part B of the Table to subrule (3);</w:t>
      </w:r>
    </w:p>
    <w:p>
      <w:pPr>
        <w:pStyle w:val="Indenta"/>
      </w:pPr>
      <w:r>
        <w:lastRenderedPageBreak/>
        <w:tab/>
        <w:t>(c)</w:t>
      </w:r>
      <w:r>
        <w:tab/>
        <w:t>any of the documents listed in Part C of the Table held by the Court in respect of a proceeding that was commenced by means of a document listed in Part C of the Table to subrule (3).</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trPr>
          <w:cantSplit/>
        </w:trPr>
        <w:tc>
          <w:tcPr>
            <w:tcW w:w="5500" w:type="dxa"/>
            <w:tcBorders>
              <w:bottom w:val="single" w:sz="4" w:space="0" w:color="auto"/>
            </w:tcBorders>
          </w:tcPr>
          <w:p>
            <w:pPr>
              <w:pStyle w:val="TableNAm"/>
              <w:spacing w:before="0"/>
              <w:ind w:left="574" w:hanging="574"/>
            </w:pPr>
            <w:r>
              <w:rPr>
                <w:b/>
                <w:bCs/>
              </w:rPr>
              <w:t>A.</w:t>
            </w:r>
            <w:r>
              <w:rPr>
                <w:b/>
                <w:bCs/>
              </w:rPr>
              <w:tab/>
            </w:r>
            <w:r>
              <w:rPr>
                <w:b/>
              </w:rPr>
              <w:t>General</w:t>
            </w:r>
            <w:r>
              <w:rPr>
                <w:b/>
                <w:bCs/>
              </w:rPr>
              <w:t xml:space="preserve"> Division (general jurisdiction) documents</w:t>
            </w:r>
          </w:p>
        </w:tc>
      </w:tr>
      <w:tr>
        <w:trPr>
          <w:cantSplit/>
        </w:trPr>
        <w:tc>
          <w:tcPr>
            <w:tcW w:w="5500" w:type="dxa"/>
            <w:tcBorders>
              <w:bottom w:val="nil"/>
            </w:tcBorders>
          </w:tcPr>
          <w:p>
            <w:pPr>
              <w:pStyle w:val="TableNAm"/>
              <w:spacing w:before="0"/>
              <w:ind w:left="588" w:hanging="588"/>
            </w:pPr>
            <w:r>
              <w:t xml:space="preserve">1. </w:t>
            </w:r>
            <w:r>
              <w:tab/>
              <w:t>A memorandum of appearance.</w:t>
            </w:r>
          </w:p>
        </w:tc>
      </w:tr>
      <w:tr>
        <w:trPr>
          <w:cantSplit/>
        </w:trPr>
        <w:tc>
          <w:tcPr>
            <w:tcW w:w="5500" w:type="dxa"/>
            <w:tcBorders>
              <w:top w:val="nil"/>
              <w:bottom w:val="nil"/>
            </w:tcBorders>
          </w:tcPr>
          <w:p>
            <w:pPr>
              <w:pStyle w:val="TableNAm"/>
              <w:spacing w:before="0"/>
              <w:ind w:left="588" w:hanging="588"/>
            </w:pPr>
            <w:r>
              <w:t>2.</w:t>
            </w:r>
            <w:r>
              <w:tab/>
              <w:t>A notice of change of solicitor.</w:t>
            </w:r>
          </w:p>
        </w:tc>
      </w:tr>
      <w:tr>
        <w:trPr>
          <w:cantSplit/>
        </w:trPr>
        <w:tc>
          <w:tcPr>
            <w:tcW w:w="5500" w:type="dxa"/>
            <w:tcBorders>
              <w:top w:val="nil"/>
              <w:bottom w:val="nil"/>
            </w:tcBorders>
          </w:tcPr>
          <w:p>
            <w:pPr>
              <w:pStyle w:val="TableNAm"/>
              <w:spacing w:before="0"/>
              <w:ind w:left="588" w:hanging="588"/>
            </w:pPr>
            <w:r>
              <w:t>3.</w:t>
            </w:r>
            <w:r>
              <w:tab/>
              <w:t>A notice of intention to act in person.</w:t>
            </w:r>
          </w:p>
        </w:tc>
      </w:tr>
      <w:tr>
        <w:trPr>
          <w:cantSplit/>
        </w:trPr>
        <w:tc>
          <w:tcPr>
            <w:tcW w:w="5500" w:type="dxa"/>
            <w:tcBorders>
              <w:top w:val="nil"/>
              <w:bottom w:val="nil"/>
            </w:tcBorders>
          </w:tcPr>
          <w:p>
            <w:pPr>
              <w:pStyle w:val="TableNAm"/>
              <w:spacing w:before="0"/>
              <w:ind w:left="588" w:hanging="588"/>
            </w:pPr>
            <w:r>
              <w:t>4.</w:t>
            </w:r>
            <w:r>
              <w:tab/>
              <w:t>A notice of ceasing to act.</w:t>
            </w:r>
          </w:p>
        </w:tc>
      </w:tr>
      <w:tr>
        <w:trPr>
          <w:cantSplit/>
        </w:trPr>
        <w:tc>
          <w:tcPr>
            <w:tcW w:w="5500" w:type="dxa"/>
            <w:tcBorders>
              <w:top w:val="nil"/>
              <w:bottom w:val="nil"/>
            </w:tcBorders>
          </w:tcPr>
          <w:p>
            <w:pPr>
              <w:pStyle w:val="TableNAm"/>
              <w:spacing w:before="0"/>
              <w:ind w:left="588" w:hanging="588"/>
            </w:pPr>
            <w:r>
              <w:t>5.</w:t>
            </w:r>
            <w:r>
              <w:tab/>
              <w:t>A notice of discontinuance.</w:t>
            </w:r>
          </w:p>
        </w:tc>
      </w:tr>
      <w:tr>
        <w:trPr>
          <w:cantSplit/>
        </w:trPr>
        <w:tc>
          <w:tcPr>
            <w:tcW w:w="5500" w:type="dxa"/>
            <w:tcBorders>
              <w:top w:val="nil"/>
              <w:bottom w:val="nil"/>
            </w:tcBorders>
          </w:tcPr>
          <w:p>
            <w:pPr>
              <w:pStyle w:val="TableNAm"/>
              <w:spacing w:before="0"/>
              <w:ind w:left="588" w:hanging="588"/>
            </w:pPr>
            <w:r>
              <w:t>6.</w:t>
            </w:r>
            <w:r>
              <w:tab/>
              <w:t>A list of exhibits.</w:t>
            </w:r>
          </w:p>
        </w:tc>
      </w:tr>
      <w:tr>
        <w:trPr>
          <w:cantSplit/>
        </w:trPr>
        <w:tc>
          <w:tcPr>
            <w:tcW w:w="5500" w:type="dxa"/>
            <w:tcBorders>
              <w:top w:val="nil"/>
              <w:bottom w:val="nil"/>
            </w:tcBorders>
          </w:tcPr>
          <w:p>
            <w:pPr>
              <w:pStyle w:val="TableNAm"/>
              <w:spacing w:before="0"/>
              <w:ind w:left="588" w:hanging="588"/>
            </w:pPr>
            <w:r>
              <w:t>7.</w:t>
            </w:r>
            <w:r>
              <w:tab/>
              <w:t>A list of things tendered to the Court in a hearing in the proceeding but not admitted into evidence.</w:t>
            </w:r>
          </w:p>
        </w:tc>
      </w:tr>
      <w:tr>
        <w:trPr>
          <w:cantSplit/>
        </w:trPr>
        <w:tc>
          <w:tcPr>
            <w:tcW w:w="5500" w:type="dxa"/>
            <w:tcBorders>
              <w:top w:val="nil"/>
              <w:bottom w:val="nil"/>
            </w:tcBorders>
          </w:tcPr>
          <w:p>
            <w:pPr>
              <w:pStyle w:val="TableNAm"/>
              <w:spacing w:before="0"/>
              <w:ind w:left="588" w:hanging="588"/>
            </w:pPr>
            <w:r>
              <w:t>8.</w:t>
            </w:r>
            <w:r>
              <w:tab/>
              <w:t>A judgment of the Court and the reasons for it.</w:t>
            </w:r>
          </w:p>
        </w:tc>
      </w:tr>
      <w:tr>
        <w:trPr>
          <w:cantSplit/>
        </w:trPr>
        <w:tc>
          <w:tcPr>
            <w:tcW w:w="5500" w:type="dxa"/>
            <w:tcBorders>
              <w:top w:val="nil"/>
              <w:bottom w:val="nil"/>
            </w:tcBorders>
          </w:tcPr>
          <w:p>
            <w:pPr>
              <w:pStyle w:val="TableNAm"/>
              <w:spacing w:before="0"/>
              <w:ind w:left="588" w:hanging="588"/>
            </w:pPr>
            <w:r>
              <w:t>9.</w:t>
            </w:r>
            <w:r>
              <w:tab/>
              <w:t>An order of the Court.</w:t>
            </w:r>
          </w:p>
        </w:tc>
      </w:tr>
      <w:tr>
        <w:trPr>
          <w:cantSplit/>
        </w:trPr>
        <w:tc>
          <w:tcPr>
            <w:tcW w:w="5500" w:type="dxa"/>
            <w:tcBorders>
              <w:top w:val="nil"/>
              <w:bottom w:val="nil"/>
            </w:tcBorders>
          </w:tcPr>
          <w:p>
            <w:pPr>
              <w:pStyle w:val="TableNAm"/>
              <w:spacing w:before="0"/>
              <w:ind w:left="588" w:hanging="588"/>
            </w:pPr>
            <w:r>
              <w:t>10.</w:t>
            </w:r>
            <w:r>
              <w:tab/>
              <w:t>A transcript.</w:t>
            </w:r>
          </w:p>
        </w:tc>
      </w:tr>
      <w:tr>
        <w:trPr>
          <w:cantSplit/>
        </w:trPr>
        <w:tc>
          <w:tcPr>
            <w:tcW w:w="5500" w:type="dxa"/>
            <w:tcBorders>
              <w:top w:val="nil"/>
              <w:bottom w:val="nil"/>
            </w:tcBorders>
          </w:tcPr>
          <w:p>
            <w:pPr>
              <w:pStyle w:val="TableNAm"/>
              <w:spacing w:before="0"/>
              <w:ind w:left="588" w:hanging="588"/>
            </w:pPr>
            <w:r>
              <w:t>11.</w:t>
            </w:r>
            <w:r>
              <w:tab/>
              <w:t>A notice of respondent’s intention filed under Order 65.</w:t>
            </w:r>
          </w:p>
        </w:tc>
      </w:tr>
      <w:tr>
        <w:trPr>
          <w:cantSplit/>
        </w:trPr>
        <w:tc>
          <w:tcPr>
            <w:tcW w:w="5500" w:type="dxa"/>
            <w:tcBorders>
              <w:top w:val="nil"/>
            </w:tcBorders>
          </w:tcPr>
          <w:p>
            <w:pPr>
              <w:pStyle w:val="TableNAm"/>
              <w:spacing w:before="0"/>
              <w:ind w:left="588" w:hanging="588"/>
            </w:pPr>
            <w:r>
              <w:t>12.</w:t>
            </w:r>
            <w:r>
              <w:tab/>
              <w:t>A discontinuance notice filed under Order 65.</w:t>
            </w:r>
          </w:p>
        </w:tc>
      </w:tr>
      <w:tr>
        <w:trPr>
          <w:cantSplit/>
        </w:trPr>
        <w:tc>
          <w:tcPr>
            <w:tcW w:w="5500" w:type="dxa"/>
            <w:tcBorders>
              <w:bottom w:val="single" w:sz="4" w:space="0" w:color="auto"/>
            </w:tcBorders>
          </w:tcPr>
          <w:p>
            <w:pPr>
              <w:pStyle w:val="TableNAm"/>
              <w:spacing w:before="0"/>
              <w:ind w:left="574" w:hanging="574"/>
            </w:pPr>
            <w:r>
              <w:rPr>
                <w:b/>
              </w:rPr>
              <w:t>B.</w:t>
            </w:r>
            <w:r>
              <w:rPr>
                <w:b/>
              </w:rPr>
              <w:tab/>
              <w:t>Court of Appeal documents</w:t>
            </w:r>
          </w:p>
        </w:tc>
      </w:tr>
      <w:tr>
        <w:trPr>
          <w:cantSplit/>
        </w:trPr>
        <w:tc>
          <w:tcPr>
            <w:tcW w:w="5500" w:type="dxa"/>
            <w:tcBorders>
              <w:bottom w:val="nil"/>
            </w:tcBorders>
          </w:tcPr>
          <w:p>
            <w:pPr>
              <w:pStyle w:val="TableNAm"/>
              <w:spacing w:before="0"/>
              <w:ind w:left="588" w:hanging="588"/>
            </w:pPr>
            <w:r>
              <w:t>1.</w:t>
            </w:r>
            <w:r>
              <w:tab/>
              <w:t>A notice of a respondent’s intention.</w:t>
            </w:r>
          </w:p>
        </w:tc>
      </w:tr>
      <w:tr>
        <w:trPr>
          <w:cantSplit/>
        </w:trPr>
        <w:tc>
          <w:tcPr>
            <w:tcW w:w="5500" w:type="dxa"/>
            <w:tcBorders>
              <w:top w:val="nil"/>
              <w:bottom w:val="nil"/>
            </w:tcBorders>
          </w:tcPr>
          <w:p>
            <w:pPr>
              <w:pStyle w:val="TableNAm"/>
              <w:spacing w:before="0"/>
              <w:ind w:left="588" w:hanging="588"/>
            </w:pPr>
            <w:r>
              <w:t>2.</w:t>
            </w:r>
            <w:r>
              <w:tab/>
              <w:t>A notice of a respondent’s cross appeal.</w:t>
            </w:r>
          </w:p>
        </w:tc>
      </w:tr>
      <w:tr>
        <w:trPr>
          <w:cantSplit/>
        </w:trPr>
        <w:tc>
          <w:tcPr>
            <w:tcW w:w="5500" w:type="dxa"/>
            <w:tcBorders>
              <w:top w:val="nil"/>
              <w:bottom w:val="nil"/>
            </w:tcBorders>
          </w:tcPr>
          <w:p>
            <w:pPr>
              <w:pStyle w:val="TableNAm"/>
              <w:spacing w:before="0"/>
              <w:ind w:left="588" w:hanging="588"/>
            </w:pPr>
            <w:r>
              <w:t>3.</w:t>
            </w:r>
            <w:r>
              <w:tab/>
              <w:t>A discontinuance notice.</w:t>
            </w:r>
          </w:p>
        </w:tc>
      </w:tr>
      <w:tr>
        <w:trPr>
          <w:cantSplit/>
        </w:trPr>
        <w:tc>
          <w:tcPr>
            <w:tcW w:w="5500" w:type="dxa"/>
            <w:tcBorders>
              <w:top w:val="nil"/>
              <w:bottom w:val="nil"/>
            </w:tcBorders>
          </w:tcPr>
          <w:p>
            <w:pPr>
              <w:pStyle w:val="TableNAm"/>
              <w:spacing w:before="0"/>
              <w:ind w:left="588" w:hanging="588"/>
            </w:pPr>
            <w:r>
              <w:t>4.</w:t>
            </w:r>
            <w:r>
              <w:tab/>
              <w:t>A list of exhibits referred to in the Court of Appeal.</w:t>
            </w:r>
          </w:p>
        </w:tc>
      </w:tr>
      <w:tr>
        <w:trPr>
          <w:cantSplit/>
        </w:trPr>
        <w:tc>
          <w:tcPr>
            <w:tcW w:w="5500" w:type="dxa"/>
            <w:tcBorders>
              <w:top w:val="nil"/>
              <w:bottom w:val="nil"/>
            </w:tcBorders>
          </w:tcPr>
          <w:p>
            <w:pPr>
              <w:pStyle w:val="TableNAm"/>
              <w:spacing w:before="0"/>
              <w:ind w:left="588" w:hanging="588"/>
            </w:pPr>
            <w:r>
              <w:t>5.</w:t>
            </w:r>
            <w:r>
              <w:tab/>
              <w:t>A judgment of the Court of Appeal and the reasons for it.</w:t>
            </w:r>
          </w:p>
        </w:tc>
      </w:tr>
      <w:tr>
        <w:trPr>
          <w:cantSplit/>
        </w:trPr>
        <w:tc>
          <w:tcPr>
            <w:tcW w:w="5500" w:type="dxa"/>
            <w:tcBorders>
              <w:top w:val="nil"/>
            </w:tcBorders>
          </w:tcPr>
          <w:p>
            <w:pPr>
              <w:pStyle w:val="TableNAm"/>
              <w:spacing w:before="0"/>
              <w:ind w:left="588" w:hanging="588"/>
            </w:pPr>
            <w:r>
              <w:t>6.</w:t>
            </w:r>
            <w:r>
              <w:tab/>
              <w:t>An order made by the Court of Appeal.</w:t>
            </w:r>
          </w:p>
        </w:tc>
      </w:tr>
      <w:tr>
        <w:trPr>
          <w:cantSplit/>
        </w:trPr>
        <w:tc>
          <w:tcPr>
            <w:tcW w:w="5500" w:type="dxa"/>
            <w:tcBorders>
              <w:top w:val="single" w:sz="4" w:space="0" w:color="auto"/>
              <w:left w:val="single" w:sz="4" w:space="0" w:color="auto"/>
              <w:bottom w:val="single" w:sz="4" w:space="0" w:color="auto"/>
              <w:right w:val="single" w:sz="4" w:space="0" w:color="auto"/>
            </w:tcBorders>
          </w:tcPr>
          <w:p>
            <w:pPr>
              <w:pStyle w:val="TableNAm"/>
              <w:spacing w:before="0"/>
              <w:ind w:left="574" w:hanging="574"/>
            </w:pPr>
            <w:r>
              <w:rPr>
                <w:b/>
              </w:rPr>
              <w:t>C.</w:t>
            </w:r>
            <w:r>
              <w:rPr>
                <w:b/>
              </w:rPr>
              <w:tab/>
              <w:t>General Division (non-contentious probate jurisdiction) documents</w:t>
            </w:r>
          </w:p>
        </w:tc>
      </w:tr>
      <w:tr>
        <w:trPr>
          <w:cantSplit/>
        </w:trPr>
        <w:tc>
          <w:tcPr>
            <w:tcW w:w="5500" w:type="dxa"/>
            <w:tcBorders>
              <w:top w:val="single" w:sz="4" w:space="0" w:color="auto"/>
              <w:left w:val="single" w:sz="4" w:space="0" w:color="auto"/>
              <w:bottom w:val="nil"/>
              <w:right w:val="single" w:sz="4" w:space="0" w:color="auto"/>
            </w:tcBorders>
          </w:tcPr>
          <w:p>
            <w:pPr>
              <w:pStyle w:val="TableNAm"/>
              <w:spacing w:before="0"/>
              <w:ind w:left="588" w:hanging="588"/>
            </w:pPr>
            <w:r>
              <w:t>1.</w:t>
            </w:r>
            <w:r>
              <w:tab/>
              <w:t xml:space="preserve">The grant (as defined in the </w:t>
            </w:r>
            <w:r>
              <w:rPr>
                <w:i/>
              </w:rPr>
              <w:t>Non</w:t>
            </w:r>
            <w:r>
              <w:rPr>
                <w:i/>
              </w:rPr>
              <w:noBreakHyphen/>
              <w:t>contentious Probate Rules 1967</w:t>
            </w:r>
            <w:r>
              <w:t xml:space="preserve"> rule 2) with, if applicable, the will attached.</w:t>
            </w:r>
          </w:p>
        </w:tc>
      </w:tr>
      <w:tr>
        <w:trPr>
          <w:cantSplit/>
        </w:trPr>
        <w:tc>
          <w:tcPr>
            <w:tcW w:w="5500" w:type="dxa"/>
            <w:tcBorders>
              <w:top w:val="nil"/>
              <w:left w:val="single" w:sz="4" w:space="0" w:color="auto"/>
              <w:bottom w:val="single" w:sz="4" w:space="0" w:color="auto"/>
              <w:right w:val="single" w:sz="4" w:space="0" w:color="auto"/>
            </w:tcBorders>
          </w:tcPr>
          <w:p>
            <w:pPr>
              <w:pStyle w:val="TableNAm"/>
              <w:spacing w:before="0"/>
              <w:ind w:left="588" w:hanging="588"/>
            </w:pPr>
            <w:r>
              <w:t>2.</w:t>
            </w:r>
            <w:r>
              <w:tab/>
              <w:t>Any order dismissing the originating motion.</w:t>
            </w:r>
          </w:p>
        </w:tc>
      </w:tr>
    </w:tbl>
    <w:p>
      <w:pPr>
        <w:pStyle w:val="Subsection"/>
      </w:pPr>
      <w:r>
        <w:lastRenderedPageBreak/>
        <w:tab/>
        <w:t>(5)</w:t>
      </w:r>
      <w:r>
        <w:tab/>
        <w:t>Despite subrules (2) to (4), a person using the website called the eCourts Portal of Western Australia is entitled to have access to any information or record to which the website, if used lawfully, allows the user to have access.</w:t>
      </w:r>
    </w:p>
    <w:p>
      <w:pPr>
        <w:pStyle w:val="Subsection"/>
      </w:pPr>
      <w:r>
        <w:tab/>
        <w:t>(6)</w:t>
      </w:r>
      <w:r>
        <w:tab/>
        <w:t>Despite subrules (2) to (4), an authorised user of the ECMS is entitled to have access to any information or record to which the system, if used lawfully, allows the user to have access.</w:t>
      </w:r>
    </w:p>
    <w:p>
      <w:pPr>
        <w:pStyle w:val="Footnotesection"/>
      </w:pPr>
      <w:r>
        <w:tab/>
        <w:t xml:space="preserve">[Rule 6 inserted: Gazette 27 Feb 2018 p. 602-6; amended: Gazette 31 Dec 2019 p. 4677-8.] </w:t>
      </w:r>
    </w:p>
    <w:p>
      <w:pPr>
        <w:pStyle w:val="Heading5"/>
      </w:pPr>
      <w:bookmarkStart w:id="1277" w:name="_Toc163121570"/>
      <w:r>
        <w:rPr>
          <w:rStyle w:val="CharSectno"/>
        </w:rPr>
        <w:t>7</w:t>
      </w:r>
      <w:r>
        <w:t>.</w:t>
      </w:r>
      <w:r>
        <w:tab/>
        <w:t>Entitlements of parties</w:t>
      </w:r>
      <w:bookmarkEnd w:id="1277"/>
    </w:p>
    <w:p>
      <w:pPr>
        <w:pStyle w:val="Subsection"/>
      </w:pPr>
      <w:r>
        <w:tab/>
        <w:t>(1)</w:t>
      </w:r>
      <w:r>
        <w:tab/>
        <w:t>For the purposes of this rule, a party’s access to information or a record or other thing is restricted if the party’s access to it is restricted by —</w:t>
      </w:r>
    </w:p>
    <w:p>
      <w:pPr>
        <w:pStyle w:val="Indenta"/>
      </w:pPr>
      <w:r>
        <w:tab/>
        <w:t>(a)</w:t>
      </w:r>
      <w:r>
        <w:tab/>
        <w:t>legislation; or</w:t>
      </w:r>
    </w:p>
    <w:p>
      <w:pPr>
        <w:pStyle w:val="Indenta"/>
      </w:pPr>
      <w:r>
        <w:tab/>
        <w:t>(b)</w:t>
      </w:r>
      <w:r>
        <w:tab/>
        <w:t>an order made by a court in Australia.</w:t>
      </w:r>
    </w:p>
    <w:p>
      <w:pPr>
        <w:pStyle w:val="Subsection"/>
      </w:pPr>
      <w:r>
        <w:tab/>
        <w:t>(2)</w:t>
      </w:r>
      <w:r>
        <w:tab/>
        <w:t xml:space="preserve">Unless the party’s access to the information, record or thing is restricted, a party to a proceeding is entitled to have access to any of the following held by the Court in respect of the proceeding — </w:t>
      </w:r>
    </w:p>
    <w:p>
      <w:pPr>
        <w:pStyle w:val="Indenta"/>
      </w:pPr>
      <w:r>
        <w:tab/>
        <w:t>(a)</w:t>
      </w:r>
      <w:r>
        <w:tab/>
        <w:t>a filed document;</w:t>
      </w:r>
    </w:p>
    <w:p>
      <w:pPr>
        <w:pStyle w:val="Indenta"/>
      </w:pPr>
      <w:r>
        <w:tab/>
        <w:t>(b)</w:t>
      </w:r>
      <w:r>
        <w:tab/>
        <w:t>a list of exhibits;</w:t>
      </w:r>
    </w:p>
    <w:p>
      <w:pPr>
        <w:pStyle w:val="Indenta"/>
      </w:pPr>
      <w:r>
        <w:tab/>
        <w:t>(c)</w:t>
      </w:r>
      <w:r>
        <w:tab/>
        <w:t>an exhibit;</w:t>
      </w:r>
    </w:p>
    <w:p>
      <w:pPr>
        <w:pStyle w:val="Indenta"/>
      </w:pPr>
      <w:r>
        <w:tab/>
        <w:t>(d)</w:t>
      </w:r>
      <w:r>
        <w:tab/>
        <w:t>a list of things tendered to the Court in a hearing in the proceeding but not admitted into evidence;</w:t>
      </w:r>
    </w:p>
    <w:p>
      <w:pPr>
        <w:pStyle w:val="Indenta"/>
      </w:pPr>
      <w:r>
        <w:tab/>
        <w:t>(e)</w:t>
      </w:r>
      <w:r>
        <w:tab/>
        <w:t>any thing on the list referred to in paragraph (d);</w:t>
      </w:r>
    </w:p>
    <w:p>
      <w:pPr>
        <w:pStyle w:val="Indenta"/>
      </w:pPr>
      <w:r>
        <w:tab/>
        <w:t>(f)</w:t>
      </w:r>
      <w:r>
        <w:tab/>
        <w:t>a transcript.</w:t>
      </w:r>
    </w:p>
    <w:p>
      <w:pPr>
        <w:pStyle w:val="Footnotesection"/>
      </w:pPr>
      <w:r>
        <w:tab/>
        <w:t xml:space="preserve">[Rule 7 inserted: Gazette 27 Feb 2018 p. 606-7.] </w:t>
      </w:r>
    </w:p>
    <w:p>
      <w:pPr>
        <w:pStyle w:val="Heading3"/>
      </w:pPr>
      <w:bookmarkStart w:id="1278" w:name="_Toc162941109"/>
      <w:bookmarkStart w:id="1279" w:name="_Toc162953898"/>
      <w:bookmarkStart w:id="1280" w:name="_Toc163121571"/>
      <w:r>
        <w:rPr>
          <w:rStyle w:val="CharDivNo"/>
        </w:rPr>
        <w:lastRenderedPageBreak/>
        <w:t>Division 4</w:t>
      </w:r>
      <w:r>
        <w:t> — </w:t>
      </w:r>
      <w:r>
        <w:rPr>
          <w:rStyle w:val="CharDivText"/>
        </w:rPr>
        <w:t>Access with the Court’s permission</w:t>
      </w:r>
      <w:bookmarkEnd w:id="1278"/>
      <w:bookmarkEnd w:id="1279"/>
      <w:bookmarkEnd w:id="1280"/>
    </w:p>
    <w:p>
      <w:pPr>
        <w:pStyle w:val="Footnoteheading"/>
        <w:keepNext/>
      </w:pPr>
      <w:r>
        <w:tab/>
        <w:t xml:space="preserve">[Heading inserted: Gazette 27 Feb 2018 p. 607.] </w:t>
      </w:r>
    </w:p>
    <w:p>
      <w:pPr>
        <w:pStyle w:val="Heading5"/>
      </w:pPr>
      <w:bookmarkStart w:id="1281" w:name="_Toc163121572"/>
      <w:r>
        <w:rPr>
          <w:rStyle w:val="CharSectno"/>
        </w:rPr>
        <w:t>8</w:t>
      </w:r>
      <w:r>
        <w:t>.</w:t>
      </w:r>
      <w:r>
        <w:tab/>
        <w:t>Access with the Court’s permission</w:t>
      </w:r>
      <w:bookmarkEnd w:id="1281"/>
    </w:p>
    <w:p>
      <w:pPr>
        <w:pStyle w:val="Subsection"/>
      </w:pPr>
      <w:r>
        <w:tab/>
      </w:r>
      <w:r>
        <w:tab/>
        <w:t>A person who, for any reason, is not entitled to have access to information or a record or other thing under Division 3 may have access to it only —</w:t>
      </w:r>
    </w:p>
    <w:p>
      <w:pPr>
        <w:pStyle w:val="Indenta"/>
      </w:pPr>
      <w:r>
        <w:tab/>
        <w:t>(a)</w:t>
      </w:r>
      <w:r>
        <w:tab/>
        <w:t>with the permission of the Court given under rule 9 on an application made to the Court under rule 11; or</w:t>
      </w:r>
    </w:p>
    <w:p>
      <w:pPr>
        <w:pStyle w:val="Indenta"/>
      </w:pPr>
      <w:r>
        <w:tab/>
        <w:t>(b)</w:t>
      </w:r>
      <w:r>
        <w:tab/>
        <w:t>with the permission of the media manager given under rule 10 on an application made to the media manager under rule 11.</w:t>
      </w:r>
    </w:p>
    <w:p>
      <w:pPr>
        <w:pStyle w:val="Footnotesection"/>
      </w:pPr>
      <w:r>
        <w:tab/>
        <w:t xml:space="preserve">[Rule 8 inserted: Gazette 27 Feb 2018 p. 607.] </w:t>
      </w:r>
    </w:p>
    <w:p>
      <w:pPr>
        <w:pStyle w:val="Heading5"/>
      </w:pPr>
      <w:bookmarkStart w:id="1282" w:name="_Toc163121573"/>
      <w:r>
        <w:rPr>
          <w:rStyle w:val="CharSectno"/>
        </w:rPr>
        <w:t>9</w:t>
      </w:r>
      <w:r>
        <w:t>.</w:t>
      </w:r>
      <w:r>
        <w:tab/>
        <w:t>When Court can give permission</w:t>
      </w:r>
      <w:bookmarkEnd w:id="1282"/>
    </w:p>
    <w:p>
      <w:pPr>
        <w:pStyle w:val="Subsection"/>
      </w:pPr>
      <w:r>
        <w:tab/>
        <w:t>(1)</w:t>
      </w:r>
      <w:r>
        <w:tab/>
        <w:t>This rule applies if an application for permission is made in writing to the Court under rule 11.</w:t>
      </w:r>
    </w:p>
    <w:p>
      <w:pPr>
        <w:pStyle w:val="Subsection"/>
      </w:pPr>
      <w:r>
        <w:tab/>
        <w:t>(2)</w:t>
      </w:r>
      <w:r>
        <w:tab/>
        <w:t>This rule must be read with rule 13.</w:t>
      </w:r>
    </w:p>
    <w:p>
      <w:pPr>
        <w:pStyle w:val="Subsection"/>
      </w:pPr>
      <w:r>
        <w:tab/>
        <w:t>(3)</w:t>
      </w:r>
      <w:r>
        <w:tab/>
        <w:t>The Court must give permission if satisfied —</w:t>
      </w:r>
    </w:p>
    <w:p>
      <w:pPr>
        <w:pStyle w:val="Indenta"/>
      </w:pPr>
      <w:r>
        <w:tab/>
        <w:t>(a)</w:t>
      </w:r>
      <w:r>
        <w:tab/>
        <w:t>the application —</w:t>
      </w:r>
    </w:p>
    <w:p>
      <w:pPr>
        <w:pStyle w:val="Indenti"/>
      </w:pPr>
      <w:r>
        <w:tab/>
        <w:t>(i)</w:t>
      </w:r>
      <w:r>
        <w:tab/>
        <w:t>relates to information or a record or other thing that was considered by the Court in the proceeding to which the application relates; or</w:t>
      </w:r>
    </w:p>
    <w:p>
      <w:pPr>
        <w:pStyle w:val="Indenti"/>
      </w:pPr>
      <w:r>
        <w:tab/>
        <w:t>(ii)</w:t>
      </w:r>
      <w:r>
        <w:tab/>
        <w:t>relates to the transcript of the whole or a part of a hearing in that proceeding that the applicant was entitled to attend;</w:t>
      </w:r>
    </w:p>
    <w:p>
      <w:pPr>
        <w:pStyle w:val="Indenta"/>
      </w:pPr>
      <w:r>
        <w:tab/>
      </w:r>
      <w:r>
        <w:tab/>
        <w:t>and</w:t>
      </w:r>
    </w:p>
    <w:p>
      <w:pPr>
        <w:pStyle w:val="Indenta"/>
      </w:pPr>
      <w:r>
        <w:tab/>
        <w:t>(b)</w:t>
      </w:r>
      <w:r>
        <w:tab/>
        <w:t>the application does not relate to an audio or audio</w:t>
      </w:r>
      <w:r>
        <w:noBreakHyphen/>
        <w:t>visual recording of a hearing in that proceeding; and</w:t>
      </w:r>
    </w:p>
    <w:p>
      <w:pPr>
        <w:pStyle w:val="Indenta"/>
      </w:pPr>
      <w:r>
        <w:lastRenderedPageBreak/>
        <w:tab/>
        <w:t>(c)</w:t>
      </w:r>
      <w:r>
        <w:tab/>
        <w:t>if the application relates to information or a record or other thing that was considered by the Court in that proceeding but was not admitted into evidence or was struck out — that giving permission would not prejudice or adversely affect any person; and</w:t>
      </w:r>
    </w:p>
    <w:p>
      <w:pPr>
        <w:pStyle w:val="Indenta"/>
      </w:pPr>
      <w:r>
        <w:tab/>
        <w:t>(d)</w:t>
      </w:r>
      <w:r>
        <w:tab/>
        <w:t>that giving permission would not breach —</w:t>
      </w:r>
    </w:p>
    <w:p>
      <w:pPr>
        <w:pStyle w:val="Indenti"/>
      </w:pPr>
      <w:r>
        <w:tab/>
        <w:t>(i)</w:t>
      </w:r>
      <w:r>
        <w:tab/>
        <w:t>any legislation; or</w:t>
      </w:r>
    </w:p>
    <w:p>
      <w:pPr>
        <w:pStyle w:val="Indenti"/>
      </w:pPr>
      <w:r>
        <w:tab/>
        <w:t>(ii)</w:t>
      </w:r>
      <w:r>
        <w:tab/>
        <w:t>an order made by a court in Australia;</w:t>
      </w:r>
    </w:p>
    <w:p>
      <w:pPr>
        <w:pStyle w:val="Indenta"/>
      </w:pPr>
      <w:r>
        <w:tab/>
      </w:r>
      <w:r>
        <w:tab/>
        <w:t>and</w:t>
      </w:r>
    </w:p>
    <w:p>
      <w:pPr>
        <w:pStyle w:val="Indenta"/>
      </w:pPr>
      <w:r>
        <w:tab/>
        <w:t>(e)</w:t>
      </w:r>
      <w:r>
        <w:tab/>
        <w:t xml:space="preserve">the arrangements necessary to give the applicant access would not — </w:t>
      </w:r>
    </w:p>
    <w:p>
      <w:pPr>
        <w:pStyle w:val="Indenti"/>
      </w:pPr>
      <w:r>
        <w:tab/>
        <w:t>(i)</w:t>
      </w:r>
      <w:r>
        <w:tab/>
        <w:t>be unreasonably expensive or time consuming for the Court or a party; or</w:t>
      </w:r>
    </w:p>
    <w:p>
      <w:pPr>
        <w:pStyle w:val="Indenti"/>
      </w:pPr>
      <w:r>
        <w:tab/>
        <w:t>(ii)</w:t>
      </w:r>
      <w:r>
        <w:tab/>
        <w:t>unduly impede the efficient conduct of the proceeding;</w:t>
      </w:r>
    </w:p>
    <w:p>
      <w:pPr>
        <w:pStyle w:val="Indenta"/>
      </w:pPr>
      <w:r>
        <w:tab/>
      </w:r>
      <w:r>
        <w:tab/>
        <w:t>and</w:t>
      </w:r>
    </w:p>
    <w:p>
      <w:pPr>
        <w:pStyle w:val="Indenta"/>
      </w:pPr>
      <w:r>
        <w:tab/>
        <w:t>(f)</w:t>
      </w:r>
      <w:r>
        <w:tab/>
        <w:t>there is no other good reason to refuse the application.</w:t>
      </w:r>
    </w:p>
    <w:p>
      <w:pPr>
        <w:pStyle w:val="Subsection"/>
      </w:pPr>
      <w:r>
        <w:tab/>
        <w:t>(4)</w:t>
      </w:r>
      <w:r>
        <w:tab/>
        <w:t>If the application does not relate to information or a record or other thing referred to in subrule (3)(a) or to a recording referred to in subrule (3)(b), the Court may give permission if satisfied —</w:t>
      </w:r>
    </w:p>
    <w:p>
      <w:pPr>
        <w:pStyle w:val="Indenta"/>
      </w:pPr>
      <w:r>
        <w:tab/>
        <w:t>(a)</w:t>
      </w:r>
      <w:r>
        <w:tab/>
        <w:t>as to the matters in subrule (3)(d) to (f); and</w:t>
      </w:r>
    </w:p>
    <w:p>
      <w:pPr>
        <w:pStyle w:val="Indenta"/>
      </w:pPr>
      <w:r>
        <w:tab/>
        <w:t>(b)</w:t>
      </w:r>
      <w:r>
        <w:tab/>
        <w:t>there is a good reason to do so.</w:t>
      </w:r>
    </w:p>
    <w:p>
      <w:pPr>
        <w:pStyle w:val="Subsection"/>
      </w:pPr>
      <w:r>
        <w:tab/>
        <w:t>(5)</w:t>
      </w:r>
      <w:r>
        <w:tab/>
        <w:t>If under subrule (3)(a)(ii) the Court is not satisfied the applicant was entitled to attend the hearing, the Court may nevertheless give permission if satisfied —</w:t>
      </w:r>
    </w:p>
    <w:p>
      <w:pPr>
        <w:pStyle w:val="Indenta"/>
      </w:pPr>
      <w:r>
        <w:tab/>
        <w:t>(a)</w:t>
      </w:r>
      <w:r>
        <w:tab/>
        <w:t>as to the other matters in subrule (3); and</w:t>
      </w:r>
    </w:p>
    <w:p>
      <w:pPr>
        <w:pStyle w:val="Indenta"/>
      </w:pPr>
      <w:r>
        <w:tab/>
        <w:t>(b)</w:t>
      </w:r>
      <w:r>
        <w:tab/>
        <w:t>there is a good reason to do so.</w:t>
      </w:r>
    </w:p>
    <w:p>
      <w:pPr>
        <w:pStyle w:val="Subsection"/>
      </w:pPr>
      <w:r>
        <w:tab/>
        <w:t>(6)</w:t>
      </w:r>
      <w:r>
        <w:tab/>
        <w:t xml:space="preserve">If the application relates to a recording referred to in subrule (3)(b) then — </w:t>
      </w:r>
    </w:p>
    <w:p>
      <w:pPr>
        <w:pStyle w:val="Indenta"/>
      </w:pPr>
      <w:r>
        <w:lastRenderedPageBreak/>
        <w:tab/>
        <w:t>(a)</w:t>
      </w:r>
      <w:r>
        <w:tab/>
        <w:t>if the recording has been broadcast on the Court’s website, the Court may give permission if satisfied there is no good reason to refuse the application; or</w:t>
      </w:r>
    </w:p>
    <w:p>
      <w:pPr>
        <w:pStyle w:val="Indenta"/>
      </w:pPr>
      <w:r>
        <w:tab/>
        <w:t>(b)</w:t>
      </w:r>
      <w:r>
        <w:tab/>
        <w:t>if the recording has not been broadcast on the Court’s website, the Court may give permission only if satisfied —</w:t>
      </w:r>
    </w:p>
    <w:p>
      <w:pPr>
        <w:pStyle w:val="Indenti"/>
      </w:pPr>
      <w:r>
        <w:tab/>
        <w:t>(i)</w:t>
      </w:r>
      <w:r>
        <w:tab/>
        <w:t>as to the matters in subrule (3)(d) to (f); and</w:t>
      </w:r>
    </w:p>
    <w:p>
      <w:pPr>
        <w:pStyle w:val="Indenti"/>
      </w:pPr>
      <w:r>
        <w:tab/>
        <w:t>(ii)</w:t>
      </w:r>
      <w:r>
        <w:tab/>
        <w:t>there is an exceptional reason to do so.</w:t>
      </w:r>
    </w:p>
    <w:p>
      <w:pPr>
        <w:pStyle w:val="Footnotesection"/>
      </w:pPr>
      <w:r>
        <w:tab/>
        <w:t xml:space="preserve">[Rule 9 inserted: Gazette 27 Feb 2018 p. 607-9.] </w:t>
      </w:r>
    </w:p>
    <w:p>
      <w:pPr>
        <w:pStyle w:val="Heading5"/>
      </w:pPr>
      <w:bookmarkStart w:id="1283" w:name="_Toc163121574"/>
      <w:r>
        <w:rPr>
          <w:rStyle w:val="CharSectno"/>
        </w:rPr>
        <w:t>10</w:t>
      </w:r>
      <w:r>
        <w:t>.</w:t>
      </w:r>
      <w:r>
        <w:tab/>
        <w:t>When media manager can give permission</w:t>
      </w:r>
      <w:bookmarkEnd w:id="1283"/>
    </w:p>
    <w:p>
      <w:pPr>
        <w:pStyle w:val="Subsection"/>
      </w:pPr>
      <w:r>
        <w:tab/>
        <w:t>(1)</w:t>
      </w:r>
      <w:r>
        <w:tab/>
        <w:t>This rule applies if —</w:t>
      </w:r>
    </w:p>
    <w:p>
      <w:pPr>
        <w:pStyle w:val="Indenta"/>
      </w:pPr>
      <w:r>
        <w:tab/>
        <w:t>(a)</w:t>
      </w:r>
      <w:r>
        <w:tab/>
        <w:t>a media representative makes an oral application for permission under rule 11 to the media manager; or</w:t>
      </w:r>
    </w:p>
    <w:p>
      <w:pPr>
        <w:pStyle w:val="Indenta"/>
      </w:pPr>
      <w:r>
        <w:tab/>
        <w:t>(b)</w:t>
      </w:r>
      <w:r>
        <w:tab/>
        <w:t>a media representative makes a written application for permission under rule 11 to the Court that the Court refers to the media manager to deal with.</w:t>
      </w:r>
    </w:p>
    <w:p>
      <w:pPr>
        <w:pStyle w:val="Subsection"/>
      </w:pPr>
      <w:r>
        <w:tab/>
        <w:t>(2)</w:t>
      </w:r>
      <w:r>
        <w:tab/>
        <w:t>This rule must be read with rule 13.</w:t>
      </w:r>
    </w:p>
    <w:p>
      <w:pPr>
        <w:pStyle w:val="Subsection"/>
      </w:pPr>
      <w:r>
        <w:tab/>
        <w:t>(3)</w:t>
      </w:r>
      <w:r>
        <w:tab/>
        <w:t>The media manager must give permission if satisfied —</w:t>
      </w:r>
    </w:p>
    <w:p>
      <w:pPr>
        <w:pStyle w:val="Indenta"/>
      </w:pPr>
      <w:r>
        <w:tab/>
        <w:t>(a)</w:t>
      </w:r>
      <w:r>
        <w:tab/>
        <w:t>the applicant is a media representative; and</w:t>
      </w:r>
    </w:p>
    <w:p>
      <w:pPr>
        <w:pStyle w:val="Indenta"/>
      </w:pPr>
      <w:r>
        <w:tab/>
        <w:t>(b)</w:t>
      </w:r>
      <w:r>
        <w:tab/>
        <w:t>the Court has already given another media representative permission to have access to the information, record or other thing to which the applicant wants access; and</w:t>
      </w:r>
    </w:p>
    <w:p>
      <w:pPr>
        <w:pStyle w:val="Indenta"/>
      </w:pPr>
      <w:r>
        <w:tab/>
        <w:t>(c)</w:t>
      </w:r>
      <w:r>
        <w:tab/>
        <w:t>neither the other media representative nor the other media representative’s employer is a party to the proceeding in respect of which that information, record or other thing is held by the Court; and</w:t>
      </w:r>
    </w:p>
    <w:p>
      <w:pPr>
        <w:pStyle w:val="Indenta"/>
      </w:pPr>
      <w:r>
        <w:tab/>
        <w:t>(d)</w:t>
      </w:r>
      <w:r>
        <w:tab/>
        <w:t>neither the applicant nor the applicant’s employer is a party to that proceeding.</w:t>
      </w:r>
    </w:p>
    <w:p>
      <w:pPr>
        <w:pStyle w:val="Subsection"/>
      </w:pPr>
      <w:r>
        <w:tab/>
        <w:t>(4)</w:t>
      </w:r>
      <w:r>
        <w:tab/>
        <w:t xml:space="preserve">If the media manager gives permission under subrule (3), it must be on the same terms and conditions (if any) as those on </w:t>
      </w:r>
      <w:r>
        <w:lastRenderedPageBreak/>
        <w:t>which the Court gave permission to the other media representative.</w:t>
      </w:r>
    </w:p>
    <w:p>
      <w:pPr>
        <w:pStyle w:val="Footnotesection"/>
      </w:pPr>
      <w:r>
        <w:tab/>
        <w:t xml:space="preserve">[Rule 10 inserted: Gazette 27 Feb 2018 p. 609-10.] </w:t>
      </w:r>
    </w:p>
    <w:p>
      <w:pPr>
        <w:pStyle w:val="Heading3"/>
      </w:pPr>
      <w:bookmarkStart w:id="1284" w:name="_Toc162941113"/>
      <w:bookmarkStart w:id="1285" w:name="_Toc162953902"/>
      <w:bookmarkStart w:id="1286" w:name="_Toc163121575"/>
      <w:r>
        <w:rPr>
          <w:rStyle w:val="CharDivNo"/>
        </w:rPr>
        <w:t>Division 5</w:t>
      </w:r>
      <w:r>
        <w:t> — </w:t>
      </w:r>
      <w:r>
        <w:rPr>
          <w:rStyle w:val="CharDivText"/>
        </w:rPr>
        <w:t>Applications for access</w:t>
      </w:r>
      <w:bookmarkEnd w:id="1284"/>
      <w:bookmarkEnd w:id="1285"/>
      <w:bookmarkEnd w:id="1286"/>
    </w:p>
    <w:p>
      <w:pPr>
        <w:pStyle w:val="Footnoteheading"/>
      </w:pPr>
      <w:r>
        <w:tab/>
        <w:t xml:space="preserve">[Heading inserted: Gazette 27 Feb 2018 p. 610.] </w:t>
      </w:r>
    </w:p>
    <w:p>
      <w:pPr>
        <w:pStyle w:val="Heading5"/>
      </w:pPr>
      <w:bookmarkStart w:id="1287" w:name="_Toc163121576"/>
      <w:r>
        <w:rPr>
          <w:rStyle w:val="CharSectno"/>
        </w:rPr>
        <w:t>11</w:t>
      </w:r>
      <w:r>
        <w:t>.</w:t>
      </w:r>
      <w:r>
        <w:tab/>
        <w:t>Applying for access</w:t>
      </w:r>
      <w:bookmarkEnd w:id="1287"/>
    </w:p>
    <w:p>
      <w:pPr>
        <w:pStyle w:val="Subsection"/>
      </w:pPr>
      <w:r>
        <w:tab/>
        <w:t>(1)</w:t>
      </w:r>
      <w:r>
        <w:tab/>
        <w:t>A person using the Court’s website —</w:t>
      </w:r>
    </w:p>
    <w:p>
      <w:pPr>
        <w:pStyle w:val="Indenta"/>
      </w:pPr>
      <w:r>
        <w:tab/>
        <w:t>(a)</w:t>
      </w:r>
      <w:r>
        <w:tab/>
        <w:t>may have access to any information or record to which the website, if used lawfully, allows the user to have access; and</w:t>
      </w:r>
    </w:p>
    <w:p>
      <w:pPr>
        <w:pStyle w:val="Indenta"/>
      </w:pPr>
      <w:r>
        <w:tab/>
        <w:t>(b)</w:t>
      </w:r>
      <w:r>
        <w:tab/>
        <w:t>need not apply under this rule for access to the information or record.</w:t>
      </w:r>
    </w:p>
    <w:p>
      <w:pPr>
        <w:pStyle w:val="Subsection"/>
      </w:pPr>
      <w:r>
        <w:tab/>
        <w:t>(2)</w:t>
      </w:r>
      <w:r>
        <w:tab/>
        <w:t>A person who is an authorised user of the ECMS —</w:t>
      </w:r>
    </w:p>
    <w:p>
      <w:pPr>
        <w:pStyle w:val="Indenta"/>
      </w:pPr>
      <w:r>
        <w:tab/>
        <w:t>(a)</w:t>
      </w:r>
      <w:r>
        <w:tab/>
        <w:t>may have access to any information or record related to proceedings to which that system, if used lawfully, allows the person to have access; and</w:t>
      </w:r>
    </w:p>
    <w:p>
      <w:pPr>
        <w:pStyle w:val="Indenta"/>
      </w:pPr>
      <w:r>
        <w:tab/>
        <w:t>(b)</w:t>
      </w:r>
      <w:r>
        <w:tab/>
        <w:t>need not apply under this rule for access to the information or record.</w:t>
      </w:r>
    </w:p>
    <w:p>
      <w:pPr>
        <w:pStyle w:val="Subsection"/>
      </w:pPr>
      <w:r>
        <w:tab/>
        <w:t>(3)</w:t>
      </w:r>
      <w:r>
        <w:tab/>
        <w:t>A person who, under Division 3 or 4, wants access to information or a record or other thing must apply under this rule.</w:t>
      </w:r>
    </w:p>
    <w:p>
      <w:pPr>
        <w:pStyle w:val="Subsection"/>
      </w:pPr>
      <w:r>
        <w:tab/>
        <w:t>(4)</w:t>
      </w:r>
      <w:r>
        <w:tab/>
        <w:t>The application is taken to be an interlocutory application in the proceeding in respect of which the information, record or other thing is held by the Court, whether or not the applicant is a party to that proceeding.</w:t>
      </w:r>
    </w:p>
    <w:p>
      <w:pPr>
        <w:pStyle w:val="Subsection"/>
      </w:pPr>
      <w:r>
        <w:tab/>
        <w:t>(5)</w:t>
      </w:r>
      <w:r>
        <w:tab/>
        <w:t>Despite subrule (4), Order 4A rule 4A does not apply to the application.</w:t>
      </w:r>
    </w:p>
    <w:p>
      <w:pPr>
        <w:pStyle w:val="Subsection"/>
      </w:pPr>
      <w:r>
        <w:tab/>
        <w:t>(6)</w:t>
      </w:r>
      <w:r>
        <w:tab/>
        <w:t>Despite Order 59 rules 1(1) and 3, the application may be made by letter to the Principal Registrar.</w:t>
      </w:r>
    </w:p>
    <w:p>
      <w:pPr>
        <w:pStyle w:val="Subsection"/>
      </w:pPr>
      <w:r>
        <w:lastRenderedPageBreak/>
        <w:tab/>
        <w:t>(7)</w:t>
      </w:r>
      <w:r>
        <w:tab/>
        <w:t>If an application is made under subrule (6), the Principal Registrar may require the applicant to file a motion or summons in accordance with Order 59 rule 3(1)(b).</w:t>
      </w:r>
    </w:p>
    <w:p>
      <w:pPr>
        <w:pStyle w:val="Subsection"/>
      </w:pPr>
      <w:r>
        <w:tab/>
        <w:t>(8)</w:t>
      </w:r>
      <w:r>
        <w:tab/>
        <w:t>A person may apply orally to the Court for access to information or a record or thing if —</w:t>
      </w:r>
    </w:p>
    <w:p>
      <w:pPr>
        <w:pStyle w:val="Indenta"/>
      </w:pPr>
      <w:r>
        <w:tab/>
        <w:t>(a)</w:t>
      </w:r>
      <w:r>
        <w:tab/>
        <w:t>the person is entitled under Division 3 to have access to the information, record or other thing; and</w:t>
      </w:r>
    </w:p>
    <w:p>
      <w:pPr>
        <w:pStyle w:val="Indenta"/>
      </w:pPr>
      <w:r>
        <w:tab/>
        <w:t>(b)</w:t>
      </w:r>
      <w:r>
        <w:tab/>
        <w:t>no fee is payable in respect of the application.</w:t>
      </w:r>
    </w:p>
    <w:p>
      <w:pPr>
        <w:pStyle w:val="Subsection"/>
      </w:pPr>
      <w:r>
        <w:tab/>
        <w:t>(9)</w:t>
      </w:r>
      <w:r>
        <w:tab/>
        <w:t>A media representative may apply orally to the media manager for access to information if the media representative —</w:t>
      </w:r>
    </w:p>
    <w:p>
      <w:pPr>
        <w:pStyle w:val="Indenta"/>
      </w:pPr>
      <w:r>
        <w:tab/>
        <w:t>(a)</w:t>
      </w:r>
      <w:r>
        <w:tab/>
        <w:t>is entitled under rule 6 to have access to the information; and</w:t>
      </w:r>
    </w:p>
    <w:p>
      <w:pPr>
        <w:pStyle w:val="Indenta"/>
      </w:pPr>
      <w:r>
        <w:tab/>
        <w:t>(b)</w:t>
      </w:r>
      <w:r>
        <w:tab/>
        <w:t>gives the media manager the case number of the proceeding in respect of which the information is held by the Court.</w:t>
      </w:r>
    </w:p>
    <w:p>
      <w:pPr>
        <w:pStyle w:val="Subsection"/>
      </w:pPr>
      <w:r>
        <w:tab/>
        <w:t>(10)</w:t>
      </w:r>
      <w:r>
        <w:tab/>
        <w:t>Every written application must be accompanied by the prescribed fee (if any).</w:t>
      </w:r>
    </w:p>
    <w:p>
      <w:pPr>
        <w:pStyle w:val="Subsection"/>
      </w:pPr>
      <w:r>
        <w:tab/>
        <w:t>(11)</w:t>
      </w:r>
      <w:r>
        <w:tab/>
        <w:t>Every application must —</w:t>
      </w:r>
    </w:p>
    <w:p>
      <w:pPr>
        <w:pStyle w:val="Indenta"/>
      </w:pPr>
      <w:r>
        <w:tab/>
        <w:t>(a)</w:t>
      </w:r>
      <w:r>
        <w:tab/>
        <w:t>describe clearly —</w:t>
      </w:r>
    </w:p>
    <w:p>
      <w:pPr>
        <w:pStyle w:val="Indenti"/>
      </w:pPr>
      <w:r>
        <w:tab/>
        <w:t>(i)</w:t>
      </w:r>
      <w:r>
        <w:tab/>
        <w:t>the information, record or other thing to which access is wanted; and</w:t>
      </w:r>
    </w:p>
    <w:p>
      <w:pPr>
        <w:pStyle w:val="Indenti"/>
      </w:pPr>
      <w:r>
        <w:tab/>
        <w:t>(ii)</w:t>
      </w:r>
      <w:r>
        <w:tab/>
        <w:t>the proceeding in respect of which the information, record or other thing is held by the Court;</w:t>
      </w:r>
    </w:p>
    <w:p>
      <w:pPr>
        <w:pStyle w:val="Indenta"/>
      </w:pPr>
      <w:r>
        <w:tab/>
      </w:r>
      <w:r>
        <w:tab/>
        <w:t>and</w:t>
      </w:r>
    </w:p>
    <w:p>
      <w:pPr>
        <w:pStyle w:val="Indenta"/>
      </w:pPr>
      <w:r>
        <w:tab/>
        <w:t>(b)</w:t>
      </w:r>
      <w:r>
        <w:tab/>
        <w:t>if the applicant is a media representative, must state —</w:t>
      </w:r>
    </w:p>
    <w:p>
      <w:pPr>
        <w:pStyle w:val="Indenti"/>
      </w:pPr>
      <w:r>
        <w:tab/>
        <w:t>(i)</w:t>
      </w:r>
      <w:r>
        <w:tab/>
        <w:t>that fact; and</w:t>
      </w:r>
    </w:p>
    <w:p>
      <w:pPr>
        <w:pStyle w:val="Indenti"/>
      </w:pPr>
      <w:r>
        <w:tab/>
        <w:t>(ii)</w:t>
      </w:r>
      <w:r>
        <w:tab/>
        <w:t>whether the applicant or the applicant’s employer is a party to the proceeding in respect of which the information, record or other thing is held by the Court;</w:t>
      </w:r>
    </w:p>
    <w:p>
      <w:pPr>
        <w:pStyle w:val="Indenta"/>
      </w:pPr>
      <w:r>
        <w:lastRenderedPageBreak/>
        <w:tab/>
      </w:r>
      <w:r>
        <w:tab/>
        <w:t>and</w:t>
      </w:r>
    </w:p>
    <w:p>
      <w:pPr>
        <w:pStyle w:val="Indenta"/>
      </w:pPr>
      <w:r>
        <w:tab/>
        <w:t>(c)</w:t>
      </w:r>
      <w:r>
        <w:tab/>
        <w:t>if it is for access to information or a record, state the format (such as paper or digital) in which the applicant, if allowed access, would prefer to be given the information or record.</w:t>
      </w:r>
    </w:p>
    <w:p>
      <w:pPr>
        <w:pStyle w:val="Subsection"/>
      </w:pPr>
      <w:r>
        <w:tab/>
        <w:t>(12)</w:t>
      </w:r>
      <w:r>
        <w:tab/>
        <w:t>Every application for permission to have access must state the reasons why access is wanted.</w:t>
      </w:r>
    </w:p>
    <w:p>
      <w:pPr>
        <w:pStyle w:val="Subsection"/>
      </w:pPr>
      <w:r>
        <w:tab/>
        <w:t>(13)</w:t>
      </w:r>
      <w:r>
        <w:tab/>
        <w:t>The applicant need not serve the application on, or give notice of it to, any person unless the Court orders otherwise under rule 12.</w:t>
      </w:r>
    </w:p>
    <w:p>
      <w:pPr>
        <w:pStyle w:val="Footnotesection"/>
      </w:pPr>
      <w:r>
        <w:tab/>
        <w:t xml:space="preserve">[Rule 11 inserted: Gazette 27 Feb 2018 p. 610-13; amended: Gazette 31 Dec 2019 p. 4677-8.] </w:t>
      </w:r>
    </w:p>
    <w:p>
      <w:pPr>
        <w:pStyle w:val="Heading5"/>
      </w:pPr>
      <w:bookmarkStart w:id="1288" w:name="_Toc163121577"/>
      <w:r>
        <w:rPr>
          <w:rStyle w:val="CharSectno"/>
        </w:rPr>
        <w:t>12</w:t>
      </w:r>
      <w:r>
        <w:t>.</w:t>
      </w:r>
      <w:r>
        <w:tab/>
        <w:t>Court’s powers as to applications for permission</w:t>
      </w:r>
      <w:bookmarkEnd w:id="1288"/>
    </w:p>
    <w:p>
      <w:pPr>
        <w:pStyle w:val="Subsection"/>
      </w:pPr>
      <w:r>
        <w:tab/>
        <w:t>(1)</w:t>
      </w:r>
      <w:r>
        <w:tab/>
        <w:t>This rule applies if a written application is made to the Court under rule 11 for permission to have access.</w:t>
      </w:r>
    </w:p>
    <w:p>
      <w:pPr>
        <w:pStyle w:val="Subsection"/>
      </w:pPr>
      <w:r>
        <w:tab/>
        <w:t>(2)</w:t>
      </w:r>
      <w:r>
        <w:tab/>
        <w:t>The Court —</w:t>
      </w:r>
    </w:p>
    <w:p>
      <w:pPr>
        <w:pStyle w:val="Indenta"/>
      </w:pPr>
      <w:r>
        <w:tab/>
        <w:t>(a)</w:t>
      </w:r>
      <w:r>
        <w:tab/>
        <w:t>may order the applicant to provide additional information in the form of an affidavit;</w:t>
      </w:r>
    </w:p>
    <w:p>
      <w:pPr>
        <w:pStyle w:val="Indenta"/>
      </w:pPr>
      <w:r>
        <w:tab/>
        <w:t>(b)</w:t>
      </w:r>
      <w:r>
        <w:tab/>
        <w:t>may order the applicant to serve on a person specified in the order —</w:t>
      </w:r>
    </w:p>
    <w:p>
      <w:pPr>
        <w:pStyle w:val="Indenti"/>
      </w:pPr>
      <w:r>
        <w:tab/>
        <w:t>(i)</w:t>
      </w:r>
      <w:r>
        <w:tab/>
        <w:t>the application; and</w:t>
      </w:r>
    </w:p>
    <w:p>
      <w:pPr>
        <w:pStyle w:val="Indenti"/>
      </w:pPr>
      <w:r>
        <w:tab/>
        <w:t>(ii)</w:t>
      </w:r>
      <w:r>
        <w:tab/>
        <w:t>a notice giving the person an opportunity to give the Court submissions about the application;</w:t>
      </w:r>
    </w:p>
    <w:p>
      <w:pPr>
        <w:pStyle w:val="Indenta"/>
      </w:pPr>
      <w:r>
        <w:tab/>
        <w:t>(c)</w:t>
      </w:r>
      <w:r>
        <w:tab/>
        <w:t>may request any person to give it submissions about the application;</w:t>
      </w:r>
    </w:p>
    <w:p>
      <w:pPr>
        <w:pStyle w:val="Indenta"/>
      </w:pPr>
      <w:r>
        <w:tab/>
        <w:t>(d)</w:t>
      </w:r>
      <w:r>
        <w:tab/>
        <w:t>may decide the application on the basis of the documents filed without requiring the applicant to attend a hearing.</w:t>
      </w:r>
    </w:p>
    <w:p>
      <w:pPr>
        <w:pStyle w:val="Subsection"/>
      </w:pPr>
      <w:r>
        <w:tab/>
        <w:t>(3)</w:t>
      </w:r>
      <w:r>
        <w:tab/>
        <w:t>The Court is not required to determine an application until after the applicant complies with an order made under subrule (2).</w:t>
      </w:r>
    </w:p>
    <w:p>
      <w:pPr>
        <w:pStyle w:val="Footnotesection"/>
      </w:pPr>
      <w:r>
        <w:lastRenderedPageBreak/>
        <w:tab/>
        <w:t xml:space="preserve">[Rule 12 inserted: Gazette 27 Feb 2018 p. 613.] </w:t>
      </w:r>
    </w:p>
    <w:p>
      <w:pPr>
        <w:pStyle w:val="Heading5"/>
      </w:pPr>
      <w:bookmarkStart w:id="1289" w:name="_Toc163121578"/>
      <w:r>
        <w:rPr>
          <w:rStyle w:val="CharSectno"/>
        </w:rPr>
        <w:t>13</w:t>
      </w:r>
      <w:r>
        <w:t>.</w:t>
      </w:r>
      <w:r>
        <w:tab/>
        <w:t>How applications are determined</w:t>
      </w:r>
      <w:bookmarkEnd w:id="1289"/>
    </w:p>
    <w:p>
      <w:pPr>
        <w:pStyle w:val="Subsection"/>
      </w:pPr>
      <w:r>
        <w:tab/>
        <w:t>(1)</w:t>
      </w:r>
      <w:r>
        <w:tab/>
        <w:t>This rule applies to every application made under rule 11.</w:t>
      </w:r>
    </w:p>
    <w:p>
      <w:pPr>
        <w:pStyle w:val="Subsection"/>
      </w:pPr>
      <w:r>
        <w:tab/>
        <w:t>(2)</w:t>
      </w:r>
      <w:r>
        <w:tab/>
        <w:t>The Court or the media manager, as the case may be, may grant the application —</w:t>
      </w:r>
    </w:p>
    <w:p>
      <w:pPr>
        <w:pStyle w:val="Indenta"/>
      </w:pPr>
      <w:r>
        <w:tab/>
        <w:t>(a)</w:t>
      </w:r>
      <w:r>
        <w:tab/>
        <w:t>in whole or in part; and</w:t>
      </w:r>
    </w:p>
    <w:p>
      <w:pPr>
        <w:pStyle w:val="Indenta"/>
      </w:pPr>
      <w:r>
        <w:tab/>
        <w:t>(b)</w:t>
      </w:r>
      <w:r>
        <w:tab/>
        <w:t>with or without conditions.</w:t>
      </w:r>
    </w:p>
    <w:p>
      <w:pPr>
        <w:pStyle w:val="Subsection"/>
      </w:pPr>
      <w:r>
        <w:tab/>
        <w:t>(3)</w:t>
      </w:r>
      <w:r>
        <w:tab/>
        <w:t>If the Court or the media manager, as the case may be, is satisfied the applicant is entitled under Division 3 to have the access wanted, the Court or media manager must grant the application.</w:t>
      </w:r>
    </w:p>
    <w:p>
      <w:pPr>
        <w:pStyle w:val="Subsection"/>
      </w:pPr>
      <w:r>
        <w:tab/>
        <w:t>(4)</w:t>
      </w:r>
      <w:r>
        <w:tab/>
        <w:t>If the Court is satisfied the applicant needs permission to have the access wanted, it must determine the application in accordance with rule 9.</w:t>
      </w:r>
    </w:p>
    <w:p>
      <w:pPr>
        <w:pStyle w:val="Subsection"/>
      </w:pPr>
      <w:r>
        <w:tab/>
        <w:t>(5)</w:t>
      </w:r>
      <w:r>
        <w:tab/>
        <w:t>If the media manager is satisfied the applicant needs permission to have the access wanted, the media manager must determine the application in accordance with rule 10.</w:t>
      </w:r>
    </w:p>
    <w:p>
      <w:pPr>
        <w:pStyle w:val="Subsection"/>
      </w:pPr>
      <w:r>
        <w:tab/>
        <w:t>(6)</w:t>
      </w:r>
      <w:r>
        <w:tab/>
        <w:t>If the media manager refuses a written application —</w:t>
      </w:r>
    </w:p>
    <w:p>
      <w:pPr>
        <w:pStyle w:val="Indenta"/>
      </w:pPr>
      <w:r>
        <w:tab/>
        <w:t>(a)</w:t>
      </w:r>
      <w:r>
        <w:tab/>
        <w:t>the media manager may refer it to the Court to determine afresh; and</w:t>
      </w:r>
    </w:p>
    <w:p>
      <w:pPr>
        <w:pStyle w:val="Indenta"/>
      </w:pPr>
      <w:r>
        <w:tab/>
        <w:t>(b)</w:t>
      </w:r>
      <w:r>
        <w:tab/>
        <w:t>the refusal does not affect the applicant’s right to apply to the Court for access.</w:t>
      </w:r>
    </w:p>
    <w:p>
      <w:pPr>
        <w:pStyle w:val="Footnotesection"/>
      </w:pPr>
      <w:r>
        <w:tab/>
        <w:t>[Rule 13 inserted: Gazette 27 Feb 2018 p. 613</w:t>
      </w:r>
      <w:r>
        <w:noBreakHyphen/>
        <w:t xml:space="preserve">14.] </w:t>
      </w:r>
    </w:p>
    <w:p>
      <w:pPr>
        <w:pStyle w:val="Heading3"/>
      </w:pPr>
      <w:bookmarkStart w:id="1290" w:name="_Toc162941117"/>
      <w:bookmarkStart w:id="1291" w:name="_Toc162953906"/>
      <w:bookmarkStart w:id="1292" w:name="_Toc163121579"/>
      <w:r>
        <w:rPr>
          <w:rStyle w:val="CharDivNo"/>
        </w:rPr>
        <w:t>Division 6</w:t>
      </w:r>
      <w:r>
        <w:t> — </w:t>
      </w:r>
      <w:r>
        <w:rPr>
          <w:rStyle w:val="CharDivText"/>
        </w:rPr>
        <w:t>How access is given</w:t>
      </w:r>
      <w:bookmarkEnd w:id="1290"/>
      <w:bookmarkEnd w:id="1291"/>
      <w:bookmarkEnd w:id="1292"/>
    </w:p>
    <w:p>
      <w:pPr>
        <w:pStyle w:val="Footnoteheading"/>
      </w:pPr>
      <w:r>
        <w:tab/>
        <w:t xml:space="preserve">[Heading inserted: Gazette 27 Feb 2018 p. 614.] </w:t>
      </w:r>
    </w:p>
    <w:p>
      <w:pPr>
        <w:pStyle w:val="Heading5"/>
      </w:pPr>
      <w:bookmarkStart w:id="1293" w:name="_Toc163121580"/>
      <w:r>
        <w:rPr>
          <w:rStyle w:val="CharSectno"/>
        </w:rPr>
        <w:lastRenderedPageBreak/>
        <w:t>14</w:t>
      </w:r>
      <w:r>
        <w:t>.</w:t>
      </w:r>
      <w:r>
        <w:tab/>
        <w:t>How and when the Court gives access</w:t>
      </w:r>
      <w:bookmarkEnd w:id="1293"/>
    </w:p>
    <w:p>
      <w:pPr>
        <w:pStyle w:val="Subsection"/>
      </w:pPr>
      <w:r>
        <w:tab/>
        <w:t>(1)</w:t>
      </w:r>
      <w:r>
        <w:tab/>
        <w:t>For the purposes of this rule, an applicant is allowed access to information or a record or other thing if, on an application made under Division 5 —</w:t>
      </w:r>
    </w:p>
    <w:p>
      <w:pPr>
        <w:pStyle w:val="Indenta"/>
      </w:pPr>
      <w:r>
        <w:tab/>
        <w:t>(a)</w:t>
      </w:r>
      <w:r>
        <w:tab/>
        <w:t>it is determined the applicant is entitled to have access to the information, record or other thing; or</w:t>
      </w:r>
    </w:p>
    <w:p>
      <w:pPr>
        <w:pStyle w:val="Indenta"/>
      </w:pPr>
      <w:r>
        <w:tab/>
        <w:t>(b)</w:t>
      </w:r>
      <w:r>
        <w:tab/>
        <w:t>the applicant is given permission to have access to the information, record or other thing.</w:t>
      </w:r>
    </w:p>
    <w:p>
      <w:pPr>
        <w:pStyle w:val="Subsection"/>
      </w:pPr>
      <w:r>
        <w:tab/>
        <w:t>(2)</w:t>
      </w:r>
      <w:r>
        <w:tab/>
        <w:t>If an applicant is allowed access to information, the Court may give the applicant the information either orally or in writing.</w:t>
      </w:r>
    </w:p>
    <w:p>
      <w:pPr>
        <w:pStyle w:val="Subsection"/>
      </w:pPr>
      <w:r>
        <w:tab/>
        <w:t>(3)</w:t>
      </w:r>
      <w:r>
        <w:tab/>
        <w:t>If an applicant is allowed access to a record, the Court must give the applicant —</w:t>
      </w:r>
    </w:p>
    <w:p>
      <w:pPr>
        <w:pStyle w:val="Indenta"/>
      </w:pPr>
      <w:r>
        <w:tab/>
        <w:t>(a)</w:t>
      </w:r>
      <w:r>
        <w:tab/>
        <w:t>a reasonable opportunity to view or listen to it or both and, if necessary, the means by which to do so; and</w:t>
      </w:r>
    </w:p>
    <w:p>
      <w:pPr>
        <w:pStyle w:val="Indenta"/>
      </w:pPr>
      <w:r>
        <w:tab/>
        <w:t>(b)</w:t>
      </w:r>
      <w:r>
        <w:tab/>
        <w:t>a copy of it in, if practicable, the format preferred by the applicant.</w:t>
      </w:r>
    </w:p>
    <w:p>
      <w:pPr>
        <w:pStyle w:val="Subsection"/>
      </w:pPr>
      <w:r>
        <w:tab/>
        <w:t>(4)</w:t>
      </w:r>
      <w:r>
        <w:tab/>
        <w:t>If an applicant is allowed access to a thing that is not a record, the Court must give the applicant a reasonable opportunity —</w:t>
      </w:r>
    </w:p>
    <w:p>
      <w:pPr>
        <w:pStyle w:val="Indenta"/>
      </w:pPr>
      <w:r>
        <w:tab/>
        <w:t>(a)</w:t>
      </w:r>
      <w:r>
        <w:tab/>
        <w:t>to inspect it; and</w:t>
      </w:r>
    </w:p>
    <w:p>
      <w:pPr>
        <w:pStyle w:val="Indenta"/>
      </w:pPr>
      <w:r>
        <w:tab/>
        <w:t>(b)</w:t>
      </w:r>
      <w:r>
        <w:tab/>
        <w:t>to record an image of it.</w:t>
      </w:r>
    </w:p>
    <w:p>
      <w:pPr>
        <w:pStyle w:val="Subsection"/>
      </w:pPr>
      <w:r>
        <w:tab/>
        <w:t>(5)</w:t>
      </w:r>
      <w:r>
        <w:tab/>
        <w:t>Any physical access given under this rule must be given during office hours at the Central Office.</w:t>
      </w:r>
    </w:p>
    <w:p>
      <w:pPr>
        <w:pStyle w:val="Subsection"/>
      </w:pPr>
      <w:r>
        <w:tab/>
        <w:t>(6)</w:t>
      </w:r>
      <w:r>
        <w:tab/>
        <w:t>This rule does not prevent the Court from giving access to information or a record by electronic means.</w:t>
      </w:r>
    </w:p>
    <w:p>
      <w:pPr>
        <w:pStyle w:val="Footnotesection"/>
      </w:pPr>
      <w:r>
        <w:tab/>
        <w:t>[Rule 14 inserted: Gazette 27 Feb 2018 p. 614</w:t>
      </w:r>
      <w:r>
        <w:noBreakHyphen/>
        <w:t xml:space="preserve">15.] </w:t>
      </w:r>
    </w:p>
    <w:p>
      <w:pPr>
        <w:pStyle w:val="Heading3"/>
      </w:pPr>
      <w:bookmarkStart w:id="1294" w:name="_Toc162941119"/>
      <w:bookmarkStart w:id="1295" w:name="_Toc162953908"/>
      <w:bookmarkStart w:id="1296" w:name="_Toc163121581"/>
      <w:r>
        <w:rPr>
          <w:rStyle w:val="CharDivNo"/>
        </w:rPr>
        <w:t>Division 7</w:t>
      </w:r>
      <w:r>
        <w:t> — </w:t>
      </w:r>
      <w:r>
        <w:rPr>
          <w:rStyle w:val="CharDivText"/>
        </w:rPr>
        <w:t>Access by non</w:t>
      </w:r>
      <w:r>
        <w:rPr>
          <w:rStyle w:val="CharDivText"/>
        </w:rPr>
        <w:noBreakHyphen/>
        <w:t>parties to documents in cases commenced before 1 March 2018</w:t>
      </w:r>
      <w:bookmarkEnd w:id="1294"/>
      <w:bookmarkEnd w:id="1295"/>
      <w:bookmarkEnd w:id="1296"/>
    </w:p>
    <w:p>
      <w:pPr>
        <w:pStyle w:val="Footnoteheading"/>
      </w:pPr>
      <w:r>
        <w:tab/>
        <w:t xml:space="preserve">[Heading inserted: Gazette 27 Feb 2018 p. 615.] </w:t>
      </w:r>
    </w:p>
    <w:p>
      <w:pPr>
        <w:pStyle w:val="Heading5"/>
      </w:pPr>
      <w:bookmarkStart w:id="1297" w:name="_Toc163121582"/>
      <w:r>
        <w:rPr>
          <w:rStyle w:val="CharSectno"/>
        </w:rPr>
        <w:lastRenderedPageBreak/>
        <w:t>15</w:t>
      </w:r>
      <w:r>
        <w:t>.</w:t>
      </w:r>
      <w:r>
        <w:tab/>
        <w:t>Application of this Division</w:t>
      </w:r>
      <w:bookmarkEnd w:id="1297"/>
    </w:p>
    <w:p>
      <w:pPr>
        <w:pStyle w:val="Subsection"/>
      </w:pPr>
      <w:r>
        <w:tab/>
      </w:r>
      <w:r>
        <w:tab/>
        <w:t>This Division applies to a person, other than a party to a proceeding, who wants access to information or a record or other thing held by the Court in respect of a proceeding commenced before 1 March 2018.</w:t>
      </w:r>
    </w:p>
    <w:p>
      <w:pPr>
        <w:pStyle w:val="Footnotesection"/>
      </w:pPr>
      <w:r>
        <w:tab/>
        <w:t xml:space="preserve">[Rule 15 inserted: Gazette 27 Feb 2018 p. 615.] </w:t>
      </w:r>
    </w:p>
    <w:p>
      <w:pPr>
        <w:pStyle w:val="Heading5"/>
      </w:pPr>
      <w:bookmarkStart w:id="1298" w:name="_Toc163121583"/>
      <w:r>
        <w:rPr>
          <w:rStyle w:val="CharSectno"/>
        </w:rPr>
        <w:t>16</w:t>
      </w:r>
      <w:r>
        <w:t>.</w:t>
      </w:r>
      <w:r>
        <w:tab/>
        <w:t>Documents that can be inspected or copied</w:t>
      </w:r>
      <w:bookmarkEnd w:id="1298"/>
    </w:p>
    <w:p>
      <w:pPr>
        <w:pStyle w:val="Subsection"/>
      </w:pPr>
      <w:r>
        <w:tab/>
        <w:t>(1)</w:t>
      </w:r>
      <w:r>
        <w:tab/>
        <w:t>Any person referred to in rule 15 is, on payment of the prescribed fee, entitled during office hours to inspect and be given a copy of any of these filed documents —</w:t>
      </w:r>
    </w:p>
    <w:p>
      <w:pPr>
        <w:pStyle w:val="Indenta"/>
      </w:pPr>
      <w:r>
        <w:tab/>
        <w:t>(a)</w:t>
      </w:r>
      <w:r>
        <w:tab/>
        <w:t>any writ, and the statement of claim (if any) indorsed on the writ under Order 6 rule 3;</w:t>
      </w:r>
    </w:p>
    <w:p>
      <w:pPr>
        <w:pStyle w:val="Indenta"/>
      </w:pPr>
      <w:r>
        <w:tab/>
        <w:t>(b)</w:t>
      </w:r>
      <w:r>
        <w:tab/>
        <w:t xml:space="preserve">any originating application made under the </w:t>
      </w:r>
      <w:r>
        <w:rPr>
          <w:i/>
        </w:rPr>
        <w:t>Corporations Act 2001</w:t>
      </w:r>
      <w:r>
        <w:t xml:space="preserve"> (Commonwealth);</w:t>
      </w:r>
    </w:p>
    <w:p>
      <w:pPr>
        <w:pStyle w:val="Indenta"/>
      </w:pPr>
      <w:r>
        <w:tab/>
        <w:t>(c)</w:t>
      </w:r>
      <w:r>
        <w:tab/>
        <w:t xml:space="preserve">any appeal notice filed under the </w:t>
      </w:r>
      <w:r>
        <w:rPr>
          <w:i/>
        </w:rPr>
        <w:t>Supreme Court (Court of Appeal) Rules 2005</w:t>
      </w:r>
      <w:r>
        <w:t>;</w:t>
      </w:r>
    </w:p>
    <w:p>
      <w:pPr>
        <w:pStyle w:val="Indenta"/>
      </w:pPr>
      <w:r>
        <w:tab/>
        <w:t>(d)</w:t>
      </w:r>
      <w:r>
        <w:tab/>
        <w:t>any judgment or order given or made in court;</w:t>
      </w:r>
    </w:p>
    <w:p>
      <w:pPr>
        <w:pStyle w:val="Indenta"/>
      </w:pPr>
      <w:r>
        <w:tab/>
        <w:t>(e)</w:t>
      </w:r>
      <w:r>
        <w:tab/>
        <w:t>with the leave of the Court or a registrar, any other document.</w:t>
      </w:r>
    </w:p>
    <w:p>
      <w:pPr>
        <w:pStyle w:val="Subsection"/>
      </w:pPr>
      <w:r>
        <w:tab/>
        <w:t>(2)</w:t>
      </w:r>
      <w:r>
        <w:tab/>
        <w:t>An application for leave made under subrule (1)(e) need not be served on any person.</w:t>
      </w:r>
    </w:p>
    <w:p>
      <w:pPr>
        <w:pStyle w:val="Subsection"/>
      </w:pPr>
      <w:r>
        <w:tab/>
        <w:t>(3)</w:t>
      </w:r>
      <w:r>
        <w:tab/>
        <w:t>This rule does not entitle a person to search, inspect or take a copy of any part of a document that contains information that the person is prevented by an Act from possessing.</w:t>
      </w:r>
    </w:p>
    <w:p>
      <w:pPr>
        <w:pStyle w:val="Footnotesection"/>
      </w:pPr>
      <w:r>
        <w:tab/>
        <w:t>[Rule 16 inserted: Gazette 27 Feb 2018 p. 615</w:t>
      </w:r>
      <w:r>
        <w:noBreakHyphen/>
        <w:t xml:space="preserve">16.] </w:t>
      </w:r>
    </w:p>
    <w:p>
      <w:pPr>
        <w:pStyle w:val="Heading3"/>
      </w:pPr>
      <w:bookmarkStart w:id="1299" w:name="_Toc162941122"/>
      <w:bookmarkStart w:id="1300" w:name="_Toc162953911"/>
      <w:bookmarkStart w:id="1301" w:name="_Toc163121584"/>
      <w:r>
        <w:rPr>
          <w:rStyle w:val="CharDivNo"/>
        </w:rPr>
        <w:t>Division 8</w:t>
      </w:r>
      <w:r>
        <w:t> — </w:t>
      </w:r>
      <w:r>
        <w:rPr>
          <w:rStyle w:val="CharDivText"/>
        </w:rPr>
        <w:t>Miscellaneous matters</w:t>
      </w:r>
      <w:bookmarkEnd w:id="1299"/>
      <w:bookmarkEnd w:id="1300"/>
      <w:bookmarkEnd w:id="1301"/>
    </w:p>
    <w:p>
      <w:pPr>
        <w:pStyle w:val="Footnoteheading"/>
      </w:pPr>
      <w:r>
        <w:tab/>
        <w:t xml:space="preserve">[Heading inserted: Gazette 27 Feb 2018 p. 616.] </w:t>
      </w:r>
    </w:p>
    <w:p>
      <w:pPr>
        <w:pStyle w:val="Heading5"/>
      </w:pPr>
      <w:bookmarkStart w:id="1302" w:name="_Toc163121585"/>
      <w:r>
        <w:rPr>
          <w:rStyle w:val="CharSectno"/>
        </w:rPr>
        <w:lastRenderedPageBreak/>
        <w:t>17</w:t>
      </w:r>
      <w:r>
        <w:t>.</w:t>
      </w:r>
      <w:r>
        <w:tab/>
        <w:t>Registrars’ decisions may be dealt with by judge or master</w:t>
      </w:r>
      <w:bookmarkEnd w:id="1302"/>
    </w:p>
    <w:p>
      <w:pPr>
        <w:pStyle w:val="Subsection"/>
      </w:pPr>
      <w:r>
        <w:tab/>
        <w:t>(1)</w:t>
      </w:r>
      <w:r>
        <w:tab/>
        <w:t>In this rule —</w:t>
      </w:r>
    </w:p>
    <w:p>
      <w:pPr>
        <w:pStyle w:val="Defstart"/>
      </w:pPr>
      <w:r>
        <w:tab/>
      </w:r>
      <w:r>
        <w:rPr>
          <w:rStyle w:val="CharDefText"/>
        </w:rPr>
        <w:t>access application</w:t>
      </w:r>
      <w:r>
        <w:t xml:space="preserve"> means an application made under rule 11.</w:t>
      </w:r>
    </w:p>
    <w:p>
      <w:pPr>
        <w:pStyle w:val="Subsection"/>
      </w:pPr>
      <w:r>
        <w:tab/>
        <w:t>(2)</w:t>
      </w:r>
      <w:r>
        <w:tab/>
        <w:t>A person dissatisfied by a decision made under this Order by a registrar on an access application may ask the registrar for the access application to be dealt with in a new hearing by a judge or master.</w:t>
      </w:r>
    </w:p>
    <w:p>
      <w:pPr>
        <w:pStyle w:val="Subsection"/>
      </w:pPr>
      <w:r>
        <w:tab/>
        <w:t>(3)</w:t>
      </w:r>
      <w:r>
        <w:tab/>
        <w:t>If a registrar receives a request made under subrule (1), the registrar must refer the matter concerned to a judge or master.</w:t>
      </w:r>
    </w:p>
    <w:p>
      <w:pPr>
        <w:pStyle w:val="Footnotesection"/>
      </w:pPr>
      <w:r>
        <w:tab/>
        <w:t>[Rule 17 inserted: Gazette 27 Feb 2018 p. 616.]</w:t>
      </w:r>
    </w:p>
    <w:p>
      <w:pPr>
        <w:pStyle w:val="Heading2"/>
        <w:rPr>
          <w:b w:val="0"/>
        </w:rPr>
      </w:pPr>
      <w:bookmarkStart w:id="1303" w:name="_Toc162941124"/>
      <w:bookmarkStart w:id="1304" w:name="_Toc162953913"/>
      <w:bookmarkStart w:id="1305" w:name="_Toc163121586"/>
      <w:r>
        <w:rPr>
          <w:rStyle w:val="CharPartNo"/>
        </w:rPr>
        <w:lastRenderedPageBreak/>
        <w:t>Order 68</w:t>
      </w:r>
      <w:r>
        <w:rPr>
          <w:rStyle w:val="CharDivNo"/>
        </w:rPr>
        <w:t> </w:t>
      </w:r>
      <w:r>
        <w:t>—</w:t>
      </w:r>
      <w:r>
        <w:rPr>
          <w:rStyle w:val="CharDivText"/>
        </w:rPr>
        <w:t> </w:t>
      </w:r>
      <w:r>
        <w:rPr>
          <w:rStyle w:val="CharPartText"/>
        </w:rPr>
        <w:t>Sittings, vacations and office hours</w:t>
      </w:r>
      <w:bookmarkEnd w:id="1303"/>
      <w:bookmarkEnd w:id="1304"/>
      <w:bookmarkEnd w:id="1305"/>
    </w:p>
    <w:p>
      <w:pPr>
        <w:pStyle w:val="Heading5"/>
        <w:rPr>
          <w:snapToGrid w:val="0"/>
        </w:rPr>
      </w:pPr>
      <w:bookmarkStart w:id="1306" w:name="_Toc163121587"/>
      <w:r>
        <w:rPr>
          <w:rStyle w:val="CharSectno"/>
        </w:rPr>
        <w:t>1</w:t>
      </w:r>
      <w:r>
        <w:rPr>
          <w:snapToGrid w:val="0"/>
        </w:rPr>
        <w:t>.</w:t>
      </w:r>
      <w:r>
        <w:rPr>
          <w:snapToGrid w:val="0"/>
        </w:rPr>
        <w:tab/>
        <w:t>Civil sittings</w:t>
      </w:r>
      <w:bookmarkEnd w:id="1306"/>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Gazette 29 Apr 2005 p. 1793.]</w:t>
      </w:r>
    </w:p>
    <w:p>
      <w:pPr>
        <w:pStyle w:val="Heading5"/>
        <w:rPr>
          <w:snapToGrid w:val="0"/>
        </w:rPr>
      </w:pPr>
      <w:bookmarkStart w:id="1307" w:name="_Toc163121588"/>
      <w:r>
        <w:rPr>
          <w:rStyle w:val="CharSectno"/>
        </w:rPr>
        <w:t>2</w:t>
      </w:r>
      <w:r>
        <w:rPr>
          <w:snapToGrid w:val="0"/>
        </w:rPr>
        <w:t>.</w:t>
      </w:r>
      <w:r>
        <w:rPr>
          <w:snapToGrid w:val="0"/>
        </w:rPr>
        <w:tab/>
        <w:t>Criminal sittings</w:t>
      </w:r>
      <w:bookmarkEnd w:id="1307"/>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1308" w:name="_Toc163121589"/>
      <w:r>
        <w:rPr>
          <w:rStyle w:val="CharSectno"/>
        </w:rPr>
        <w:t>3</w:t>
      </w:r>
      <w:r>
        <w:rPr>
          <w:snapToGrid w:val="0"/>
        </w:rPr>
        <w:t>.</w:t>
      </w:r>
      <w:r>
        <w:rPr>
          <w:snapToGrid w:val="0"/>
        </w:rPr>
        <w:tab/>
        <w:t>Court vacations</w:t>
      </w:r>
      <w:bookmarkEnd w:id="1308"/>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[Rule 3</w:t>
      </w:r>
      <w:r>
        <w:rPr>
          <w:vertAlign w:val="superscript"/>
        </w:rPr>
        <w:t> 2</w:t>
      </w:r>
      <w:r>
        <w:t xml:space="preserve"> amended: Gazette 23 Sep 1983 p. 3798; 26 Aug 1994 p. 4413.] </w:t>
      </w:r>
    </w:p>
    <w:p>
      <w:pPr>
        <w:pStyle w:val="Heading5"/>
        <w:keepLines w:val="0"/>
        <w:rPr>
          <w:snapToGrid w:val="0"/>
        </w:rPr>
      </w:pPr>
      <w:bookmarkStart w:id="1309" w:name="_Toc163121590"/>
      <w:r>
        <w:rPr>
          <w:rStyle w:val="CharSectno"/>
        </w:rPr>
        <w:lastRenderedPageBreak/>
        <w:t>4</w:t>
      </w:r>
      <w:r>
        <w:rPr>
          <w:snapToGrid w:val="0"/>
        </w:rPr>
        <w:t>.</w:t>
      </w:r>
      <w:r>
        <w:rPr>
          <w:snapToGrid w:val="0"/>
        </w:rPr>
        <w:tab/>
        <w:t>Days included in sitting and vacation</w:t>
      </w:r>
      <w:bookmarkEnd w:id="1309"/>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1310" w:name="_Toc163121591"/>
      <w:r>
        <w:rPr>
          <w:rStyle w:val="CharSectno"/>
        </w:rPr>
        <w:t>5</w:t>
      </w:r>
      <w:r>
        <w:rPr>
          <w:snapToGrid w:val="0"/>
        </w:rPr>
        <w:t>.</w:t>
      </w:r>
      <w:r>
        <w:rPr>
          <w:snapToGrid w:val="0"/>
        </w:rPr>
        <w:tab/>
        <w:t>When Court’s offices are open</w:t>
      </w:r>
      <w:bookmarkEnd w:id="1310"/>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Gazette 9 Nov 1973 p. 4165; 26 Aug 1994 p. 4413.] </w:t>
      </w:r>
    </w:p>
    <w:p>
      <w:pPr>
        <w:pStyle w:val="Heading5"/>
        <w:rPr>
          <w:snapToGrid w:val="0"/>
        </w:rPr>
      </w:pPr>
      <w:bookmarkStart w:id="1311" w:name="_Toc163121592"/>
      <w:r>
        <w:rPr>
          <w:rStyle w:val="CharSectno"/>
        </w:rPr>
        <w:t>6</w:t>
      </w:r>
      <w:r>
        <w:rPr>
          <w:snapToGrid w:val="0"/>
        </w:rPr>
        <w:t>.</w:t>
      </w:r>
      <w:r>
        <w:rPr>
          <w:snapToGrid w:val="0"/>
        </w:rPr>
        <w:tab/>
        <w:t>Office hours</w:t>
      </w:r>
      <w:bookmarkEnd w:id="1311"/>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Gazette 10 Nov 1995 p. 5247.] </w:t>
      </w:r>
    </w:p>
    <w:p>
      <w:pPr>
        <w:pStyle w:val="Heading5"/>
        <w:rPr>
          <w:snapToGrid w:val="0"/>
        </w:rPr>
      </w:pPr>
      <w:bookmarkStart w:id="1312" w:name="_Toc163121593"/>
      <w:r>
        <w:rPr>
          <w:rStyle w:val="CharSectno"/>
        </w:rPr>
        <w:t>7</w:t>
      </w:r>
      <w:r>
        <w:rPr>
          <w:snapToGrid w:val="0"/>
        </w:rPr>
        <w:t>.</w:t>
      </w:r>
      <w:r>
        <w:rPr>
          <w:snapToGrid w:val="0"/>
        </w:rPr>
        <w:tab/>
        <w:t>Vacation Judge</w:t>
      </w:r>
      <w:bookmarkEnd w:id="1312"/>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1313" w:name="_Toc162941132"/>
      <w:bookmarkStart w:id="1314" w:name="_Toc162953921"/>
      <w:bookmarkStart w:id="1315" w:name="_Toc163121594"/>
      <w:r>
        <w:rPr>
          <w:rStyle w:val="CharPartNo"/>
        </w:rPr>
        <w:lastRenderedPageBreak/>
        <w:t>Order 69</w:t>
      </w:r>
      <w:r>
        <w:rPr>
          <w:rStyle w:val="CharDivNo"/>
        </w:rPr>
        <w:t> </w:t>
      </w:r>
      <w:r>
        <w:t>—</w:t>
      </w:r>
      <w:r>
        <w:rPr>
          <w:rStyle w:val="CharDivText"/>
        </w:rPr>
        <w:t> </w:t>
      </w:r>
      <w:r>
        <w:rPr>
          <w:rStyle w:val="CharPartText"/>
        </w:rPr>
        <w:t>Paper, printing, notice, and copies</w:t>
      </w:r>
      <w:bookmarkEnd w:id="1313"/>
      <w:bookmarkEnd w:id="1314"/>
      <w:bookmarkEnd w:id="1315"/>
    </w:p>
    <w:p>
      <w:pPr>
        <w:pStyle w:val="Heading5"/>
        <w:rPr>
          <w:snapToGrid w:val="0"/>
        </w:rPr>
      </w:pPr>
      <w:bookmarkStart w:id="1316" w:name="_Toc163121595"/>
      <w:r>
        <w:rPr>
          <w:rStyle w:val="CharSectno"/>
        </w:rPr>
        <w:t>1</w:t>
      </w:r>
      <w:r>
        <w:rPr>
          <w:snapToGrid w:val="0"/>
        </w:rPr>
        <w:t>.</w:t>
      </w:r>
      <w:r>
        <w:rPr>
          <w:snapToGrid w:val="0"/>
        </w:rPr>
        <w:tab/>
        <w:t>Printing of documents, rules as to</w:t>
      </w:r>
      <w:bookmarkEnd w:id="1316"/>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pages of clear sharp and legible type.</w:t>
      </w:r>
    </w:p>
    <w:p>
      <w:pPr>
        <w:pStyle w:val="Subsection"/>
        <w:rPr>
          <w:snapToGrid w:val="0"/>
        </w:rPr>
      </w:pPr>
      <w:r>
        <w:rPr>
          <w:snapToGrid w:val="0"/>
        </w:rPr>
        <w:tab/>
        <w:t>(3)</w:t>
      </w:r>
      <w:r>
        <w:rPr>
          <w:snapToGrid w:val="0"/>
        </w:rPr>
        <w:tab/>
        <w:t xml:space="preserve">Any document produced by a photographic or similar process giving a positive, clear, and permanent representation free from blemishes, shall to the extent that it contains a </w:t>
      </w:r>
      <w:r>
        <w:t>copy</w:t>
      </w:r>
      <w:r>
        <w:rPr>
          <w:snapToGrid w:val="0"/>
        </w:rPr>
        <w:t xml:space="preserve"> of any printed or typewritten matter be treated for the purpose of these rules as if it were printed.</w:t>
      </w:r>
    </w:p>
    <w:p>
      <w:pPr>
        <w:pStyle w:val="Footnotesection"/>
      </w:pPr>
      <w:r>
        <w:tab/>
        <w:t>[Rule 1 amended: Gazette 27 Feb 2018 p. 616</w:t>
      </w:r>
      <w:r>
        <w:noBreakHyphen/>
        <w:t>17.]</w:t>
      </w:r>
    </w:p>
    <w:p>
      <w:pPr>
        <w:pStyle w:val="Heading5"/>
        <w:rPr>
          <w:snapToGrid w:val="0"/>
        </w:rPr>
      </w:pPr>
      <w:bookmarkStart w:id="1317" w:name="_Toc163121596"/>
      <w:r>
        <w:rPr>
          <w:rStyle w:val="CharSectno"/>
        </w:rPr>
        <w:t>2</w:t>
      </w:r>
      <w:r>
        <w:rPr>
          <w:snapToGrid w:val="0"/>
        </w:rPr>
        <w:t>.</w:t>
      </w:r>
      <w:r>
        <w:rPr>
          <w:snapToGrid w:val="0"/>
        </w:rPr>
        <w:tab/>
        <w:t>Requirements as to documents prepared by parties</w:t>
      </w:r>
      <w:bookmarkEnd w:id="1317"/>
    </w:p>
    <w:p>
      <w:pPr>
        <w:pStyle w:val="Subsection"/>
      </w:pPr>
      <w:r>
        <w:tab/>
        <w:t>(1A)</w:t>
      </w:r>
      <w:r>
        <w:tab/>
        <w:t>For the purposes of documents filed electronically, this rule applies with any necessary changes.</w:t>
      </w:r>
    </w:p>
    <w:p>
      <w:pPr>
        <w:pStyle w:val="Subsection"/>
        <w:rPr>
          <w:snapToGrid w:val="0"/>
        </w:rPr>
      </w:pPr>
      <w:r>
        <w:rPr>
          <w:snapToGrid w:val="0"/>
        </w:rPr>
        <w:tab/>
        <w:t>(1)</w:t>
      </w:r>
      <w:r>
        <w:rPr>
          <w:snapToGrid w:val="0"/>
        </w:rPr>
        <w:tab/>
        <w:t xml:space="preserve">Unless the nature of the document renders it impracticable, every document prepared by a party for use in the Supreme Court </w:t>
      </w:r>
      <w:r>
        <w:t xml:space="preserve">must, </w:t>
      </w:r>
      <w:r>
        <w:rPr>
          <w:snapToGrid w:val="0"/>
        </w:rPr>
        <w:t xml:space="preserve">subject to any directions given from time to time by the </w:t>
      </w:r>
      <w:r>
        <w:t xml:space="preserve">Principal Registrar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mm between each line; and</w:t>
      </w:r>
    </w:p>
    <w:p>
      <w:pPr>
        <w:pStyle w:val="Indenta"/>
        <w:rPr>
          <w:snapToGrid w:val="0"/>
        </w:rPr>
      </w:pPr>
      <w:r>
        <w:rPr>
          <w:snapToGrid w:val="0"/>
        </w:rPr>
        <w:tab/>
        <w:t>(c)</w:t>
      </w:r>
      <w:r>
        <w:rPr>
          <w:snapToGrid w:val="0"/>
        </w:rPr>
        <w:tab/>
        <w:t xml:space="preserve">be upon white paper of good and durable quality and capable of receiving ink </w:t>
      </w:r>
      <w:r>
        <w:t>writing; and</w:t>
      </w:r>
    </w:p>
    <w:p>
      <w:pPr>
        <w:pStyle w:val="Indenta"/>
      </w:pPr>
      <w:r>
        <w:lastRenderedPageBreak/>
        <w:tab/>
        <w:t>(ca)</w:t>
      </w:r>
      <w:r>
        <w:tab/>
        <w:t>comply with subrule (1AA);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 xml:space="preserve">one side only of the paper with a margin of not less than </w:t>
      </w:r>
      <w:r>
        <w:t>30 </w:t>
      </w:r>
      <w:r>
        <w:rPr>
          <w:snapToGrid w:val="0"/>
        </w:rPr>
        <w:t>mm on the left hand side of each sheet; or</w:t>
      </w:r>
    </w:p>
    <w:p>
      <w:pPr>
        <w:pStyle w:val="Indenti"/>
        <w:rPr>
          <w:snapToGrid w:val="0"/>
        </w:rPr>
      </w:pPr>
      <w:r>
        <w:rPr>
          <w:snapToGrid w:val="0"/>
        </w:rPr>
        <w:tab/>
        <w:t>(ii)</w:t>
      </w:r>
      <w:r>
        <w:rPr>
          <w:snapToGrid w:val="0"/>
        </w:rPr>
        <w:tab/>
        <w:t xml:space="preserve">both sides of the paper with a margin of not less than </w:t>
      </w:r>
      <w:r>
        <w:t>30 </w:t>
      </w:r>
      <w:r>
        <w:rPr>
          <w:snapToGrid w:val="0"/>
        </w:rPr>
        <w:t xml:space="preserve">mm on the left hand side of the front of each sheet and not less than </w:t>
      </w:r>
      <w:r>
        <w:t>30 </w:t>
      </w:r>
      <w:r>
        <w:rPr>
          <w:snapToGrid w:val="0"/>
        </w:rPr>
        <w:t>mm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r>
      <w:r>
        <w:t xml:space="preserve">unless the document is in a prescribed form, </w:t>
      </w:r>
      <w:r>
        <w:rPr>
          <w:snapToGrid w:val="0"/>
        </w:rPr>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mm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pPr>
      <w:r>
        <w:lastRenderedPageBreak/>
        <w:tab/>
        <w:t>(1AA)</w:t>
      </w:r>
      <w:r>
        <w:tab/>
        <w:t>The textual content of a document, including any endnotes, footnotes and quotations, must be typewritten or printed using at least the size of print used for these rules (12 point Times New Roman).</w:t>
      </w:r>
    </w:p>
    <w:p>
      <w:pPr>
        <w:pStyle w:val="Subsection"/>
      </w:pPr>
      <w:r>
        <w:tab/>
        <w:t>(1AB)</w:t>
      </w:r>
      <w:r>
        <w:tab/>
        <w:t>Except as provided in subrule (1AC), a document may show an abbreviation of the title of the proceeding which is sufficient to identify the proceeding.</w:t>
      </w:r>
    </w:p>
    <w:p>
      <w:pPr>
        <w:pStyle w:val="Subsection"/>
      </w:pPr>
      <w:r>
        <w:tab/>
        <w:t>(1AC)</w:t>
      </w:r>
      <w:r>
        <w:tab/>
        <w:t xml:space="preserve">Subrule (1AB) does not apply to the following documents — </w:t>
      </w:r>
    </w:p>
    <w:p>
      <w:pPr>
        <w:pStyle w:val="Indenta"/>
      </w:pPr>
      <w:r>
        <w:tab/>
        <w:t>(a)</w:t>
      </w:r>
      <w:r>
        <w:tab/>
        <w:t>an originating process;</w:t>
      </w:r>
    </w:p>
    <w:p>
      <w:pPr>
        <w:pStyle w:val="Indenta"/>
      </w:pPr>
      <w:r>
        <w:tab/>
        <w:t>(b)</w:t>
      </w:r>
      <w:r>
        <w:tab/>
        <w:t>a document to be served on a person who is not a party to a proceeding;</w:t>
      </w:r>
    </w:p>
    <w:p>
      <w:pPr>
        <w:pStyle w:val="Indenta"/>
      </w:pPr>
      <w:r>
        <w:tab/>
        <w:t>(c)</w:t>
      </w:r>
      <w:r>
        <w:tab/>
        <w:t>a final judgment or order.</w:t>
      </w:r>
    </w:p>
    <w:p>
      <w:pPr>
        <w:pStyle w:val="Ednotesubsection"/>
      </w:pPr>
      <w:r>
        <w:tab/>
        <w:t>[(1a)</w:t>
      </w:r>
      <w:r>
        <w:tab/>
        <w:t>deleted]</w:t>
      </w:r>
    </w:p>
    <w:p>
      <w:pPr>
        <w:pStyle w:val="Subsection"/>
        <w:rPr>
          <w:snapToGrid w:val="0"/>
        </w:rPr>
      </w:pPr>
      <w:r>
        <w:rPr>
          <w:snapToGrid w:val="0"/>
        </w:rPr>
        <w:tab/>
        <w:t>(2)</w:t>
      </w:r>
      <w:r>
        <w:rPr>
          <w:snapToGrid w:val="0"/>
        </w:rPr>
        <w:tab/>
        <w:t xml:space="preserve">The registrar may refuse to file or accept a document to which </w:t>
      </w:r>
      <w:r>
        <w:t>subrule</w:t>
      </w:r>
      <w:r>
        <w:rPr>
          <w:snapToGrid w:val="0"/>
        </w:rPr>
        <w:t xml:space="preserve"> (1) applies if it does not comply with the provisions of that </w:t>
      </w:r>
      <w:r>
        <w:t>subrule</w:t>
      </w:r>
      <w:r>
        <w:rPr>
          <w:snapToGrid w:val="0"/>
        </w:rPr>
        <w:t>, and the costs of the document may be disallowed upon taxation.</w:t>
      </w:r>
    </w:p>
    <w:p>
      <w:pPr>
        <w:pStyle w:val="Ednotesubsection"/>
      </w:pPr>
      <w:r>
        <w:tab/>
        <w:t>[(3)</w:t>
      </w:r>
      <w:r>
        <w:tab/>
        <w:t>deleted]</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keepNext/>
      </w:pPr>
      <w:r>
        <w:tab/>
        <w:t>(5)</w:t>
      </w:r>
      <w:r>
        <w:tab/>
        <w:t xml:space="preserve">The Court may require — </w:t>
      </w:r>
    </w:p>
    <w:p>
      <w:pPr>
        <w:pStyle w:val="Indenta"/>
      </w:pPr>
      <w:r>
        <w:tab/>
        <w:t>(a)</w:t>
      </w:r>
      <w:r>
        <w:tab/>
        <w:t>any document required for use in the Court to be printed or otherwise produced in any particular manner that it thinks fit; or</w:t>
      </w:r>
    </w:p>
    <w:p>
      <w:pPr>
        <w:pStyle w:val="Indenta"/>
      </w:pPr>
      <w:r>
        <w:tab/>
        <w:t>(b)</w:t>
      </w:r>
      <w:r>
        <w:tab/>
        <w:t>1 or more paper versions of any document that has been filed electronically to be delivered to the Central Office.</w:t>
      </w:r>
    </w:p>
    <w:p>
      <w:pPr>
        <w:pStyle w:val="Footnotesection"/>
      </w:pPr>
      <w:r>
        <w:tab/>
        <w:t>[Rule 2 amended: Gazette 7 Dec 1973 p. 4489; 30 Nov 1984 p. 3952; 15 Dec 1989 p. 4520; 24 Oct 1995 p. 4919; 21 Feb 2007 p. 575</w:t>
      </w:r>
      <w:r>
        <w:noBreakHyphen/>
        <w:t xml:space="preserve">6; 28 Jun 2011 p. 2552; 24 May 2017 p. 2607; 27 Feb 2018 p. 617; SL 2020/242 r. 8.] </w:t>
      </w:r>
    </w:p>
    <w:p>
      <w:pPr>
        <w:pStyle w:val="Ednotesection"/>
      </w:pPr>
      <w:r>
        <w:lastRenderedPageBreak/>
        <w:t>[</w:t>
      </w:r>
      <w:r>
        <w:rPr>
          <w:b/>
        </w:rPr>
        <w:t>3.</w:t>
      </w:r>
      <w:r>
        <w:tab/>
        <w:t>Deleted: Gazette 27 Feb 2018 p. 617.]</w:t>
      </w:r>
    </w:p>
    <w:p>
      <w:pPr>
        <w:pStyle w:val="Heading5"/>
        <w:rPr>
          <w:snapToGrid w:val="0"/>
        </w:rPr>
      </w:pPr>
      <w:bookmarkStart w:id="1318" w:name="_Toc163121597"/>
      <w:r>
        <w:rPr>
          <w:rStyle w:val="CharSectno"/>
        </w:rPr>
        <w:t>4</w:t>
      </w:r>
      <w:r>
        <w:rPr>
          <w:snapToGrid w:val="0"/>
        </w:rPr>
        <w:t>.</w:t>
      </w:r>
      <w:r>
        <w:rPr>
          <w:snapToGrid w:val="0"/>
        </w:rPr>
        <w:tab/>
        <w:t>Copies of documents for other parties</w:t>
      </w:r>
      <w:bookmarkEnd w:id="1318"/>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1319" w:name="_Toc163121598"/>
      <w:r>
        <w:rPr>
          <w:rStyle w:val="CharSectno"/>
        </w:rPr>
        <w:t>5</w:t>
      </w:r>
      <w:r>
        <w:rPr>
          <w:snapToGrid w:val="0"/>
        </w:rPr>
        <w:t>.</w:t>
      </w:r>
      <w:r>
        <w:rPr>
          <w:snapToGrid w:val="0"/>
        </w:rPr>
        <w:tab/>
        <w:t>Requirements as to copies</w:t>
      </w:r>
      <w:bookmarkEnd w:id="1319"/>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 xml:space="preserve">The party by whom a copy is supplied under this Order, or if he sues or appears by a solicitor, his solicitor shall be answerable for the copy being a true copy of the </w:t>
      </w:r>
      <w:r>
        <w:t>original.</w:t>
      </w:r>
    </w:p>
    <w:p>
      <w:pPr>
        <w:pStyle w:val="Footnotesection"/>
      </w:pPr>
      <w:r>
        <w:tab/>
        <w:t>[Rule 5 amended: Gazette 21 Feb 2007 p. 576; 27 Feb 2018 p. 617.]</w:t>
      </w:r>
    </w:p>
    <w:p>
      <w:pPr>
        <w:pStyle w:val="Heading5"/>
        <w:rPr>
          <w:snapToGrid w:val="0"/>
        </w:rPr>
      </w:pPr>
      <w:bookmarkStart w:id="1320" w:name="_Toc163121599"/>
      <w:r>
        <w:rPr>
          <w:rStyle w:val="CharSectno"/>
        </w:rPr>
        <w:lastRenderedPageBreak/>
        <w:t>6</w:t>
      </w:r>
      <w:r>
        <w:rPr>
          <w:snapToGrid w:val="0"/>
        </w:rPr>
        <w:t>.</w:t>
      </w:r>
      <w:r>
        <w:rPr>
          <w:snapToGrid w:val="0"/>
        </w:rPr>
        <w:tab/>
        <w:t xml:space="preserve">Copies of affidavits on certain </w:t>
      </w:r>
      <w:r>
        <w:rPr>
          <w:i/>
          <w:snapToGrid w:val="0"/>
        </w:rPr>
        <w:t>ex parte</w:t>
      </w:r>
      <w:r>
        <w:rPr>
          <w:snapToGrid w:val="0"/>
        </w:rPr>
        <w:t xml:space="preserve"> applications</w:t>
      </w:r>
      <w:bookmarkEnd w:id="1320"/>
    </w:p>
    <w:p>
      <w:pPr>
        <w:pStyle w:val="Subsection"/>
        <w:rPr>
          <w:snapToGrid w:val="0"/>
        </w:rPr>
      </w:pPr>
      <w:r>
        <w:rPr>
          <w:snapToGrid w:val="0"/>
        </w:rPr>
        <w:tab/>
        <w:t>(1)</w:t>
      </w:r>
      <w:r>
        <w:rPr>
          <w:snapToGrid w:val="0"/>
        </w:rPr>
        <w:tab/>
        <w:t xml:space="preserve">Where upon an </w:t>
      </w:r>
      <w:r>
        <w:rPr>
          <w:i/>
          <w:snapToGrid w:val="0"/>
        </w:rPr>
        <w:t>ex parte</w:t>
      </w:r>
      <w:r>
        <w:rPr>
          <w:snapToGrid w:val="0"/>
        </w:rPr>
        <w:t xml:space="preserv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 xml:space="preserve">The party who made the application must furnish the copies upon payment of the proper charges forthwith after receiving the written request and undertaking mentioned in </w:t>
      </w:r>
      <w:r>
        <w:t>subrule</w:t>
      </w:r>
      <w:r>
        <w:rPr>
          <w:snapToGrid w:val="0"/>
        </w:rPr>
        <w:t> (1) or within such time as may be specified in the request or may be directed by the Court.</w:t>
      </w:r>
    </w:p>
    <w:p>
      <w:pPr>
        <w:pStyle w:val="Footnotesection"/>
      </w:pPr>
      <w:r>
        <w:tab/>
        <w:t>[Rule 6 amended: Gazette 28 Jun 2011 p. 2552.]</w:t>
      </w:r>
    </w:p>
    <w:p>
      <w:pPr>
        <w:pStyle w:val="Heading2"/>
        <w:rPr>
          <w:b w:val="0"/>
        </w:rPr>
      </w:pPr>
      <w:bookmarkStart w:id="1321" w:name="_Toc162941138"/>
      <w:bookmarkStart w:id="1322" w:name="_Toc162953927"/>
      <w:bookmarkStart w:id="1323" w:name="_Toc163121600"/>
      <w:r>
        <w:rPr>
          <w:rStyle w:val="CharPartNo"/>
        </w:rPr>
        <w:lastRenderedPageBreak/>
        <w:t>Order 70</w:t>
      </w:r>
      <w:r>
        <w:rPr>
          <w:rStyle w:val="CharDivNo"/>
        </w:rPr>
        <w:t> </w:t>
      </w:r>
      <w:r>
        <w:t>—</w:t>
      </w:r>
      <w:r>
        <w:rPr>
          <w:rStyle w:val="CharDivText"/>
        </w:rPr>
        <w:t> </w:t>
      </w:r>
      <w:r>
        <w:rPr>
          <w:rStyle w:val="CharPartText"/>
        </w:rPr>
        <w:t>Disability</w:t>
      </w:r>
      <w:bookmarkEnd w:id="1321"/>
      <w:bookmarkEnd w:id="1322"/>
      <w:bookmarkEnd w:id="1323"/>
    </w:p>
    <w:p>
      <w:pPr>
        <w:pStyle w:val="Heading5"/>
        <w:rPr>
          <w:snapToGrid w:val="0"/>
        </w:rPr>
      </w:pPr>
      <w:bookmarkStart w:id="1324" w:name="_Toc163121601"/>
      <w:r>
        <w:rPr>
          <w:rStyle w:val="CharSectno"/>
        </w:rPr>
        <w:t>1</w:t>
      </w:r>
      <w:r>
        <w:rPr>
          <w:snapToGrid w:val="0"/>
        </w:rPr>
        <w:t>.</w:t>
      </w:r>
      <w:r>
        <w:rPr>
          <w:snapToGrid w:val="0"/>
        </w:rPr>
        <w:tab/>
        <w:t>Terms used</w:t>
      </w:r>
      <w:bookmarkEnd w:id="1324"/>
    </w:p>
    <w:p>
      <w:pPr>
        <w:pStyle w:val="Subsection"/>
        <w:rPr>
          <w:snapToGrid w:val="0"/>
        </w:rPr>
      </w:pPr>
      <w:r>
        <w:rPr>
          <w:snapToGrid w:val="0"/>
        </w:rPr>
        <w:tab/>
      </w:r>
      <w:r>
        <w:rPr>
          <w:snapToGrid w:val="0"/>
        </w:rPr>
        <w:tab/>
        <w:t>In this Order unless the contrary intention appears — </w:t>
      </w:r>
    </w:p>
    <w:p>
      <w:pPr>
        <w:pStyle w:val="Defstart"/>
      </w:pPr>
      <w:r>
        <w:tab/>
      </w:r>
      <w:r>
        <w:rPr>
          <w:rStyle w:val="CharDefText"/>
        </w:rPr>
        <w:t>GAA Act</w:t>
      </w:r>
      <w:r>
        <w:t xml:space="preserve"> means the </w:t>
      </w:r>
      <w:r>
        <w:rPr>
          <w:i/>
        </w:rPr>
        <w:t>Guardianship and Administration Act 1990</w:t>
      </w:r>
      <w:r>
        <w:t>;</w:t>
      </w:r>
    </w:p>
    <w:p>
      <w:pPr>
        <w:pStyle w:val="Defstart"/>
      </w:pPr>
      <w:r>
        <w:rPr>
          <w:b/>
        </w:rPr>
        <w:tab/>
      </w:r>
      <w:r>
        <w:rPr>
          <w:rStyle w:val="CharDefText"/>
        </w:rPr>
        <w:t>person under disability</w:t>
      </w:r>
      <w:r>
        <w:t xml:space="preserve"> means — </w:t>
      </w:r>
    </w:p>
    <w:p>
      <w:pPr>
        <w:pStyle w:val="Defpara"/>
      </w:pPr>
      <w:r>
        <w:tab/>
        <w:t>(a)</w:t>
      </w:r>
      <w:r>
        <w:tab/>
        <w:t>a person who is an infant; or</w:t>
      </w:r>
    </w:p>
    <w:p>
      <w:pPr>
        <w:pStyle w:val="Defpara"/>
      </w:pPr>
      <w:r>
        <w:tab/>
        <w:t>(b)</w:t>
      </w:r>
      <w:r>
        <w:tab/>
        <w:t>a represented person; or</w:t>
      </w:r>
    </w:p>
    <w:p>
      <w:pPr>
        <w:pStyle w:val="Defpara"/>
      </w:pPr>
      <w:r>
        <w:tab/>
        <w:t>(c)</w:t>
      </w:r>
      <w:r>
        <w:tab/>
        <w:t>a person not being a person referred to in paragraph (a) or (b), who, by reason of mental illness, defect or infirmity, however occasioned, is declared by the Court to be incapable of managing their affairs in respect of any proceedings to which the declaration relates;</w:t>
      </w:r>
    </w:p>
    <w:p>
      <w:pPr>
        <w:pStyle w:val="Defstart"/>
      </w:pPr>
      <w:r>
        <w:tab/>
      </w:r>
      <w:r>
        <w:rPr>
          <w:rStyle w:val="CharDefText"/>
        </w:rPr>
        <w:t>represented person</w:t>
      </w:r>
      <w:r>
        <w:t xml:space="preserve"> means a person in respect of whom a guardian or administrator has been appointed under the GAA Act with authority to do either or both of the following — </w:t>
      </w:r>
    </w:p>
    <w:p>
      <w:pPr>
        <w:pStyle w:val="Defpara"/>
      </w:pPr>
      <w:r>
        <w:tab/>
        <w:t>(a)</w:t>
      </w:r>
      <w:r>
        <w:tab/>
        <w:t>as the next friend of the represented person, to commence, conduct or settle on behalf of the represented person specified proceedings, some proceedings or all proceedings;</w:t>
      </w:r>
    </w:p>
    <w:p>
      <w:pPr>
        <w:pStyle w:val="Defpara"/>
      </w:pPr>
      <w:r>
        <w:tab/>
        <w:t>(b)</w:t>
      </w:r>
      <w:r>
        <w:tab/>
        <w:t xml:space="preserve">as the guardian </w:t>
      </w:r>
      <w:r>
        <w:rPr>
          <w:i/>
        </w:rPr>
        <w:t>ad litem</w:t>
      </w:r>
      <w:r>
        <w:t xml:space="preserve"> of the represented person, to defend or settle specified proceedings, some proceedings, or all proceedings, that are taken against the represented person.</w:t>
      </w:r>
    </w:p>
    <w:p>
      <w:pPr>
        <w:pStyle w:val="Footnotesection"/>
      </w:pPr>
      <w:r>
        <w:tab/>
        <w:t xml:space="preserve">[Rule 1 inserted: Gazette 22 Jul 1994 p. 3746; amended: SL 2020/242 r. 9(1)-(3).] </w:t>
      </w:r>
    </w:p>
    <w:p>
      <w:pPr>
        <w:pStyle w:val="Heading5"/>
        <w:rPr>
          <w:snapToGrid w:val="0"/>
        </w:rPr>
      </w:pPr>
      <w:bookmarkStart w:id="1325" w:name="_Toc163121602"/>
      <w:r>
        <w:rPr>
          <w:rStyle w:val="CharSectno"/>
        </w:rPr>
        <w:t>2</w:t>
      </w:r>
      <w:r>
        <w:rPr>
          <w:snapToGrid w:val="0"/>
        </w:rPr>
        <w:t>.</w:t>
      </w:r>
      <w:r>
        <w:rPr>
          <w:snapToGrid w:val="0"/>
        </w:rPr>
        <w:tab/>
        <w:t>Persons under disability suing or defending</w:t>
      </w:r>
      <w:bookmarkEnd w:id="1325"/>
    </w:p>
    <w:p>
      <w:pPr>
        <w:pStyle w:val="Subsection"/>
        <w:keepNext/>
      </w:pPr>
      <w:r>
        <w:tab/>
        <w:t>(1)</w:t>
      </w:r>
      <w:r>
        <w:tab/>
        <w:t xml:space="preserve">Except as provided in subrule (4) a person under disability — </w:t>
      </w:r>
    </w:p>
    <w:p>
      <w:pPr>
        <w:pStyle w:val="Indenta"/>
      </w:pPr>
      <w:r>
        <w:tab/>
        <w:t>(a)</w:t>
      </w:r>
      <w:r>
        <w:tab/>
        <w:t>cannot bring, or make a claim in, any proceedings except by the person’s next friend; and</w:t>
      </w:r>
    </w:p>
    <w:p>
      <w:pPr>
        <w:pStyle w:val="Indenta"/>
      </w:pPr>
      <w:r>
        <w:lastRenderedPageBreak/>
        <w:tab/>
        <w:t>(b)</w:t>
      </w:r>
      <w:r>
        <w:tab/>
        <w:t xml:space="preserve">cannot defend, make a counterclaim or intervene in any proceedings, or appear in any proceedings under a judgment or order, notice of which has been served on the person, except by the person’s guardian </w:t>
      </w:r>
      <w:r>
        <w:rPr>
          <w:i/>
        </w:rPr>
        <w:t>ad litem</w:t>
      </w:r>
      <w: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w:t>
      </w:r>
      <w:r>
        <w:t>must</w:t>
      </w:r>
      <w:r>
        <w:rPr>
          <w:snapToGrid w:val="0"/>
        </w:rPr>
        <w:t xml:space="preserve"> or may, if the party is a person under disability, be done by </w:t>
      </w:r>
      <w:r>
        <w:t>the person’s</w:t>
      </w:r>
      <w:r>
        <w:rPr>
          <w:snapToGrid w:val="0"/>
        </w:rPr>
        <w:t xml:space="preserve">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Subsection"/>
      </w:pPr>
      <w:r>
        <w:tab/>
        <w:t>(5)</w:t>
      </w:r>
      <w:r>
        <w:tab/>
        <w:t xml:space="preserve">If a person under disability is a represented person, the next friend or guardian </w:t>
      </w:r>
      <w:r>
        <w:rPr>
          <w:i/>
        </w:rPr>
        <w:t>ad litem</w:t>
      </w:r>
      <w:r>
        <w:t xml:space="preserve"> of the represented person in any proceedings must be — </w:t>
      </w:r>
    </w:p>
    <w:p>
      <w:pPr>
        <w:pStyle w:val="Indenta"/>
      </w:pPr>
      <w:r>
        <w:tab/>
        <w:t>(a)</w:t>
      </w:r>
      <w:r>
        <w:tab/>
        <w:t xml:space="preserve">a guardian or administrator of the represented person authorised under the GAA Act Part 5 or 6 to act as next friend or guardian </w:t>
      </w:r>
      <w:r>
        <w:rPr>
          <w:i/>
        </w:rPr>
        <w:t>ad litem</w:t>
      </w:r>
      <w:r>
        <w:t>, as the case may be, in those proceedings; or</w:t>
      </w:r>
    </w:p>
    <w:p>
      <w:pPr>
        <w:pStyle w:val="Indenta"/>
      </w:pPr>
      <w:r>
        <w:tab/>
        <w:t>(b)</w:t>
      </w:r>
      <w:r>
        <w:tab/>
        <w:t xml:space="preserve">some other person appointed by the Court to be the next friend or guardian </w:t>
      </w:r>
      <w:r>
        <w:rPr>
          <w:i/>
        </w:rPr>
        <w:t>ad litem</w:t>
      </w:r>
      <w:r>
        <w:t>, as the case may be, in those proceedings.</w:t>
      </w:r>
    </w:p>
    <w:p>
      <w:pPr>
        <w:pStyle w:val="Subsection"/>
      </w:pPr>
      <w:r>
        <w:tab/>
        <w:t>(6)</w:t>
      </w:r>
      <w:r>
        <w:tab/>
        <w:t xml:space="preserve">An appointment by the Court under subrule (5)(b) may be — </w:t>
      </w:r>
    </w:p>
    <w:p>
      <w:pPr>
        <w:pStyle w:val="Indenta"/>
      </w:pPr>
      <w:r>
        <w:tab/>
        <w:t>(a)</w:t>
      </w:r>
      <w:r>
        <w:tab/>
        <w:t>of its own motion; or</w:t>
      </w:r>
    </w:p>
    <w:p>
      <w:pPr>
        <w:pStyle w:val="Indenta"/>
      </w:pPr>
      <w:r>
        <w:tab/>
        <w:t>(b)</w:t>
      </w:r>
      <w:r>
        <w:tab/>
        <w:t>on an application made under rule 5.</w:t>
      </w:r>
    </w:p>
    <w:p>
      <w:pPr>
        <w:pStyle w:val="Subsection"/>
      </w:pPr>
      <w:r>
        <w:tab/>
        <w:t>(7)</w:t>
      </w:r>
      <w:r>
        <w:tab/>
        <w:t>For the purposes of subrule (6)(b) the Court may vary the requirements of rule 5 as it considers appropriate in the circumstances.</w:t>
      </w:r>
    </w:p>
    <w:p>
      <w:pPr>
        <w:pStyle w:val="Footnotesection"/>
      </w:pPr>
      <w:r>
        <w:lastRenderedPageBreak/>
        <w:tab/>
        <w:t>[Rule 2 amended: Gazette 28 Jun 2011 p. 2552; SL 2020/242 r. 9(4)-(6).]</w:t>
      </w:r>
    </w:p>
    <w:p>
      <w:pPr>
        <w:pStyle w:val="Heading5"/>
        <w:rPr>
          <w:snapToGrid w:val="0"/>
        </w:rPr>
      </w:pPr>
      <w:bookmarkStart w:id="1326" w:name="_Toc163121603"/>
      <w:r>
        <w:rPr>
          <w:rStyle w:val="CharSectno"/>
        </w:rPr>
        <w:t>3</w:t>
      </w:r>
      <w:r>
        <w:rPr>
          <w:snapToGrid w:val="0"/>
        </w:rPr>
        <w:t>.</w:t>
      </w:r>
      <w:r>
        <w:rPr>
          <w:snapToGrid w:val="0"/>
        </w:rPr>
        <w:tab/>
        <w:t xml:space="preserve">Appointment of next friend or guardian </w:t>
      </w:r>
      <w:r>
        <w:rPr>
          <w:i/>
          <w:snapToGrid w:val="0"/>
        </w:rPr>
        <w:t>ad litem</w:t>
      </w:r>
      <w:bookmarkEnd w:id="1326"/>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w:t>
      </w:r>
      <w:r>
        <w:t>subrules</w:t>
      </w:r>
      <w:r>
        <w:rPr>
          <w:snapToGrid w:val="0"/>
        </w:rPr>
        <w:t xml:space="preserve"> (5) and (6) or by rule 5, an order appointing a person next friend or guardian </w:t>
      </w:r>
      <w:r>
        <w:rPr>
          <w:i/>
          <w:snapToGrid w:val="0"/>
        </w:rPr>
        <w:t>ad litem</w:t>
      </w:r>
      <w:r>
        <w:rPr>
          <w:snapToGrid w:val="0"/>
        </w:rPr>
        <w:t xml:space="preserve"> of a person under disability is not </w:t>
      </w:r>
      <w:r>
        <w:t>necessary for the purpose of a proceeding to which this rule applies.</w:t>
      </w:r>
    </w:p>
    <w:p>
      <w:pPr>
        <w:pStyle w:val="Subsection"/>
        <w:rPr>
          <w:snapToGrid w:val="0"/>
        </w:rPr>
      </w:pPr>
      <w:r>
        <w:rPr>
          <w:snapToGrid w:val="0"/>
        </w:rPr>
        <w:tab/>
        <w:t>(3)</w:t>
      </w:r>
      <w:r>
        <w:rPr>
          <w:snapToGrid w:val="0"/>
        </w:rPr>
        <w:tab/>
        <w:t xml:space="preserve">If a person under disability is a represented person, a guardian or administrator authorised under the GAA Act Part 5 or 6 to act as next friend or guardian </w:t>
      </w:r>
      <w:r>
        <w:rPr>
          <w:i/>
          <w:snapToGrid w:val="0"/>
        </w:rPr>
        <w:t>ad litem</w:t>
      </w:r>
      <w:r>
        <w:rPr>
          <w:snapToGrid w:val="0"/>
        </w:rPr>
        <w:t xml:space="preserve">, as the case may be, of the represented person in the proceedings is the next friend or guardian </w:t>
      </w:r>
      <w:r>
        <w:rPr>
          <w:i/>
          <w:snapToGrid w:val="0"/>
        </w:rPr>
        <w:t>ad litem</w:t>
      </w:r>
      <w:r>
        <w:rPr>
          <w:snapToGrid w:val="0"/>
        </w:rPr>
        <w:t>, as the case may be.</w:t>
      </w:r>
    </w:p>
    <w:p>
      <w:pPr>
        <w:pStyle w:val="Subsection"/>
        <w:rPr>
          <w:snapToGrid w:val="0"/>
        </w:rPr>
      </w:pPr>
      <w:r>
        <w:tab/>
        <w:t>(4)</w:t>
      </w:r>
      <w:r>
        <w:tab/>
        <w:t>Subrule (3) does not apply</w:t>
      </w:r>
      <w:r>
        <w:rPr>
          <w:snapToGrid w:val="0"/>
        </w:rPr>
        <w:t xml:space="preserve">, in a case to which </w:t>
      </w:r>
      <w:r>
        <w:t>subrule</w:t>
      </w:r>
      <w:r>
        <w:rPr>
          <w:snapToGrid w:val="0"/>
        </w:rPr>
        <w:t xml:space="preserve"> (5) or (6) or rule 6 applies, if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w:t>
      </w:r>
      <w:r>
        <w:t>is</w:t>
      </w:r>
      <w:r>
        <w:rPr>
          <w:snapToGrid w:val="0"/>
        </w:rPr>
        <w:t xml:space="preserve"> entitled to act as such friend or guardian, as the case may be, of the person under disability in those proceedings unless the Court makes an order appointing </w:t>
      </w:r>
      <w:r>
        <w:t>another person</w:t>
      </w:r>
      <w:r>
        <w:rPr>
          <w:snapToGrid w:val="0"/>
        </w:rPr>
        <w:t xml:space="preserve">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w:t>
      </w:r>
      <w:r>
        <w:t>to the proceedings</w:t>
      </w:r>
      <w:r>
        <w:rPr>
          <w:snapToGrid w:val="0"/>
        </w:rPr>
        <w:t xml:space="preserve"> becomes a person under a disability, an application </w:t>
      </w:r>
      <w:r>
        <w:t>must</w:t>
      </w:r>
      <w:r>
        <w:rPr>
          <w:snapToGrid w:val="0"/>
        </w:rPr>
        <w:t xml:space="preserve"> be made to the Court for the appointment of a next friend or guardian </w:t>
      </w:r>
      <w:r>
        <w:rPr>
          <w:i/>
          <w:snapToGrid w:val="0"/>
        </w:rPr>
        <w:t>ad litem</w:t>
      </w:r>
      <w:r>
        <w:rPr>
          <w:snapToGrid w:val="0"/>
        </w:rPr>
        <w:t>, as the case may be, of that party.</w:t>
      </w:r>
    </w:p>
    <w:p>
      <w:pPr>
        <w:pStyle w:val="Subsection"/>
        <w:keepNext/>
        <w:rPr>
          <w:snapToGrid w:val="0"/>
        </w:rPr>
      </w:pPr>
      <w:r>
        <w:rPr>
          <w:snapToGrid w:val="0"/>
        </w:rPr>
        <w:tab/>
        <w:t>(7)</w:t>
      </w:r>
      <w:r>
        <w:rPr>
          <w:snapToGrid w:val="0"/>
        </w:rPr>
        <w:tab/>
        <w:t xml:space="preserve">Except where the next friend or guardian </w:t>
      </w:r>
      <w:r>
        <w:rPr>
          <w:i/>
          <w:snapToGrid w:val="0"/>
        </w:rPr>
        <w:t>ad litem</w:t>
      </w:r>
      <w:r>
        <w:rPr>
          <w:snapToGrid w:val="0"/>
        </w:rPr>
        <w:t xml:space="preserve"> of a person under disability has been appointed by the Court, is a guardian or administrator referred to in </w:t>
      </w:r>
      <w:r>
        <w:t>subrule</w:t>
      </w:r>
      <w:r>
        <w:rPr>
          <w:snapToGrid w:val="0"/>
        </w:rPr>
        <w:t xml:space="preserve"> (3), or is the Public </w:t>
      </w:r>
      <w:r>
        <w:rPr>
          <w:snapToGrid w:val="0"/>
        </w:rPr>
        <w:lastRenderedPageBreak/>
        <w:t xml:space="preserve">Trustee, the documents specified in subrule (8) must be filed before — </w:t>
      </w:r>
    </w:p>
    <w:p>
      <w:pPr>
        <w:pStyle w:val="Indenta"/>
        <w:rPr>
          <w:snapToGrid w:val="0"/>
        </w:rPr>
      </w:pPr>
      <w:r>
        <w:rPr>
          <w:snapToGrid w:val="0"/>
        </w:rPr>
        <w:tab/>
        <w:t>(a)</w:t>
      </w:r>
      <w:r>
        <w:rPr>
          <w:snapToGrid w:val="0"/>
        </w:rPr>
        <w:tab/>
        <w:t>the name of any person can be used in a cause or matter as next friend of the person under disability; and</w:t>
      </w:r>
    </w:p>
    <w:p>
      <w:pPr>
        <w:pStyle w:val="Indenta"/>
        <w:rPr>
          <w:snapToGrid w:val="0"/>
        </w:rPr>
      </w:pPr>
      <w:r>
        <w:rPr>
          <w:snapToGrid w:val="0"/>
        </w:rPr>
        <w:tab/>
        <w:t>(b)</w:t>
      </w:r>
      <w:r>
        <w:rPr>
          <w:snapToGrid w:val="0"/>
        </w:rPr>
        <w:tab/>
        <w:t>an appearance can be entered in a cause or matter for the person under disability; and</w:t>
      </w:r>
    </w:p>
    <w:p>
      <w:pPr>
        <w:pStyle w:val="Indenta"/>
      </w:pPr>
      <w:r>
        <w:rPr>
          <w:snapToGrid w:val="0"/>
        </w:rPr>
        <w:tab/>
        <w:t>(c)</w:t>
      </w:r>
      <w:r>
        <w:rPr>
          <w:snapToGrid w:val="0"/>
        </w:rPr>
        <w:tab/>
        <w:t xml:space="preserve">the person under disability is entitled to appear by the person’s guardian </w:t>
      </w:r>
      <w:r>
        <w:rPr>
          <w:i/>
          <w:snapToGrid w:val="0"/>
        </w:rPr>
        <w:t>ad litem</w:t>
      </w:r>
      <w:r>
        <w:rPr>
          <w:snapToGrid w:val="0"/>
        </w:rPr>
        <w:t xml:space="preserve"> on the hearing of a petition, summons or motion which, or notice of which, has been served on the person.</w:t>
      </w:r>
    </w:p>
    <w:p>
      <w:pPr>
        <w:pStyle w:val="Subsection"/>
        <w:rPr>
          <w:snapToGrid w:val="0"/>
        </w:rPr>
      </w:pPr>
      <w:r>
        <w:rPr>
          <w:snapToGrid w:val="0"/>
        </w:rPr>
        <w:tab/>
        <w:t>(8)</w:t>
      </w:r>
      <w:r>
        <w:rPr>
          <w:snapToGrid w:val="0"/>
        </w:rPr>
        <w:tab/>
        <w:t xml:space="preserve">The documents referred to in </w:t>
      </w:r>
      <w:r>
        <w:t>subrule</w:t>
      </w:r>
      <w:r>
        <w:rPr>
          <w:snapToGrid w:val="0"/>
        </w:rPr>
        <w:t>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 and</w:t>
      </w:r>
    </w:p>
    <w:p>
      <w:pPr>
        <w:pStyle w:val="Indenta"/>
        <w:rPr>
          <w:snapToGrid w:val="0"/>
        </w:rPr>
      </w:pPr>
      <w:r>
        <w:tab/>
        <w:t>(b)</w:t>
      </w:r>
      <w:r>
        <w:tab/>
      </w:r>
      <w:r>
        <w:rPr>
          <w:snapToGrid w:val="0"/>
        </w:rPr>
        <w:t>an affidavit by the solicitor for the person under disability deposing — </w:t>
      </w:r>
    </w:p>
    <w:p>
      <w:pPr>
        <w:pStyle w:val="Indenti"/>
        <w:rPr>
          <w:snapToGrid w:val="0"/>
        </w:rPr>
      </w:pPr>
      <w:r>
        <w:rPr>
          <w:snapToGrid w:val="0"/>
        </w:rPr>
        <w:tab/>
        <w:t>(i)</w:t>
      </w:r>
      <w:r>
        <w:rPr>
          <w:snapToGrid w:val="0"/>
        </w:rPr>
        <w:tab/>
        <w:t>that the solicitor knows or believes, as the case may be, that the person to whom the affidavit relates is an infant or a represented person, stating (in the case of a represented person) the grounds of that knowledge or belief; and</w:t>
      </w:r>
    </w:p>
    <w:p>
      <w:pPr>
        <w:pStyle w:val="Indenti"/>
        <w:rPr>
          <w:snapToGrid w:val="0"/>
        </w:rPr>
      </w:pPr>
      <w:r>
        <w:rPr>
          <w:snapToGrid w:val="0"/>
        </w:rPr>
        <w:tab/>
        <w:t>(ii)</w:t>
      </w:r>
      <w:r>
        <w:rPr>
          <w:snapToGrid w:val="0"/>
        </w:rPr>
        <w:tab/>
        <w:t xml:space="preserve">that the person named in the affidavit as next friend or guardian </w:t>
      </w:r>
      <w:r>
        <w:rPr>
          <w:i/>
          <w:snapToGrid w:val="0"/>
        </w:rPr>
        <w:t>ad litem</w:t>
      </w:r>
      <w:r>
        <w:rPr>
          <w:snapToGrid w:val="0"/>
        </w:rPr>
        <w:t>, as the case may be, has no interest in the cause or matter in question adverse to that of the person under disability; and</w:t>
      </w:r>
    </w:p>
    <w:p>
      <w:pPr>
        <w:pStyle w:val="Indenti"/>
        <w:rPr>
          <w:snapToGrid w:val="0"/>
        </w:rPr>
      </w:pPr>
      <w:r>
        <w:rPr>
          <w:snapToGrid w:val="0"/>
        </w:rPr>
        <w:tab/>
        <w:t>(iii)</w:t>
      </w:r>
      <w:r>
        <w:rPr>
          <w:snapToGrid w:val="0"/>
        </w:rPr>
        <w:tab/>
        <w:t xml:space="preserve">that in the case of an infant (who is not a represented person) who has attained the age of 14 years, the infant consents to the person named in the affidavit acting as next friend or guardian </w:t>
      </w:r>
      <w:r>
        <w:rPr>
          <w:i/>
          <w:snapToGrid w:val="0"/>
        </w:rPr>
        <w:t>ad litem</w:t>
      </w:r>
      <w:r>
        <w:rPr>
          <w:snapToGrid w:val="0"/>
        </w:rPr>
        <w:t>, as the case may be.</w:t>
      </w:r>
    </w:p>
    <w:p>
      <w:pPr>
        <w:pStyle w:val="Ednotepara"/>
      </w:pPr>
      <w:r>
        <w:tab/>
        <w:t>[(c)</w:t>
      </w:r>
      <w:r>
        <w:tab/>
        <w:t>deleted]</w:t>
      </w:r>
    </w:p>
    <w:p>
      <w:pPr>
        <w:pStyle w:val="Subsection"/>
        <w:rPr>
          <w:snapToGrid w:val="0"/>
        </w:rPr>
      </w:pPr>
      <w:r>
        <w:lastRenderedPageBreak/>
        <w:tab/>
        <w:t>(9)</w:t>
      </w:r>
      <w:r>
        <w:tab/>
        <w:t>If</w:t>
      </w:r>
      <w:r>
        <w:rPr>
          <w:snapToGrid w:val="0"/>
        </w:rPr>
        <w:t xml:space="preserve"> the person who is the next friend or guardian </w:t>
      </w:r>
      <w:r>
        <w:rPr>
          <w:i/>
          <w:snapToGrid w:val="0"/>
        </w:rPr>
        <w:t>ad litem</w:t>
      </w:r>
      <w:r>
        <w:rPr>
          <w:snapToGrid w:val="0"/>
        </w:rPr>
        <w:t xml:space="preserve">, as the case may be, of a represented person and is authorised under the GAA Act Part 5 or 6 to conduct proceedings in a cause or matter in the name of the represented person or on behalf of the represented person, a copy of the order made under the GAA Act Part 5 or 6 giving the authority must be filed before — </w:t>
      </w:r>
    </w:p>
    <w:p>
      <w:pPr>
        <w:pStyle w:val="Indenta"/>
        <w:rPr>
          <w:snapToGrid w:val="0"/>
        </w:rPr>
      </w:pPr>
      <w:r>
        <w:rPr>
          <w:snapToGrid w:val="0"/>
        </w:rPr>
        <w:tab/>
        <w:t>(a)</w:t>
      </w:r>
      <w:r>
        <w:rPr>
          <w:snapToGrid w:val="0"/>
        </w:rPr>
        <w:tab/>
        <w:t>the name of any person can be used in the cause or matter as next friend of the represented person; and</w:t>
      </w:r>
    </w:p>
    <w:p>
      <w:pPr>
        <w:pStyle w:val="Indenta"/>
        <w:rPr>
          <w:snapToGrid w:val="0"/>
        </w:rPr>
      </w:pPr>
      <w:r>
        <w:rPr>
          <w:snapToGrid w:val="0"/>
        </w:rPr>
        <w:tab/>
        <w:t>(b)</w:t>
      </w:r>
      <w:r>
        <w:rPr>
          <w:snapToGrid w:val="0"/>
        </w:rPr>
        <w:tab/>
        <w:t>an appearance can be entered in a cause or matter for the represented person; and</w:t>
      </w:r>
    </w:p>
    <w:p>
      <w:pPr>
        <w:pStyle w:val="Indenta"/>
      </w:pPr>
      <w:r>
        <w:rPr>
          <w:snapToGrid w:val="0"/>
        </w:rPr>
        <w:tab/>
        <w:t>(c)</w:t>
      </w:r>
      <w:r>
        <w:rPr>
          <w:snapToGrid w:val="0"/>
        </w:rPr>
        <w:tab/>
        <w:t xml:space="preserve">the represented person is entitled to appear by the person’s guardian </w:t>
      </w:r>
      <w:r>
        <w:rPr>
          <w:i/>
          <w:snapToGrid w:val="0"/>
        </w:rPr>
        <w:t>ad litem</w:t>
      </w:r>
      <w:r>
        <w:rPr>
          <w:snapToGrid w:val="0"/>
        </w:rPr>
        <w:t xml:space="preserve"> on the hearing of a petition, summons or motion which, or notice of which, has been served on the person.</w:t>
      </w:r>
    </w:p>
    <w:p>
      <w:pPr>
        <w:pStyle w:val="Footnotesection"/>
      </w:pPr>
      <w:r>
        <w:tab/>
        <w:t>[Rule 3 amended: Gazette 22 Jul 1994 p. 3746</w:t>
      </w:r>
      <w:r>
        <w:noBreakHyphen/>
        <w:t>8; 28 Jun 2011 p. 2552</w:t>
      </w:r>
      <w:r>
        <w:noBreakHyphen/>
        <w:t xml:space="preserve">3; SL 2020/242 r. 9(7)-(13).] </w:t>
      </w:r>
    </w:p>
    <w:p>
      <w:pPr>
        <w:pStyle w:val="Heading5"/>
        <w:rPr>
          <w:snapToGrid w:val="0"/>
        </w:rPr>
      </w:pPr>
      <w:bookmarkStart w:id="1327" w:name="_Toc163121604"/>
      <w:r>
        <w:rPr>
          <w:rStyle w:val="CharSectno"/>
        </w:rPr>
        <w:t>4</w:t>
      </w:r>
      <w:r>
        <w:rPr>
          <w:snapToGrid w:val="0"/>
        </w:rPr>
        <w:t>.</w:t>
      </w:r>
      <w:r>
        <w:rPr>
          <w:snapToGrid w:val="0"/>
        </w:rPr>
        <w:tab/>
        <w:t>Special provisions for probate actions</w:t>
      </w:r>
      <w:bookmarkEnd w:id="1327"/>
    </w:p>
    <w:p>
      <w:pPr>
        <w:pStyle w:val="Subsection"/>
        <w:rPr>
          <w:snapToGrid w:val="0"/>
        </w:rPr>
      </w:pPr>
      <w:r>
        <w:rPr>
          <w:snapToGrid w:val="0"/>
        </w:rPr>
        <w:tab/>
        <w:t>(1)</w:t>
      </w:r>
      <w:r>
        <w:rPr>
          <w:snapToGrid w:val="0"/>
        </w:rPr>
        <w:tab/>
        <w:t>This rule applies in relation to a probate action.</w:t>
      </w:r>
    </w:p>
    <w:p>
      <w:pPr>
        <w:pStyle w:val="Subsection"/>
      </w:pPr>
      <w:r>
        <w:tab/>
        <w:t>(2)</w:t>
      </w:r>
      <w:r>
        <w:tab/>
        <w:t xml:space="preserve">Except as provided in subrule (3), a person must not act in a probate action as next friend or guardian </w:t>
      </w:r>
      <w:r>
        <w:rPr>
          <w:i/>
        </w:rPr>
        <w:t>ad litem</w:t>
      </w:r>
      <w:r>
        <w:t xml:space="preserve"> of a person under disability unless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pPr>
      <w:r>
        <w:tab/>
        <w:t>(a)</w:t>
      </w:r>
      <w:r>
        <w:tab/>
      </w:r>
      <w:r>
        <w:rPr>
          <w:snapToGrid w:val="0"/>
        </w:rPr>
        <w:t>in the case of a represented person, the person is the guardian or administrator authorised under the GAA Act Part 5 or 6 to conduct legal proceedings in the name of the represented person;</w:t>
      </w:r>
    </w:p>
    <w:p>
      <w:pPr>
        <w:pStyle w:val="Indenta"/>
        <w:rPr>
          <w:snapToGrid w:val="0"/>
        </w:rPr>
      </w:pPr>
      <w:r>
        <w:rPr>
          <w:snapToGrid w:val="0"/>
        </w:rPr>
        <w:tab/>
        <w:t>(b)</w:t>
      </w:r>
      <w:r>
        <w:rPr>
          <w:snapToGrid w:val="0"/>
        </w:rPr>
        <w:tab/>
        <w:t xml:space="preserve">in the case of an infant (who is not also a represented person) </w:t>
      </w:r>
      <w:r>
        <w:t>the person</w:t>
      </w:r>
      <w:r>
        <w:rPr>
          <w:snapToGrid w:val="0"/>
        </w:rPr>
        <w:t xml:space="preserv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w:t>
      </w:r>
      <w:r>
        <w:rPr>
          <w:snapToGrid w:val="0"/>
        </w:rPr>
        <w:lastRenderedPageBreak/>
        <w:t xml:space="preserve">qualified to be such next friend or guardian by virtue of paragraph (b) and the person is one of the next of kin of the infant and has been appointed by </w:t>
      </w:r>
      <w:r>
        <w:t>the infant to act as the infant’s</w:t>
      </w:r>
      <w:r>
        <w:rPr>
          <w:snapToGrid w:val="0"/>
        </w:rPr>
        <w:t xml:space="preserve">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w:t>
      </w:r>
      <w:r>
        <w:t>the person</w:t>
      </w:r>
      <w:r>
        <w:rPr>
          <w:snapToGrid w:val="0"/>
        </w:rPr>
        <w:t xml:space="preserve"> in the action (where </w:t>
      </w:r>
      <w:r>
        <w:t>the person</w:t>
      </w:r>
      <w:r>
        <w:rPr>
          <w:snapToGrid w:val="0"/>
        </w:rPr>
        <w:t xml:space="preserv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w:t>
      </w:r>
      <w:r>
        <w:t>subrule</w:t>
      </w:r>
      <w:r>
        <w:rPr>
          <w:snapToGrid w:val="0"/>
        </w:rPr>
        <w:t xml:space="preserve"> (4) there must be produced to the master, in the case of a represented person a copy of the order under </w:t>
      </w:r>
      <w:r>
        <w:t xml:space="preserve">the GAA Act Part 5 or 6 </w:t>
      </w:r>
      <w:r>
        <w:rPr>
          <w:snapToGrid w:val="0"/>
        </w:rPr>
        <w:t xml:space="preserve">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keepNext/>
        <w:rPr>
          <w:snapToGrid w:val="0"/>
        </w:rPr>
      </w:pPr>
      <w:r>
        <w:rPr>
          <w:snapToGrid w:val="0"/>
        </w:rPr>
        <w:tab/>
        <w:t>(b)</w:t>
      </w:r>
      <w:r>
        <w:rPr>
          <w:snapToGrid w:val="0"/>
        </w:rPr>
        <w:tab/>
        <w:t>where 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w:t>
      </w:r>
      <w:r>
        <w:t xml:space="preserve">the proposed next friend or guardian </w:t>
      </w:r>
      <w:r>
        <w:rPr>
          <w:i/>
        </w:rPr>
        <w:t>ad litem</w:t>
      </w:r>
      <w:r>
        <w:rPr>
          <w:snapToGrid w:val="0"/>
        </w:rPr>
        <w:t xml:space="preserve"> has no interest in the action adverse to that of the infant, and is a next</w:t>
      </w:r>
      <w:r>
        <w:rPr>
          <w:snapToGrid w:val="0"/>
        </w:rPr>
        <w:noBreakHyphen/>
        <w:t>of</w:t>
      </w:r>
      <w:r>
        <w:rPr>
          <w:snapToGrid w:val="0"/>
        </w:rPr>
        <w:noBreakHyphen/>
        <w:t>kin of the infant.</w:t>
      </w:r>
    </w:p>
    <w:p>
      <w:pPr>
        <w:pStyle w:val="Footnotesection"/>
      </w:pPr>
      <w:r>
        <w:lastRenderedPageBreak/>
        <w:tab/>
        <w:t xml:space="preserve">[Rule 4 amended: Gazette 30 Nov 1984 p. 3952; 22 Jul 1994 p. 3748; 30 Jun 2003 p. 2631; 28 Jun 2011 p. 2552 and 2555; SL 2020/242 r. 9(14)-(17).] </w:t>
      </w:r>
    </w:p>
    <w:p>
      <w:pPr>
        <w:pStyle w:val="Heading5"/>
        <w:rPr>
          <w:snapToGrid w:val="0"/>
        </w:rPr>
      </w:pPr>
      <w:bookmarkStart w:id="1328" w:name="_Toc163121605"/>
      <w:r>
        <w:rPr>
          <w:rStyle w:val="CharSectno"/>
        </w:rPr>
        <w:t>5</w:t>
      </w:r>
      <w:r>
        <w:rPr>
          <w:snapToGrid w:val="0"/>
        </w:rPr>
        <w:t>.</w:t>
      </w:r>
      <w:r>
        <w:rPr>
          <w:snapToGrid w:val="0"/>
        </w:rPr>
        <w:tab/>
        <w:t>Procedure on no appearance by person under disability</w:t>
      </w:r>
      <w:bookmarkEnd w:id="1328"/>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w:t>
      </w:r>
      <w:r>
        <w:t xml:space="preserve">(as respects the person under disability) </w:t>
      </w:r>
      <w:r>
        <w:rPr>
          <w:snapToGrid w:val="0"/>
        </w:rPr>
        <w:t xml:space="preserve">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w:t>
      </w:r>
      <w:r>
        <w:rPr>
          <w:snapToGrid w:val="0"/>
        </w:rPr>
        <w:lastRenderedPageBreak/>
        <w:t>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 xml:space="preserve">An application under </w:t>
      </w:r>
      <w:r>
        <w:t>subrules</w:t>
      </w:r>
      <w:r>
        <w:rPr>
          <w:snapToGrid w:val="0"/>
        </w:rPr>
        <w:t> (1) or (2) must be supported by evidence proving — </w:t>
      </w:r>
    </w:p>
    <w:p>
      <w:pPr>
        <w:pStyle w:val="Indenta"/>
        <w:rPr>
          <w:snapToGrid w:val="0"/>
        </w:rPr>
      </w:pPr>
      <w:r>
        <w:rPr>
          <w:snapToGrid w:val="0"/>
        </w:rPr>
        <w:tab/>
        <w:t>(a)</w:t>
      </w:r>
      <w:r>
        <w:rPr>
          <w:snapToGrid w:val="0"/>
        </w:rPr>
        <w:tab/>
        <w:t>that the person to whom the application relates is a person under disability; and</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 and</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 xml:space="preserve">subject to </w:t>
      </w:r>
      <w:r>
        <w:t>subrule</w:t>
      </w:r>
      <w:r>
        <w:rPr>
          <w:snapToGrid w:val="0"/>
        </w:rPr>
        <w:t xml:space="preserve"> (6) that notice of the application was, after the expiration of the time limited for appearance, and at least 7 days before the day named in the notice for hearing the application, duly served on </w:t>
      </w:r>
      <w:r>
        <w:t>the person under disability.</w:t>
      </w:r>
    </w:p>
    <w:p>
      <w:pPr>
        <w:pStyle w:val="Subsection"/>
        <w:rPr>
          <w:snapToGrid w:val="0"/>
        </w:rPr>
      </w:pPr>
      <w:r>
        <w:rPr>
          <w:snapToGrid w:val="0"/>
        </w:rPr>
        <w:tab/>
        <w:t>(6)</w:t>
      </w:r>
      <w:r>
        <w:rPr>
          <w:snapToGrid w:val="0"/>
        </w:rPr>
        <w:tab/>
        <w:t xml:space="preserve">The Court may order that notice of an application under </w:t>
      </w:r>
      <w:r>
        <w:t>subrules</w:t>
      </w:r>
      <w:r>
        <w:rPr>
          <w:snapToGrid w:val="0"/>
        </w:rPr>
        <w:t>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w:t>
      </w:r>
      <w:r>
        <w:t>subrule</w:t>
      </w:r>
      <w:r>
        <w:rPr>
          <w:snapToGrid w:val="0"/>
        </w:rPr>
        <w:t xml:space="preserve"> (3) or (4) must be supported by evidence proving the matters referred to in </w:t>
      </w:r>
      <w:r>
        <w:t>subrule</w:t>
      </w:r>
      <w:r>
        <w:rPr>
          <w:snapToGrid w:val="0"/>
        </w:rPr>
        <w:t xml:space="preserve"> (5)(b).</w:t>
      </w:r>
    </w:p>
    <w:p>
      <w:pPr>
        <w:pStyle w:val="Footnotesection"/>
      </w:pPr>
      <w:r>
        <w:tab/>
        <w:t>[Rule 5 amended: Gazette 28 Jun 2011 p. 2552</w:t>
      </w:r>
      <w:r>
        <w:noBreakHyphen/>
        <w:t>3; SL 2020/242 r. 9(18) and (19).]</w:t>
      </w:r>
    </w:p>
    <w:p>
      <w:pPr>
        <w:pStyle w:val="Heading5"/>
        <w:rPr>
          <w:snapToGrid w:val="0"/>
        </w:rPr>
      </w:pPr>
      <w:bookmarkStart w:id="1329" w:name="_Toc163121606"/>
      <w:r>
        <w:rPr>
          <w:rStyle w:val="CharSectno"/>
        </w:rPr>
        <w:lastRenderedPageBreak/>
        <w:t>6</w:t>
      </w:r>
      <w:r>
        <w:rPr>
          <w:snapToGrid w:val="0"/>
        </w:rPr>
        <w:t>.</w:t>
      </w:r>
      <w:r>
        <w:rPr>
          <w:snapToGrid w:val="0"/>
        </w:rPr>
        <w:tab/>
        <w:t>Time for application by person under disability to discharge or vary order under O. 18 r. 7</w:t>
      </w:r>
      <w:bookmarkEnd w:id="1329"/>
    </w:p>
    <w:p>
      <w:pPr>
        <w:pStyle w:val="Subsection"/>
        <w:rPr>
          <w:snapToGrid w:val="0"/>
        </w:rPr>
      </w:pPr>
      <w:r>
        <w:rPr>
          <w:snapToGrid w:val="0"/>
        </w:rPr>
        <w:tab/>
      </w:r>
      <w:r>
        <w:rPr>
          <w:snapToGrid w:val="0"/>
        </w:rPr>
        <w:tab/>
        <w:t xml:space="preserve">An application to the Court on behalf of a person under disability on whom an order made </w:t>
      </w:r>
      <w:r>
        <w:rPr>
          <w:i/>
          <w:snapToGrid w:val="0"/>
        </w:rPr>
        <w:t>ex parte</w:t>
      </w:r>
      <w:r>
        <w:rPr>
          <w:snapToGrid w:val="0"/>
        </w:rPr>
        <w:t xml:space="preserv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w:t>
      </w:r>
      <w:r>
        <w:t>that person.</w:t>
      </w:r>
    </w:p>
    <w:p>
      <w:pPr>
        <w:pStyle w:val="Footnotesection"/>
      </w:pPr>
      <w:r>
        <w:tab/>
        <w:t>[Rule 6 amended: SL 2020/242 r. 9(20).]</w:t>
      </w:r>
    </w:p>
    <w:p>
      <w:pPr>
        <w:pStyle w:val="Heading5"/>
        <w:rPr>
          <w:snapToGrid w:val="0"/>
        </w:rPr>
      </w:pPr>
      <w:bookmarkStart w:id="1330" w:name="_Toc163121607"/>
      <w:r>
        <w:rPr>
          <w:rStyle w:val="CharSectno"/>
        </w:rPr>
        <w:t>7</w:t>
      </w:r>
      <w:r>
        <w:rPr>
          <w:snapToGrid w:val="0"/>
        </w:rPr>
        <w:t>.</w:t>
      </w:r>
      <w:r>
        <w:rPr>
          <w:snapToGrid w:val="0"/>
        </w:rPr>
        <w:tab/>
        <w:t>Removal of next friend or guardian</w:t>
      </w:r>
      <w:bookmarkEnd w:id="1330"/>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w:t>
      </w:r>
      <w:r>
        <w:t>must</w:t>
      </w:r>
      <w:r>
        <w:rPr>
          <w:snapToGrid w:val="0"/>
        </w:rPr>
        <w:t xml:space="preserve">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Footnotesection"/>
      </w:pPr>
      <w:r>
        <w:tab/>
        <w:t>[Rule 7 amended: SL 2020/242 r. 9(21).]</w:t>
      </w:r>
    </w:p>
    <w:p>
      <w:pPr>
        <w:pStyle w:val="Heading5"/>
      </w:pPr>
      <w:bookmarkStart w:id="1331" w:name="_Toc163121608"/>
      <w:r>
        <w:rPr>
          <w:rStyle w:val="CharSectno"/>
        </w:rPr>
        <w:t>8</w:t>
      </w:r>
      <w:r>
        <w:t>.</w:t>
      </w:r>
      <w:r>
        <w:tab/>
        <w:t>No implied admission from pleading</w:t>
      </w:r>
      <w:bookmarkEnd w:id="1331"/>
    </w:p>
    <w:p>
      <w:pPr>
        <w:pStyle w:val="Subsection"/>
        <w:keepNext/>
      </w:pPr>
      <w:r>
        <w:tab/>
      </w:r>
      <w:r>
        <w:tab/>
        <w:t xml:space="preserve">Despite anything in Order 20 rule 14(1), a person under disability is not taken to admit the truth of any allegation of fact made in the pleading of the opposite party by reason only that </w:t>
      </w:r>
      <w:r>
        <w:lastRenderedPageBreak/>
        <w:t>the allegation was not traversed in the pleadings of the person under disability.</w:t>
      </w:r>
    </w:p>
    <w:p>
      <w:pPr>
        <w:pStyle w:val="Footnotesection"/>
      </w:pPr>
      <w:r>
        <w:tab/>
        <w:t>[Rule 8 inserted: SL 2020/242 r. 9(22).]</w:t>
      </w:r>
    </w:p>
    <w:p>
      <w:pPr>
        <w:pStyle w:val="Heading5"/>
        <w:rPr>
          <w:snapToGrid w:val="0"/>
        </w:rPr>
      </w:pPr>
      <w:bookmarkStart w:id="1332" w:name="_Toc163121609"/>
      <w:r>
        <w:rPr>
          <w:rStyle w:val="CharSectno"/>
        </w:rPr>
        <w:t>9</w:t>
      </w:r>
      <w:r>
        <w:rPr>
          <w:snapToGrid w:val="0"/>
        </w:rPr>
        <w:t>.</w:t>
      </w:r>
      <w:r>
        <w:rPr>
          <w:snapToGrid w:val="0"/>
        </w:rPr>
        <w:tab/>
        <w:t>Discovery and interrogatories</w:t>
      </w:r>
      <w:bookmarkEnd w:id="1332"/>
    </w:p>
    <w:p>
      <w:pPr>
        <w:pStyle w:val="Subsection"/>
        <w:rPr>
          <w:snapToGrid w:val="0"/>
        </w:rPr>
      </w:pPr>
      <w:r>
        <w:rPr>
          <w:snapToGrid w:val="0"/>
        </w:rPr>
        <w:tab/>
      </w:r>
      <w:r>
        <w:rPr>
          <w:snapToGrid w:val="0"/>
        </w:rPr>
        <w:tab/>
        <w:t xml:space="preserve">Orders 26 and 27 apply to a person under disability and to </w:t>
      </w:r>
      <w:r>
        <w:t>the person’s</w:t>
      </w:r>
      <w:r>
        <w:rPr>
          <w:snapToGrid w:val="0"/>
        </w:rPr>
        <w:t xml:space="preserve"> next friend or guardian </w:t>
      </w:r>
      <w:r>
        <w:rPr>
          <w:i/>
          <w:snapToGrid w:val="0"/>
        </w:rPr>
        <w:t>ad litem</w:t>
      </w:r>
      <w:r>
        <w:rPr>
          <w:snapToGrid w:val="0"/>
        </w:rPr>
        <w:t>.</w:t>
      </w:r>
    </w:p>
    <w:p>
      <w:pPr>
        <w:pStyle w:val="Footnotesection"/>
      </w:pPr>
      <w:r>
        <w:tab/>
        <w:t>[Rule 9 amended: SL 2020/242 r. 9(23).]</w:t>
      </w:r>
    </w:p>
    <w:p>
      <w:pPr>
        <w:pStyle w:val="Heading5"/>
        <w:rPr>
          <w:snapToGrid w:val="0"/>
        </w:rPr>
      </w:pPr>
      <w:bookmarkStart w:id="1333" w:name="_Toc163121610"/>
      <w:r>
        <w:rPr>
          <w:rStyle w:val="CharSectno"/>
        </w:rPr>
        <w:t>10</w:t>
      </w:r>
      <w:r>
        <w:rPr>
          <w:snapToGrid w:val="0"/>
        </w:rPr>
        <w:t>.</w:t>
      </w:r>
      <w:r>
        <w:rPr>
          <w:snapToGrid w:val="0"/>
        </w:rPr>
        <w:tab/>
        <w:t>Settlement etc. of action by person under disability</w:t>
      </w:r>
      <w:bookmarkEnd w:id="1333"/>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xml:space="preserve">) in which there is a claim by or on behalf of or against a person under disability, </w:t>
      </w:r>
      <w:r>
        <w:t>is</w:t>
      </w:r>
      <w:r>
        <w:rPr>
          <w:snapToGrid w:val="0"/>
        </w:rPr>
        <w:t xml:space="preserve"> valid unless it is approved by the Court.</w:t>
      </w:r>
    </w:p>
    <w:p>
      <w:pPr>
        <w:pStyle w:val="Subsection"/>
        <w:rPr>
          <w:snapToGrid w:val="0"/>
        </w:rPr>
      </w:pPr>
      <w:r>
        <w:rPr>
          <w:snapToGrid w:val="0"/>
        </w:rPr>
        <w:tab/>
        <w:t>(2)</w:t>
      </w:r>
      <w:r>
        <w:rPr>
          <w:snapToGrid w:val="0"/>
        </w:rPr>
        <w:tab/>
        <w:t xml:space="preserve">An application for approval under </w:t>
      </w:r>
      <w:r>
        <w:t>subrule</w:t>
      </w:r>
      <w:r>
        <w:rPr>
          <w:snapToGrid w:val="0"/>
        </w:rPr>
        <w:t> (1) — </w:t>
      </w:r>
    </w:p>
    <w:p>
      <w:pPr>
        <w:pStyle w:val="Indenta"/>
        <w:rPr>
          <w:snapToGrid w:val="0"/>
        </w:rPr>
      </w:pPr>
      <w:r>
        <w:rPr>
          <w:snapToGrid w:val="0"/>
        </w:rPr>
        <w:tab/>
        <w:t>(a)</w:t>
      </w:r>
      <w:r>
        <w:rPr>
          <w:snapToGrid w:val="0"/>
        </w:rPr>
        <w:tab/>
        <w:t xml:space="preserve">if made before the hearing of a cause or matter, </w:t>
      </w:r>
      <w:r>
        <w:t>must</w:t>
      </w:r>
      <w:r>
        <w:rPr>
          <w:snapToGrid w:val="0"/>
        </w:rPr>
        <w:t xml:space="preserve"> be by summons in chambers;</w:t>
      </w:r>
    </w:p>
    <w:p>
      <w:pPr>
        <w:pStyle w:val="Indenta"/>
        <w:rPr>
          <w:snapToGrid w:val="0"/>
        </w:rPr>
      </w:pPr>
      <w:r>
        <w:rPr>
          <w:snapToGrid w:val="0"/>
        </w:rPr>
        <w:tab/>
        <w:t>(b)</w:t>
      </w:r>
      <w:r>
        <w:rPr>
          <w:snapToGrid w:val="0"/>
        </w:rPr>
        <w:tab/>
        <w:t xml:space="preserve">if made during the trial of an action or issue, </w:t>
      </w:r>
      <w:r>
        <w:t>must</w:t>
      </w:r>
      <w:r>
        <w:rPr>
          <w:snapToGrid w:val="0"/>
        </w:rPr>
        <w:t xml:space="preserve"> be to the trial judge on motion,</w:t>
      </w:r>
    </w:p>
    <w:p>
      <w:pPr>
        <w:pStyle w:val="Subsection"/>
        <w:rPr>
          <w:snapToGrid w:val="0"/>
        </w:rPr>
      </w:pPr>
      <w:r>
        <w:rPr>
          <w:snapToGrid w:val="0"/>
        </w:rPr>
        <w:tab/>
      </w:r>
      <w:r>
        <w:rPr>
          <w:snapToGrid w:val="0"/>
        </w:rPr>
        <w:tab/>
        <w:t xml:space="preserve">and </w:t>
      </w:r>
      <w:r>
        <w:t>must</w:t>
      </w:r>
      <w:r>
        <w:rPr>
          <w:snapToGrid w:val="0"/>
        </w:rPr>
        <w:t xml:space="preserve"> be supported by affidavit and by the opinion of an independent counsel; but the Court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Gazette 7 Oct 1977 p. 3602; amended: Gazette 29 Apr 2005 p. 1795; 28 Jun 2011 p. 2552; SL 2020/242 r. 9(24) and (25).] </w:t>
      </w:r>
    </w:p>
    <w:p>
      <w:pPr>
        <w:pStyle w:val="Heading5"/>
      </w:pPr>
      <w:bookmarkStart w:id="1334" w:name="_Toc163121611"/>
      <w:r>
        <w:rPr>
          <w:rStyle w:val="CharSectno"/>
        </w:rPr>
        <w:lastRenderedPageBreak/>
        <w:t>10A</w:t>
      </w:r>
      <w:r>
        <w:t>.</w:t>
      </w:r>
      <w:r>
        <w:tab/>
        <w:t>Settlement etc. of appeal by person under disability</w:t>
      </w:r>
      <w:bookmarkEnd w:id="1334"/>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Gazette 29 Apr 2005 p. 1793.] </w:t>
      </w:r>
    </w:p>
    <w:p>
      <w:pPr>
        <w:pStyle w:val="Heading5"/>
        <w:rPr>
          <w:snapToGrid w:val="0"/>
        </w:rPr>
      </w:pPr>
      <w:bookmarkStart w:id="1335" w:name="_Toc163121612"/>
      <w:r>
        <w:rPr>
          <w:rStyle w:val="CharSectno"/>
        </w:rPr>
        <w:t>11</w:t>
      </w:r>
      <w:r>
        <w:rPr>
          <w:snapToGrid w:val="0"/>
        </w:rPr>
        <w:t>.</w:t>
      </w:r>
      <w:r>
        <w:rPr>
          <w:snapToGrid w:val="0"/>
        </w:rPr>
        <w:tab/>
        <w:t>Settlement etc. before action commenced</w:t>
      </w:r>
      <w:bookmarkEnd w:id="1335"/>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1336" w:name="_Toc163121613"/>
      <w:r>
        <w:rPr>
          <w:rStyle w:val="CharSectno"/>
        </w:rPr>
        <w:t>12</w:t>
      </w:r>
      <w:r>
        <w:rPr>
          <w:snapToGrid w:val="0"/>
        </w:rPr>
        <w:t>.</w:t>
      </w:r>
      <w:r>
        <w:rPr>
          <w:snapToGrid w:val="0"/>
        </w:rPr>
        <w:tab/>
        <w:t>Control of money recovered for person under disability</w:t>
      </w:r>
      <w:bookmarkEnd w:id="1336"/>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lastRenderedPageBreak/>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 xml:space="preserve">the money </w:t>
      </w:r>
      <w:r>
        <w:t xml:space="preserve">must, </w:t>
      </w:r>
      <w:r>
        <w:rPr>
          <w:snapToGrid w:val="0"/>
        </w:rPr>
        <w:t>unless otherwise ordered by the Court, be paid to the Public Trustee for investment on behalf of the person under disability, and if the Court so orders may be invested by the Public Trustee in investments outside the</w:t>
      </w:r>
      <w:r>
        <w:t xml:space="preserve"> Common Account established under the </w:t>
      </w:r>
      <w:r>
        <w:rPr>
          <w:i/>
        </w:rPr>
        <w:t>Public Trustee Act 1941</w:t>
      </w:r>
      <w:r>
        <w:t>.</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Footnotesection"/>
      </w:pPr>
      <w:r>
        <w:tab/>
        <w:t>[Rule 12 amended: Gazette 12 Jun 2012 p. 2452; SL 2020/242 r. 9(26).]</w:t>
      </w:r>
    </w:p>
    <w:p>
      <w:pPr>
        <w:pStyle w:val="Heading5"/>
        <w:rPr>
          <w:snapToGrid w:val="0"/>
        </w:rPr>
      </w:pPr>
      <w:bookmarkStart w:id="1337" w:name="_Toc163121614"/>
      <w:r>
        <w:rPr>
          <w:rStyle w:val="CharSectno"/>
        </w:rPr>
        <w:t>13</w:t>
      </w:r>
      <w:r>
        <w:rPr>
          <w:snapToGrid w:val="0"/>
        </w:rPr>
        <w:t>.</w:t>
      </w:r>
      <w:r>
        <w:rPr>
          <w:snapToGrid w:val="0"/>
        </w:rPr>
        <w:tab/>
        <w:t>Personal service on person under disability</w:t>
      </w:r>
      <w:bookmarkEnd w:id="1337"/>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tab/>
        <w:t>(3)</w:t>
      </w:r>
      <w:r>
        <w:tab/>
        <w:t xml:space="preserve">If the person to be served is a person under disability only because of infancy and has </w:t>
      </w:r>
      <w:r>
        <w:rPr>
          <w:snapToGrid w:val="0"/>
        </w:rPr>
        <w:t xml:space="preserve">no next friend or guardian </w:t>
      </w:r>
      <w:r>
        <w:rPr>
          <w:i/>
          <w:snapToGrid w:val="0"/>
        </w:rPr>
        <w:t>ad litem</w:t>
      </w:r>
      <w:r>
        <w:rPr>
          <w:snapToGrid w:val="0"/>
        </w:rPr>
        <w:t xml:space="preserve"> in the proceedings, the document may be served — </w:t>
      </w:r>
    </w:p>
    <w:p>
      <w:pPr>
        <w:pStyle w:val="Indenta"/>
      </w:pPr>
      <w:r>
        <w:tab/>
        <w:t>(a)</w:t>
      </w:r>
      <w:r>
        <w:tab/>
        <w:t>if the person is aged 16 years or upwards, on the person; or</w:t>
      </w:r>
    </w:p>
    <w:p>
      <w:pPr>
        <w:pStyle w:val="Indenta"/>
      </w:pPr>
      <w:r>
        <w:lastRenderedPageBreak/>
        <w:tab/>
        <w:t>(b)</w:t>
      </w:r>
      <w:r>
        <w:tab/>
        <w:t>on one of the person’s parents or the person’s guardian; or</w:t>
      </w:r>
    </w:p>
    <w:p>
      <w:pPr>
        <w:pStyle w:val="Indenta"/>
      </w:pPr>
      <w:r>
        <w:tab/>
        <w:t>(c)</w:t>
      </w:r>
      <w:r>
        <w:tab/>
        <w:t>if the person has no parent or guardian, on the person with whom the person resides or in whose care the person is.</w:t>
      </w:r>
    </w:p>
    <w:p>
      <w:pPr>
        <w:pStyle w:val="Subsection"/>
      </w:pPr>
      <w:r>
        <w:tab/>
        <w:t>(4)</w:t>
      </w:r>
      <w:r>
        <w:tab/>
        <w:t xml:space="preserve">If the person to be served is a represented person as defined in the GAA Act section 3(1) and has no next friend or guardian </w:t>
      </w:r>
      <w:r>
        <w:rPr>
          <w:i/>
        </w:rPr>
        <w:t>ad litem</w:t>
      </w:r>
      <w:r>
        <w:t xml:space="preserve"> in the proceedings, the document may be served — </w:t>
      </w:r>
    </w:p>
    <w:p>
      <w:pPr>
        <w:pStyle w:val="Indenta"/>
        <w:rPr>
          <w:snapToGrid w:val="0"/>
        </w:rPr>
      </w:pPr>
      <w:r>
        <w:rPr>
          <w:snapToGrid w:val="0"/>
        </w:rPr>
        <w:tab/>
        <w:t>(a)</w:t>
      </w:r>
      <w:r>
        <w:rPr>
          <w:snapToGrid w:val="0"/>
        </w:rPr>
        <w:tab/>
        <w:t xml:space="preserve">on the Public Trustee if the person is a represented person as defined in the </w:t>
      </w:r>
      <w:r>
        <w:rPr>
          <w:i/>
          <w:snapToGrid w:val="0"/>
        </w:rPr>
        <w:t>Public Trustee Act 1941</w:t>
      </w:r>
      <w:r>
        <w:rPr>
          <w:snapToGrid w:val="0"/>
        </w:rPr>
        <w:t xml:space="preserve"> section 2; or</w:t>
      </w:r>
    </w:p>
    <w:p>
      <w:pPr>
        <w:pStyle w:val="Indenta"/>
      </w:pPr>
      <w:r>
        <w:tab/>
        <w:t>(b)</w:t>
      </w:r>
      <w:r>
        <w:tab/>
        <w:t>on the person with whom the represented person resides or in whose care the person is.</w:t>
      </w:r>
    </w:p>
    <w:p>
      <w:pPr>
        <w:pStyle w:val="Subsection"/>
        <w:rPr>
          <w:snapToGrid w:val="0"/>
        </w:rPr>
      </w:pPr>
      <w:r>
        <w:rPr>
          <w:snapToGrid w:val="0"/>
        </w:rPr>
        <w:tab/>
        <w:t>(5)</w:t>
      </w:r>
      <w:r>
        <w:rPr>
          <w:snapToGrid w:val="0"/>
        </w:rPr>
        <w:tab/>
        <w:t xml:space="preserve">Notwithstanding anything in </w:t>
      </w:r>
      <w:r>
        <w:t>subrules</w:t>
      </w:r>
      <w:r>
        <w:rPr>
          <w:snapToGrid w:val="0"/>
        </w:rPr>
        <w:t xml:space="preserve"> (2), (3) and (4) the Court may order that a document which has been, or is to be, served on the person under disability, or on a person other than a person mentioned in that </w:t>
      </w:r>
      <w:r>
        <w:t>subrule</w:t>
      </w:r>
      <w:r>
        <w:rPr>
          <w:snapToGrid w:val="0"/>
        </w:rPr>
        <w:t xml:space="preserve"> </w:t>
      </w:r>
      <w:r>
        <w:t>is taken</w:t>
      </w:r>
      <w:r>
        <w:rPr>
          <w:snapToGrid w:val="0"/>
        </w:rPr>
        <w:t xml:space="preserve"> to be duly served on the person under disability.</w:t>
      </w:r>
    </w:p>
    <w:p>
      <w:pPr>
        <w:pStyle w:val="Subsection"/>
        <w:rPr>
          <w:snapToGrid w:val="0"/>
        </w:rPr>
      </w:pPr>
      <w:r>
        <w:rPr>
          <w:snapToGrid w:val="0"/>
        </w:rPr>
        <w:tab/>
        <w:t>(6)</w:t>
      </w:r>
      <w:r>
        <w:rPr>
          <w:snapToGrid w:val="0"/>
        </w:rPr>
        <w:tab/>
        <w:t xml:space="preserve">A document served pursuant to any of </w:t>
      </w:r>
      <w:r>
        <w:t>subrules</w:t>
      </w:r>
      <w:r>
        <w:rPr>
          <w:snapToGrid w:val="0"/>
        </w:rPr>
        <w:t> (2) to (5) must be served in the manner required by these rules with respect to the document.</w:t>
      </w:r>
    </w:p>
    <w:p>
      <w:pPr>
        <w:pStyle w:val="Subsection"/>
        <w:rPr>
          <w:snapToGrid w:val="0"/>
        </w:rPr>
      </w:pPr>
      <w:r>
        <w:rPr>
          <w:snapToGrid w:val="0"/>
        </w:rPr>
        <w:tab/>
        <w:t>(7)</w:t>
      </w:r>
      <w:r>
        <w:rPr>
          <w:snapToGrid w:val="0"/>
        </w:rPr>
        <w:tab/>
        <w:t xml:space="preserve">A judgment or order requiring a person under disability to do, or refrain from doing any act, a notice of motion or summons for the committal of any person under disability, and a subpoena against any such person, must notwithstanding anything contained in </w:t>
      </w:r>
      <w:r>
        <w:t>subrules</w:t>
      </w:r>
      <w:r>
        <w:rPr>
          <w:snapToGrid w:val="0"/>
        </w:rPr>
        <w:t xml:space="preserve"> (2) to (5), be served personally on </w:t>
      </w:r>
      <w:r>
        <w:t xml:space="preserve">the person, </w:t>
      </w:r>
      <w:r>
        <w:rPr>
          <w:snapToGrid w:val="0"/>
        </w:rPr>
        <w:t>unless the Court otherwise orders.</w:t>
      </w:r>
    </w:p>
    <w:p>
      <w:pPr>
        <w:pStyle w:val="Subsection"/>
        <w:rPr>
          <w:snapToGrid w:val="0"/>
        </w:rPr>
      </w:pPr>
      <w:r>
        <w:rPr>
          <w:snapToGrid w:val="0"/>
        </w:rPr>
        <w:tab/>
        <w:t>(8)</w:t>
      </w:r>
      <w:r>
        <w:rPr>
          <w:snapToGrid w:val="0"/>
        </w:rPr>
        <w:tab/>
      </w:r>
      <w:r>
        <w:t>Subrule</w:t>
      </w:r>
      <w:r>
        <w:rPr>
          <w:snapToGrid w:val="0"/>
        </w:rPr>
        <w:t> (7) does not apply to an order for interrogatories or for discovery or inspection of documents.</w:t>
      </w:r>
    </w:p>
    <w:p>
      <w:pPr>
        <w:pStyle w:val="Footnotesection"/>
      </w:pPr>
      <w:r>
        <w:tab/>
        <w:t>[Rule 13 amended: Gazette 15 Jun 1973 p. 2250; 22 Jul 1994 p. 3748; 21 Feb 2007 p. 576; 28 Jun 2011 p. 2552</w:t>
      </w:r>
      <w:r>
        <w:noBreakHyphen/>
        <w:t xml:space="preserve">3 and 2555; SL 2020/242 r. 9(27)-(30).] </w:t>
      </w:r>
    </w:p>
    <w:p>
      <w:pPr>
        <w:pStyle w:val="Heading2"/>
        <w:rPr>
          <w:b w:val="0"/>
        </w:rPr>
      </w:pPr>
      <w:bookmarkStart w:id="1338" w:name="_Toc162941153"/>
      <w:bookmarkStart w:id="1339" w:name="_Toc162953942"/>
      <w:bookmarkStart w:id="1340" w:name="_Toc163121615"/>
      <w:r>
        <w:rPr>
          <w:rStyle w:val="CharPartNo"/>
        </w:rPr>
        <w:lastRenderedPageBreak/>
        <w:t>Order 71</w:t>
      </w:r>
      <w:r>
        <w:rPr>
          <w:rStyle w:val="CharDivNo"/>
        </w:rPr>
        <w:t> </w:t>
      </w:r>
      <w:r>
        <w:t>—</w:t>
      </w:r>
      <w:r>
        <w:rPr>
          <w:rStyle w:val="CharDivText"/>
        </w:rPr>
        <w:t> </w:t>
      </w:r>
      <w:r>
        <w:rPr>
          <w:rStyle w:val="CharPartText"/>
        </w:rPr>
        <w:t>Partners, business names</w:t>
      </w:r>
      <w:bookmarkEnd w:id="1338"/>
      <w:bookmarkEnd w:id="1339"/>
      <w:bookmarkEnd w:id="1340"/>
    </w:p>
    <w:p>
      <w:pPr>
        <w:pStyle w:val="Heading5"/>
        <w:rPr>
          <w:snapToGrid w:val="0"/>
        </w:rPr>
      </w:pPr>
      <w:bookmarkStart w:id="1341" w:name="_Toc163121616"/>
      <w:r>
        <w:rPr>
          <w:rStyle w:val="CharSectno"/>
        </w:rPr>
        <w:t>1</w:t>
      </w:r>
      <w:r>
        <w:rPr>
          <w:snapToGrid w:val="0"/>
        </w:rPr>
        <w:t>.</w:t>
      </w:r>
      <w:r>
        <w:rPr>
          <w:snapToGrid w:val="0"/>
        </w:rPr>
        <w:tab/>
        <w:t>Partners may sue or be sued in name of firm</w:t>
      </w:r>
      <w:bookmarkEnd w:id="1341"/>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1342" w:name="_Toc163121617"/>
      <w:r>
        <w:rPr>
          <w:rStyle w:val="CharSectno"/>
        </w:rPr>
        <w:t>2</w:t>
      </w:r>
      <w:r>
        <w:rPr>
          <w:snapToGrid w:val="0"/>
        </w:rPr>
        <w:t>.</w:t>
      </w:r>
      <w:r>
        <w:rPr>
          <w:snapToGrid w:val="0"/>
        </w:rPr>
        <w:tab/>
        <w:t>Disclosure of partners’ names</w:t>
      </w:r>
      <w:bookmarkEnd w:id="1342"/>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 xml:space="preserve">Where an action is brought against partners in the name of the firm </w:t>
      </w:r>
      <w:r>
        <w:t>subrules</w:t>
      </w:r>
      <w:r>
        <w:rPr>
          <w:snapToGrid w:val="0"/>
        </w:rPr>
        <w:t xml:space="preserve">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w:t>
      </w:r>
      <w:r>
        <w:rPr>
          <w:snapToGrid w:val="0"/>
        </w:rPr>
        <w:lastRenderedPageBreak/>
        <w:t>power to the Court to strike out any defence by the firm in its firm name.</w:t>
      </w:r>
    </w:p>
    <w:p>
      <w:pPr>
        <w:pStyle w:val="Footnotesection"/>
      </w:pPr>
      <w:r>
        <w:tab/>
        <w:t>[Rule 2 amended: Gazette 28 Jun 2011 p. 2552</w:t>
      </w:r>
      <w:r>
        <w:noBreakHyphen/>
        <w:t>3.]</w:t>
      </w:r>
    </w:p>
    <w:p>
      <w:pPr>
        <w:pStyle w:val="Heading5"/>
        <w:rPr>
          <w:snapToGrid w:val="0"/>
        </w:rPr>
      </w:pPr>
      <w:bookmarkStart w:id="1343" w:name="_Toc163121618"/>
      <w:r>
        <w:rPr>
          <w:rStyle w:val="CharSectno"/>
        </w:rPr>
        <w:t>3</w:t>
      </w:r>
      <w:r>
        <w:rPr>
          <w:snapToGrid w:val="0"/>
        </w:rPr>
        <w:t>.</w:t>
      </w:r>
      <w:r>
        <w:rPr>
          <w:snapToGrid w:val="0"/>
        </w:rPr>
        <w:tab/>
        <w:t>Service on firm</w:t>
      </w:r>
      <w:bookmarkEnd w:id="1343"/>
    </w:p>
    <w:p>
      <w:pPr>
        <w:pStyle w:val="Subsection"/>
        <w:rPr>
          <w:snapToGrid w:val="0"/>
        </w:rPr>
      </w:pPr>
      <w:r>
        <w:rPr>
          <w:snapToGrid w:val="0"/>
        </w:rPr>
        <w:tab/>
        <w:t>(1)</w:t>
      </w:r>
      <w:r>
        <w:rPr>
          <w:snapToGrid w:val="0"/>
        </w:rPr>
        <w:tab/>
        <w:t xml:space="preserve">Where parties are sued in the name of a firm under rule 1, the writ may, except in the case mentioned in </w:t>
      </w:r>
      <w:r>
        <w:t>subrule</w:t>
      </w:r>
      <w:r>
        <w:rPr>
          <w:snapToGrid w:val="0"/>
        </w:rPr>
        <w:t>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Footnotesection"/>
      </w:pPr>
      <w:r>
        <w:tab/>
        <w:t>[Rule 3 amended: Gazette 28 Jun 2011 p. 2552.]</w:t>
      </w:r>
    </w:p>
    <w:p>
      <w:pPr>
        <w:pStyle w:val="Heading5"/>
        <w:rPr>
          <w:snapToGrid w:val="0"/>
        </w:rPr>
      </w:pPr>
      <w:bookmarkStart w:id="1344" w:name="_Toc163121619"/>
      <w:r>
        <w:rPr>
          <w:rStyle w:val="CharSectno"/>
        </w:rPr>
        <w:t>4</w:t>
      </w:r>
      <w:r>
        <w:rPr>
          <w:snapToGrid w:val="0"/>
        </w:rPr>
        <w:t>.</w:t>
      </w:r>
      <w:r>
        <w:rPr>
          <w:snapToGrid w:val="0"/>
        </w:rPr>
        <w:tab/>
        <w:t>Person served under r. 3 to be notified of character in which he is served</w:t>
      </w:r>
      <w:bookmarkEnd w:id="1344"/>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1345" w:name="_Toc163121620"/>
      <w:r>
        <w:rPr>
          <w:rStyle w:val="CharSectno"/>
        </w:rPr>
        <w:lastRenderedPageBreak/>
        <w:t>5</w:t>
      </w:r>
      <w:r>
        <w:rPr>
          <w:snapToGrid w:val="0"/>
        </w:rPr>
        <w:t>.</w:t>
      </w:r>
      <w:r>
        <w:rPr>
          <w:snapToGrid w:val="0"/>
        </w:rPr>
        <w:tab/>
        <w:t>Appearance of partners</w:t>
      </w:r>
      <w:bookmarkEnd w:id="1345"/>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1346" w:name="_Toc163121621"/>
      <w:r>
        <w:rPr>
          <w:rStyle w:val="CharSectno"/>
        </w:rPr>
        <w:t>6</w:t>
      </w:r>
      <w:r>
        <w:rPr>
          <w:snapToGrid w:val="0"/>
        </w:rPr>
        <w:t>.</w:t>
      </w:r>
      <w:r>
        <w:rPr>
          <w:snapToGrid w:val="0"/>
        </w:rPr>
        <w:tab/>
        <w:t>No appearance except by partners</w:t>
      </w:r>
      <w:bookmarkEnd w:id="1346"/>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1347" w:name="_Toc163121622"/>
      <w:r>
        <w:rPr>
          <w:rStyle w:val="CharSectno"/>
        </w:rPr>
        <w:t>7</w:t>
      </w:r>
      <w:r>
        <w:rPr>
          <w:snapToGrid w:val="0"/>
        </w:rPr>
        <w:t>.</w:t>
      </w:r>
      <w:r>
        <w:rPr>
          <w:snapToGrid w:val="0"/>
        </w:rPr>
        <w:tab/>
        <w:t>Appearance under protest of person served as partner</w:t>
      </w:r>
      <w:bookmarkEnd w:id="1347"/>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lastRenderedPageBreak/>
        <w:tab/>
        <w:t>(4)</w:t>
      </w:r>
      <w:r>
        <w:rPr>
          <w:snapToGrid w:val="0"/>
        </w:rPr>
        <w:tab/>
        <w:t xml:space="preserve">Where a defendant has entered an appearance in accordance with </w:t>
      </w:r>
      <w:r>
        <w:t>subrule</w:t>
      </w:r>
      <w:r>
        <w:rPr>
          <w:snapToGrid w:val="0"/>
        </w:rPr>
        <w:t>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Footnotesection"/>
      </w:pPr>
      <w:r>
        <w:tab/>
        <w:t>[Rule 7 amended: Gazette 28 Jun 2011 p. 2552.]</w:t>
      </w:r>
    </w:p>
    <w:p>
      <w:pPr>
        <w:pStyle w:val="Ednotesection"/>
      </w:pPr>
      <w:r>
        <w:t>[</w:t>
      </w:r>
      <w:r>
        <w:rPr>
          <w:b/>
          <w:bCs/>
        </w:rPr>
        <w:t>8.</w:t>
      </w:r>
      <w:r>
        <w:tab/>
        <w:t>Deleted: Gazette 22 Feb 2008 p. 641.]</w:t>
      </w:r>
    </w:p>
    <w:p>
      <w:pPr>
        <w:pStyle w:val="Heading5"/>
      </w:pPr>
      <w:bookmarkStart w:id="1348" w:name="_Toc163121623"/>
      <w:r>
        <w:rPr>
          <w:rStyle w:val="CharSectno"/>
        </w:rPr>
        <w:t>9</w:t>
      </w:r>
      <w:r>
        <w:t>.</w:t>
      </w:r>
      <w:r>
        <w:tab/>
        <w:t>Rules 1 to 7 apply also to some actions between firm and its members etc.</w:t>
      </w:r>
      <w:bookmarkEnd w:id="1348"/>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Gazette 22 Feb 2008 p. 642.]</w:t>
      </w:r>
    </w:p>
    <w:p>
      <w:pPr>
        <w:pStyle w:val="Ednotesection"/>
      </w:pPr>
      <w:r>
        <w:t>[</w:t>
      </w:r>
      <w:r>
        <w:rPr>
          <w:b/>
          <w:bCs/>
        </w:rPr>
        <w:t>10.</w:t>
      </w:r>
      <w:r>
        <w:tab/>
        <w:t>Deleted: Gazette 22 Feb 2008 p. 642.]</w:t>
      </w:r>
    </w:p>
    <w:p>
      <w:pPr>
        <w:pStyle w:val="Heading5"/>
        <w:rPr>
          <w:snapToGrid w:val="0"/>
        </w:rPr>
      </w:pPr>
      <w:bookmarkStart w:id="1349" w:name="_Toc163121624"/>
      <w:r>
        <w:rPr>
          <w:rStyle w:val="CharSectno"/>
        </w:rPr>
        <w:t>11</w:t>
      </w:r>
      <w:r>
        <w:rPr>
          <w:snapToGrid w:val="0"/>
        </w:rPr>
        <w:t>.</w:t>
      </w:r>
      <w:r>
        <w:rPr>
          <w:snapToGrid w:val="0"/>
        </w:rPr>
        <w:tab/>
        <w:t>Rules 2 to 9 apply to proceedings begun by originating summons</w:t>
      </w:r>
      <w:bookmarkEnd w:id="1349"/>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Gazette 22 Feb 2008 p. 642.] </w:t>
      </w:r>
    </w:p>
    <w:p>
      <w:pPr>
        <w:pStyle w:val="Heading5"/>
        <w:rPr>
          <w:snapToGrid w:val="0"/>
        </w:rPr>
      </w:pPr>
      <w:bookmarkStart w:id="1350" w:name="_Toc163121625"/>
      <w:r>
        <w:rPr>
          <w:rStyle w:val="CharSectno"/>
        </w:rPr>
        <w:t>12</w:t>
      </w:r>
      <w:r>
        <w:rPr>
          <w:snapToGrid w:val="0"/>
        </w:rPr>
        <w:t>.</w:t>
      </w:r>
      <w:r>
        <w:rPr>
          <w:snapToGrid w:val="0"/>
        </w:rPr>
        <w:tab/>
        <w:t>Application to person using business name</w:t>
      </w:r>
      <w:bookmarkEnd w:id="1350"/>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1351" w:name="_Toc163121626"/>
      <w:r>
        <w:rPr>
          <w:rStyle w:val="CharSectno"/>
        </w:rPr>
        <w:lastRenderedPageBreak/>
        <w:t>13</w:t>
      </w:r>
      <w:r>
        <w:rPr>
          <w:snapToGrid w:val="0"/>
        </w:rPr>
        <w:t>.</w:t>
      </w:r>
      <w:r>
        <w:rPr>
          <w:snapToGrid w:val="0"/>
        </w:rPr>
        <w:tab/>
        <w:t>Application to charge partner’s interest in partnership etc.</w:t>
      </w:r>
      <w:bookmarkEnd w:id="1351"/>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3</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1352" w:name="_Toc162941165"/>
      <w:bookmarkStart w:id="1353" w:name="_Toc162953954"/>
      <w:bookmarkStart w:id="1354" w:name="_Toc163121627"/>
      <w:r>
        <w:rPr>
          <w:rStyle w:val="CharPartNo"/>
        </w:rPr>
        <w:lastRenderedPageBreak/>
        <w:t>Order 71A</w:t>
      </w:r>
      <w:r>
        <w:rPr>
          <w:b w:val="0"/>
        </w:rPr>
        <w:t> </w:t>
      </w:r>
      <w:r>
        <w:t>—</w:t>
      </w:r>
      <w:r>
        <w:rPr>
          <w:b w:val="0"/>
        </w:rPr>
        <w:t> </w:t>
      </w:r>
      <w:r>
        <w:rPr>
          <w:rStyle w:val="CharPartText"/>
        </w:rPr>
        <w:t>Contact details of parties and others</w:t>
      </w:r>
      <w:bookmarkEnd w:id="1352"/>
      <w:bookmarkEnd w:id="1353"/>
      <w:bookmarkEnd w:id="1354"/>
    </w:p>
    <w:p>
      <w:pPr>
        <w:pStyle w:val="Footnoteheading"/>
      </w:pPr>
      <w:r>
        <w:tab/>
        <w:t>[Heading inserted: Gazette 21 Feb 2007 p. 576.]</w:t>
      </w:r>
    </w:p>
    <w:p>
      <w:pPr>
        <w:pStyle w:val="Heading5"/>
      </w:pPr>
      <w:bookmarkStart w:id="1355" w:name="_Toc163121628"/>
      <w:r>
        <w:rPr>
          <w:rStyle w:val="CharSectno"/>
        </w:rPr>
        <w:t>1</w:t>
      </w:r>
      <w:r>
        <w:t>.</w:t>
      </w:r>
      <w:r>
        <w:tab/>
        <w:t>Addresses of places, requirements for</w:t>
      </w:r>
      <w:bookmarkEnd w:id="1355"/>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Gazette 21 Feb 2007 p. 576.]</w:t>
      </w:r>
    </w:p>
    <w:p>
      <w:pPr>
        <w:pStyle w:val="Heading5"/>
      </w:pPr>
      <w:bookmarkStart w:id="1356" w:name="_Toc163121629"/>
      <w:r>
        <w:rPr>
          <w:rStyle w:val="CharSectno"/>
        </w:rPr>
        <w:t>2</w:t>
      </w:r>
      <w:r>
        <w:t>.</w:t>
      </w:r>
      <w:r>
        <w:tab/>
        <w:t>Geographical addresses</w:t>
      </w:r>
      <w:bookmarkEnd w:id="1356"/>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2015</w:t>
      </w:r>
      <w:r>
        <w:t xml:space="preserve"> — the address of the </w:t>
      </w:r>
      <w:r>
        <w:lastRenderedPageBreak/>
        <w:t>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if the person is the State, a Territory or the Commonwealth — the address of the place in Australia where the legal practitioner representing the person conducts business as a legal practitioner.</w:t>
      </w:r>
    </w:p>
    <w:p>
      <w:pPr>
        <w:pStyle w:val="Footnotesection"/>
      </w:pPr>
      <w:r>
        <w:tab/>
        <w:t>[Rule 2 inserted: Gazette 21 Feb 2007 p. 577; amended: Gazette 22 Feb 2008 p. 653; 16 Nov 2016 p. 5200; SL 2022/74 r. 15.]</w:t>
      </w:r>
    </w:p>
    <w:p>
      <w:pPr>
        <w:pStyle w:val="Heading5"/>
      </w:pPr>
      <w:bookmarkStart w:id="1357" w:name="_Toc163121630"/>
      <w:r>
        <w:t>3A.</w:t>
      </w:r>
      <w:r>
        <w:tab/>
        <w:t>Court may dispense with requirement to state geographical address</w:t>
      </w:r>
      <w:bookmarkEnd w:id="1357"/>
    </w:p>
    <w:p>
      <w:pPr>
        <w:pStyle w:val="Subsection"/>
      </w:pPr>
      <w:r>
        <w:tab/>
        <w:t>(1)</w:t>
      </w:r>
      <w:r>
        <w:tab/>
        <w:t>The Court may, on the application of a person or on its own initiative, order that the person’s geographical address does not have to be stated in a document that is otherwise required under these rules to state the person’s geographical address.</w:t>
      </w:r>
    </w:p>
    <w:p>
      <w:pPr>
        <w:pStyle w:val="Subsection"/>
      </w:pPr>
      <w:r>
        <w:tab/>
        <w:t>(2)</w:t>
      </w:r>
      <w:r>
        <w:tab/>
        <w:t xml:space="preserve">Subject to subrule (3), the Court must not make an order under subrule (1) in relation to a person unless the person — </w:t>
      </w:r>
    </w:p>
    <w:p>
      <w:pPr>
        <w:pStyle w:val="Indenta"/>
      </w:pPr>
      <w:r>
        <w:tab/>
        <w:t>(a)</w:t>
      </w:r>
      <w:r>
        <w:tab/>
        <w:t>is an individual; and</w:t>
      </w:r>
    </w:p>
    <w:p>
      <w:pPr>
        <w:pStyle w:val="Indenta"/>
      </w:pPr>
      <w:r>
        <w:tab/>
        <w:t>(b)</w:t>
      </w:r>
      <w:r>
        <w:tab/>
        <w:t>has provided an address for service; and</w:t>
      </w:r>
    </w:p>
    <w:p>
      <w:pPr>
        <w:pStyle w:val="Indenta"/>
      </w:pPr>
      <w:r>
        <w:tab/>
        <w:t>(c)</w:t>
      </w:r>
      <w:r>
        <w:tab/>
        <w:t>has provided his or her geographical address to the Court on a confidential basis.</w:t>
      </w:r>
    </w:p>
    <w:p>
      <w:pPr>
        <w:pStyle w:val="Subsection"/>
      </w:pPr>
      <w:r>
        <w:tab/>
        <w:t>(3)</w:t>
      </w:r>
      <w:r>
        <w:tab/>
        <w:t>In exceptional circumstances, the Court may make an order under subrule (1) even though the person has not provided his or her geographical address to the Court.</w:t>
      </w:r>
    </w:p>
    <w:p>
      <w:pPr>
        <w:pStyle w:val="Subsection"/>
      </w:pPr>
      <w:r>
        <w:tab/>
        <w:t>(4)</w:t>
      </w:r>
      <w:r>
        <w:tab/>
        <w:t>The Court may, on the application of any person or on its own initiative, do one or more of the following —</w:t>
      </w:r>
    </w:p>
    <w:p>
      <w:pPr>
        <w:pStyle w:val="Indenta"/>
      </w:pPr>
      <w:r>
        <w:tab/>
        <w:t>(a)</w:t>
      </w:r>
      <w:r>
        <w:tab/>
        <w:t>amend or cancel an order made under subrule (1);</w:t>
      </w:r>
    </w:p>
    <w:p>
      <w:pPr>
        <w:pStyle w:val="Indenta"/>
      </w:pPr>
      <w:r>
        <w:tab/>
        <w:t>(b)</w:t>
      </w:r>
      <w:r>
        <w:tab/>
        <w:t>order that the person’s geographical address be given to another person.</w:t>
      </w:r>
    </w:p>
    <w:p>
      <w:pPr>
        <w:pStyle w:val="Footnotesection"/>
      </w:pPr>
      <w:r>
        <w:lastRenderedPageBreak/>
        <w:tab/>
        <w:t>[Rule 3A inserted: Gazette 13 Nov 2015 p. 4649-50.]</w:t>
      </w:r>
    </w:p>
    <w:p>
      <w:pPr>
        <w:pStyle w:val="Heading5"/>
      </w:pPr>
      <w:bookmarkStart w:id="1358" w:name="_Toc163121631"/>
      <w:r>
        <w:rPr>
          <w:rStyle w:val="CharSectno"/>
        </w:rPr>
        <w:t>3</w:t>
      </w:r>
      <w:r>
        <w:t>.</w:t>
      </w:r>
      <w:r>
        <w:tab/>
        <w:t>Service details, meaning of</w:t>
      </w:r>
      <w:bookmarkEnd w:id="1358"/>
    </w:p>
    <w:p>
      <w:pPr>
        <w:pStyle w:val="Subsection"/>
      </w:pPr>
      <w:r>
        <w:tab/>
        <w:t>(1)</w:t>
      </w:r>
      <w:r>
        <w:tab/>
        <w:t>If these rules require a document to state a person’s service details and the person is self</w:t>
      </w:r>
      <w:r>
        <w:noBreakHyphen/>
        <w:t>represented, the document —</w:t>
      </w:r>
    </w:p>
    <w:p>
      <w:pPr>
        <w:pStyle w:val="Indenta"/>
      </w:pPr>
      <w:r>
        <w:tab/>
        <w:t>(a)</w:t>
      </w:r>
      <w:r>
        <w:tab/>
        <w:t>must state a postal address in Australia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legal practitioner, the document —</w:t>
      </w:r>
    </w:p>
    <w:p>
      <w:pPr>
        <w:pStyle w:val="Indenta"/>
      </w:pPr>
      <w:r>
        <w:tab/>
        <w:t>(a)</w:t>
      </w:r>
      <w:r>
        <w:tab/>
        <w:t>must state the name of the legal practitioner; and</w:t>
      </w:r>
    </w:p>
    <w:p>
      <w:pPr>
        <w:pStyle w:val="Indenta"/>
      </w:pPr>
      <w:r>
        <w:tab/>
        <w:t>(b)</w:t>
      </w:r>
      <w:r>
        <w:tab/>
        <w:t>must state the address of the place in Australia where the legal practitioner conducts business as a legal practitioner; and</w:t>
      </w:r>
    </w:p>
    <w:p>
      <w:pPr>
        <w:pStyle w:val="Indenta"/>
      </w:pPr>
      <w:r>
        <w:tab/>
        <w:t>(c)</w:t>
      </w:r>
      <w:r>
        <w:tab/>
        <w:t>must state the legal practitioner’s postal address in Australia; and</w:t>
      </w:r>
    </w:p>
    <w:p>
      <w:pPr>
        <w:pStyle w:val="Indenta"/>
      </w:pPr>
      <w:r>
        <w:tab/>
        <w:t>(d)</w:t>
      </w:r>
      <w:r>
        <w:tab/>
        <w:t>with the legal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spacing w:before="70"/>
      </w:pPr>
      <w:r>
        <w:tab/>
      </w:r>
      <w:r>
        <w:tab/>
        <w:t>in Australia that can be used to serve documents on the legal practitioner.</w:t>
      </w:r>
    </w:p>
    <w:p>
      <w:pPr>
        <w:pStyle w:val="Ednotepara"/>
      </w:pPr>
      <w:r>
        <w:tab/>
        <w:t>[(e)</w:t>
      </w:r>
      <w:r>
        <w:tab/>
        <w:t>deleted]</w:t>
      </w:r>
    </w:p>
    <w:p>
      <w:pPr>
        <w:pStyle w:val="Subsection"/>
      </w:pPr>
      <w:r>
        <w:tab/>
        <w:t>(3)</w:t>
      </w:r>
      <w:r>
        <w:tab/>
        <w:t xml:space="preserve">If under this rule a document states a fax number or an email address of a person, the person is to be taken to have consented </w:t>
      </w:r>
      <w:r>
        <w:lastRenderedPageBreak/>
        <w:t>to being served with documents by fax at that fax number or by means of email at that email address.</w:t>
      </w:r>
    </w:p>
    <w:p>
      <w:pPr>
        <w:pStyle w:val="Subsection"/>
      </w:pPr>
      <w:r>
        <w:tab/>
        <w:t>(4)</w:t>
      </w:r>
      <w:r>
        <w:tab/>
        <w:t xml:space="preserve">If a legal practitioner practises in a business with one or more other legal practitioners or people — </w:t>
      </w:r>
    </w:p>
    <w:p>
      <w:pPr>
        <w:pStyle w:val="Indenta"/>
        <w:spacing w:before="70"/>
      </w:pPr>
      <w:r>
        <w:tab/>
        <w:t>(a)</w:t>
      </w:r>
      <w:r>
        <w:tab/>
        <w:t>a fax number stated under subrule (2) must be the fax number of the business and not that of the legal practitioner personally; and</w:t>
      </w:r>
    </w:p>
    <w:p>
      <w:pPr>
        <w:pStyle w:val="Indenta"/>
        <w:spacing w:before="70"/>
      </w:pPr>
      <w:r>
        <w:tab/>
        <w:t>(b)</w:t>
      </w:r>
      <w:r>
        <w:tab/>
        <w:t>an email address stated under subrule (2) must be the email address of the business and not that of the legal practitioner personally.</w:t>
      </w:r>
    </w:p>
    <w:p>
      <w:pPr>
        <w:pStyle w:val="Subsection"/>
      </w:pPr>
      <w:r>
        <w:tab/>
        <w:t>(5)</w:t>
      </w:r>
      <w:r>
        <w:tab/>
        <w:t>If a party who is self</w:t>
      </w:r>
      <w:r>
        <w:noBreakHyphen/>
        <w:t>represented is an authorised user of the ECMS, any email address stated under subrule (1) must be the email address of the party recorded on the ECMS.</w:t>
      </w:r>
    </w:p>
    <w:p>
      <w:pPr>
        <w:pStyle w:val="Subsection"/>
      </w:pPr>
      <w:r>
        <w:tab/>
        <w:t>(6)</w:t>
      </w:r>
      <w:r>
        <w:tab/>
        <w:t>If a legal practitioner is an authorised user of the ECMS, any email address stated under subrule (2) must be the email address of the legal practitioner recorded on the ECMS.</w:t>
      </w:r>
    </w:p>
    <w:p>
      <w:pPr>
        <w:pStyle w:val="Footnotesection"/>
      </w:pPr>
      <w:r>
        <w:tab/>
        <w:t>[Rule 3 inserted: Gazette 21 Feb 2007 p. 577</w:t>
      </w:r>
      <w:r>
        <w:noBreakHyphen/>
        <w:t>8; amended: Gazette 22 Feb 2008 p. 654; 27 Feb 2018 p. 618; 31 Dec 2019 p. 4677-8; SL 2022/74 r. 15.]</w:t>
      </w:r>
    </w:p>
    <w:p>
      <w:pPr>
        <w:pStyle w:val="Heading5"/>
      </w:pPr>
      <w:bookmarkStart w:id="1359" w:name="_Toc163121632"/>
      <w:r>
        <w:rPr>
          <w:rStyle w:val="CharSectno"/>
        </w:rPr>
        <w:t>4</w:t>
      </w:r>
      <w:r>
        <w:t>.</w:t>
      </w:r>
      <w:r>
        <w:tab/>
        <w:t>Documents without contact details to be rejected</w:t>
      </w:r>
      <w:bookmarkEnd w:id="1359"/>
    </w:p>
    <w:p>
      <w:pPr>
        <w:pStyle w:val="Subsection"/>
      </w:pPr>
      <w:r>
        <w:tab/>
        <w:t>(1)</w:t>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Subsection"/>
      </w:pPr>
      <w:r>
        <w:tab/>
        <w:t>(2)</w:t>
      </w:r>
      <w:r>
        <w:tab/>
        <w:t>A document is not to be rejected on the basis that it does not state a person’s geographical address if the Court has ordered, under rule 3A, that it is not required to be stated.</w:t>
      </w:r>
    </w:p>
    <w:p>
      <w:pPr>
        <w:pStyle w:val="Footnotesection"/>
      </w:pPr>
      <w:r>
        <w:tab/>
        <w:t>[Rule 4 inserted: Gazette 21 Feb 2007 p. 578; amended: Gazette 13 Nov 2015 p. 4650.]</w:t>
      </w:r>
    </w:p>
    <w:p>
      <w:pPr>
        <w:pStyle w:val="Heading5"/>
      </w:pPr>
      <w:bookmarkStart w:id="1360" w:name="_Toc163121633"/>
      <w:r>
        <w:rPr>
          <w:rStyle w:val="CharSectno"/>
        </w:rPr>
        <w:lastRenderedPageBreak/>
        <w:t>5</w:t>
      </w:r>
      <w:r>
        <w:t>.</w:t>
      </w:r>
      <w:r>
        <w:tab/>
        <w:t>Changes of information to be notified</w:t>
      </w:r>
      <w:bookmarkEnd w:id="1360"/>
    </w:p>
    <w:p>
      <w:pPr>
        <w:pStyle w:val="Subsection"/>
        <w:keepNext/>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(aa)</w:t>
      </w:r>
      <w:r>
        <w:tab/>
        <w:t>must be in Form 5AA; and</w:t>
      </w:r>
    </w:p>
    <w:p>
      <w:pPr>
        <w:pStyle w:val="Indenta"/>
      </w:pPr>
      <w:r>
        <w:tab/>
        <w:t>(a)</w:t>
      </w:r>
      <w:r>
        <w:tab/>
        <w:t>must be given by filing a notice and serving it on any person who has been given the information; and</w:t>
      </w:r>
    </w:p>
    <w:p>
      <w:pPr>
        <w:pStyle w:val="Indenta"/>
        <w:keepNext/>
      </w:pPr>
      <w:r>
        <w:tab/>
        <w:t>(b)</w:t>
      </w:r>
      <w:r>
        <w:tab/>
        <w:t>may be given as part of a notice given under Order 8.</w:t>
      </w:r>
    </w:p>
    <w:p>
      <w:pPr>
        <w:pStyle w:val="Footnotesection"/>
      </w:pPr>
      <w:r>
        <w:tab/>
        <w:t>[Rule 5 inserted: Gazette 21 Feb 2007 p. 579; amended: Gazette 13 Nov 2015 p. 4650; 27 Feb 2018 p. 618.]</w:t>
      </w:r>
    </w:p>
    <w:p>
      <w:pPr>
        <w:pStyle w:val="Heading5"/>
      </w:pPr>
      <w:bookmarkStart w:id="1361" w:name="_Toc163121634"/>
      <w:r>
        <w:rPr>
          <w:rStyle w:val="CharSectno"/>
        </w:rPr>
        <w:t>6</w:t>
      </w:r>
      <w:r>
        <w:t>.</w:t>
      </w:r>
      <w:r>
        <w:tab/>
        <w:t>Fictitious details in documents, court powers as to</w:t>
      </w:r>
      <w:bookmarkEnd w:id="1361"/>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Gazette 21 Feb 2007 p. 579.]</w:t>
      </w:r>
    </w:p>
    <w:p>
      <w:pPr>
        <w:pStyle w:val="Heading2"/>
        <w:rPr>
          <w:b w:val="0"/>
        </w:rPr>
      </w:pPr>
      <w:bookmarkStart w:id="1362" w:name="_Toc162941173"/>
      <w:bookmarkStart w:id="1363" w:name="_Toc162953962"/>
      <w:bookmarkStart w:id="1364" w:name="_Toc163121635"/>
      <w:r>
        <w:rPr>
          <w:rStyle w:val="CharPartNo"/>
        </w:rPr>
        <w:lastRenderedPageBreak/>
        <w:t>Order 72</w:t>
      </w:r>
      <w:r>
        <w:rPr>
          <w:rStyle w:val="CharDivNo"/>
        </w:rPr>
        <w:t> </w:t>
      </w:r>
      <w:r>
        <w:t>—</w:t>
      </w:r>
      <w:r>
        <w:rPr>
          <w:rStyle w:val="CharDivText"/>
        </w:rPr>
        <w:t> </w:t>
      </w:r>
      <w:r>
        <w:rPr>
          <w:rStyle w:val="CharPartText"/>
        </w:rPr>
        <w:t>Service of documents</w:t>
      </w:r>
      <w:bookmarkEnd w:id="1362"/>
      <w:bookmarkEnd w:id="1363"/>
      <w:bookmarkEnd w:id="1364"/>
    </w:p>
    <w:p>
      <w:pPr>
        <w:pStyle w:val="Heading5"/>
        <w:rPr>
          <w:snapToGrid w:val="0"/>
        </w:rPr>
      </w:pPr>
      <w:bookmarkStart w:id="1365" w:name="_Toc163121636"/>
      <w:r>
        <w:rPr>
          <w:rStyle w:val="CharSectno"/>
        </w:rPr>
        <w:t>1</w:t>
      </w:r>
      <w:r>
        <w:rPr>
          <w:snapToGrid w:val="0"/>
        </w:rPr>
        <w:t>.</w:t>
      </w:r>
      <w:r>
        <w:rPr>
          <w:snapToGrid w:val="0"/>
        </w:rPr>
        <w:tab/>
        <w:t>When personal service required</w:t>
      </w:r>
      <w:bookmarkEnd w:id="1365"/>
    </w:p>
    <w:p>
      <w:pPr>
        <w:pStyle w:val="Subsection"/>
        <w:spacing w:before="150"/>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spacing w:before="150"/>
        <w:rPr>
          <w:snapToGrid w:val="0"/>
        </w:rPr>
      </w:pPr>
      <w:r>
        <w:rPr>
          <w:snapToGrid w:val="0"/>
        </w:rPr>
        <w:tab/>
        <w:t>(2)</w:t>
      </w:r>
      <w:r>
        <w:rPr>
          <w:snapToGrid w:val="0"/>
        </w:rPr>
        <w:tab/>
      </w:r>
      <w:r>
        <w:t>Subrule</w:t>
      </w:r>
      <w:r>
        <w:rPr>
          <w:snapToGrid w:val="0"/>
        </w:rPr>
        <w:t> (1) shall not affect the power of the Court under any provision of these rules to dispense with the requirement for personal service.</w:t>
      </w:r>
    </w:p>
    <w:p>
      <w:pPr>
        <w:pStyle w:val="Footnotesection"/>
        <w:spacing w:before="100"/>
        <w:ind w:left="890" w:hanging="890"/>
      </w:pPr>
      <w:r>
        <w:tab/>
        <w:t>[Rule 1 amended: Gazette 28 Jun 2011 p. 2552.]</w:t>
      </w:r>
    </w:p>
    <w:p>
      <w:pPr>
        <w:pStyle w:val="Heading5"/>
        <w:rPr>
          <w:snapToGrid w:val="0"/>
        </w:rPr>
      </w:pPr>
      <w:bookmarkStart w:id="1366" w:name="_Toc163121637"/>
      <w:r>
        <w:rPr>
          <w:rStyle w:val="CharSectno"/>
        </w:rPr>
        <w:t>2</w:t>
      </w:r>
      <w:r>
        <w:rPr>
          <w:snapToGrid w:val="0"/>
        </w:rPr>
        <w:t>.</w:t>
      </w:r>
      <w:r>
        <w:rPr>
          <w:snapToGrid w:val="0"/>
        </w:rPr>
        <w:tab/>
        <w:t>Personal service on individual</w:t>
      </w:r>
      <w:bookmarkEnd w:id="1366"/>
    </w:p>
    <w:p>
      <w:pPr>
        <w:pStyle w:val="Subsection"/>
        <w:spacing w:before="150"/>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spacing w:before="60"/>
        <w:rPr>
          <w:snapToGrid w:val="0"/>
        </w:rPr>
      </w:pPr>
      <w:r>
        <w:rPr>
          <w:snapToGrid w:val="0"/>
        </w:rPr>
        <w:tab/>
        <w:t>(a)</w:t>
      </w:r>
      <w:r>
        <w:rPr>
          <w:snapToGrid w:val="0"/>
        </w:rPr>
        <w:tab/>
        <w:t>in the case where the document is a writ or other originating process, the original; and</w:t>
      </w:r>
    </w:p>
    <w:p>
      <w:pPr>
        <w:pStyle w:val="Indenta"/>
        <w:spacing w:before="60"/>
        <w:rPr>
          <w:snapToGrid w:val="0"/>
        </w:rPr>
      </w:pPr>
      <w:r>
        <w:rPr>
          <w:snapToGrid w:val="0"/>
        </w:rPr>
        <w:tab/>
        <w:t>(b)</w:t>
      </w:r>
      <w:r>
        <w:rPr>
          <w:snapToGrid w:val="0"/>
        </w:rPr>
        <w:tab/>
        <w:t xml:space="preserve">in any other case the original or </w:t>
      </w:r>
      <w:r>
        <w:t>a true</w:t>
      </w:r>
      <w:r>
        <w:rPr>
          <w:snapToGrid w:val="0"/>
        </w:rPr>
        <w:t xml:space="preserve"> copy.</w:t>
      </w:r>
    </w:p>
    <w:p>
      <w:pPr>
        <w:pStyle w:val="Footnotesection"/>
      </w:pPr>
      <w:r>
        <w:tab/>
        <w:t>[Rule 2 amended: Gazette 27 Feb 2018 p. 618.]</w:t>
      </w:r>
    </w:p>
    <w:p>
      <w:pPr>
        <w:pStyle w:val="Heading5"/>
        <w:rPr>
          <w:snapToGrid w:val="0"/>
        </w:rPr>
      </w:pPr>
      <w:bookmarkStart w:id="1367" w:name="_Toc163121638"/>
      <w:r>
        <w:rPr>
          <w:rStyle w:val="CharSectno"/>
        </w:rPr>
        <w:t>3</w:t>
      </w:r>
      <w:r>
        <w:rPr>
          <w:snapToGrid w:val="0"/>
        </w:rPr>
        <w:t>.</w:t>
      </w:r>
      <w:r>
        <w:rPr>
          <w:snapToGrid w:val="0"/>
        </w:rPr>
        <w:tab/>
        <w:t>Personal service on body corporate</w:t>
      </w:r>
      <w:bookmarkEnd w:id="1367"/>
    </w:p>
    <w:p>
      <w:pPr>
        <w:pStyle w:val="Subsection"/>
        <w:spacing w:before="150"/>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spacing w:before="100"/>
        <w:ind w:left="890" w:hanging="890"/>
      </w:pPr>
      <w:r>
        <w:tab/>
        <w:t xml:space="preserve">[Rule 3 amended: Gazette 22 Feb 2008 p. 654.] </w:t>
      </w:r>
    </w:p>
    <w:p>
      <w:pPr>
        <w:pStyle w:val="Heading5"/>
      </w:pPr>
      <w:bookmarkStart w:id="1368" w:name="_Toc163121639"/>
      <w:r>
        <w:rPr>
          <w:rStyle w:val="CharSectno"/>
        </w:rPr>
        <w:lastRenderedPageBreak/>
        <w:t>3A</w:t>
      </w:r>
      <w:r>
        <w:t>.</w:t>
      </w:r>
      <w:r>
        <w:tab/>
        <w:t>Personal service on State</w:t>
      </w:r>
      <w:bookmarkEnd w:id="1368"/>
    </w:p>
    <w:p>
      <w:pPr>
        <w:pStyle w:val="Subsection"/>
      </w:pPr>
      <w:r>
        <w:tab/>
      </w:r>
      <w:r>
        <w:tab/>
        <w:t>Personal service of a document on the State may be effected by serving it in accordance with rule 2 on the person in charge of administrative matters at the office of —</w:t>
      </w:r>
    </w:p>
    <w:p>
      <w:pPr>
        <w:pStyle w:val="Indenta"/>
        <w:spacing w:before="60"/>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Gazette 21 Feb 2007 p. 579; amended: Gazette 22 Feb 2008 p. 654.]</w:t>
      </w:r>
    </w:p>
    <w:p>
      <w:pPr>
        <w:pStyle w:val="Heading5"/>
        <w:rPr>
          <w:snapToGrid w:val="0"/>
        </w:rPr>
      </w:pPr>
      <w:bookmarkStart w:id="1369" w:name="_Toc163121640"/>
      <w:r>
        <w:rPr>
          <w:rStyle w:val="CharSectno"/>
        </w:rPr>
        <w:t>4</w:t>
      </w:r>
      <w:r>
        <w:rPr>
          <w:snapToGrid w:val="0"/>
        </w:rPr>
        <w:t>.</w:t>
      </w:r>
      <w:r>
        <w:rPr>
          <w:snapToGrid w:val="0"/>
        </w:rPr>
        <w:tab/>
        <w:t>Substituted service</w:t>
      </w:r>
      <w:bookmarkEnd w:id="1369"/>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Gazette 14 May 1976 p. 1431; 12 Nov 1976 p. 4277.] </w:t>
      </w:r>
    </w:p>
    <w:p>
      <w:pPr>
        <w:pStyle w:val="Heading5"/>
      </w:pPr>
      <w:bookmarkStart w:id="1370" w:name="_Toc163121641"/>
      <w:r>
        <w:rPr>
          <w:rStyle w:val="CharSectno"/>
        </w:rPr>
        <w:t>5</w:t>
      </w:r>
      <w:r>
        <w:t>.</w:t>
      </w:r>
      <w:r>
        <w:tab/>
        <w:t>Ordinary service, how effected</w:t>
      </w:r>
      <w:bookmarkEnd w:id="1370"/>
    </w:p>
    <w:p>
      <w:pPr>
        <w:pStyle w:val="Subsection"/>
      </w:pPr>
      <w:r>
        <w:tab/>
        <w:t>(1)</w:t>
      </w:r>
      <w:r>
        <w:tab/>
        <w:t>This rule does not apply to a document that, under these rules, has to be served personally.</w:t>
      </w:r>
    </w:p>
    <w:p>
      <w:pPr>
        <w:pStyle w:val="Subsection"/>
      </w:pPr>
      <w:r>
        <w:lastRenderedPageBreak/>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legal practitioner, be addressed to the legal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keepNext/>
      </w:pPr>
      <w:r>
        <w:lastRenderedPageBreak/>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legal practitioner in connection with the proceedings to which the document relates — by delivering it to the place, or posting it by pre</w:t>
      </w:r>
      <w:r>
        <w:noBreakHyphen/>
        <w:t>paid post to the address of the place, where the legal practitioner conducts business as a legal practitioner; or</w:t>
      </w:r>
    </w:p>
    <w:p>
      <w:pPr>
        <w:pStyle w:val="Indenta"/>
      </w:pPr>
      <w:r>
        <w:tab/>
        <w:t>(c)</w:t>
      </w:r>
      <w:r>
        <w:tab/>
        <w:t>by the means that the Court directs in a particular case.</w:t>
      </w:r>
    </w:p>
    <w:p>
      <w:pPr>
        <w:pStyle w:val="Footnotesection"/>
      </w:pPr>
      <w:r>
        <w:tab/>
        <w:t>[Rule 5 inserted: Gazette 21 Feb 2007 p. 580</w:t>
      </w:r>
      <w:r>
        <w:noBreakHyphen/>
        <w:t>1; amended: SL 2022/74 r. 15.]</w:t>
      </w:r>
    </w:p>
    <w:p>
      <w:pPr>
        <w:pStyle w:val="Heading5"/>
      </w:pPr>
      <w:bookmarkStart w:id="1371" w:name="_Toc163121642"/>
      <w:r>
        <w:rPr>
          <w:rStyle w:val="CharSectno"/>
        </w:rPr>
        <w:t>5A</w:t>
      </w:r>
      <w:r>
        <w:t>.</w:t>
      </w:r>
      <w:r>
        <w:tab/>
        <w:t>Ordinary service, when effected</w:t>
      </w:r>
      <w:bookmarkEnd w:id="1371"/>
    </w:p>
    <w:p>
      <w:pPr>
        <w:pStyle w:val="Ednotesubsection"/>
      </w:pPr>
      <w:r>
        <w:tab/>
        <w:t>[(1)</w:t>
      </w:r>
      <w:r>
        <w:tab/>
        <w:t>deleted]</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THeadingNAm"/>
      </w:pPr>
      <w: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819"/>
      </w:tblGrid>
      <w:tr>
        <w:trPr>
          <w:cantSplit/>
          <w:tblHeader/>
        </w:trPr>
        <w:tc>
          <w:tcPr>
            <w:tcW w:w="516" w:type="dxa"/>
            <w:tcBorders>
              <w:top w:val="single" w:sz="4" w:space="0" w:color="auto"/>
              <w:bottom w:val="single" w:sz="4" w:space="0" w:color="auto"/>
            </w:tcBorders>
          </w:tcPr>
          <w:p>
            <w:pPr>
              <w:pStyle w:val="TableNAm"/>
              <w:rPr>
                <w:b/>
                <w:bCs/>
              </w:rPr>
            </w:pPr>
            <w:r>
              <w:rPr>
                <w:b/>
                <w:bCs/>
              </w:rPr>
              <w:t>No.</w:t>
            </w:r>
          </w:p>
        </w:tc>
        <w:tc>
          <w:tcPr>
            <w:tcW w:w="2127" w:type="dxa"/>
            <w:tcBorders>
              <w:top w:val="single" w:sz="4" w:space="0" w:color="auto"/>
              <w:bottom w:val="single" w:sz="4" w:space="0" w:color="auto"/>
            </w:tcBorders>
          </w:tcPr>
          <w:p>
            <w:pPr>
              <w:pStyle w:val="TableNAm"/>
              <w:rPr>
                <w:b/>
                <w:bCs/>
              </w:rPr>
            </w:pPr>
            <w:r>
              <w:rPr>
                <w:b/>
                <w:bCs/>
              </w:rPr>
              <w:t>Method of serving a document</w:t>
            </w:r>
          </w:p>
        </w:tc>
        <w:tc>
          <w:tcPr>
            <w:tcW w:w="3819" w:type="dxa"/>
            <w:tcBorders>
              <w:top w:val="single" w:sz="4" w:space="0" w:color="auto"/>
              <w:bottom w:val="single" w:sz="4" w:space="0" w:color="auto"/>
            </w:tcBorders>
          </w:tcPr>
          <w:p>
            <w:pPr>
              <w:pStyle w:val="TableNAm"/>
              <w:rPr>
                <w:b/>
                <w:bCs/>
              </w:rPr>
            </w:pPr>
            <w:r>
              <w:rPr>
                <w:b/>
                <w:bCs/>
              </w:rPr>
              <w:t>When the document is to be taken to be served</w:t>
            </w:r>
          </w:p>
        </w:tc>
      </w:tr>
      <w:tr>
        <w:trPr>
          <w:cantSplit/>
        </w:trPr>
        <w:tc>
          <w:tcPr>
            <w:tcW w:w="516" w:type="dxa"/>
          </w:tcPr>
          <w:p>
            <w:pPr>
              <w:pStyle w:val="TableNAm"/>
            </w:pPr>
            <w:r>
              <w:t>1.</w:t>
            </w:r>
          </w:p>
        </w:tc>
        <w:tc>
          <w:tcPr>
            <w:tcW w:w="2127" w:type="dxa"/>
          </w:tcPr>
          <w:p>
            <w:pPr>
              <w:pStyle w:val="TableNAm"/>
            </w:pPr>
            <w:r>
              <w:t>Delivering it to a place.</w:t>
            </w:r>
          </w:p>
        </w:tc>
        <w:tc>
          <w:tcPr>
            <w:tcW w:w="3819" w:type="dxa"/>
          </w:tcPr>
          <w:p>
            <w:pPr>
              <w:pStyle w:val="TableNAm"/>
            </w:pPr>
            <w:r>
              <w:t>If it is delivered before 4.00 p.m. on a working day, on that day.</w:t>
            </w:r>
          </w:p>
          <w:p>
            <w:pPr>
              <w:pStyle w:val="TableNAm"/>
            </w:pPr>
            <w:r>
              <w:t>Otherwise on the first working day after it is delivered.</w:t>
            </w:r>
          </w:p>
        </w:tc>
      </w:tr>
      <w:tr>
        <w:trPr>
          <w:cantSplit/>
        </w:trPr>
        <w:tc>
          <w:tcPr>
            <w:tcW w:w="516" w:type="dxa"/>
          </w:tcPr>
          <w:p>
            <w:pPr>
              <w:pStyle w:val="TableNAm"/>
            </w:pPr>
            <w:r>
              <w:t>2.</w:t>
            </w:r>
          </w:p>
        </w:tc>
        <w:tc>
          <w:tcPr>
            <w:tcW w:w="2127" w:type="dxa"/>
          </w:tcPr>
          <w:p>
            <w:pPr>
              <w:pStyle w:val="TableNAm"/>
            </w:pPr>
            <w:r>
              <w:t>Posting it by pre</w:t>
            </w:r>
            <w:r>
              <w:noBreakHyphen/>
              <w:t>paid post to an address.</w:t>
            </w:r>
          </w:p>
        </w:tc>
        <w:tc>
          <w:tcPr>
            <w:tcW w:w="3819" w:type="dxa"/>
          </w:tcPr>
          <w:p>
            <w:pPr>
              <w:pStyle w:val="TableNAm"/>
            </w:pPr>
            <w:r>
              <w:t>When it would be delivered to the address in the ordinary course of post.</w:t>
            </w:r>
          </w:p>
        </w:tc>
      </w:tr>
      <w:tr>
        <w:trPr>
          <w:cantSplit/>
        </w:trPr>
        <w:tc>
          <w:tcPr>
            <w:tcW w:w="516" w:type="dxa"/>
          </w:tcPr>
          <w:p>
            <w:pPr>
              <w:pStyle w:val="TableNAm"/>
            </w:pPr>
            <w:r>
              <w:lastRenderedPageBreak/>
              <w:t>3.</w:t>
            </w:r>
          </w:p>
        </w:tc>
        <w:tc>
          <w:tcPr>
            <w:tcW w:w="2127" w:type="dxa"/>
          </w:tcPr>
          <w:p>
            <w:pPr>
              <w:pStyle w:val="TableNAm"/>
            </w:pPr>
            <w:r>
              <w:t>Sending it by fax.</w:t>
            </w:r>
          </w:p>
        </w:tc>
        <w:tc>
          <w:tcPr>
            <w:tcW w:w="3819" w:type="dxa"/>
          </w:tcPr>
          <w:p>
            <w:pPr>
              <w:pStyle w:val="TableNAm"/>
            </w:pPr>
            <w:r>
              <w:t>If it is sent by fax before 4.00 p.m. on a working day, on that day.</w:t>
            </w:r>
          </w:p>
          <w:p>
            <w:pPr>
              <w:pStyle w:val="TableNAm"/>
            </w:pPr>
            <w:r>
              <w:t>Otherwise, on the first working day after the fax is sent.</w:t>
            </w:r>
          </w:p>
        </w:tc>
      </w:tr>
      <w:tr>
        <w:trPr>
          <w:cantSplit/>
        </w:trPr>
        <w:tc>
          <w:tcPr>
            <w:tcW w:w="516" w:type="dxa"/>
          </w:tcPr>
          <w:p>
            <w:pPr>
              <w:pStyle w:val="TableNAm"/>
            </w:pPr>
            <w:r>
              <w:t>4.</w:t>
            </w:r>
          </w:p>
        </w:tc>
        <w:tc>
          <w:tcPr>
            <w:tcW w:w="2127" w:type="dxa"/>
          </w:tcPr>
          <w:p>
            <w:pPr>
              <w:pStyle w:val="TableNAm"/>
            </w:pPr>
            <w:r>
              <w:t>Sending it by email.</w:t>
            </w:r>
          </w:p>
        </w:tc>
        <w:tc>
          <w:tcPr>
            <w:tcW w:w="3819" w:type="dxa"/>
          </w:tcPr>
          <w:p>
            <w:pPr>
              <w:pStyle w:val="TableNAm"/>
            </w:pPr>
            <w:r>
              <w:t>If it is sent by email before 4.00 p.m. on a working day, on that day.</w:t>
            </w:r>
          </w:p>
          <w:p>
            <w:pPr>
              <w:pStyle w:val="TableNAm"/>
            </w:pPr>
            <w:r>
              <w:t>Otherwise, on the first working day after the email is sent.</w:t>
            </w:r>
          </w:p>
        </w:tc>
      </w:tr>
      <w:tr>
        <w:trPr>
          <w:cantSplit/>
        </w:trPr>
        <w:tc>
          <w:tcPr>
            <w:tcW w:w="516" w:type="dxa"/>
            <w:tcBorders>
              <w:bottom w:val="single" w:sz="4" w:space="0" w:color="auto"/>
            </w:tcBorders>
          </w:tcPr>
          <w:p>
            <w:pPr>
              <w:pStyle w:val="TableNAm"/>
            </w:pPr>
            <w:r>
              <w:t>5.</w:t>
            </w:r>
          </w:p>
        </w:tc>
        <w:tc>
          <w:tcPr>
            <w:tcW w:w="2127" w:type="dxa"/>
            <w:tcBorders>
              <w:bottom w:val="single" w:sz="4" w:space="0" w:color="auto"/>
            </w:tcBorders>
          </w:tcPr>
          <w:p>
            <w:pPr>
              <w:pStyle w:val="TableNAm"/>
            </w:pPr>
            <w:r>
              <w:t>Delivering it to a document exchange.</w:t>
            </w:r>
          </w:p>
        </w:tc>
        <w:tc>
          <w:tcPr>
            <w:tcW w:w="3819" w:type="dxa"/>
            <w:tcBorders>
              <w:bottom w:val="single" w:sz="4" w:space="0" w:color="auto"/>
            </w:tcBorders>
          </w:tcPr>
          <w:p>
            <w:pPr>
              <w:pStyle w:val="TableNAm"/>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Gazette 21 Feb 2007 p. 581; amended: Gazette 22 Feb 2008 p. 654; 28 Jul 2010 p. 3468.]</w:t>
      </w:r>
    </w:p>
    <w:p>
      <w:pPr>
        <w:pStyle w:val="Heading5"/>
      </w:pPr>
      <w:bookmarkStart w:id="1372" w:name="_Toc163121643"/>
      <w:r>
        <w:rPr>
          <w:rStyle w:val="CharSectno"/>
        </w:rPr>
        <w:t>6</w:t>
      </w:r>
      <w:r>
        <w:t>.</w:t>
      </w:r>
      <w:r>
        <w:tab/>
        <w:t>Service of documents by Court</w:t>
      </w:r>
      <w:bookmarkEnd w:id="1372"/>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an authorised user of the ECMS —</w:t>
      </w:r>
    </w:p>
    <w:p>
      <w:pPr>
        <w:pStyle w:val="Indenti"/>
      </w:pPr>
      <w:r>
        <w:tab/>
        <w:t>(i)</w:t>
      </w:r>
      <w:r>
        <w:tab/>
        <w:t>put it in an electronic mailbox maintained by the Court; and</w:t>
      </w:r>
    </w:p>
    <w:p>
      <w:pPr>
        <w:pStyle w:val="Indenti"/>
      </w:pPr>
      <w:r>
        <w:tab/>
        <w:t>(ii)</w:t>
      </w:r>
      <w:r>
        <w:tab/>
        <w:t>send to the person’s email address recorded on the ECMS an email that says the document is in the mailbox,</w:t>
      </w:r>
    </w:p>
    <w:p>
      <w:pPr>
        <w:pStyle w:val="Indenta"/>
      </w:pPr>
      <w:r>
        <w:tab/>
      </w:r>
      <w:r>
        <w:tab/>
        <w:t>or serve it on the person under rule 5; or</w:t>
      </w:r>
    </w:p>
    <w:p>
      <w:pPr>
        <w:pStyle w:val="Indenta"/>
      </w:pPr>
      <w:r>
        <w:lastRenderedPageBreak/>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Gazette 22 Feb 2008 p. 655; amended: Gazette 27 Feb 2018 p. 618</w:t>
      </w:r>
      <w:r>
        <w:noBreakHyphen/>
        <w:t>19; 31 Dec 2019 p. 4677-8.]</w:t>
      </w:r>
    </w:p>
    <w:p>
      <w:pPr>
        <w:pStyle w:val="Heading5"/>
      </w:pPr>
      <w:bookmarkStart w:id="1373" w:name="_Toc163121644"/>
      <w:r>
        <w:rPr>
          <w:rStyle w:val="CharSectno"/>
        </w:rPr>
        <w:t>6A</w:t>
      </w:r>
      <w:r>
        <w:t>.</w:t>
      </w:r>
      <w:r>
        <w:tab/>
        <w:t>Serving documents by email</w:t>
      </w:r>
      <w:bookmarkEnd w:id="1373"/>
    </w:p>
    <w:p>
      <w:pPr>
        <w:pStyle w:val="Subsection"/>
      </w:pPr>
      <w:r>
        <w:tab/>
      </w:r>
      <w:r>
        <w:tab/>
        <w:t>Order 67A rule 4(4) to (7), with any necessary changes, apply to a document being served by email in the same way as they apply to a document being filed by email.</w:t>
      </w:r>
    </w:p>
    <w:p>
      <w:pPr>
        <w:pStyle w:val="Footnotesection"/>
      </w:pPr>
      <w:r>
        <w:tab/>
        <w:t>[Rule 6A inserted: Gazette 22 Feb 2008 p. 655; amended: Gazette 27 Feb 2018 p. 619.]</w:t>
      </w:r>
    </w:p>
    <w:p>
      <w:pPr>
        <w:pStyle w:val="Heading5"/>
        <w:rPr>
          <w:snapToGrid w:val="0"/>
        </w:rPr>
      </w:pPr>
      <w:bookmarkStart w:id="1374" w:name="_Toc163121645"/>
      <w:r>
        <w:rPr>
          <w:rStyle w:val="CharSectno"/>
        </w:rPr>
        <w:t>7</w:t>
      </w:r>
      <w:r>
        <w:rPr>
          <w:snapToGrid w:val="0"/>
        </w:rPr>
        <w:t>.</w:t>
      </w:r>
      <w:r>
        <w:rPr>
          <w:snapToGrid w:val="0"/>
        </w:rPr>
        <w:tab/>
        <w:t>Affidavits of service, content of</w:t>
      </w:r>
      <w:bookmarkEnd w:id="1374"/>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1375" w:name="_Toc163121646"/>
      <w:r>
        <w:rPr>
          <w:rStyle w:val="CharSectno"/>
        </w:rPr>
        <w:t>8</w:t>
      </w:r>
      <w:r>
        <w:rPr>
          <w:snapToGrid w:val="0"/>
        </w:rPr>
        <w:t>.</w:t>
      </w:r>
      <w:r>
        <w:rPr>
          <w:snapToGrid w:val="0"/>
        </w:rPr>
        <w:tab/>
        <w:t>No service required in certain cases</w:t>
      </w:r>
      <w:bookmarkEnd w:id="1375"/>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1376" w:name="_Toc162941185"/>
      <w:bookmarkStart w:id="1377" w:name="_Toc162953974"/>
      <w:bookmarkStart w:id="1378" w:name="_Toc163121647"/>
      <w:r>
        <w:rPr>
          <w:rStyle w:val="CharPartNo"/>
        </w:rPr>
        <w:lastRenderedPageBreak/>
        <w:t>Order 73</w:t>
      </w:r>
      <w:r>
        <w:rPr>
          <w:rStyle w:val="CharDivNo"/>
        </w:rPr>
        <w:t> </w:t>
      </w:r>
      <w:r>
        <w:t>—</w:t>
      </w:r>
      <w:r>
        <w:rPr>
          <w:rStyle w:val="CharDivText"/>
        </w:rPr>
        <w:t> </w:t>
      </w:r>
      <w:r>
        <w:rPr>
          <w:rStyle w:val="CharPartText"/>
        </w:rPr>
        <w:t>Probate proceedings</w:t>
      </w:r>
      <w:bookmarkEnd w:id="1376"/>
      <w:bookmarkEnd w:id="1377"/>
      <w:bookmarkEnd w:id="1378"/>
    </w:p>
    <w:p>
      <w:pPr>
        <w:pStyle w:val="Heading5"/>
        <w:rPr>
          <w:snapToGrid w:val="0"/>
        </w:rPr>
      </w:pPr>
      <w:bookmarkStart w:id="1379" w:name="_Toc163121648"/>
      <w:r>
        <w:rPr>
          <w:rStyle w:val="CharSectno"/>
        </w:rPr>
        <w:t>1</w:t>
      </w:r>
      <w:r>
        <w:rPr>
          <w:snapToGrid w:val="0"/>
        </w:rPr>
        <w:t>.</w:t>
      </w:r>
      <w:r>
        <w:rPr>
          <w:snapToGrid w:val="0"/>
        </w:rPr>
        <w:tab/>
        <w:t>Application of this Order and terms used</w:t>
      </w:r>
      <w:bookmarkEnd w:id="1379"/>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1380" w:name="_Toc163121649"/>
      <w:r>
        <w:rPr>
          <w:rStyle w:val="CharSectno"/>
        </w:rPr>
        <w:t>2</w:t>
      </w:r>
      <w:r>
        <w:rPr>
          <w:snapToGrid w:val="0"/>
        </w:rPr>
        <w:t>.</w:t>
      </w:r>
      <w:r>
        <w:rPr>
          <w:snapToGrid w:val="0"/>
        </w:rPr>
        <w:tab/>
        <w:t>Commencing probate action</w:t>
      </w:r>
      <w:bookmarkEnd w:id="1380"/>
    </w:p>
    <w:p>
      <w:pPr>
        <w:pStyle w:val="Subsection"/>
      </w:pPr>
      <w:r>
        <w:tab/>
        <w:t>(1)</w:t>
      </w:r>
      <w:r>
        <w:tab/>
        <w:t>A probate action must be begun by writ.</w:t>
      </w:r>
    </w:p>
    <w:p>
      <w:pPr>
        <w:pStyle w:val="Subsection"/>
        <w:rPr>
          <w:snapToGrid w:val="0"/>
        </w:rPr>
      </w:pPr>
      <w:r>
        <w:rPr>
          <w:snapToGrid w:val="0"/>
        </w:rPr>
        <w:tab/>
        <w:t>(2)</w:t>
      </w:r>
      <w:r>
        <w:rPr>
          <w:snapToGrid w:val="0"/>
        </w:rPr>
        <w:tab/>
        <w:t xml:space="preserve">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w:t>
      </w:r>
      <w:r>
        <w:t>filed.</w:t>
      </w:r>
    </w:p>
    <w:p>
      <w:pPr>
        <w:pStyle w:val="Footnotesection"/>
      </w:pPr>
      <w:r>
        <w:tab/>
        <w:t>[Rule 2 amended: Gazette 27 Feb 2018 p. 619.]</w:t>
      </w:r>
    </w:p>
    <w:p>
      <w:pPr>
        <w:pStyle w:val="Ednotesection"/>
      </w:pPr>
      <w:r>
        <w:t>[</w:t>
      </w:r>
      <w:r>
        <w:rPr>
          <w:b/>
        </w:rPr>
        <w:t>3.</w:t>
      </w:r>
      <w:r>
        <w:tab/>
        <w:t>Deleted: Gazette 12 Jun 2012 p. 2452.]</w:t>
      </w:r>
    </w:p>
    <w:p>
      <w:pPr>
        <w:pStyle w:val="Heading5"/>
        <w:rPr>
          <w:snapToGrid w:val="0"/>
        </w:rPr>
      </w:pPr>
      <w:bookmarkStart w:id="1381" w:name="_Toc163121650"/>
      <w:r>
        <w:rPr>
          <w:rStyle w:val="CharSectno"/>
        </w:rPr>
        <w:lastRenderedPageBreak/>
        <w:t>4</w:t>
      </w:r>
      <w:r>
        <w:rPr>
          <w:snapToGrid w:val="0"/>
        </w:rPr>
        <w:t>.</w:t>
      </w:r>
      <w:r>
        <w:rPr>
          <w:snapToGrid w:val="0"/>
        </w:rPr>
        <w:tab/>
        <w:t>Intervention by person who is not defendant</w:t>
      </w:r>
      <w:bookmarkEnd w:id="1381"/>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1382" w:name="_Toc163121651"/>
      <w:r>
        <w:rPr>
          <w:rStyle w:val="CharSectno"/>
        </w:rPr>
        <w:t>5</w:t>
      </w:r>
      <w:r>
        <w:rPr>
          <w:snapToGrid w:val="0"/>
        </w:rPr>
        <w:t>.</w:t>
      </w:r>
      <w:r>
        <w:rPr>
          <w:snapToGrid w:val="0"/>
        </w:rPr>
        <w:tab/>
        <w:t>Citation against non-party with adverse interest</w:t>
      </w:r>
      <w:bookmarkEnd w:id="1382"/>
      <w:r>
        <w:rPr>
          <w:snapToGrid w:val="0"/>
        </w:rPr>
        <w:t xml:space="preserve"> </w:t>
      </w:r>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1383" w:name="_Toc163121652"/>
      <w:r>
        <w:rPr>
          <w:rStyle w:val="CharSectno"/>
        </w:rPr>
        <w:t>6</w:t>
      </w:r>
      <w:r>
        <w:rPr>
          <w:snapToGrid w:val="0"/>
        </w:rPr>
        <w:t>.</w:t>
      </w:r>
      <w:r>
        <w:rPr>
          <w:snapToGrid w:val="0"/>
        </w:rPr>
        <w:tab/>
        <w:t>Person cited failing to appear</w:t>
      </w:r>
      <w:bookmarkEnd w:id="1383"/>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1384" w:name="_Toc163121653"/>
      <w:r>
        <w:rPr>
          <w:rStyle w:val="CharSectno"/>
        </w:rPr>
        <w:lastRenderedPageBreak/>
        <w:t>7</w:t>
      </w:r>
      <w:r>
        <w:rPr>
          <w:snapToGrid w:val="0"/>
        </w:rPr>
        <w:t>.</w:t>
      </w:r>
      <w:r>
        <w:rPr>
          <w:snapToGrid w:val="0"/>
        </w:rPr>
        <w:tab/>
        <w:t>Entry of appearance</w:t>
      </w:r>
      <w:bookmarkEnd w:id="1384"/>
    </w:p>
    <w:p>
      <w:pPr>
        <w:pStyle w:val="Subsection"/>
        <w:rPr>
          <w:snapToGrid w:val="0"/>
        </w:rPr>
      </w:pPr>
      <w:r>
        <w:rPr>
          <w:snapToGrid w:val="0"/>
        </w:rPr>
        <w:tab/>
      </w:r>
      <w:r>
        <w:rPr>
          <w:snapToGrid w:val="0"/>
        </w:rPr>
        <w:tab/>
        <w:t xml:space="preserve">An </w:t>
      </w:r>
      <w:r>
        <w:t>entry of</w:t>
      </w:r>
      <w:r>
        <w:rPr>
          <w:snapToGrid w:val="0"/>
        </w:rPr>
        <w:t xml:space="preserve"> appearance in a probate action must be </w:t>
      </w:r>
      <w:r>
        <w:t>filed</w:t>
      </w:r>
      <w:r>
        <w:rPr>
          <w:snapToGrid w:val="0"/>
        </w:rPr>
        <w:t xml:space="preserv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Footnotesection"/>
      </w:pPr>
      <w:r>
        <w:tab/>
        <w:t>[Rule 7 amended: Gazette 27 Feb 2018 p. 619</w:t>
      </w:r>
      <w:r>
        <w:noBreakHyphen/>
        <w:t>20.]</w:t>
      </w:r>
    </w:p>
    <w:p>
      <w:pPr>
        <w:pStyle w:val="Heading5"/>
        <w:rPr>
          <w:snapToGrid w:val="0"/>
        </w:rPr>
      </w:pPr>
      <w:bookmarkStart w:id="1385" w:name="_Toc163121654"/>
      <w:r>
        <w:rPr>
          <w:rStyle w:val="CharSectno"/>
        </w:rPr>
        <w:t>8</w:t>
      </w:r>
      <w:r>
        <w:rPr>
          <w:snapToGrid w:val="0"/>
        </w:rPr>
        <w:t>.</w:t>
      </w:r>
      <w:r>
        <w:rPr>
          <w:snapToGrid w:val="0"/>
        </w:rPr>
        <w:tab/>
        <w:t>Citation to executor etc. to bring in probate etc.</w:t>
      </w:r>
      <w:bookmarkEnd w:id="1385"/>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pPr>
      <w:bookmarkStart w:id="1386" w:name="_Toc163121655"/>
      <w:r>
        <w:rPr>
          <w:rStyle w:val="CharSectno"/>
        </w:rPr>
        <w:t>8A</w:t>
      </w:r>
      <w:r>
        <w:t>.</w:t>
      </w:r>
      <w:r>
        <w:tab/>
        <w:t>Applications to include draft citation</w:t>
      </w:r>
      <w:bookmarkEnd w:id="1386"/>
    </w:p>
    <w:p>
      <w:pPr>
        <w:pStyle w:val="Subsection"/>
      </w:pPr>
      <w:r>
        <w:tab/>
      </w:r>
      <w:r>
        <w:tab/>
        <w:t>An application under rule 5 or 8 must include a draft citation.</w:t>
      </w:r>
    </w:p>
    <w:p>
      <w:pPr>
        <w:pStyle w:val="Footnotesection"/>
      </w:pPr>
      <w:r>
        <w:tab/>
        <w:t>[Rule 8A inserted: Gazette 27 Feb 2018 p. 620.]</w:t>
      </w:r>
    </w:p>
    <w:p>
      <w:pPr>
        <w:pStyle w:val="Heading5"/>
        <w:rPr>
          <w:snapToGrid w:val="0"/>
        </w:rPr>
      </w:pPr>
      <w:bookmarkStart w:id="1387" w:name="_Toc163121656"/>
      <w:r>
        <w:rPr>
          <w:rStyle w:val="CharSectno"/>
        </w:rPr>
        <w:t>9</w:t>
      </w:r>
      <w:r>
        <w:rPr>
          <w:snapToGrid w:val="0"/>
        </w:rPr>
        <w:t>.</w:t>
      </w:r>
      <w:r>
        <w:rPr>
          <w:snapToGrid w:val="0"/>
        </w:rPr>
        <w:tab/>
        <w:t>Citations, issue of</w:t>
      </w:r>
      <w:bookmarkEnd w:id="1387"/>
    </w:p>
    <w:p>
      <w:pPr>
        <w:pStyle w:val="Subsection"/>
        <w:rPr>
          <w:snapToGrid w:val="0"/>
        </w:rPr>
      </w:pPr>
      <w:r>
        <w:rPr>
          <w:snapToGrid w:val="0"/>
        </w:rPr>
        <w:tab/>
        <w:t>(1)</w:t>
      </w:r>
      <w:r>
        <w:rPr>
          <w:snapToGrid w:val="0"/>
        </w:rPr>
        <w:tab/>
        <w:t>A citation must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keepNext/>
        <w:rPr>
          <w:snapToGrid w:val="0"/>
        </w:rPr>
      </w:pPr>
      <w:r>
        <w:rPr>
          <w:snapToGrid w:val="0"/>
        </w:rPr>
        <w:lastRenderedPageBreak/>
        <w:tab/>
        <w:t>(2)</w:t>
      </w:r>
      <w:r>
        <w:rPr>
          <w:snapToGrid w:val="0"/>
        </w:rPr>
        <w:tab/>
        <w:t>A citation is issued upon its being sealed by the proper officer.</w:t>
      </w:r>
    </w:p>
    <w:p>
      <w:pPr>
        <w:pStyle w:val="Footnotesection"/>
      </w:pPr>
      <w:r>
        <w:tab/>
        <w:t xml:space="preserve">[Rule 9 amended: Gazette 14 Dec 1979 p. 3872; 27 Feb 2018 p. 620.] </w:t>
      </w:r>
    </w:p>
    <w:p>
      <w:pPr>
        <w:pStyle w:val="Heading5"/>
        <w:rPr>
          <w:snapToGrid w:val="0"/>
        </w:rPr>
      </w:pPr>
      <w:bookmarkStart w:id="1388" w:name="_Toc163121657"/>
      <w:r>
        <w:rPr>
          <w:rStyle w:val="CharSectno"/>
        </w:rPr>
        <w:t>10</w:t>
      </w:r>
      <w:r>
        <w:rPr>
          <w:snapToGrid w:val="0"/>
        </w:rPr>
        <w:t>.</w:t>
      </w:r>
      <w:r>
        <w:rPr>
          <w:snapToGrid w:val="0"/>
        </w:rPr>
        <w:tab/>
      </w:r>
      <w:r>
        <w:t>Service of citations</w:t>
      </w:r>
      <w:bookmarkEnd w:id="1388"/>
    </w:p>
    <w:p>
      <w:pPr>
        <w:pStyle w:val="Subsection"/>
        <w:rPr>
          <w:snapToGrid w:val="0"/>
        </w:rPr>
      </w:pPr>
      <w:r>
        <w:rPr>
          <w:snapToGrid w:val="0"/>
        </w:rPr>
        <w:tab/>
        <w:t>(1)</w:t>
      </w:r>
      <w:r>
        <w:rPr>
          <w:snapToGrid w:val="0"/>
        </w:rPr>
        <w:tab/>
        <w:t>Without prejudice to Order 72 rule 4, a citation must be served personally on the person cited.</w:t>
      </w:r>
    </w:p>
    <w:p>
      <w:pPr>
        <w:pStyle w:val="Subsection"/>
        <w:rPr>
          <w:snapToGrid w:val="0"/>
        </w:rPr>
      </w:pPr>
      <w:r>
        <w:rPr>
          <w:snapToGrid w:val="0"/>
        </w:rPr>
        <w:tab/>
        <w:t>(2)</w:t>
      </w:r>
      <w:r>
        <w:rPr>
          <w:snapToGrid w:val="0"/>
        </w:rPr>
        <w:tab/>
        <w:t>A citation may be served out of the jurisdiction but, if it is issued pursuant to rule 8, only with the leave of the Court.</w:t>
      </w:r>
    </w:p>
    <w:p>
      <w:pPr>
        <w:pStyle w:val="Subsection"/>
        <w:rPr>
          <w:snapToGrid w:val="0"/>
        </w:rPr>
      </w:pPr>
      <w:r>
        <w:rPr>
          <w:snapToGrid w:val="0"/>
        </w:rPr>
        <w:tab/>
        <w:t>(3)</w:t>
      </w:r>
      <w:r>
        <w:rPr>
          <w:snapToGrid w:val="0"/>
        </w:rPr>
        <w:tab/>
        <w:t xml:space="preserve">Order 10 </w:t>
      </w:r>
      <w:r>
        <w:t>rule 6</w:t>
      </w:r>
      <w:r>
        <w:rPr>
          <w:snapToGrid w:val="0"/>
        </w:rPr>
        <w:t xml:space="preserve"> applies to an application for leave under </w:t>
      </w:r>
      <w:r>
        <w:t>subrule</w:t>
      </w:r>
      <w:r>
        <w:rPr>
          <w:snapToGrid w:val="0"/>
        </w:rPr>
        <w:t xml:space="preserve"> (2) as it applies to an application for leave under </w:t>
      </w:r>
      <w:r>
        <w:t>Order 10 Division 3.</w:t>
      </w:r>
    </w:p>
    <w:p>
      <w:pPr>
        <w:pStyle w:val="Subsection"/>
        <w:rPr>
          <w:snapToGrid w:val="0"/>
        </w:rPr>
      </w:pPr>
      <w:r>
        <w:rPr>
          <w:snapToGrid w:val="0"/>
        </w:rPr>
        <w:tab/>
        <w:t>(4)</w:t>
      </w:r>
      <w:r>
        <w:rPr>
          <w:snapToGrid w:val="0"/>
        </w:rPr>
        <w:tab/>
        <w:t>The order granting leave must fix the time within which the person to be served must comply with the citation.</w:t>
      </w:r>
    </w:p>
    <w:p>
      <w:pPr>
        <w:pStyle w:val="Subsection"/>
      </w:pPr>
      <w:r>
        <w:tab/>
        <w:t>(5)</w:t>
      </w:r>
      <w:r>
        <w:tab/>
        <w:t>Order 10 Division 4 applies to a citation issued under rule 8 as it applies to an originating process.</w:t>
      </w:r>
    </w:p>
    <w:p>
      <w:pPr>
        <w:pStyle w:val="Footnotesection"/>
      </w:pPr>
      <w:r>
        <w:tab/>
        <w:t>[Rule 10 amended: Gazette 28 Jun 2011 p. 2552; 12 Jun 2012 p. 2452; SL 2024/38 r. 16.]</w:t>
      </w:r>
    </w:p>
    <w:p>
      <w:pPr>
        <w:pStyle w:val="Heading5"/>
        <w:spacing w:before="240"/>
        <w:rPr>
          <w:snapToGrid w:val="0"/>
        </w:rPr>
      </w:pPr>
      <w:bookmarkStart w:id="1389" w:name="_Toc163121658"/>
      <w:r>
        <w:rPr>
          <w:rStyle w:val="CharSectno"/>
        </w:rPr>
        <w:t>11</w:t>
      </w:r>
      <w:r>
        <w:rPr>
          <w:snapToGrid w:val="0"/>
        </w:rPr>
        <w:t>.</w:t>
      </w:r>
      <w:r>
        <w:rPr>
          <w:snapToGrid w:val="0"/>
        </w:rPr>
        <w:tab/>
        <w:t>Affidavit of scripts</w:t>
      </w:r>
      <w:bookmarkEnd w:id="1389"/>
    </w:p>
    <w:p>
      <w:pPr>
        <w:pStyle w:val="Subsection"/>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keepNext/>
        <w:rPr>
          <w:snapToGrid w:val="0"/>
        </w:rPr>
      </w:pPr>
      <w:r>
        <w:rPr>
          <w:snapToGrid w:val="0"/>
        </w:rPr>
        <w:tab/>
        <w:t>(b)</w:t>
      </w:r>
      <w:r>
        <w:rPr>
          <w:snapToGrid w:val="0"/>
        </w:rPr>
        <w:tab/>
        <w:t xml:space="preserve">if any such script of which he has knowledge is not in his possession or under his control, giving the name and address of the person in whose possession or under </w:t>
      </w:r>
      <w:r>
        <w:rPr>
          <w:snapToGrid w:val="0"/>
        </w:rPr>
        <w:lastRenderedPageBreak/>
        <w:t>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Gazette 21 Feb 2007 p. 582.]</w:t>
      </w:r>
    </w:p>
    <w:p>
      <w:pPr>
        <w:pStyle w:val="Heading5"/>
        <w:rPr>
          <w:snapToGrid w:val="0"/>
        </w:rPr>
      </w:pPr>
      <w:bookmarkStart w:id="1390" w:name="_Toc163121659"/>
      <w:r>
        <w:rPr>
          <w:rStyle w:val="CharSectno"/>
        </w:rPr>
        <w:t>12</w:t>
      </w:r>
      <w:r>
        <w:rPr>
          <w:snapToGrid w:val="0"/>
        </w:rPr>
        <w:t>.</w:t>
      </w:r>
      <w:r>
        <w:rPr>
          <w:snapToGrid w:val="0"/>
        </w:rPr>
        <w:tab/>
        <w:t>Scripts in pencil, affidavits as to; inspecting affidavits of scripts</w:t>
      </w:r>
      <w:bookmarkEnd w:id="1390"/>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r>
        <w:tab/>
        <w:t>[Rule 12 amended: Gazette 21 Feb 2007 p. 582; 27 Feb 2018 p. 620.]</w:t>
      </w:r>
    </w:p>
    <w:p>
      <w:pPr>
        <w:pStyle w:val="Heading5"/>
        <w:rPr>
          <w:snapToGrid w:val="0"/>
        </w:rPr>
      </w:pPr>
      <w:bookmarkStart w:id="1391" w:name="_Toc163121660"/>
      <w:r>
        <w:rPr>
          <w:rStyle w:val="CharSectno"/>
        </w:rPr>
        <w:t>13</w:t>
      </w:r>
      <w:r>
        <w:rPr>
          <w:snapToGrid w:val="0"/>
        </w:rPr>
        <w:t>.</w:t>
      </w:r>
      <w:r>
        <w:rPr>
          <w:snapToGrid w:val="0"/>
        </w:rPr>
        <w:tab/>
        <w:t>Default of appearance</w:t>
      </w:r>
      <w:bookmarkEnd w:id="1391"/>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 xml:space="preserve">Where any of several defendants to a probate action fails to enter an appearance, and the plaintiff has filed an affidavit </w:t>
      </w:r>
      <w:r>
        <w:rPr>
          <w:snapToGrid w:val="0"/>
        </w:rPr>
        <w:lastRenderedPageBreak/>
        <w:t>proving due service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pPr>
      <w:r>
        <w:tab/>
        <w:t>(4)</w:t>
      </w:r>
      <w:r>
        <w:tab/>
        <w:t>Before applying for leave under subrule (3), the plaintiff must file an affidavit proving due service of the writ and of the citation (if any).</w:t>
      </w:r>
    </w:p>
    <w:p>
      <w:pPr>
        <w:pStyle w:val="Subsection"/>
        <w:rPr>
          <w:snapToGrid w:val="0"/>
        </w:rPr>
      </w:pPr>
      <w:r>
        <w:rPr>
          <w:snapToGrid w:val="0"/>
        </w:rPr>
        <w:tab/>
        <w:t>(5)</w:t>
      </w:r>
      <w:r>
        <w:rPr>
          <w:snapToGrid w:val="0"/>
        </w:rPr>
        <w:tab/>
        <w:t xml:space="preserve">The Court granting leave under </w:t>
      </w:r>
      <w:r>
        <w:t>subrule</w:t>
      </w:r>
      <w:r>
        <w:rPr>
          <w:snapToGrid w:val="0"/>
        </w:rPr>
        <w:t> (3) may order the plaintiff to file an affidavit of testamentary scripts.</w:t>
      </w:r>
    </w:p>
    <w:p>
      <w:pPr>
        <w:pStyle w:val="Footnotesection"/>
      </w:pPr>
      <w:r>
        <w:tab/>
        <w:t>[Rule 13 amended: Gazette 28 Jun 2011 p. 2552; 12 Jun 2012 p. 2452.]</w:t>
      </w:r>
    </w:p>
    <w:p>
      <w:pPr>
        <w:pStyle w:val="Heading5"/>
        <w:rPr>
          <w:snapToGrid w:val="0"/>
        </w:rPr>
      </w:pPr>
      <w:bookmarkStart w:id="1392" w:name="_Toc163121661"/>
      <w:r>
        <w:rPr>
          <w:rStyle w:val="CharSectno"/>
        </w:rPr>
        <w:t>14</w:t>
      </w:r>
      <w:r>
        <w:rPr>
          <w:snapToGrid w:val="0"/>
        </w:rPr>
        <w:t>.</w:t>
      </w:r>
      <w:r>
        <w:rPr>
          <w:snapToGrid w:val="0"/>
        </w:rPr>
        <w:tab/>
        <w:t>Counterclaim</w:t>
      </w:r>
      <w:bookmarkEnd w:id="1392"/>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1393" w:name="_Toc163121662"/>
      <w:r>
        <w:rPr>
          <w:rStyle w:val="CharSectno"/>
        </w:rPr>
        <w:t>15</w:t>
      </w:r>
      <w:r>
        <w:rPr>
          <w:snapToGrid w:val="0"/>
        </w:rPr>
        <w:t>.</w:t>
      </w:r>
      <w:r>
        <w:rPr>
          <w:snapToGrid w:val="0"/>
        </w:rPr>
        <w:tab/>
        <w:t>Defendant may require only proof in solemn form</w:t>
      </w:r>
      <w:bookmarkEnd w:id="1393"/>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 xml:space="preserve">examine the witnesses produced to support the will and he may thereupon do so and, if he does not participate further in the action, he shall not be liable to pay the costs of </w:t>
      </w:r>
      <w:r>
        <w:rPr>
          <w:snapToGrid w:val="0"/>
        </w:rPr>
        <w:lastRenderedPageBreak/>
        <w:t>that other party unless the Court considers that there was no reasonable ground for opposing the will.</w:t>
      </w:r>
    </w:p>
    <w:p>
      <w:pPr>
        <w:pStyle w:val="Heading5"/>
        <w:keepLines w:val="0"/>
        <w:rPr>
          <w:snapToGrid w:val="0"/>
        </w:rPr>
      </w:pPr>
      <w:bookmarkStart w:id="1394" w:name="_Toc163121663"/>
      <w:r>
        <w:rPr>
          <w:rStyle w:val="CharSectno"/>
        </w:rPr>
        <w:t>16</w:t>
      </w:r>
      <w:r>
        <w:rPr>
          <w:snapToGrid w:val="0"/>
        </w:rPr>
        <w:t>.</w:t>
      </w:r>
      <w:r>
        <w:rPr>
          <w:snapToGrid w:val="0"/>
        </w:rPr>
        <w:tab/>
        <w:t>Pleadings</w:t>
      </w:r>
      <w:bookmarkEnd w:id="1394"/>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 or</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1395" w:name="_Toc163121664"/>
      <w:r>
        <w:rPr>
          <w:rStyle w:val="CharSectno"/>
        </w:rPr>
        <w:t>17</w:t>
      </w:r>
      <w:r>
        <w:rPr>
          <w:snapToGrid w:val="0"/>
        </w:rPr>
        <w:t>.</w:t>
      </w:r>
      <w:r>
        <w:rPr>
          <w:snapToGrid w:val="0"/>
        </w:rPr>
        <w:tab/>
        <w:t>Default of pleadings</w:t>
      </w:r>
      <w:bookmarkEnd w:id="1395"/>
    </w:p>
    <w:p>
      <w:pPr>
        <w:pStyle w:val="Ednotesubsection"/>
      </w:pPr>
      <w:r>
        <w:tab/>
        <w:t>[(1)</w:t>
      </w:r>
      <w:r>
        <w:tab/>
        <w:t>deleted]</w:t>
      </w:r>
    </w:p>
    <w:p>
      <w:pPr>
        <w:pStyle w:val="Subsection"/>
        <w:keepNext/>
        <w:rPr>
          <w:snapToGrid w:val="0"/>
        </w:rPr>
      </w:pPr>
      <w:r>
        <w:rPr>
          <w:snapToGrid w:val="0"/>
        </w:rPr>
        <w:tab/>
        <w:t>(2)</w:t>
      </w:r>
      <w:r>
        <w:rPr>
          <w:snapToGrid w:val="0"/>
        </w:rPr>
        <w:tab/>
        <w:t xml:space="preserve">Where a party to a probate action fails to serve on another party a pleading which he is required by these rules to so serve, and the Court has not ordered discontinuance of the action, the other party may, after the expiration of the time fixed by or pursuant </w:t>
      </w:r>
      <w:r>
        <w:rPr>
          <w:snapToGrid w:val="0"/>
        </w:rPr>
        <w:lastRenderedPageBreak/>
        <w:t>to these rules for service of that pleading, apply to the Court for leave to set down the action for trial.</w:t>
      </w:r>
    </w:p>
    <w:p>
      <w:pPr>
        <w:pStyle w:val="Footnotesection"/>
      </w:pPr>
      <w:r>
        <w:tab/>
        <w:t>[Rule 17 amended: Gazette 16 Nov 2016 p. 5200.]</w:t>
      </w:r>
    </w:p>
    <w:p>
      <w:pPr>
        <w:pStyle w:val="Heading5"/>
        <w:rPr>
          <w:snapToGrid w:val="0"/>
        </w:rPr>
      </w:pPr>
      <w:bookmarkStart w:id="1396" w:name="_Toc163121665"/>
      <w:r>
        <w:rPr>
          <w:rStyle w:val="CharSectno"/>
        </w:rPr>
        <w:t>18</w:t>
      </w:r>
      <w:r>
        <w:rPr>
          <w:snapToGrid w:val="0"/>
        </w:rPr>
        <w:t>.</w:t>
      </w:r>
      <w:r>
        <w:rPr>
          <w:snapToGrid w:val="0"/>
        </w:rPr>
        <w:tab/>
        <w:t>Discontinuance</w:t>
      </w:r>
      <w:bookmarkEnd w:id="1396"/>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spacing w:before="180"/>
        <w:rPr>
          <w:snapToGrid w:val="0"/>
        </w:rPr>
      </w:pPr>
      <w:bookmarkStart w:id="1397" w:name="_Toc163121666"/>
      <w:r>
        <w:rPr>
          <w:rStyle w:val="CharSectno"/>
        </w:rPr>
        <w:t>19</w:t>
      </w:r>
      <w:r>
        <w:rPr>
          <w:snapToGrid w:val="0"/>
        </w:rPr>
        <w:t>.</w:t>
      </w:r>
      <w:r>
        <w:rPr>
          <w:snapToGrid w:val="0"/>
        </w:rPr>
        <w:tab/>
        <w:t>Compromise</w:t>
      </w:r>
      <w:bookmarkEnd w:id="1397"/>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1398" w:name="_Toc163121667"/>
      <w:r>
        <w:rPr>
          <w:rStyle w:val="CharSectno"/>
        </w:rPr>
        <w:t>20</w:t>
      </w:r>
      <w:r>
        <w:rPr>
          <w:snapToGrid w:val="0"/>
        </w:rPr>
        <w:t>.</w:t>
      </w:r>
      <w:r>
        <w:rPr>
          <w:snapToGrid w:val="0"/>
        </w:rPr>
        <w:tab/>
        <w:t>Orders etc. to bring in will etc.</w:t>
      </w:r>
      <w:bookmarkEnd w:id="1398"/>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lastRenderedPageBreak/>
        <w:tab/>
        <w:t>(3)</w:t>
      </w:r>
      <w:r>
        <w:rPr>
          <w:snapToGrid w:val="0"/>
        </w:rPr>
        <w:tab/>
        <w:t>Where the person against whom a subpoena referred to in subrule (2) is issued denies that the will or other testamentary paper referred to in the subpoena is in his possession, within his power, or under his control, he may file an affidavit to that effect.</w:t>
      </w:r>
    </w:p>
    <w:p>
      <w:pPr>
        <w:pStyle w:val="Footnotesection"/>
      </w:pPr>
      <w:r>
        <w:tab/>
        <w:t xml:space="preserve">[Rule 20 amended: Gazette 30 Nov 1984 p. 3952; 28 Jun 2011 p. 2552; 24 May 2017 p. 2577; 27 Feb 2018 p. 620.] </w:t>
      </w:r>
    </w:p>
    <w:p>
      <w:pPr>
        <w:pStyle w:val="Heading5"/>
        <w:spacing w:before="180"/>
        <w:rPr>
          <w:snapToGrid w:val="0"/>
        </w:rPr>
      </w:pPr>
      <w:bookmarkStart w:id="1399" w:name="_Toc163121668"/>
      <w:r>
        <w:rPr>
          <w:rStyle w:val="CharSectno"/>
        </w:rPr>
        <w:t>21</w:t>
      </w:r>
      <w:r>
        <w:rPr>
          <w:snapToGrid w:val="0"/>
        </w:rPr>
        <w:t>.</w:t>
      </w:r>
      <w:r>
        <w:rPr>
          <w:snapToGrid w:val="0"/>
        </w:rPr>
        <w:tab/>
        <w:t>Applications, making</w:t>
      </w:r>
      <w:bookmarkEnd w:id="1399"/>
    </w:p>
    <w:p>
      <w:pPr>
        <w:pStyle w:val="Subsection"/>
        <w:spacing w:before="180"/>
        <w:rPr>
          <w:snapToGrid w:val="0"/>
        </w:rPr>
      </w:pPr>
      <w:r>
        <w:rPr>
          <w:snapToGrid w:val="0"/>
        </w:rPr>
        <w:tab/>
        <w:t>(1)</w:t>
      </w:r>
      <w:r>
        <w:rPr>
          <w:snapToGrid w:val="0"/>
        </w:rPr>
        <w:tab/>
        <w:t>Except where these rules otherwise provide and subject to subrule (2) applications to the Court in a probate cause or matter may be made by summons.</w:t>
      </w:r>
    </w:p>
    <w:p>
      <w:pPr>
        <w:pStyle w:val="Subsection"/>
        <w:spacing w:before="180"/>
        <w:rPr>
          <w:snapToGrid w:val="0"/>
        </w:rPr>
      </w:pPr>
      <w:r>
        <w:rPr>
          <w:snapToGrid w:val="0"/>
        </w:rPr>
        <w:tab/>
        <w:t>(2)</w:t>
      </w:r>
      <w:r>
        <w:rPr>
          <w:snapToGrid w:val="0"/>
        </w:rPr>
        <w:tab/>
        <w:t>The Court may direct that an application in a probate cause or matter be made to the Court by motion.</w:t>
      </w:r>
    </w:p>
    <w:p>
      <w:pPr>
        <w:pStyle w:val="Subsection"/>
        <w:spacing w:before="18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8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Footnotesection"/>
      </w:pPr>
      <w:r>
        <w:tab/>
        <w:t>[Rule 21 amended: Gazette 28 Jun 2011 p. 2552.]</w:t>
      </w:r>
    </w:p>
    <w:p>
      <w:pPr>
        <w:pStyle w:val="Heading5"/>
        <w:spacing w:before="300"/>
        <w:rPr>
          <w:snapToGrid w:val="0"/>
        </w:rPr>
      </w:pPr>
      <w:bookmarkStart w:id="1400" w:name="_Toc163121669"/>
      <w:r>
        <w:rPr>
          <w:rStyle w:val="CharSectno"/>
        </w:rPr>
        <w:t>22</w:t>
      </w:r>
      <w:r>
        <w:rPr>
          <w:snapToGrid w:val="0"/>
        </w:rPr>
        <w:t>.</w:t>
      </w:r>
      <w:r>
        <w:rPr>
          <w:snapToGrid w:val="0"/>
        </w:rPr>
        <w:tab/>
        <w:t>Administrator or receiver appointed pending litigation</w:t>
      </w:r>
      <w:bookmarkEnd w:id="1400"/>
    </w:p>
    <w:p>
      <w:pPr>
        <w:pStyle w:val="Subsection"/>
        <w:spacing w:before="18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80"/>
        <w:rPr>
          <w:snapToGrid w:val="0"/>
        </w:rPr>
      </w:pPr>
      <w:r>
        <w:rPr>
          <w:snapToGrid w:val="0"/>
        </w:rPr>
        <w:tab/>
        <w:t>(2)</w:t>
      </w:r>
      <w:r>
        <w:rPr>
          <w:snapToGrid w:val="0"/>
        </w:rPr>
        <w:tab/>
        <w:t xml:space="preserve">Subject to any order of the Court, an administrator and receiver appointed under section 35 of the said Act must file and pass </w:t>
      </w:r>
      <w:r>
        <w:rPr>
          <w:snapToGrid w:val="0"/>
        </w:rPr>
        <w:lastRenderedPageBreak/>
        <w:t>accounts at such intervals or at such times as the Court may direct, and the provisions of Order 51 rule 5 apply with such modifications as may be necessary, to such administrator and receiver and to his accounts.</w:t>
      </w:r>
    </w:p>
    <w:p>
      <w:pPr>
        <w:pStyle w:val="Subsection"/>
        <w:spacing w:before="18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spacing w:before="100"/>
        <w:ind w:left="890" w:hanging="890"/>
      </w:pPr>
      <w:r>
        <w:tab/>
        <w:t xml:space="preserve">[Rule 22 amended: Gazette 30 Nov 1984 p. 3952.] </w:t>
      </w:r>
    </w:p>
    <w:p>
      <w:pPr>
        <w:pStyle w:val="Ednotepart"/>
      </w:pPr>
      <w:r>
        <w:t>[Order 74 deleted: Gazette 30 Oct 1992 p. 5310.]</w:t>
      </w:r>
    </w:p>
    <w:p>
      <w:pPr>
        <w:pStyle w:val="Heading2"/>
      </w:pPr>
      <w:bookmarkStart w:id="1401" w:name="_Toc162941208"/>
      <w:bookmarkStart w:id="1402" w:name="_Toc162953997"/>
      <w:bookmarkStart w:id="1403" w:name="_Toc163121670"/>
      <w:r>
        <w:rPr>
          <w:rStyle w:val="CharPartNo"/>
        </w:rPr>
        <w:lastRenderedPageBreak/>
        <w:t>Order 75</w:t>
      </w:r>
      <w:r>
        <w:rPr>
          <w:rStyle w:val="CharDivNo"/>
        </w:rPr>
        <w:t> </w:t>
      </w:r>
      <w:r>
        <w:t>—</w:t>
      </w:r>
      <w:r>
        <w:rPr>
          <w:rStyle w:val="CharDivText"/>
        </w:rPr>
        <w:t> </w:t>
      </w:r>
      <w:r>
        <w:rPr>
          <w:rStyle w:val="CharPartText"/>
          <w:i/>
          <w:iCs/>
        </w:rPr>
        <w:t xml:space="preserve">Family Provision Act 1972 </w:t>
      </w:r>
      <w:r>
        <w:rPr>
          <w:rStyle w:val="CharPartText"/>
        </w:rPr>
        <w:t>rules</w:t>
      </w:r>
      <w:r>
        <w:t> </w:t>
      </w:r>
      <w:r>
        <w:rPr>
          <w:rFonts w:ascii="Times New Roman Bold" w:hAnsi="Times New Roman Bold"/>
          <w:vertAlign w:val="superscript"/>
        </w:rPr>
        <w:t>4</w:t>
      </w:r>
      <w:bookmarkEnd w:id="1401"/>
      <w:bookmarkEnd w:id="1402"/>
      <w:bookmarkEnd w:id="1403"/>
    </w:p>
    <w:p>
      <w:pPr>
        <w:pStyle w:val="Footnoteheading"/>
      </w:pPr>
      <w:r>
        <w:tab/>
        <w:t xml:space="preserve">[Heading inserted: Gazette 22 Feb 2008 p. 642.] </w:t>
      </w:r>
    </w:p>
    <w:p>
      <w:pPr>
        <w:pStyle w:val="Heading5"/>
        <w:rPr>
          <w:snapToGrid w:val="0"/>
        </w:rPr>
      </w:pPr>
      <w:bookmarkStart w:id="1404" w:name="_Toc163121671"/>
      <w:r>
        <w:rPr>
          <w:rStyle w:val="CharSectno"/>
        </w:rPr>
        <w:t>1</w:t>
      </w:r>
      <w:r>
        <w:rPr>
          <w:snapToGrid w:val="0"/>
        </w:rPr>
        <w:t>.</w:t>
      </w:r>
      <w:r>
        <w:rPr>
          <w:snapToGrid w:val="0"/>
        </w:rPr>
        <w:tab/>
        <w:t>Terms used</w:t>
      </w:r>
      <w:bookmarkEnd w:id="1404"/>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Family Provision Act 1972</w:t>
      </w:r>
      <w:r>
        <w:rPr>
          <w:vertAlign w:val="superscript"/>
        </w:rPr>
        <w:t> 4</w:t>
      </w:r>
      <w:r>
        <w:t>; and</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 and</w:t>
      </w:r>
    </w:p>
    <w:p>
      <w:pPr>
        <w:pStyle w:val="Defstart"/>
      </w:pPr>
      <w:r>
        <w:rPr>
          <w:b/>
        </w:rPr>
        <w:tab/>
      </w:r>
      <w:r>
        <w:rPr>
          <w:rStyle w:val="CharDefText"/>
        </w:rPr>
        <w:t>Registry</w:t>
      </w:r>
      <w:r>
        <w:t xml:space="preserve"> means the Probate Office of the Supreme Court;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Gazette 15 Jun 1973 p. 2250.] </w:t>
      </w:r>
    </w:p>
    <w:p>
      <w:pPr>
        <w:pStyle w:val="Heading5"/>
        <w:rPr>
          <w:snapToGrid w:val="0"/>
        </w:rPr>
      </w:pPr>
      <w:bookmarkStart w:id="1405" w:name="_Toc163121672"/>
      <w:r>
        <w:rPr>
          <w:rStyle w:val="CharSectno"/>
        </w:rPr>
        <w:t>2</w:t>
      </w:r>
      <w:r>
        <w:rPr>
          <w:snapToGrid w:val="0"/>
        </w:rPr>
        <w:t>.</w:t>
      </w:r>
      <w:r>
        <w:rPr>
          <w:snapToGrid w:val="0"/>
        </w:rPr>
        <w:tab/>
        <w:t>Applications under Act, making of</w:t>
      </w:r>
      <w:bookmarkEnd w:id="1405"/>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Family Provision Act 1972</w:t>
      </w:r>
      <w:r>
        <w:rPr>
          <w:snapToGrid w:val="0"/>
          <w:vertAlign w:val="superscript"/>
        </w:rPr>
        <w:t> 4</w:t>
      </w:r>
      <w:r>
        <w:rPr>
          <w:snapToGrid w:val="0"/>
        </w:rPr>
        <w:t>, and in the matter of the will or estate of the deceased person to which the proceedings relate.</w:t>
      </w:r>
    </w:p>
    <w:p>
      <w:pPr>
        <w:pStyle w:val="Footnotesection"/>
      </w:pPr>
      <w:r>
        <w:tab/>
        <w:t xml:space="preserve">[Rule 2 inserted: Gazette 15 Jun 1973 p. 2250.] </w:t>
      </w:r>
    </w:p>
    <w:p>
      <w:pPr>
        <w:pStyle w:val="Heading5"/>
      </w:pPr>
      <w:bookmarkStart w:id="1406" w:name="_Toc163121673"/>
      <w:r>
        <w:rPr>
          <w:rStyle w:val="CharSectno"/>
        </w:rPr>
        <w:t>3</w:t>
      </w:r>
      <w:r>
        <w:t>.</w:t>
      </w:r>
      <w:r>
        <w:tab/>
        <w:t>Copy of summons to be placed on probate file or linked to electronic file</w:t>
      </w:r>
      <w:bookmarkEnd w:id="1406"/>
    </w:p>
    <w:p>
      <w:pPr>
        <w:pStyle w:val="Subsection"/>
        <w:rPr>
          <w:snapToGrid w:val="0"/>
        </w:rPr>
      </w:pPr>
      <w:r>
        <w:rPr>
          <w:snapToGrid w:val="0"/>
        </w:rPr>
        <w:tab/>
        <w:t>(1)</w:t>
      </w:r>
      <w:r>
        <w:rPr>
          <w:snapToGrid w:val="0"/>
        </w:rPr>
        <w:tab/>
        <w:t xml:space="preserve">Upon the issue of an originating summons under this Order, the person presenting the summons for sealing must deliver to the </w:t>
      </w:r>
      <w:r>
        <w:rPr>
          <w:snapToGrid w:val="0"/>
        </w:rPr>
        <w:lastRenderedPageBreak/>
        <w:t>Principal Registrar or file electronically a copy of the will of the testator as admitted to probate or annexed to letters of administration of the testator’s estate.</w:t>
      </w:r>
    </w:p>
    <w:p>
      <w:pPr>
        <w:pStyle w:val="Subsection"/>
        <w:keepNext/>
      </w:pPr>
      <w:r>
        <w:tab/>
        <w:t>(2)</w:t>
      </w:r>
      <w:r>
        <w:tab/>
        <w:t xml:space="preserve">The Principal Registrar must — </w:t>
      </w:r>
    </w:p>
    <w:p>
      <w:pPr>
        <w:pStyle w:val="Indenta"/>
        <w:rPr>
          <w:snapToGrid w:val="0"/>
        </w:rPr>
      </w:pPr>
      <w:r>
        <w:rPr>
          <w:snapToGrid w:val="0"/>
        </w:rPr>
        <w:tab/>
        <w:t>(a)</w:t>
      </w:r>
      <w:r>
        <w:rPr>
          <w:snapToGrid w:val="0"/>
        </w:rPr>
        <w:tab/>
        <w:t>cause a copy of the summons to be placed on the probate file in the Registry; or</w:t>
      </w:r>
    </w:p>
    <w:p>
      <w:pPr>
        <w:pStyle w:val="Indenta"/>
        <w:rPr>
          <w:snapToGrid w:val="0"/>
        </w:rPr>
      </w:pPr>
      <w:r>
        <w:rPr>
          <w:snapToGrid w:val="0"/>
        </w:rPr>
        <w:tab/>
        <w:t>(b)</w:t>
      </w:r>
      <w:r>
        <w:rPr>
          <w:snapToGrid w:val="0"/>
        </w:rPr>
        <w:tab/>
        <w:t>link an electronic copy of the summons to the Court’s electronic file for the probate matter.</w:t>
      </w:r>
    </w:p>
    <w:p>
      <w:pPr>
        <w:pStyle w:val="Subsection"/>
      </w:pPr>
      <w:r>
        <w:tab/>
        <w:t>(3)</w:t>
      </w:r>
      <w:r>
        <w:tab/>
        <w:t>The Principal Registrar, in writing, may delegate the Principal Registrar’s functions under subrule (2) to 1 or more officers of the Court.</w:t>
      </w:r>
    </w:p>
    <w:p>
      <w:pPr>
        <w:pStyle w:val="Footnotesection"/>
      </w:pPr>
      <w:r>
        <w:tab/>
        <w:t>[Rule 3 inserted: SL 2020/242 r. 10(1).]</w:t>
      </w:r>
    </w:p>
    <w:p>
      <w:pPr>
        <w:pStyle w:val="Ednotesection"/>
      </w:pPr>
      <w:r>
        <w:t>[</w:t>
      </w:r>
      <w:r>
        <w:rPr>
          <w:b/>
        </w:rPr>
        <w:t>4.</w:t>
      </w:r>
      <w:r>
        <w:tab/>
        <w:t>Deleted: Gazette 21 Feb 2007 p. 582.]</w:t>
      </w:r>
    </w:p>
    <w:p>
      <w:pPr>
        <w:pStyle w:val="Heading5"/>
        <w:rPr>
          <w:snapToGrid w:val="0"/>
        </w:rPr>
      </w:pPr>
      <w:bookmarkStart w:id="1407" w:name="_Toc163121674"/>
      <w:r>
        <w:rPr>
          <w:rStyle w:val="CharSectno"/>
        </w:rPr>
        <w:t>5</w:t>
      </w:r>
      <w:r>
        <w:rPr>
          <w:snapToGrid w:val="0"/>
        </w:rPr>
        <w:t>.</w:t>
      </w:r>
      <w:r>
        <w:rPr>
          <w:snapToGrid w:val="0"/>
        </w:rPr>
        <w:tab/>
        <w:t>Court may make inquiries etc.</w:t>
      </w:r>
      <w:bookmarkEnd w:id="1407"/>
      <w:r>
        <w:rPr>
          <w:snapToGrid w:val="0"/>
        </w:rPr>
        <w:t xml:space="preserve"> </w:t>
      </w:r>
    </w:p>
    <w:p>
      <w:pPr>
        <w:pStyle w:val="Subsection"/>
        <w:rPr>
          <w:snapToGrid w:val="0"/>
        </w:rPr>
      </w:pPr>
      <w:r>
        <w:rPr>
          <w:snapToGrid w:val="0"/>
        </w:rPr>
        <w:tab/>
      </w:r>
      <w:r>
        <w:rPr>
          <w:snapToGrid w:val="0"/>
        </w:rPr>
        <w:tab/>
      </w:r>
      <w:r>
        <w:t xml:space="preserve">At a case management conference held under Order 4A rule 18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lastRenderedPageBreak/>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Gazette 15 Jun 1973 p. 2250</w:t>
      </w:r>
      <w:r>
        <w:noBreakHyphen/>
        <w:t xml:space="preserve">1; amended: Gazette 21 Feb 2007 p. 582; 28 Jul 2010 p. 3468; 16 Aug 2017 p. 4420.] </w:t>
      </w:r>
    </w:p>
    <w:p>
      <w:pPr>
        <w:pStyle w:val="Heading5"/>
        <w:rPr>
          <w:snapToGrid w:val="0"/>
        </w:rPr>
      </w:pPr>
      <w:bookmarkStart w:id="1408" w:name="_Toc163121675"/>
      <w:r>
        <w:rPr>
          <w:rStyle w:val="CharSectno"/>
        </w:rPr>
        <w:t>6</w:t>
      </w:r>
      <w:r>
        <w:rPr>
          <w:snapToGrid w:val="0"/>
        </w:rPr>
        <w:t>.</w:t>
      </w:r>
      <w:r>
        <w:rPr>
          <w:snapToGrid w:val="0"/>
        </w:rPr>
        <w:tab/>
        <w:t>Parties may be added</w:t>
      </w:r>
      <w:bookmarkEnd w:id="1408"/>
      <w:r>
        <w:rPr>
          <w:snapToGrid w:val="0"/>
        </w:rPr>
        <w:t xml:space="preserve"> </w:t>
      </w:r>
    </w:p>
    <w:p>
      <w:pPr>
        <w:pStyle w:val="Subsection"/>
        <w:spacing w:before="120"/>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Gazette 15 Jun 1973 p. 2251.] </w:t>
      </w:r>
    </w:p>
    <w:p>
      <w:pPr>
        <w:pStyle w:val="Heading5"/>
        <w:spacing w:before="200"/>
        <w:rPr>
          <w:snapToGrid w:val="0"/>
        </w:rPr>
      </w:pPr>
      <w:bookmarkStart w:id="1409" w:name="_Toc163121676"/>
      <w:r>
        <w:rPr>
          <w:rStyle w:val="CharSectno"/>
        </w:rPr>
        <w:t>7</w:t>
      </w:r>
      <w:r>
        <w:rPr>
          <w:snapToGrid w:val="0"/>
        </w:rPr>
        <w:t>.</w:t>
      </w:r>
      <w:r>
        <w:rPr>
          <w:snapToGrid w:val="0"/>
        </w:rPr>
        <w:tab/>
        <w:t>Representative defendant</w:t>
      </w:r>
      <w:bookmarkEnd w:id="1409"/>
      <w:r>
        <w:rPr>
          <w:snapToGrid w:val="0"/>
        </w:rPr>
        <w:t xml:space="preserve"> </w:t>
      </w:r>
    </w:p>
    <w:p>
      <w:pPr>
        <w:pStyle w:val="Subsection"/>
        <w:spacing w:before="120"/>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Gazette 15 Jun 1973 p. 2251.] </w:t>
      </w:r>
    </w:p>
    <w:p>
      <w:pPr>
        <w:pStyle w:val="Heading5"/>
        <w:spacing w:before="200"/>
        <w:rPr>
          <w:snapToGrid w:val="0"/>
        </w:rPr>
      </w:pPr>
      <w:bookmarkStart w:id="1410" w:name="_Toc163121677"/>
      <w:r>
        <w:rPr>
          <w:rStyle w:val="CharSectno"/>
        </w:rPr>
        <w:t>8</w:t>
      </w:r>
      <w:r>
        <w:rPr>
          <w:snapToGrid w:val="0"/>
        </w:rPr>
        <w:t>.</w:t>
      </w:r>
      <w:r>
        <w:rPr>
          <w:snapToGrid w:val="0"/>
        </w:rPr>
        <w:tab/>
        <w:t>Probate etc. to be lodged at Registry if judgment for plaintiff</w:t>
      </w:r>
      <w:bookmarkEnd w:id="1410"/>
    </w:p>
    <w:p>
      <w:pPr>
        <w:pStyle w:val="Subsection"/>
        <w:spacing w:before="120"/>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spacing w:before="120"/>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spacing w:before="120"/>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Gazette 15 Jun 1973 p. 2251.] </w:t>
      </w:r>
    </w:p>
    <w:p>
      <w:pPr>
        <w:pStyle w:val="Heading5"/>
        <w:spacing w:before="200"/>
        <w:rPr>
          <w:snapToGrid w:val="0"/>
        </w:rPr>
      </w:pPr>
      <w:bookmarkStart w:id="1411" w:name="_Toc163121678"/>
      <w:r>
        <w:rPr>
          <w:rStyle w:val="CharSectno"/>
        </w:rPr>
        <w:lastRenderedPageBreak/>
        <w:t>9</w:t>
      </w:r>
      <w:r>
        <w:rPr>
          <w:snapToGrid w:val="0"/>
        </w:rPr>
        <w:t>.</w:t>
      </w:r>
      <w:r>
        <w:rPr>
          <w:snapToGrid w:val="0"/>
        </w:rPr>
        <w:tab/>
        <w:t>Appearance to originating summons for extension of time not required</w:t>
      </w:r>
      <w:bookmarkEnd w:id="1411"/>
      <w:r>
        <w:rPr>
          <w:snapToGrid w:val="0"/>
        </w:rPr>
        <w:t xml:space="preserve"> </w:t>
      </w:r>
    </w:p>
    <w:p>
      <w:pPr>
        <w:pStyle w:val="Subsection"/>
        <w:spacing w:before="120"/>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Gazette 15 Jun 1973 p. 2251.] </w:t>
      </w:r>
    </w:p>
    <w:p>
      <w:pPr>
        <w:pStyle w:val="Ednotesection"/>
      </w:pPr>
      <w:r>
        <w:t>[</w:t>
      </w:r>
      <w:r>
        <w:rPr>
          <w:b/>
        </w:rPr>
        <w:t>10.</w:t>
      </w:r>
      <w:r>
        <w:tab/>
        <w:t>Deleted: SL 2020/242 r. 10(2).]</w:t>
      </w:r>
    </w:p>
    <w:p>
      <w:pPr>
        <w:pStyle w:val="Heading2"/>
      </w:pPr>
      <w:bookmarkStart w:id="1412" w:name="_Toc162941217"/>
      <w:bookmarkStart w:id="1413" w:name="_Toc162954006"/>
      <w:bookmarkStart w:id="1414" w:name="_Toc163121679"/>
      <w:r>
        <w:rPr>
          <w:rStyle w:val="CharPartNo"/>
        </w:rPr>
        <w:lastRenderedPageBreak/>
        <w:t>Order 75A</w:t>
      </w:r>
      <w:r>
        <w:t> — </w:t>
      </w:r>
      <w:r>
        <w:rPr>
          <w:rStyle w:val="CharPartText"/>
        </w:rPr>
        <w:t>Admission rules</w:t>
      </w:r>
      <w:bookmarkEnd w:id="1412"/>
      <w:bookmarkEnd w:id="1413"/>
      <w:bookmarkEnd w:id="1414"/>
    </w:p>
    <w:p>
      <w:pPr>
        <w:pStyle w:val="Footnoteheading"/>
      </w:pPr>
      <w:r>
        <w:tab/>
        <w:t>[Heading inserted: SL 2022/74 r. 12.]</w:t>
      </w:r>
    </w:p>
    <w:p>
      <w:pPr>
        <w:pStyle w:val="Heading5"/>
      </w:pPr>
      <w:bookmarkStart w:id="1415" w:name="_Toc163121680"/>
      <w:r>
        <w:rPr>
          <w:rStyle w:val="CharSectno"/>
        </w:rPr>
        <w:t>1</w:t>
      </w:r>
      <w:r>
        <w:t>.</w:t>
      </w:r>
      <w:r>
        <w:tab/>
        <w:t>Terms used</w:t>
      </w:r>
      <w:bookmarkEnd w:id="1415"/>
    </w:p>
    <w:p>
      <w:pPr>
        <w:pStyle w:val="Subsection"/>
      </w:pPr>
      <w:r>
        <w:tab/>
      </w:r>
      <w:r>
        <w:tab/>
        <w:t>In this Order —</w:t>
      </w:r>
    </w:p>
    <w:p>
      <w:pPr>
        <w:pStyle w:val="Defstart"/>
      </w:pPr>
      <w:r>
        <w:tab/>
      </w:r>
      <w:r>
        <w:rPr>
          <w:rStyle w:val="CharDefText"/>
        </w:rPr>
        <w:t>applicant</w:t>
      </w:r>
      <w:r>
        <w:t xml:space="preserve"> means a person who makes an application under rule 2(1); </w:t>
      </w:r>
    </w:p>
    <w:p>
      <w:pPr>
        <w:pStyle w:val="Defstart"/>
      </w:pPr>
      <w:r>
        <w:tab/>
      </w:r>
      <w:r>
        <w:rPr>
          <w:rStyle w:val="CharDefText"/>
        </w:rPr>
        <w:t>Board</w:t>
      </w:r>
      <w:r>
        <w:t xml:space="preserve"> means the Legal Practice Board established under the </w:t>
      </w:r>
      <w:r>
        <w:rPr>
          <w:i/>
        </w:rPr>
        <w:t>Legal Profession Uniform Law Application Act 2022</w:t>
      </w:r>
      <w:r>
        <w:t xml:space="preserve"> section 30(1);</w:t>
      </w:r>
    </w:p>
    <w:p>
      <w:pPr>
        <w:pStyle w:val="Defstart"/>
      </w:pPr>
      <w:r>
        <w:tab/>
      </w:r>
      <w:r>
        <w:rPr>
          <w:rStyle w:val="CharDefText"/>
        </w:rPr>
        <w:t>Supreme Court (full bench)</w:t>
      </w:r>
      <w:r>
        <w:t xml:space="preserve"> means the Court constituted by at least 3 judges.</w:t>
      </w:r>
    </w:p>
    <w:p>
      <w:pPr>
        <w:pStyle w:val="Footnotesection"/>
      </w:pPr>
      <w:r>
        <w:tab/>
        <w:t>[Rule 1 inserted: SL 2022/74 r. 13(1).]</w:t>
      </w:r>
    </w:p>
    <w:p>
      <w:pPr>
        <w:pStyle w:val="Heading5"/>
      </w:pPr>
      <w:bookmarkStart w:id="1416" w:name="_Toc163121681"/>
      <w:r>
        <w:rPr>
          <w:rStyle w:val="CharSectno"/>
        </w:rPr>
        <w:t>2</w:t>
      </w:r>
      <w:r>
        <w:t>.</w:t>
      </w:r>
      <w:r>
        <w:tab/>
        <w:t>Application for admission</w:t>
      </w:r>
      <w:bookmarkEnd w:id="1416"/>
    </w:p>
    <w:p>
      <w:pPr>
        <w:pStyle w:val="Subsection"/>
      </w:pPr>
      <w:r>
        <w:tab/>
        <w:t>(1)</w:t>
      </w:r>
      <w:r>
        <w:tab/>
        <w:t xml:space="preserve">An application for admission to the Australian legal profession under the </w:t>
      </w:r>
      <w:r>
        <w:rPr>
          <w:i/>
        </w:rPr>
        <w:t>Legal Profession Uniform Law (WA)</w:t>
      </w:r>
      <w:r>
        <w:t xml:space="preserve"> section 16 must be made to the Supreme Court (full bench) by motion.</w:t>
      </w:r>
    </w:p>
    <w:p>
      <w:pPr>
        <w:pStyle w:val="Subsection"/>
        <w:rPr>
          <w:snapToGrid w:val="0"/>
        </w:rPr>
      </w:pPr>
      <w:r>
        <w:rPr>
          <w:snapToGrid w:val="0"/>
        </w:rPr>
        <w:tab/>
        <w:t>(2)</w:t>
      </w:r>
      <w:r>
        <w:rPr>
          <w:snapToGrid w:val="0"/>
        </w:rPr>
        <w:tab/>
        <w:t>The application must be filed at least 2 months before the proposed date of admission.</w:t>
      </w:r>
    </w:p>
    <w:p>
      <w:pPr>
        <w:pStyle w:val="Subsection"/>
      </w:pPr>
      <w:r>
        <w:tab/>
        <w:t>(2A)</w:t>
      </w:r>
      <w:r>
        <w:tab/>
        <w:t>The application cannot be filed electronically.</w:t>
      </w:r>
    </w:p>
    <w:p>
      <w:pPr>
        <w:pStyle w:val="Subsection"/>
        <w:keepNext/>
      </w:pPr>
      <w:r>
        <w:tab/>
        <w:t>(3)</w:t>
      </w:r>
      <w:r>
        <w:tab/>
        <w:t xml:space="preserve">The applicant must serve a notice of motion on the Board when they apply to the Board for a compliance certificate under the </w:t>
      </w:r>
      <w:r>
        <w:rPr>
          <w:i/>
        </w:rPr>
        <w:t>Legal Profession Uniform Law (WA)</w:t>
      </w:r>
      <w:r>
        <w:t xml:space="preserve"> section 19(1). </w:t>
      </w:r>
    </w:p>
    <w:p>
      <w:pPr>
        <w:pStyle w:val="Footnotesection"/>
      </w:pPr>
      <w:r>
        <w:tab/>
        <w:t>[Rule 2 inserted: Gazette 6 Feb 2009 p. 244; amended: Gazette 16 Aug 2017 p. 4420; 27 Feb 2018 p. 620</w:t>
      </w:r>
      <w:r>
        <w:noBreakHyphen/>
        <w:t>1; SL 2022/74 r. 13(2) and (3).]</w:t>
      </w:r>
    </w:p>
    <w:p>
      <w:pPr>
        <w:pStyle w:val="Heading5"/>
      </w:pPr>
      <w:bookmarkStart w:id="1417" w:name="_Toc163121682"/>
      <w:r>
        <w:rPr>
          <w:rStyle w:val="CharSectno"/>
        </w:rPr>
        <w:t>2A</w:t>
      </w:r>
      <w:r>
        <w:t>.</w:t>
      </w:r>
      <w:r>
        <w:tab/>
        <w:t>Compliance certificates</w:t>
      </w:r>
      <w:bookmarkEnd w:id="1417"/>
    </w:p>
    <w:p>
      <w:pPr>
        <w:pStyle w:val="Subsection"/>
      </w:pPr>
      <w:r>
        <w:tab/>
        <w:t>(1)</w:t>
      </w:r>
      <w:r>
        <w:tab/>
        <w:t xml:space="preserve">If the Board issues a compliance certificate in respect of an applicant under the </w:t>
      </w:r>
      <w:r>
        <w:rPr>
          <w:i/>
        </w:rPr>
        <w:t>Legal Profession Uniform Law (WA)</w:t>
      </w:r>
      <w:r>
        <w:t xml:space="preserve"> </w:t>
      </w:r>
      <w:r>
        <w:lastRenderedPageBreak/>
        <w:t>section 19(3), the Board must file the compliance certificate in the Court at least 7 days before the applicant’s proposed date of admission.</w:t>
      </w:r>
    </w:p>
    <w:p>
      <w:pPr>
        <w:pStyle w:val="Subsection"/>
        <w:keepNext/>
      </w:pPr>
      <w:r>
        <w:tab/>
        <w:t>(2)</w:t>
      </w:r>
      <w:r>
        <w:tab/>
        <w:t>The Board must serve on the applicant a copy of the compliance certificate filed under subrule (1).</w:t>
      </w:r>
    </w:p>
    <w:p>
      <w:pPr>
        <w:pStyle w:val="Footnotesection"/>
      </w:pPr>
      <w:r>
        <w:tab/>
        <w:t>[Rule 2A inserted: SL 2022/74 r. 13(4).]</w:t>
      </w:r>
    </w:p>
    <w:p>
      <w:pPr>
        <w:pStyle w:val="Heading5"/>
      </w:pPr>
      <w:bookmarkStart w:id="1418" w:name="_Toc163121683"/>
      <w:r>
        <w:rPr>
          <w:rStyle w:val="CharSectno"/>
        </w:rPr>
        <w:t>2B</w:t>
      </w:r>
      <w:r>
        <w:t>.</w:t>
      </w:r>
      <w:r>
        <w:tab/>
        <w:t xml:space="preserve">Appeals under </w:t>
      </w:r>
      <w:r>
        <w:rPr>
          <w:i/>
        </w:rPr>
        <w:t>Legal Profession Uniform Law (WA)</w:t>
      </w:r>
      <w:r>
        <w:t xml:space="preserve"> section 26 or 27</w:t>
      </w:r>
      <w:bookmarkEnd w:id="1418"/>
    </w:p>
    <w:p>
      <w:pPr>
        <w:pStyle w:val="Subsection"/>
        <w:keepNext/>
      </w:pPr>
      <w:r>
        <w:tab/>
      </w:r>
      <w:r>
        <w:tab/>
        <w:t xml:space="preserve">Order 65 (other than rule 10(6)) applies to an appeal under the </w:t>
      </w:r>
      <w:r>
        <w:rPr>
          <w:i/>
        </w:rPr>
        <w:t>Legal Profession Uniform Law (WA)</w:t>
      </w:r>
      <w:r>
        <w:t xml:space="preserve"> section 26 or 27.</w:t>
      </w:r>
    </w:p>
    <w:p>
      <w:pPr>
        <w:pStyle w:val="Footnotesection"/>
      </w:pPr>
      <w:r>
        <w:tab/>
        <w:t>[Rule 2B inserted: SL 2022/74 r. 13(4).]</w:t>
      </w:r>
    </w:p>
    <w:p>
      <w:pPr>
        <w:pStyle w:val="Heading5"/>
      </w:pPr>
      <w:bookmarkStart w:id="1419" w:name="_Toc163121684"/>
      <w:r>
        <w:rPr>
          <w:rStyle w:val="CharSectno"/>
        </w:rPr>
        <w:t>2C</w:t>
      </w:r>
      <w:r>
        <w:t>.</w:t>
      </w:r>
      <w:r>
        <w:tab/>
        <w:t>Objection to admission</w:t>
      </w:r>
      <w:bookmarkEnd w:id="1419"/>
    </w:p>
    <w:p>
      <w:pPr>
        <w:pStyle w:val="Subsection"/>
      </w:pPr>
      <w:r>
        <w:tab/>
        <w:t>(1)</w:t>
      </w:r>
      <w:r>
        <w:tab/>
        <w:t xml:space="preserve">A person (the </w:t>
      </w:r>
      <w:r>
        <w:rPr>
          <w:rStyle w:val="CharDefText"/>
        </w:rPr>
        <w:t>objector</w:t>
      </w:r>
      <w:r>
        <w:t xml:space="preserve">) may object to the admission of an applicant to the Australian legal profession under the </w:t>
      </w:r>
      <w:r>
        <w:rPr>
          <w:i/>
        </w:rPr>
        <w:t>Legal Profession Uniform Law (WA)</w:t>
      </w:r>
      <w:r>
        <w:t xml:space="preserve"> section 16(3) by filing a notice in the Court.</w:t>
      </w:r>
    </w:p>
    <w:p>
      <w:pPr>
        <w:pStyle w:val="Subsection"/>
        <w:keepNext/>
      </w:pPr>
      <w:r>
        <w:tab/>
        <w:t>(2)</w:t>
      </w:r>
      <w:r>
        <w:tab/>
        <w:t>A notice filed under subrule (1) must —</w:t>
      </w:r>
    </w:p>
    <w:p>
      <w:pPr>
        <w:pStyle w:val="Indenta"/>
      </w:pPr>
      <w:r>
        <w:tab/>
        <w:t>(a)</w:t>
      </w:r>
      <w:r>
        <w:tab/>
        <w:t xml:space="preserve">state the grounds of the objection; and </w:t>
      </w:r>
    </w:p>
    <w:p>
      <w:pPr>
        <w:pStyle w:val="Indenta"/>
      </w:pPr>
      <w:r>
        <w:tab/>
        <w:t>(b)</w:t>
      </w:r>
      <w:r>
        <w:tab/>
        <w:t>be filed at least 7 days before the applicant’s proposed date of admission; and</w:t>
      </w:r>
    </w:p>
    <w:p>
      <w:pPr>
        <w:pStyle w:val="Indenta"/>
      </w:pPr>
      <w:r>
        <w:tab/>
        <w:t>(c)</w:t>
      </w:r>
      <w:r>
        <w:tab/>
        <w:t>be served on the applicant, unless the Court orders otherwise.</w:t>
      </w:r>
    </w:p>
    <w:p>
      <w:pPr>
        <w:pStyle w:val="Subsection"/>
        <w:keepNext/>
      </w:pPr>
      <w:r>
        <w:tab/>
        <w:t>(3)</w:t>
      </w:r>
      <w:r>
        <w:tab/>
        <w:t>The Court may, at any time after a notice under subrule (1) is filed, do one or more of the following —</w:t>
      </w:r>
    </w:p>
    <w:p>
      <w:pPr>
        <w:pStyle w:val="Indenta"/>
      </w:pPr>
      <w:r>
        <w:tab/>
        <w:t>(a)</w:t>
      </w:r>
      <w:r>
        <w:tab/>
        <w:t xml:space="preserve">dismiss or strike out the objection if the Court believes that it is frivolous, vexatious, misconceived or lacking in substance, is being used for an improper purpose or is otherwise an abuse of process; </w:t>
      </w:r>
    </w:p>
    <w:p>
      <w:pPr>
        <w:pStyle w:val="Indenta"/>
      </w:pPr>
      <w:r>
        <w:tab/>
        <w:t>(b)</w:t>
      </w:r>
      <w:r>
        <w:tab/>
        <w:t xml:space="preserve">order the objector or the applicant, or both, to file written submissions; </w:t>
      </w:r>
    </w:p>
    <w:p>
      <w:pPr>
        <w:pStyle w:val="Indenta"/>
      </w:pPr>
      <w:r>
        <w:lastRenderedPageBreak/>
        <w:tab/>
        <w:t>(c)</w:t>
      </w:r>
      <w:r>
        <w:tab/>
        <w:t xml:space="preserve">determine the objection in chambers on the documents; </w:t>
      </w:r>
    </w:p>
    <w:p>
      <w:pPr>
        <w:pStyle w:val="Indenta"/>
      </w:pPr>
      <w:r>
        <w:tab/>
        <w:t>(d)</w:t>
      </w:r>
      <w:r>
        <w:tab/>
        <w:t>list the objection for hearing.</w:t>
      </w:r>
    </w:p>
    <w:p>
      <w:pPr>
        <w:pStyle w:val="Subsection"/>
        <w:keepNext/>
      </w:pPr>
      <w:r>
        <w:tab/>
        <w:t>(4)</w:t>
      </w:r>
      <w:r>
        <w:tab/>
        <w:t>If a hearing is held to determine the objection, both the objector and the applicant are entitled to appear and be heard.</w:t>
      </w:r>
    </w:p>
    <w:p>
      <w:pPr>
        <w:pStyle w:val="Footnotesection"/>
      </w:pPr>
      <w:r>
        <w:tab/>
        <w:t>[Rule 2C inserted: SL 2022/74 r. 13(4).]</w:t>
      </w:r>
    </w:p>
    <w:p>
      <w:pPr>
        <w:pStyle w:val="Heading5"/>
      </w:pPr>
      <w:bookmarkStart w:id="1420" w:name="_Toc163121685"/>
      <w:r>
        <w:rPr>
          <w:rStyle w:val="CharSectno"/>
        </w:rPr>
        <w:t>3</w:t>
      </w:r>
      <w:r>
        <w:t>.</w:t>
      </w:r>
      <w:r>
        <w:tab/>
        <w:t>Attendance at hearing of application for admission</w:t>
      </w:r>
      <w:bookmarkEnd w:id="1420"/>
    </w:p>
    <w:p>
      <w:pPr>
        <w:pStyle w:val="Subsection"/>
      </w:pPr>
      <w:r>
        <w:tab/>
        <w:t>(1)</w:t>
      </w:r>
      <w:r>
        <w:tab/>
        <w:t>Subject to subrule (2) a person who applies for admission must attend in person before the Supreme Court (full bench) when the application is heard.</w:t>
      </w:r>
    </w:p>
    <w:p>
      <w:pPr>
        <w:pStyle w:val="Subsection"/>
      </w:pPr>
      <w:r>
        <w:tab/>
        <w:t>(2)</w:t>
      </w:r>
      <w:r>
        <w:tab/>
        <w:t xml:space="preserve">A person who applies for admission under the </w:t>
      </w:r>
      <w:r>
        <w:rPr>
          <w:i/>
        </w:rPr>
        <w:t xml:space="preserve">Mutual Recognition Act 1992 </w:t>
      </w:r>
      <w:r>
        <w:t xml:space="preserve">(Commonwealth) or the </w:t>
      </w:r>
      <w:r>
        <w:rPr>
          <w:i/>
        </w:rPr>
        <w:t>Trans</w:t>
      </w:r>
      <w:r>
        <w:rPr>
          <w:i/>
        </w:rPr>
        <w:noBreakHyphen/>
        <w:t>Tasman Mutual Recognition Act 1997</w:t>
      </w:r>
      <w:r>
        <w:t xml:space="preserve"> (Commonwealth) is not required to attend in person.</w:t>
      </w:r>
    </w:p>
    <w:p>
      <w:pPr>
        <w:pStyle w:val="Subsection"/>
        <w:keepNext/>
      </w:pPr>
      <w:r>
        <w:tab/>
        <w:t>(3)</w:t>
      </w:r>
      <w:r>
        <w:tab/>
        <w:t xml:space="preserve">A person who is admitted without appearing in person must, within 21 days of being admitted — </w:t>
      </w:r>
    </w:p>
    <w:p>
      <w:pPr>
        <w:pStyle w:val="Indenta"/>
        <w:keepNext/>
      </w:pPr>
      <w:r>
        <w:tab/>
        <w:t>(a)</w:t>
      </w:r>
      <w:r>
        <w:tab/>
        <w:t xml:space="preserve">attend at — </w:t>
      </w:r>
    </w:p>
    <w:p>
      <w:pPr>
        <w:pStyle w:val="Indenti"/>
      </w:pPr>
      <w:r>
        <w:tab/>
        <w:t>(i)</w:t>
      </w:r>
      <w:r>
        <w:tab/>
        <w:t xml:space="preserve">if the application for admission was made under the </w:t>
      </w:r>
      <w:r>
        <w:rPr>
          <w:i/>
          <w:iCs/>
        </w:rPr>
        <w:t>Mutual Recognition Act 1992</w:t>
      </w:r>
      <w:r>
        <w:t xml:space="preserve"> (Commonwealth) — the office of a superior court of a State or Territory or of the High Court; or</w:t>
      </w:r>
    </w:p>
    <w:p>
      <w:pPr>
        <w:pStyle w:val="Indenti"/>
        <w:keepNext/>
      </w:pPr>
      <w:r>
        <w:tab/>
        <w:t>(ii)</w:t>
      </w:r>
      <w:r>
        <w:tab/>
        <w:t xml:space="preserve">if the application for admission was made under the </w:t>
      </w:r>
      <w:r>
        <w:rPr>
          <w:i/>
          <w:iCs/>
        </w:rPr>
        <w:t>Trans</w:t>
      </w:r>
      <w:r>
        <w:rPr>
          <w:i/>
          <w:iCs/>
        </w:rPr>
        <w:noBreakHyphen/>
        <w:t>Tasman Mutual Recognition Act 1997</w:t>
      </w:r>
      <w:r>
        <w:t xml:space="preserve"> (Commonwealth) — the office of a superior court of a State or Territory or the High Court of Australia or of the Supreme Court or High Court of New Zealand; </w:t>
      </w:r>
    </w:p>
    <w:p>
      <w:pPr>
        <w:pStyle w:val="Indenta"/>
      </w:pPr>
      <w:r>
        <w:tab/>
      </w:r>
      <w:r>
        <w:tab/>
        <w:t>and</w:t>
      </w:r>
    </w:p>
    <w:p>
      <w:pPr>
        <w:pStyle w:val="Indenta"/>
      </w:pPr>
      <w:r>
        <w:tab/>
        <w:t>(b)</w:t>
      </w:r>
      <w:r>
        <w:tab/>
        <w:t>before the Principal Registrar, a registrar, a deputy registrar or the prothonotary of that court, take an oath or affirmation in the form set out in rule 4.</w:t>
      </w:r>
    </w:p>
    <w:p>
      <w:pPr>
        <w:pStyle w:val="Subsection"/>
        <w:keepNext/>
      </w:pPr>
      <w:r>
        <w:lastRenderedPageBreak/>
        <w:tab/>
        <w:t>(4)</w:t>
      </w:r>
      <w:r>
        <w:tab/>
        <w:t xml:space="preserve">When a person takes an oath or affirmation in accordance with subrule (3), the person’s name is to be entered in the Supreme Court roll maintained under the </w:t>
      </w:r>
      <w:r>
        <w:rPr>
          <w:i/>
        </w:rPr>
        <w:t>Legal Profession Uniform Law (WA)</w:t>
      </w:r>
      <w:r>
        <w:t xml:space="preserve"> section 22(1) in the usual manner.</w:t>
      </w:r>
    </w:p>
    <w:p>
      <w:pPr>
        <w:pStyle w:val="Footnotesection"/>
      </w:pPr>
      <w:r>
        <w:tab/>
        <w:t>[Rule 3 inserted: Gazette 6 Feb 2009 p. 244-5; amended: SL 2022/74 r. 13(5)</w:t>
      </w:r>
      <w:r>
        <w:noBreakHyphen/>
        <w:t>(7); SL 2023/16 r. 9.]</w:t>
      </w:r>
    </w:p>
    <w:p>
      <w:pPr>
        <w:pStyle w:val="Heading5"/>
      </w:pPr>
      <w:bookmarkStart w:id="1421" w:name="_Toc163121686"/>
      <w:r>
        <w:rPr>
          <w:rStyle w:val="CharSectno"/>
        </w:rPr>
        <w:t>4</w:t>
      </w:r>
      <w:r>
        <w:t>.</w:t>
      </w:r>
      <w:r>
        <w:tab/>
        <w:t>Oath or affirmation</w:t>
      </w:r>
      <w:bookmarkEnd w:id="1421"/>
    </w:p>
    <w:p>
      <w:pPr>
        <w:pStyle w:val="Subsection"/>
      </w:pPr>
      <w:r>
        <w:tab/>
      </w:r>
      <w:r>
        <w:tab/>
        <w:t xml:space="preserve">The form of the oath or affirmation required under the </w:t>
      </w:r>
      <w:r>
        <w:rPr>
          <w:i/>
        </w:rPr>
        <w:t>Legal Profession Uniform Law (WA)</w:t>
      </w:r>
      <w:r>
        <w:t xml:space="preserve"> section 16(1)(c) is —</w:t>
      </w:r>
    </w:p>
    <w:p>
      <w:pPr>
        <w:pStyle w:val="Subsection"/>
        <w:keepNext/>
      </w:pPr>
      <w:r>
        <w:tab/>
      </w:r>
      <w:r>
        <w:tab/>
        <w:t xml:space="preserve">I, </w:t>
      </w:r>
      <w:r>
        <w:rPr>
          <w:i/>
        </w:rPr>
        <w:t>[name]</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p>
    <w:p>
      <w:pPr>
        <w:pStyle w:val="Footnotesection"/>
      </w:pPr>
      <w:r>
        <w:tab/>
        <w:t>[Rule 4 inserted: Gazette 6 Feb 2009 p. 245; amended: Gazette 3 May 2013 p. 1719; SL 2022/74 r. 13(8).]</w:t>
      </w:r>
    </w:p>
    <w:p>
      <w:pPr>
        <w:pStyle w:val="Heading2"/>
      </w:pPr>
      <w:bookmarkStart w:id="1422" w:name="_Toc162941225"/>
      <w:bookmarkStart w:id="1423" w:name="_Toc162954014"/>
      <w:bookmarkStart w:id="1424" w:name="_Toc163121687"/>
      <w:r>
        <w:rPr>
          <w:rStyle w:val="CharPartNo"/>
        </w:rPr>
        <w:lastRenderedPageBreak/>
        <w:t>Order 76</w:t>
      </w:r>
      <w:r>
        <w:rPr>
          <w:b w:val="0"/>
        </w:rPr>
        <w:t> </w:t>
      </w:r>
      <w:r>
        <w:t>—</w:t>
      </w:r>
      <w:r>
        <w:rPr>
          <w:b w:val="0"/>
        </w:rPr>
        <w:t> </w:t>
      </w:r>
      <w:r>
        <w:rPr>
          <w:rStyle w:val="CharPartText"/>
          <w:i/>
        </w:rPr>
        <w:t>Public Notaries Act 1979</w:t>
      </w:r>
      <w:r>
        <w:rPr>
          <w:rStyle w:val="CharPartText"/>
        </w:rPr>
        <w:t xml:space="preserve"> rules</w:t>
      </w:r>
      <w:bookmarkEnd w:id="1422"/>
      <w:bookmarkEnd w:id="1423"/>
      <w:bookmarkEnd w:id="1424"/>
    </w:p>
    <w:p>
      <w:pPr>
        <w:pStyle w:val="Footnoteheading"/>
      </w:pPr>
      <w:r>
        <w:tab/>
        <w:t>[Heading inserted: Gazette 21 Feb 2007 p. 582.]</w:t>
      </w:r>
    </w:p>
    <w:p>
      <w:pPr>
        <w:pStyle w:val="Heading5"/>
        <w:rPr>
          <w:snapToGrid w:val="0"/>
        </w:rPr>
      </w:pPr>
      <w:bookmarkStart w:id="1425" w:name="_Toc163121688"/>
      <w:r>
        <w:rPr>
          <w:rStyle w:val="CharSectno"/>
        </w:rPr>
        <w:t>1</w:t>
      </w:r>
      <w:r>
        <w:rPr>
          <w:snapToGrid w:val="0"/>
        </w:rPr>
        <w:t>.</w:t>
      </w:r>
      <w:r>
        <w:rPr>
          <w:snapToGrid w:val="0"/>
        </w:rPr>
        <w:tab/>
        <w:t>Terms used</w:t>
      </w:r>
      <w:bookmarkEnd w:id="1425"/>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Gazette 18 Jul 1980 p. 2384.] </w:t>
      </w:r>
    </w:p>
    <w:p>
      <w:pPr>
        <w:pStyle w:val="Heading5"/>
      </w:pPr>
      <w:bookmarkStart w:id="1426" w:name="_Toc163121689"/>
      <w:r>
        <w:rPr>
          <w:rStyle w:val="CharSectno"/>
        </w:rPr>
        <w:t>1A</w:t>
      </w:r>
      <w:r>
        <w:t>.</w:t>
      </w:r>
      <w:r>
        <w:tab/>
        <w:t>Districts prescribed for Act</w:t>
      </w:r>
      <w:bookmarkEnd w:id="1426"/>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THeadingNAm"/>
      </w:pPr>
      <w: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NAm"/>
              <w:rPr>
                <w:b/>
                <w:bCs/>
              </w:rPr>
            </w:pPr>
            <w:r>
              <w:rPr>
                <w:b/>
                <w:bCs/>
              </w:rPr>
              <w:t>Name of district</w:t>
            </w:r>
          </w:p>
        </w:tc>
        <w:tc>
          <w:tcPr>
            <w:tcW w:w="4560" w:type="dxa"/>
            <w:tcBorders>
              <w:top w:val="single" w:sz="4" w:space="0" w:color="auto"/>
              <w:bottom w:val="single" w:sz="4" w:space="0" w:color="auto"/>
            </w:tcBorders>
          </w:tcPr>
          <w:p>
            <w:pPr>
              <w:pStyle w:val="TableNAm"/>
              <w:rPr>
                <w:b/>
                <w:bCs/>
              </w:rPr>
            </w:pPr>
            <w:r>
              <w:rPr>
                <w:b/>
                <w:bCs/>
              </w:rPr>
              <w:t>Local government districts that comprise the district</w:t>
            </w:r>
          </w:p>
        </w:tc>
      </w:tr>
      <w:tr>
        <w:tc>
          <w:tcPr>
            <w:tcW w:w="1500" w:type="dxa"/>
          </w:tcPr>
          <w:p>
            <w:pPr>
              <w:pStyle w:val="TableNAm"/>
            </w:pPr>
            <w:r>
              <w:t>Gascoyne District</w:t>
            </w:r>
          </w:p>
        </w:tc>
        <w:tc>
          <w:tcPr>
            <w:tcW w:w="4560" w:type="dxa"/>
          </w:tcPr>
          <w:p>
            <w:pPr>
              <w:pStyle w:val="TableNAm"/>
              <w:tabs>
                <w:tab w:val="left" w:pos="2223"/>
              </w:tabs>
            </w:pPr>
            <w:r>
              <w:t>Carnarvon</w:t>
            </w:r>
            <w:r>
              <w:tab/>
              <w:t>Shark Bay</w:t>
            </w:r>
          </w:p>
          <w:p>
            <w:pPr>
              <w:pStyle w:val="TableNAm"/>
              <w:tabs>
                <w:tab w:val="left" w:pos="2223"/>
              </w:tabs>
              <w:spacing w:before="0"/>
            </w:pPr>
            <w:r>
              <w:t>Exmouth</w:t>
            </w:r>
            <w:r>
              <w:tab/>
              <w:t>Upper Gascoyne</w:t>
            </w:r>
          </w:p>
        </w:tc>
      </w:tr>
      <w:tr>
        <w:tc>
          <w:tcPr>
            <w:tcW w:w="1500" w:type="dxa"/>
          </w:tcPr>
          <w:p>
            <w:pPr>
              <w:pStyle w:val="TableNAm"/>
            </w:pPr>
            <w:r>
              <w:t>Goldfields</w:t>
            </w:r>
            <w:r>
              <w:noBreakHyphen/>
            </w:r>
            <w:r>
              <w:br/>
              <w:t>Esperance District</w:t>
            </w:r>
          </w:p>
        </w:tc>
        <w:tc>
          <w:tcPr>
            <w:tcW w:w="4560" w:type="dxa"/>
          </w:tcPr>
          <w:p>
            <w:pPr>
              <w:pStyle w:val="TableNAm"/>
              <w:tabs>
                <w:tab w:val="left" w:pos="2223"/>
              </w:tabs>
            </w:pPr>
            <w:r>
              <w:t>Coolgardie</w:t>
            </w:r>
            <w:r>
              <w:tab/>
              <w:t>Leonora</w:t>
            </w:r>
          </w:p>
          <w:p>
            <w:pPr>
              <w:pStyle w:val="TableNAm"/>
              <w:tabs>
                <w:tab w:val="left" w:pos="2223"/>
              </w:tabs>
              <w:spacing w:before="0"/>
            </w:pPr>
            <w:r>
              <w:t>Dundas</w:t>
            </w:r>
            <w:r>
              <w:tab/>
              <w:t>Menzies</w:t>
            </w:r>
          </w:p>
          <w:p>
            <w:pPr>
              <w:pStyle w:val="TableNAm"/>
              <w:tabs>
                <w:tab w:val="left" w:pos="2223"/>
              </w:tabs>
              <w:spacing w:before="0"/>
            </w:pPr>
            <w:r>
              <w:t>Esperance</w:t>
            </w:r>
            <w:r>
              <w:tab/>
              <w:t>Ngaanyatjarraku</w:t>
            </w:r>
          </w:p>
          <w:p>
            <w:pPr>
              <w:pStyle w:val="TableNAm"/>
              <w:tabs>
                <w:tab w:val="left" w:pos="2223"/>
              </w:tabs>
              <w:spacing w:before="0"/>
            </w:pPr>
            <w:r>
              <w:t>Kalgoorlie</w:t>
            </w:r>
            <w:r>
              <w:noBreakHyphen/>
              <w:t>Boulder</w:t>
            </w:r>
            <w:r>
              <w:tab/>
              <w:t>Ravensthorpe</w:t>
            </w:r>
          </w:p>
          <w:p>
            <w:pPr>
              <w:pStyle w:val="TableNAm"/>
              <w:tabs>
                <w:tab w:val="left" w:pos="2223"/>
              </w:tabs>
              <w:spacing w:before="0"/>
            </w:pPr>
            <w:r>
              <w:t>Laverton</w:t>
            </w:r>
            <w:r>
              <w:tab/>
              <w:t>Wiluna</w:t>
            </w:r>
          </w:p>
        </w:tc>
      </w:tr>
      <w:tr>
        <w:tc>
          <w:tcPr>
            <w:tcW w:w="1500" w:type="dxa"/>
          </w:tcPr>
          <w:p>
            <w:pPr>
              <w:pStyle w:val="TableNAm"/>
            </w:pPr>
            <w:r>
              <w:t>Great Southern District</w:t>
            </w:r>
          </w:p>
        </w:tc>
        <w:tc>
          <w:tcPr>
            <w:tcW w:w="4560" w:type="dxa"/>
          </w:tcPr>
          <w:p>
            <w:pPr>
              <w:pStyle w:val="TableNAm"/>
              <w:tabs>
                <w:tab w:val="left" w:pos="2223"/>
              </w:tabs>
            </w:pPr>
            <w:r>
              <w:t>Albany (Town)</w:t>
            </w:r>
            <w:r>
              <w:tab/>
              <w:t>Katanning</w:t>
            </w:r>
          </w:p>
          <w:p>
            <w:pPr>
              <w:pStyle w:val="TableNAm"/>
              <w:tabs>
                <w:tab w:val="left" w:pos="2223"/>
              </w:tabs>
              <w:spacing w:before="0"/>
            </w:pPr>
            <w:r>
              <w:t>Albany (Shire)</w:t>
            </w:r>
            <w:r>
              <w:tab/>
              <w:t>Kent</w:t>
            </w:r>
          </w:p>
          <w:p>
            <w:pPr>
              <w:pStyle w:val="TableNAm"/>
              <w:tabs>
                <w:tab w:val="left" w:pos="2223"/>
              </w:tabs>
              <w:spacing w:before="0"/>
            </w:pPr>
            <w:r>
              <w:t>Broomehill</w:t>
            </w:r>
            <w:r>
              <w:tab/>
              <w:t>Kojonup</w:t>
            </w:r>
          </w:p>
          <w:p>
            <w:pPr>
              <w:pStyle w:val="TableNAm"/>
              <w:tabs>
                <w:tab w:val="left" w:pos="2223"/>
              </w:tabs>
              <w:spacing w:before="0"/>
            </w:pPr>
            <w:r>
              <w:t>Cranbrook</w:t>
            </w:r>
            <w:r>
              <w:tab/>
              <w:t>Plantagenet</w:t>
            </w:r>
          </w:p>
          <w:p>
            <w:pPr>
              <w:pStyle w:val="TableNAm"/>
              <w:tabs>
                <w:tab w:val="left" w:pos="2223"/>
              </w:tabs>
              <w:spacing w:before="0"/>
            </w:pPr>
            <w:r>
              <w:t>Denmark</w:t>
            </w:r>
            <w:r>
              <w:tab/>
              <w:t>Tambellup</w:t>
            </w:r>
          </w:p>
          <w:p>
            <w:pPr>
              <w:pStyle w:val="TableNAm"/>
              <w:tabs>
                <w:tab w:val="left" w:pos="2223"/>
              </w:tabs>
              <w:spacing w:before="0"/>
            </w:pPr>
            <w:r>
              <w:t>Gnowangerup</w:t>
            </w:r>
            <w:r>
              <w:tab/>
              <w:t>Woodanilling</w:t>
            </w:r>
          </w:p>
          <w:p>
            <w:pPr>
              <w:pStyle w:val="TableNAm"/>
              <w:tabs>
                <w:tab w:val="left" w:pos="2223"/>
              </w:tabs>
              <w:spacing w:before="0"/>
            </w:pPr>
            <w:r>
              <w:t>Jerramungup</w:t>
            </w:r>
          </w:p>
        </w:tc>
      </w:tr>
      <w:tr>
        <w:trPr>
          <w:cantSplit/>
        </w:trPr>
        <w:tc>
          <w:tcPr>
            <w:tcW w:w="1500" w:type="dxa"/>
          </w:tcPr>
          <w:p>
            <w:pPr>
              <w:pStyle w:val="TableNAm"/>
            </w:pPr>
            <w:r>
              <w:lastRenderedPageBreak/>
              <w:t>Kimberley District</w:t>
            </w:r>
          </w:p>
        </w:tc>
        <w:tc>
          <w:tcPr>
            <w:tcW w:w="4560" w:type="dxa"/>
          </w:tcPr>
          <w:p>
            <w:pPr>
              <w:pStyle w:val="TableNAm"/>
              <w:tabs>
                <w:tab w:val="left" w:pos="2223"/>
              </w:tabs>
            </w:pPr>
            <w:r>
              <w:t>Broome</w:t>
            </w:r>
          </w:p>
          <w:p>
            <w:pPr>
              <w:pStyle w:val="TableNAm"/>
              <w:tabs>
                <w:tab w:val="left" w:pos="2223"/>
              </w:tabs>
              <w:spacing w:before="0"/>
            </w:pPr>
            <w:r>
              <w:t>Derby</w:t>
            </w:r>
            <w:r>
              <w:noBreakHyphen/>
              <w:t>West Kimberley</w:t>
            </w:r>
          </w:p>
          <w:p>
            <w:pPr>
              <w:pStyle w:val="TableNAm"/>
              <w:tabs>
                <w:tab w:val="left" w:pos="2223"/>
              </w:tabs>
              <w:spacing w:before="0"/>
            </w:pPr>
            <w:r>
              <w:t>Halls Creek</w:t>
            </w:r>
          </w:p>
          <w:p>
            <w:pPr>
              <w:pStyle w:val="TableNAm"/>
              <w:tabs>
                <w:tab w:val="left" w:pos="2223"/>
              </w:tabs>
              <w:spacing w:before="0"/>
            </w:pPr>
            <w:r>
              <w:t>Wyndham</w:t>
            </w:r>
            <w:r>
              <w:noBreakHyphen/>
              <w:t>East Kimberley</w:t>
            </w:r>
          </w:p>
        </w:tc>
      </w:tr>
      <w:tr>
        <w:tc>
          <w:tcPr>
            <w:tcW w:w="1500" w:type="dxa"/>
          </w:tcPr>
          <w:p>
            <w:pPr>
              <w:pStyle w:val="TableNAm"/>
            </w:pPr>
            <w:r>
              <w:t>Mid West District</w:t>
            </w:r>
          </w:p>
        </w:tc>
        <w:tc>
          <w:tcPr>
            <w:tcW w:w="4560" w:type="dxa"/>
          </w:tcPr>
          <w:p>
            <w:pPr>
              <w:pStyle w:val="TableNAm"/>
              <w:tabs>
                <w:tab w:val="clear" w:pos="567"/>
                <w:tab w:val="left" w:pos="2223"/>
              </w:tabs>
            </w:pPr>
            <w:r>
              <w:t>Carnamah</w:t>
            </w:r>
            <w:r>
              <w:tab/>
              <w:t>Morawa</w:t>
            </w:r>
          </w:p>
          <w:p>
            <w:pPr>
              <w:pStyle w:val="TableNAm"/>
              <w:tabs>
                <w:tab w:val="clear" w:pos="567"/>
                <w:tab w:val="left" w:pos="2223"/>
              </w:tabs>
              <w:spacing w:before="0"/>
            </w:pPr>
            <w:r>
              <w:t>Chapman Valley</w:t>
            </w:r>
            <w:r>
              <w:tab/>
              <w:t>Mt. Magnet</w:t>
            </w:r>
          </w:p>
          <w:p>
            <w:pPr>
              <w:pStyle w:val="TableNAm"/>
              <w:tabs>
                <w:tab w:val="clear" w:pos="567"/>
                <w:tab w:val="left" w:pos="2223"/>
              </w:tabs>
              <w:spacing w:before="0"/>
            </w:pPr>
            <w:r>
              <w:t>Coorow</w:t>
            </w:r>
            <w:r>
              <w:tab/>
              <w:t>Mullewa</w:t>
            </w:r>
          </w:p>
          <w:p>
            <w:pPr>
              <w:pStyle w:val="TableNAm"/>
              <w:tabs>
                <w:tab w:val="clear" w:pos="567"/>
                <w:tab w:val="left" w:pos="2223"/>
              </w:tabs>
              <w:spacing w:before="0"/>
            </w:pPr>
            <w:r>
              <w:t>Cue</w:t>
            </w:r>
            <w:r>
              <w:tab/>
              <w:t>Murchison</w:t>
            </w:r>
          </w:p>
          <w:p>
            <w:pPr>
              <w:pStyle w:val="TableNAm"/>
              <w:tabs>
                <w:tab w:val="clear" w:pos="567"/>
                <w:tab w:val="left" w:pos="2223"/>
              </w:tabs>
              <w:spacing w:before="0"/>
            </w:pPr>
            <w:r>
              <w:t>Geraldton</w:t>
            </w:r>
            <w:r>
              <w:tab/>
              <w:t>Northampton</w:t>
            </w:r>
          </w:p>
          <w:p>
            <w:pPr>
              <w:pStyle w:val="TableNAm"/>
              <w:tabs>
                <w:tab w:val="clear" w:pos="567"/>
                <w:tab w:val="left" w:pos="2223"/>
              </w:tabs>
              <w:spacing w:before="0"/>
            </w:pPr>
            <w:r>
              <w:t>Greenough</w:t>
            </w:r>
            <w:r>
              <w:tab/>
              <w:t>Perenjori</w:t>
            </w:r>
          </w:p>
          <w:p>
            <w:pPr>
              <w:pStyle w:val="TableNAm"/>
              <w:tabs>
                <w:tab w:val="clear" w:pos="567"/>
                <w:tab w:val="left" w:pos="2223"/>
              </w:tabs>
              <w:spacing w:before="0"/>
            </w:pPr>
            <w:r>
              <w:t>Irwin</w:t>
            </w:r>
            <w:r>
              <w:tab/>
              <w:t>Sandstone</w:t>
            </w:r>
          </w:p>
          <w:p>
            <w:pPr>
              <w:pStyle w:val="TableNAm"/>
              <w:tabs>
                <w:tab w:val="clear" w:pos="567"/>
                <w:tab w:val="left" w:pos="2223"/>
              </w:tabs>
              <w:spacing w:before="0"/>
            </w:pPr>
            <w:r>
              <w:t>Meekatharra</w:t>
            </w:r>
            <w:r>
              <w:tab/>
              <w:t>Three Springs</w:t>
            </w:r>
          </w:p>
          <w:p>
            <w:pPr>
              <w:pStyle w:val="TableNAm"/>
              <w:tabs>
                <w:tab w:val="clear" w:pos="567"/>
                <w:tab w:val="left" w:pos="2223"/>
              </w:tabs>
              <w:spacing w:before="0"/>
            </w:pPr>
            <w:r>
              <w:t>Mingenew</w:t>
            </w:r>
            <w:r>
              <w:tab/>
              <w:t>Yalgoo</w:t>
            </w:r>
          </w:p>
        </w:tc>
      </w:tr>
      <w:tr>
        <w:tc>
          <w:tcPr>
            <w:tcW w:w="1500" w:type="dxa"/>
          </w:tcPr>
          <w:p>
            <w:pPr>
              <w:pStyle w:val="TableNAm"/>
            </w:pPr>
            <w:r>
              <w:t>Peel District</w:t>
            </w:r>
          </w:p>
        </w:tc>
        <w:tc>
          <w:tcPr>
            <w:tcW w:w="4560" w:type="dxa"/>
          </w:tcPr>
          <w:p>
            <w:pPr>
              <w:pStyle w:val="TableNAm"/>
              <w:tabs>
                <w:tab w:val="clear" w:pos="567"/>
                <w:tab w:val="left" w:pos="2223"/>
              </w:tabs>
            </w:pPr>
            <w:r>
              <w:t>Boddington</w:t>
            </w:r>
            <w:r>
              <w:tab/>
              <w:t>Serpentine</w:t>
            </w:r>
            <w:r>
              <w:noBreakHyphen/>
              <w:t>Jarrahdale</w:t>
            </w:r>
          </w:p>
          <w:p>
            <w:pPr>
              <w:pStyle w:val="TableNAm"/>
              <w:tabs>
                <w:tab w:val="clear" w:pos="567"/>
                <w:tab w:val="left" w:pos="2223"/>
              </w:tabs>
              <w:spacing w:before="0"/>
            </w:pPr>
            <w:r>
              <w:t>Mandurah</w:t>
            </w:r>
            <w:r>
              <w:tab/>
              <w:t>Waroona</w:t>
            </w:r>
          </w:p>
          <w:p>
            <w:pPr>
              <w:pStyle w:val="TableNAm"/>
              <w:tabs>
                <w:tab w:val="clear" w:pos="567"/>
                <w:tab w:val="left" w:pos="2223"/>
              </w:tabs>
              <w:spacing w:before="0"/>
            </w:pPr>
            <w:r>
              <w:t>Murray</w:t>
            </w:r>
          </w:p>
        </w:tc>
      </w:tr>
      <w:tr>
        <w:tc>
          <w:tcPr>
            <w:tcW w:w="1500" w:type="dxa"/>
          </w:tcPr>
          <w:p>
            <w:pPr>
              <w:pStyle w:val="TableNAm"/>
            </w:pPr>
            <w:r>
              <w:t>Pilbara District</w:t>
            </w:r>
          </w:p>
        </w:tc>
        <w:tc>
          <w:tcPr>
            <w:tcW w:w="4560" w:type="dxa"/>
          </w:tcPr>
          <w:p>
            <w:pPr>
              <w:pStyle w:val="TableNAm"/>
              <w:tabs>
                <w:tab w:val="clear" w:pos="567"/>
                <w:tab w:val="left" w:pos="2223"/>
              </w:tabs>
            </w:pPr>
            <w:r>
              <w:t>Ashburton</w:t>
            </w:r>
            <w:r>
              <w:tab/>
              <w:t>Port Hedland</w:t>
            </w:r>
          </w:p>
          <w:p>
            <w:pPr>
              <w:pStyle w:val="TableNAm"/>
              <w:tabs>
                <w:tab w:val="clear" w:pos="567"/>
                <w:tab w:val="left" w:pos="2223"/>
              </w:tabs>
              <w:spacing w:before="0"/>
            </w:pPr>
            <w:r>
              <w:t>East Pilbara</w:t>
            </w:r>
            <w:r>
              <w:tab/>
              <w:t>Roebourne</w:t>
            </w:r>
          </w:p>
        </w:tc>
      </w:tr>
      <w:tr>
        <w:tc>
          <w:tcPr>
            <w:tcW w:w="1500" w:type="dxa"/>
          </w:tcPr>
          <w:p>
            <w:pPr>
              <w:pStyle w:val="TableNAm"/>
            </w:pPr>
            <w:r>
              <w:t>South West District</w:t>
            </w:r>
          </w:p>
        </w:tc>
        <w:tc>
          <w:tcPr>
            <w:tcW w:w="4560" w:type="dxa"/>
          </w:tcPr>
          <w:p>
            <w:pPr>
              <w:pStyle w:val="TableNAm"/>
              <w:tabs>
                <w:tab w:val="left" w:pos="2223"/>
              </w:tabs>
            </w:pPr>
            <w:r>
              <w:t>Augusta</w:t>
            </w:r>
            <w:r>
              <w:noBreakHyphen/>
              <w:t>Margaret River</w:t>
            </w:r>
          </w:p>
          <w:p>
            <w:pPr>
              <w:pStyle w:val="TableNAm"/>
              <w:tabs>
                <w:tab w:val="left" w:pos="2223"/>
              </w:tabs>
              <w:spacing w:before="0"/>
            </w:pPr>
            <w:r>
              <w:t>Bridgetown</w:t>
            </w:r>
            <w:r>
              <w:noBreakHyphen/>
              <w:t>Greenbushes</w:t>
            </w:r>
          </w:p>
          <w:p>
            <w:pPr>
              <w:pStyle w:val="TableNAm"/>
              <w:tabs>
                <w:tab w:val="left" w:pos="2223"/>
              </w:tabs>
              <w:spacing w:before="0"/>
            </w:pPr>
            <w:r>
              <w:t>Donnybrook</w:t>
            </w:r>
            <w:r>
              <w:noBreakHyphen/>
              <w:t>Balingup</w:t>
            </w:r>
          </w:p>
          <w:p>
            <w:pPr>
              <w:pStyle w:val="TableNAm"/>
              <w:tabs>
                <w:tab w:val="clear" w:pos="567"/>
                <w:tab w:val="left" w:pos="2223"/>
              </w:tabs>
              <w:spacing w:before="0"/>
            </w:pPr>
            <w:r>
              <w:t>Boyup Brook</w:t>
            </w:r>
            <w:r>
              <w:tab/>
              <w:t>Dardanup</w:t>
            </w:r>
          </w:p>
          <w:p>
            <w:pPr>
              <w:pStyle w:val="TableNAm"/>
              <w:tabs>
                <w:tab w:val="clear" w:pos="567"/>
                <w:tab w:val="left" w:pos="2223"/>
              </w:tabs>
              <w:spacing w:before="0"/>
            </w:pPr>
            <w:r>
              <w:t>Bunbury</w:t>
            </w:r>
            <w:r>
              <w:tab/>
              <w:t>Harvey</w:t>
            </w:r>
          </w:p>
          <w:p>
            <w:pPr>
              <w:pStyle w:val="TableNAm"/>
              <w:tabs>
                <w:tab w:val="clear" w:pos="567"/>
                <w:tab w:val="left" w:pos="2223"/>
              </w:tabs>
              <w:spacing w:before="0"/>
            </w:pPr>
            <w:r>
              <w:t>Busselton</w:t>
            </w:r>
            <w:r>
              <w:tab/>
              <w:t>Manjimup</w:t>
            </w:r>
          </w:p>
          <w:p>
            <w:pPr>
              <w:pStyle w:val="TableNAm"/>
              <w:tabs>
                <w:tab w:val="clear" w:pos="567"/>
                <w:tab w:val="left" w:pos="2223"/>
              </w:tabs>
              <w:spacing w:before="0"/>
            </w:pPr>
            <w:r>
              <w:t>Capel</w:t>
            </w:r>
            <w:r>
              <w:tab/>
              <w:t>Nannup</w:t>
            </w:r>
          </w:p>
          <w:p>
            <w:pPr>
              <w:pStyle w:val="TableNAm"/>
              <w:tabs>
                <w:tab w:val="left" w:pos="2223"/>
              </w:tabs>
              <w:spacing w:before="0"/>
            </w:pPr>
            <w:r>
              <w:t>Collie</w:t>
            </w:r>
          </w:p>
        </w:tc>
      </w:tr>
      <w:tr>
        <w:trPr>
          <w:cantSplit/>
        </w:trPr>
        <w:tc>
          <w:tcPr>
            <w:tcW w:w="1500" w:type="dxa"/>
            <w:tcBorders>
              <w:bottom w:val="single" w:sz="4" w:space="0" w:color="auto"/>
            </w:tcBorders>
          </w:tcPr>
          <w:p>
            <w:pPr>
              <w:pStyle w:val="TableNAm"/>
            </w:pPr>
            <w:r>
              <w:lastRenderedPageBreak/>
              <w:t>Wheatbelt District</w:t>
            </w:r>
          </w:p>
        </w:tc>
        <w:tc>
          <w:tcPr>
            <w:tcW w:w="4560" w:type="dxa"/>
            <w:tcBorders>
              <w:bottom w:val="single" w:sz="4" w:space="0" w:color="auto"/>
            </w:tcBorders>
          </w:tcPr>
          <w:p>
            <w:pPr>
              <w:pStyle w:val="TableNAm"/>
              <w:tabs>
                <w:tab w:val="clear" w:pos="567"/>
                <w:tab w:val="left" w:pos="2223"/>
              </w:tabs>
            </w:pPr>
            <w:r>
              <w:t>Beverley</w:t>
            </w:r>
            <w:r>
              <w:tab/>
              <w:t>Narembeen</w:t>
            </w:r>
          </w:p>
          <w:p>
            <w:pPr>
              <w:pStyle w:val="TableNAm"/>
              <w:tabs>
                <w:tab w:val="clear" w:pos="567"/>
                <w:tab w:val="left" w:pos="2223"/>
              </w:tabs>
              <w:spacing w:before="0"/>
            </w:pPr>
            <w:r>
              <w:t>Brookton</w:t>
            </w:r>
            <w:r>
              <w:tab/>
              <w:t>Narrogin (Town)</w:t>
            </w:r>
          </w:p>
          <w:p>
            <w:pPr>
              <w:pStyle w:val="TableNAm"/>
              <w:tabs>
                <w:tab w:val="clear" w:pos="567"/>
                <w:tab w:val="left" w:pos="2223"/>
              </w:tabs>
              <w:spacing w:before="0"/>
            </w:pPr>
            <w:r>
              <w:t>Bruce Rock</w:t>
            </w:r>
            <w:r>
              <w:tab/>
              <w:t>Narrogin (Shire)</w:t>
            </w:r>
          </w:p>
          <w:p>
            <w:pPr>
              <w:pStyle w:val="TableNAm"/>
              <w:tabs>
                <w:tab w:val="clear" w:pos="567"/>
                <w:tab w:val="left" w:pos="2223"/>
              </w:tabs>
              <w:spacing w:before="0"/>
            </w:pPr>
            <w:r>
              <w:t>Chittering</w:t>
            </w:r>
            <w:r>
              <w:tab/>
              <w:t>Northam (Town)</w:t>
            </w:r>
          </w:p>
          <w:p>
            <w:pPr>
              <w:pStyle w:val="TableNAm"/>
              <w:tabs>
                <w:tab w:val="clear" w:pos="567"/>
                <w:tab w:val="left" w:pos="2223"/>
              </w:tabs>
              <w:spacing w:before="0"/>
            </w:pPr>
            <w:r>
              <w:t>Corrigin</w:t>
            </w:r>
            <w:r>
              <w:tab/>
              <w:t>Northam (Shire)</w:t>
            </w:r>
          </w:p>
          <w:p>
            <w:pPr>
              <w:pStyle w:val="TableNAm"/>
              <w:tabs>
                <w:tab w:val="clear" w:pos="567"/>
                <w:tab w:val="left" w:pos="2223"/>
              </w:tabs>
              <w:spacing w:before="0"/>
            </w:pPr>
            <w:r>
              <w:t>Cuballing</w:t>
            </w:r>
            <w:r>
              <w:tab/>
              <w:t>Nungarin</w:t>
            </w:r>
          </w:p>
          <w:p>
            <w:pPr>
              <w:pStyle w:val="TableNAm"/>
              <w:tabs>
                <w:tab w:val="clear" w:pos="567"/>
                <w:tab w:val="left" w:pos="2223"/>
              </w:tabs>
              <w:spacing w:before="0"/>
            </w:pPr>
            <w:r>
              <w:t>Cunderdin</w:t>
            </w:r>
            <w:r>
              <w:tab/>
              <w:t>Pingelly</w:t>
            </w:r>
          </w:p>
          <w:p>
            <w:pPr>
              <w:pStyle w:val="TableNAm"/>
              <w:tabs>
                <w:tab w:val="clear" w:pos="567"/>
                <w:tab w:val="left" w:pos="2223"/>
              </w:tabs>
              <w:spacing w:before="0"/>
            </w:pPr>
            <w:r>
              <w:t>Dandaragan</w:t>
            </w:r>
            <w:r>
              <w:tab/>
              <w:t>Quairading</w:t>
            </w:r>
          </w:p>
          <w:p>
            <w:pPr>
              <w:pStyle w:val="TableNAm"/>
              <w:tabs>
                <w:tab w:val="clear" w:pos="567"/>
                <w:tab w:val="left" w:pos="2223"/>
              </w:tabs>
              <w:spacing w:before="0"/>
            </w:pPr>
            <w:r>
              <w:t>Dalwallinu</w:t>
            </w:r>
            <w:r>
              <w:tab/>
              <w:t>Tammin</w:t>
            </w:r>
          </w:p>
          <w:p>
            <w:pPr>
              <w:pStyle w:val="TableNAm"/>
              <w:tabs>
                <w:tab w:val="clear" w:pos="567"/>
                <w:tab w:val="left" w:pos="2223"/>
              </w:tabs>
              <w:spacing w:before="0"/>
            </w:pPr>
            <w:r>
              <w:t>Dowerin</w:t>
            </w:r>
            <w:r>
              <w:tab/>
              <w:t>Toodyay</w:t>
            </w:r>
          </w:p>
          <w:p>
            <w:pPr>
              <w:pStyle w:val="TableNAm"/>
              <w:tabs>
                <w:tab w:val="clear" w:pos="567"/>
                <w:tab w:val="left" w:pos="2223"/>
              </w:tabs>
              <w:spacing w:before="0"/>
            </w:pPr>
            <w:r>
              <w:t>Dumbleyung</w:t>
            </w:r>
            <w:r>
              <w:tab/>
              <w:t>Trayning</w:t>
            </w:r>
          </w:p>
          <w:p>
            <w:pPr>
              <w:pStyle w:val="TableNAm"/>
              <w:tabs>
                <w:tab w:val="clear" w:pos="567"/>
                <w:tab w:val="left" w:pos="2223"/>
              </w:tabs>
              <w:spacing w:before="0"/>
            </w:pPr>
            <w:r>
              <w:t>Gingin</w:t>
            </w:r>
            <w:r>
              <w:tab/>
              <w:t>Victoria Plains</w:t>
            </w:r>
          </w:p>
          <w:p>
            <w:pPr>
              <w:pStyle w:val="TableNAm"/>
              <w:tabs>
                <w:tab w:val="clear" w:pos="567"/>
                <w:tab w:val="left" w:pos="2223"/>
              </w:tabs>
              <w:spacing w:before="0"/>
            </w:pPr>
            <w:r>
              <w:t>Goomalling</w:t>
            </w:r>
            <w:r>
              <w:tab/>
              <w:t>Wagin</w:t>
            </w:r>
          </w:p>
          <w:p>
            <w:pPr>
              <w:pStyle w:val="TableNAm"/>
              <w:tabs>
                <w:tab w:val="clear" w:pos="567"/>
                <w:tab w:val="left" w:pos="2223"/>
              </w:tabs>
              <w:spacing w:before="0"/>
            </w:pPr>
            <w:r>
              <w:t>Kellerberrin</w:t>
            </w:r>
            <w:r>
              <w:tab/>
              <w:t>Wandering</w:t>
            </w:r>
          </w:p>
          <w:p>
            <w:pPr>
              <w:pStyle w:val="TableNAm"/>
              <w:tabs>
                <w:tab w:val="clear" w:pos="567"/>
                <w:tab w:val="left" w:pos="2223"/>
              </w:tabs>
              <w:spacing w:before="0"/>
            </w:pPr>
            <w:r>
              <w:t>Kondinin</w:t>
            </w:r>
            <w:r>
              <w:tab/>
              <w:t>West Arthur</w:t>
            </w:r>
          </w:p>
          <w:p>
            <w:pPr>
              <w:pStyle w:val="TableNAm"/>
              <w:tabs>
                <w:tab w:val="clear" w:pos="567"/>
                <w:tab w:val="left" w:pos="2223"/>
              </w:tabs>
              <w:spacing w:before="0"/>
            </w:pPr>
            <w:r>
              <w:t>Koorda</w:t>
            </w:r>
            <w:r>
              <w:tab/>
              <w:t>Westonia</w:t>
            </w:r>
          </w:p>
          <w:p>
            <w:pPr>
              <w:pStyle w:val="TableNAm"/>
              <w:tabs>
                <w:tab w:val="clear" w:pos="567"/>
                <w:tab w:val="left" w:pos="2223"/>
              </w:tabs>
              <w:spacing w:before="0"/>
            </w:pPr>
            <w:r>
              <w:t>Kulin</w:t>
            </w:r>
            <w:r>
              <w:tab/>
              <w:t>Wickepin</w:t>
            </w:r>
          </w:p>
          <w:p>
            <w:pPr>
              <w:pStyle w:val="TableNAm"/>
              <w:tabs>
                <w:tab w:val="clear" w:pos="567"/>
                <w:tab w:val="left" w:pos="2223"/>
              </w:tabs>
              <w:spacing w:before="0"/>
            </w:pPr>
            <w:r>
              <w:t>Lake Grace</w:t>
            </w:r>
            <w:r>
              <w:tab/>
              <w:t>Williams</w:t>
            </w:r>
          </w:p>
          <w:p>
            <w:pPr>
              <w:pStyle w:val="TableNAm"/>
              <w:tabs>
                <w:tab w:val="clear" w:pos="567"/>
                <w:tab w:val="left" w:pos="2223"/>
              </w:tabs>
              <w:spacing w:before="0"/>
            </w:pPr>
            <w:r>
              <w:t>Merredin</w:t>
            </w:r>
            <w:r>
              <w:tab/>
              <w:t>Wongan</w:t>
            </w:r>
            <w:r>
              <w:noBreakHyphen/>
              <w:t>Ballidu</w:t>
            </w:r>
          </w:p>
          <w:p>
            <w:pPr>
              <w:pStyle w:val="TableNAm"/>
              <w:tabs>
                <w:tab w:val="clear" w:pos="567"/>
                <w:tab w:val="left" w:pos="2223"/>
              </w:tabs>
              <w:spacing w:before="0"/>
            </w:pPr>
            <w:r>
              <w:t>Moora</w:t>
            </w:r>
            <w:r>
              <w:tab/>
              <w:t>Wyalkatchem</w:t>
            </w:r>
          </w:p>
          <w:p>
            <w:pPr>
              <w:pStyle w:val="TableNAm"/>
              <w:tabs>
                <w:tab w:val="clear" w:pos="567"/>
                <w:tab w:val="left" w:pos="2223"/>
              </w:tabs>
              <w:spacing w:before="0"/>
            </w:pPr>
            <w:r>
              <w:t>Mt. Marshall</w:t>
            </w:r>
            <w:r>
              <w:tab/>
              <w:t>Yilgarn</w:t>
            </w:r>
          </w:p>
          <w:p>
            <w:pPr>
              <w:pStyle w:val="TableNAm"/>
              <w:tabs>
                <w:tab w:val="clear" w:pos="567"/>
                <w:tab w:val="left" w:pos="2223"/>
              </w:tabs>
              <w:spacing w:before="0"/>
            </w:pPr>
            <w:r>
              <w:t>Mukinbudin</w:t>
            </w:r>
            <w:r>
              <w:tab/>
              <w:t>York</w:t>
            </w:r>
          </w:p>
        </w:tc>
      </w:tr>
    </w:tbl>
    <w:p>
      <w:pPr>
        <w:pStyle w:val="Footnotesection"/>
      </w:pPr>
      <w:r>
        <w:tab/>
        <w:t>[Rule 1A inserted: Gazette 21 Feb 2007 p. 583</w:t>
      </w:r>
      <w:r>
        <w:noBreakHyphen/>
        <w:t>4; amended: SL 2020/228 r. 4.]</w:t>
      </w:r>
    </w:p>
    <w:p>
      <w:pPr>
        <w:pStyle w:val="Heading5"/>
        <w:rPr>
          <w:snapToGrid w:val="0"/>
        </w:rPr>
      </w:pPr>
      <w:bookmarkStart w:id="1427" w:name="_Toc163121690"/>
      <w:r>
        <w:rPr>
          <w:rStyle w:val="CharSectno"/>
        </w:rPr>
        <w:t>2</w:t>
      </w:r>
      <w:r>
        <w:rPr>
          <w:snapToGrid w:val="0"/>
        </w:rPr>
        <w:t>.</w:t>
      </w:r>
      <w:r>
        <w:rPr>
          <w:snapToGrid w:val="0"/>
        </w:rPr>
        <w:tab/>
        <w:t>Application for certificate of fitness (Act s. 8)</w:t>
      </w:r>
      <w:bookmarkEnd w:id="1427"/>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pPr>
      <w:r>
        <w:tab/>
        <w:t>(a)</w:t>
      </w:r>
      <w:r>
        <w:tab/>
        <w:t xml:space="preserve">exhibiting a certificate from the registrar that the applicant is on the Supreme Court roll maintained under the </w:t>
      </w:r>
      <w:r>
        <w:rPr>
          <w:i/>
        </w:rPr>
        <w:t>Legal Profession Uniform Law (WA)</w:t>
      </w:r>
      <w:r>
        <w:t xml:space="preserve"> section 22(1) and is not a disqualified person as defined in section 6(1) of that Law; and</w:t>
      </w:r>
    </w:p>
    <w:p>
      <w:pPr>
        <w:pStyle w:val="Indenta"/>
        <w:rPr>
          <w:snapToGrid w:val="0"/>
        </w:rPr>
      </w:pPr>
      <w:r>
        <w:rPr>
          <w:snapToGrid w:val="0"/>
        </w:rPr>
        <w:lastRenderedPageBreak/>
        <w:tab/>
        <w:t>(b)</w:t>
      </w:r>
      <w:r>
        <w:rPr>
          <w:snapToGrid w:val="0"/>
        </w:rPr>
        <w:tab/>
        <w:t>exhibiting a certificate from the Chairman of the Legal Practice Board that the applicant is not, pursuant to an order of the Board, under suspension from practice; and</w:t>
      </w:r>
    </w:p>
    <w:p>
      <w:pPr>
        <w:pStyle w:val="Indenta"/>
        <w:rPr>
          <w:snapToGrid w:val="0"/>
        </w:rPr>
      </w:pPr>
      <w:r>
        <w:rPr>
          <w:snapToGrid w:val="0"/>
        </w:rPr>
        <w:tab/>
        <w:t>(c)</w:t>
      </w:r>
      <w:r>
        <w:rPr>
          <w:snapToGrid w:val="0"/>
        </w:rPr>
        <w:tab/>
        <w:t xml:space="preserve">exhibiting certificates from 2 </w:t>
      </w:r>
      <w:r>
        <w:t>legal practitioners</w:t>
      </w:r>
      <w:r>
        <w:rPr>
          <w:snapToGrid w:val="0"/>
        </w:rPr>
        <w:t xml:space="preserve"> of the Court of at least 10 years’ standing and practice that the applicant is of good character and reputation and is competent to act as a Public Notary; and</w:t>
      </w:r>
    </w:p>
    <w:p>
      <w:pPr>
        <w:pStyle w:val="Indenta"/>
        <w:rPr>
          <w:snapToGrid w:val="0"/>
        </w:rPr>
      </w:pPr>
      <w:r>
        <w:rPr>
          <w:snapToGrid w:val="0"/>
        </w:rPr>
        <w:tab/>
        <w:t>(d)</w:t>
      </w:r>
      <w:r>
        <w:rPr>
          <w:snapToGrid w:val="0"/>
        </w:rPr>
        <w:tab/>
        <w:t xml:space="preserve">setting out details of any professional experience as a </w:t>
      </w:r>
      <w:r>
        <w:t>legal practitioner</w:t>
      </w:r>
      <w:r>
        <w:rPr>
          <w:snapToGrid w:val="0"/>
        </w:rPr>
        <w:t xml:space="preserve">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Gazette 18 Jul 1980 p. 2384; amended: Gazette 19 Apr 2005 p. 1300; 29 Apr 2005 p. 1794; 3 Jul 2009 p. 2699; SL 2022/74 r. 14 and 15.] </w:t>
      </w:r>
    </w:p>
    <w:p>
      <w:pPr>
        <w:pStyle w:val="Heading5"/>
        <w:rPr>
          <w:snapToGrid w:val="0"/>
        </w:rPr>
      </w:pPr>
      <w:bookmarkStart w:id="1428" w:name="_Toc163121691"/>
      <w:r>
        <w:rPr>
          <w:rStyle w:val="CharSectno"/>
        </w:rPr>
        <w:t>3</w:t>
      </w:r>
      <w:r>
        <w:rPr>
          <w:snapToGrid w:val="0"/>
        </w:rPr>
        <w:t>.</w:t>
      </w:r>
      <w:r>
        <w:rPr>
          <w:snapToGrid w:val="0"/>
        </w:rPr>
        <w:tab/>
        <w:t>Notice of intention to apply to be appointed Public Notary (Act s. 9)</w:t>
      </w:r>
      <w:bookmarkEnd w:id="1428"/>
    </w:p>
    <w:p>
      <w:pPr>
        <w:pStyle w:val="Subsection"/>
        <w:rPr>
          <w:snapToGrid w:val="0"/>
        </w:rPr>
      </w:pPr>
      <w:r>
        <w:rPr>
          <w:snapToGrid w:val="0"/>
        </w:rPr>
        <w:tab/>
        <w:t>(1)</w:t>
      </w:r>
      <w:r>
        <w:rPr>
          <w:snapToGrid w:val="0"/>
        </w:rPr>
        <w:tab/>
        <w:t xml:space="preserve">An applicant shall on 2 occasions advertise in a morning daily newspaper published in Perth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lastRenderedPageBreak/>
        <w:tab/>
        <w:t>(3)</w:t>
      </w:r>
      <w:r>
        <w:rPr>
          <w:snapToGrid w:val="0"/>
        </w:rPr>
        <w:tab/>
        <w:t xml:space="preserve">The notice referred to in </w:t>
      </w:r>
      <w:r>
        <w:t>subrules</w:t>
      </w:r>
      <w:r>
        <w:rPr>
          <w:snapToGrid w:val="0"/>
        </w:rPr>
        <w:t> (1) and (2) shall be in accordance with Form No. 93B.</w:t>
      </w:r>
    </w:p>
    <w:p>
      <w:pPr>
        <w:pStyle w:val="Footnotesection"/>
      </w:pPr>
      <w:r>
        <w:tab/>
        <w:t>[Rule 3 inserted: Gazette 18 Jul 1980 p. 2384</w:t>
      </w:r>
      <w:r>
        <w:noBreakHyphen/>
        <w:t>5; amended: Gazette 30 Nov 1984 p. 3954; 29 Apr 2005 p. 1794; 28 Jun 2011 p. 2552</w:t>
      </w:r>
      <w:r>
        <w:noBreakHyphen/>
        <w:t xml:space="preserve">3.] </w:t>
      </w:r>
    </w:p>
    <w:p>
      <w:pPr>
        <w:pStyle w:val="Heading5"/>
        <w:rPr>
          <w:snapToGrid w:val="0"/>
        </w:rPr>
      </w:pPr>
      <w:bookmarkStart w:id="1429" w:name="_Toc163121692"/>
      <w:r>
        <w:rPr>
          <w:rStyle w:val="CharSectno"/>
        </w:rPr>
        <w:t>4</w:t>
      </w:r>
      <w:r>
        <w:rPr>
          <w:snapToGrid w:val="0"/>
        </w:rPr>
        <w:t>.</w:t>
      </w:r>
      <w:r>
        <w:rPr>
          <w:snapToGrid w:val="0"/>
        </w:rPr>
        <w:tab/>
        <w:t>Application to be appointed Public Notary</w:t>
      </w:r>
      <w:bookmarkEnd w:id="1429"/>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 and</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subrule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Gazette 18 Jul 1980 p. 2385; amended: Gazette 29 Apr 2005 p. 1794; 28 Jun 2011 p. 2552.] </w:t>
      </w:r>
    </w:p>
    <w:p>
      <w:pPr>
        <w:pStyle w:val="Heading5"/>
        <w:rPr>
          <w:snapToGrid w:val="0"/>
        </w:rPr>
      </w:pPr>
      <w:bookmarkStart w:id="1430" w:name="_Toc163121693"/>
      <w:r>
        <w:rPr>
          <w:rStyle w:val="CharSectno"/>
        </w:rPr>
        <w:t>5</w:t>
      </w:r>
      <w:r>
        <w:rPr>
          <w:snapToGrid w:val="0"/>
        </w:rPr>
        <w:t>.</w:t>
      </w:r>
      <w:r>
        <w:rPr>
          <w:snapToGrid w:val="0"/>
        </w:rPr>
        <w:tab/>
        <w:t>Certificates of appointment, form of</w:t>
      </w:r>
      <w:bookmarkEnd w:id="1430"/>
    </w:p>
    <w:p>
      <w:pPr>
        <w:pStyle w:val="Subsection"/>
        <w:rPr>
          <w:snapToGrid w:val="0"/>
        </w:rPr>
      </w:pPr>
      <w:r>
        <w:rPr>
          <w:snapToGrid w:val="0"/>
        </w:rPr>
        <w:tab/>
        <w:t>(1)</w:t>
      </w:r>
      <w:r>
        <w:rPr>
          <w:snapToGrid w:val="0"/>
        </w:rPr>
        <w:tab/>
        <w:t xml:space="preserve">A person who is appointed a Public Notary shall, upon his name being entered on the Roll of Notaries and payment of the prescribed fee, be entitled to receive from the registrar a </w:t>
      </w:r>
      <w:r>
        <w:rPr>
          <w:snapToGrid w:val="0"/>
        </w:rPr>
        <w:lastRenderedPageBreak/>
        <w:t>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No. 93D with such variations as the circumstances may require.</w:t>
      </w:r>
    </w:p>
    <w:p>
      <w:pPr>
        <w:pStyle w:val="Footnotesection"/>
      </w:pPr>
      <w:r>
        <w:tab/>
        <w:t xml:space="preserve">[Rule 5 inserted: Gazette 18 Jul 1980 p. 2385.] </w:t>
      </w:r>
    </w:p>
    <w:p>
      <w:pPr>
        <w:pStyle w:val="Heading5"/>
        <w:rPr>
          <w:snapToGrid w:val="0"/>
        </w:rPr>
      </w:pPr>
      <w:bookmarkStart w:id="1431" w:name="_Toc163121694"/>
      <w:r>
        <w:rPr>
          <w:rStyle w:val="CharSectno"/>
        </w:rPr>
        <w:t>6</w:t>
      </w:r>
      <w:r>
        <w:rPr>
          <w:snapToGrid w:val="0"/>
        </w:rPr>
        <w:t>.</w:t>
      </w:r>
      <w:r>
        <w:rPr>
          <w:snapToGrid w:val="0"/>
        </w:rPr>
        <w:tab/>
        <w:t>Applications to suspend or strike off Public Notaries</w:t>
      </w:r>
      <w:bookmarkEnd w:id="1431"/>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Gazette 18 Jul 1980 p. 2385; amended: Gazette 29 Apr 2005 p. 1794.] </w:t>
      </w:r>
    </w:p>
    <w:p>
      <w:pPr>
        <w:pStyle w:val="Heading5"/>
        <w:rPr>
          <w:snapToGrid w:val="0"/>
        </w:rPr>
      </w:pPr>
      <w:bookmarkStart w:id="1432" w:name="_Toc163121695"/>
      <w:r>
        <w:rPr>
          <w:rStyle w:val="CharSectno"/>
        </w:rPr>
        <w:t>7</w:t>
      </w:r>
      <w:r>
        <w:rPr>
          <w:snapToGrid w:val="0"/>
        </w:rPr>
        <w:t>.</w:t>
      </w:r>
      <w:r>
        <w:rPr>
          <w:snapToGrid w:val="0"/>
        </w:rPr>
        <w:tab/>
        <w:t>Fees payable on application for appointment</w:t>
      </w:r>
      <w:bookmarkEnd w:id="1432"/>
      <w:r>
        <w:rPr>
          <w:snapToGrid w:val="0"/>
        </w:rPr>
        <w:t xml:space="preserve"> </w:t>
      </w:r>
    </w:p>
    <w:p>
      <w:pPr>
        <w:pStyle w:val="Subsection"/>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NAm"/>
            </w:pPr>
            <w:r>
              <w:t>On appointment as a General Public Notary</w:t>
            </w:r>
          </w:p>
        </w:tc>
        <w:tc>
          <w:tcPr>
            <w:tcW w:w="1386" w:type="dxa"/>
          </w:tcPr>
          <w:p>
            <w:pPr>
              <w:pStyle w:val="TableNAm"/>
            </w:pPr>
            <w:r>
              <w:t>$150.00</w:t>
            </w:r>
          </w:p>
        </w:tc>
      </w:tr>
      <w:tr>
        <w:tc>
          <w:tcPr>
            <w:tcW w:w="4851" w:type="dxa"/>
          </w:tcPr>
          <w:p>
            <w:pPr>
              <w:pStyle w:val="TableNAm"/>
            </w:pPr>
            <w:r>
              <w:t xml:space="preserve">On appointment as a District Public Notary </w:t>
            </w:r>
          </w:p>
        </w:tc>
        <w:tc>
          <w:tcPr>
            <w:tcW w:w="1386" w:type="dxa"/>
          </w:tcPr>
          <w:p>
            <w:pPr>
              <w:pStyle w:val="TableNAm"/>
            </w:pPr>
            <w:r>
              <w:t>$75.00</w:t>
            </w:r>
          </w:p>
        </w:tc>
      </w:tr>
    </w:tbl>
    <w:p>
      <w:pPr>
        <w:pStyle w:val="Footnotesection"/>
      </w:pPr>
      <w:r>
        <w:tab/>
        <w:t xml:space="preserve">[Rule 7 inserted: Gazette 18 Apr 1980 p. 2385; amended: Gazette 30 Nov 1984 p. 3954.] </w:t>
      </w:r>
    </w:p>
    <w:p>
      <w:pPr>
        <w:pStyle w:val="Ednotesection"/>
      </w:pPr>
      <w:r>
        <w:t>[</w:t>
      </w:r>
      <w:r>
        <w:rPr>
          <w:b/>
        </w:rPr>
        <w:t>8.</w:t>
      </w:r>
      <w:r>
        <w:rPr>
          <w:b/>
        </w:rPr>
        <w:tab/>
      </w:r>
      <w:r>
        <w:t>Deleted: Gazette 16 Jul 1999 p. 3201.]</w:t>
      </w:r>
    </w:p>
    <w:p>
      <w:pPr>
        <w:pStyle w:val="Ednotepart"/>
      </w:pPr>
      <w:r>
        <w:t>[Order 77 deleted: Gazette 29 Apr 2005 p. 1794.]</w:t>
      </w:r>
    </w:p>
    <w:p>
      <w:pPr>
        <w:pStyle w:val="Ednotepart"/>
      </w:pPr>
      <w:r>
        <w:t>[Order 78 deleted: Gazette 21 Feb 2007 p. 584.]</w:t>
      </w:r>
    </w:p>
    <w:p>
      <w:pPr>
        <w:pStyle w:val="Ednotepart"/>
      </w:pPr>
      <w:r>
        <w:t>[Order 79 deleted: Gazette 29 Apr 2005 p. 1801.]</w:t>
      </w:r>
    </w:p>
    <w:p>
      <w:pPr>
        <w:pStyle w:val="Heading2"/>
      </w:pPr>
      <w:bookmarkStart w:id="1433" w:name="_Toc162941234"/>
      <w:bookmarkStart w:id="1434" w:name="_Toc162954023"/>
      <w:bookmarkStart w:id="1435" w:name="_Toc163121696"/>
      <w:r>
        <w:rPr>
          <w:rStyle w:val="CharPartNo"/>
        </w:rPr>
        <w:lastRenderedPageBreak/>
        <w:t>Order 80</w:t>
      </w:r>
      <w:r>
        <w:rPr>
          <w:b w:val="0"/>
        </w:rPr>
        <w:t> </w:t>
      </w:r>
      <w:r>
        <w:t>—</w:t>
      </w:r>
      <w:r>
        <w:rPr>
          <w:b w:val="0"/>
        </w:rPr>
        <w:t> </w:t>
      </w:r>
      <w:r>
        <w:rPr>
          <w:rStyle w:val="CharPartText"/>
          <w:i/>
          <w:iCs/>
        </w:rPr>
        <w:t>Escheat (Procedure) Act 1940</w:t>
      </w:r>
      <w:r>
        <w:rPr>
          <w:rStyle w:val="CharPartText"/>
        </w:rPr>
        <w:t xml:space="preserve"> rules</w:t>
      </w:r>
      <w:bookmarkEnd w:id="1433"/>
      <w:bookmarkEnd w:id="1434"/>
      <w:bookmarkEnd w:id="1435"/>
    </w:p>
    <w:p>
      <w:pPr>
        <w:pStyle w:val="Footnoteheading"/>
      </w:pPr>
      <w:r>
        <w:tab/>
        <w:t xml:space="preserve">[Heading inserted: Gazette 22 Feb 2008 p. 643.] </w:t>
      </w:r>
    </w:p>
    <w:p>
      <w:pPr>
        <w:pStyle w:val="Heading5"/>
        <w:rPr>
          <w:snapToGrid w:val="0"/>
        </w:rPr>
      </w:pPr>
      <w:bookmarkStart w:id="1436" w:name="_Toc163121697"/>
      <w:r>
        <w:rPr>
          <w:rStyle w:val="CharSectno"/>
        </w:rPr>
        <w:t>1</w:t>
      </w:r>
      <w:r>
        <w:rPr>
          <w:snapToGrid w:val="0"/>
        </w:rPr>
        <w:t>.</w:t>
      </w:r>
      <w:r>
        <w:rPr>
          <w:snapToGrid w:val="0"/>
        </w:rPr>
        <w:tab/>
        <w:t>Term used: said Act</w:t>
      </w:r>
      <w:bookmarkEnd w:id="1436"/>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t xml:space="preserve">the </w:t>
      </w:r>
      <w:r>
        <w:rPr>
          <w:rStyle w:val="CharDefText"/>
        </w:rPr>
        <w:t>said Act</w:t>
      </w:r>
      <w:r>
        <w:rPr>
          <w:snapToGrid w:val="0"/>
        </w:rPr>
        <w:t>.</w:t>
      </w:r>
    </w:p>
    <w:p>
      <w:pPr>
        <w:pStyle w:val="Heading5"/>
        <w:rPr>
          <w:snapToGrid w:val="0"/>
        </w:rPr>
      </w:pPr>
      <w:bookmarkStart w:id="1437" w:name="_Toc163121698"/>
      <w:r>
        <w:rPr>
          <w:rStyle w:val="CharSectno"/>
        </w:rPr>
        <w:t>2</w:t>
      </w:r>
      <w:r>
        <w:rPr>
          <w:snapToGrid w:val="0"/>
        </w:rPr>
        <w:t>.</w:t>
      </w:r>
      <w:r>
        <w:rPr>
          <w:snapToGrid w:val="0"/>
        </w:rPr>
        <w:tab/>
        <w:t>Applications for Order of Escheat, making</w:t>
      </w:r>
      <w:bookmarkEnd w:id="1437"/>
    </w:p>
    <w:p>
      <w:pPr>
        <w:pStyle w:val="Subsection"/>
        <w:rPr>
          <w:snapToGrid w:val="0"/>
        </w:rPr>
      </w:pPr>
      <w:r>
        <w:rPr>
          <w:snapToGrid w:val="0"/>
        </w:rPr>
        <w:tab/>
        <w:t>(1)</w:t>
      </w:r>
      <w:r>
        <w:rPr>
          <w:snapToGrid w:val="0"/>
        </w:rPr>
        <w:tab/>
        <w:t>Subject to subrule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 xml:space="preserve">An application for an Order of Escheat, however commenced, shall be intituled “In the matter of.............................................. deceased, </w:t>
      </w:r>
      <w:r>
        <w:rPr>
          <w:i/>
          <w:snapToGrid w:val="0"/>
        </w:rPr>
        <w:t>Ex parte</w:t>
      </w:r>
      <w:r>
        <w:rPr>
          <w:snapToGrid w:val="0"/>
        </w:rPr>
        <w:t xml:space="preserve"> the</w:t>
      </w:r>
      <w:r>
        <w:t xml:space="preserve"> State of Western Australia</w:t>
      </w:r>
      <w:r>
        <w:rPr>
          <w:snapToGrid w:val="0"/>
        </w:rPr>
        <w:t>” and shall be supported by an affidavit of the facts relied on.</w:t>
      </w:r>
    </w:p>
    <w:p>
      <w:pPr>
        <w:pStyle w:val="Footnotesection"/>
      </w:pPr>
      <w:r>
        <w:tab/>
        <w:t xml:space="preserve">[Rule 2 inserted: Gazette 15 Jun 1973 p. 2252; amended: Gazette 19 Apr 2005 p. 1300; 28 Jun 2011 p. 2552.] </w:t>
      </w:r>
    </w:p>
    <w:p>
      <w:pPr>
        <w:pStyle w:val="Heading5"/>
        <w:rPr>
          <w:snapToGrid w:val="0"/>
        </w:rPr>
      </w:pPr>
      <w:bookmarkStart w:id="1438" w:name="_Toc163121699"/>
      <w:r>
        <w:rPr>
          <w:rStyle w:val="CharSectno"/>
        </w:rPr>
        <w:t>3</w:t>
      </w:r>
      <w:r>
        <w:rPr>
          <w:snapToGrid w:val="0"/>
        </w:rPr>
        <w:t>.</w:t>
      </w:r>
      <w:r>
        <w:rPr>
          <w:snapToGrid w:val="0"/>
        </w:rPr>
        <w:tab/>
        <w:t>Notice of applications, form of</w:t>
      </w:r>
      <w:bookmarkEnd w:id="1438"/>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1439" w:name="_Toc163121700"/>
      <w:r>
        <w:rPr>
          <w:rStyle w:val="CharSectno"/>
        </w:rPr>
        <w:t>4</w:t>
      </w:r>
      <w:r>
        <w:rPr>
          <w:snapToGrid w:val="0"/>
        </w:rPr>
        <w:t>.</w:t>
      </w:r>
      <w:r>
        <w:rPr>
          <w:snapToGrid w:val="0"/>
        </w:rPr>
        <w:tab/>
        <w:t>Evidence; judge may direct inquiry</w:t>
      </w:r>
      <w:bookmarkEnd w:id="1439"/>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1440" w:name="_Toc163121701"/>
      <w:r>
        <w:rPr>
          <w:rStyle w:val="CharSectno"/>
        </w:rPr>
        <w:lastRenderedPageBreak/>
        <w:t>5</w:t>
      </w:r>
      <w:r>
        <w:rPr>
          <w:snapToGrid w:val="0"/>
        </w:rPr>
        <w:t>.</w:t>
      </w:r>
      <w:r>
        <w:rPr>
          <w:snapToGrid w:val="0"/>
        </w:rPr>
        <w:tab/>
        <w:t>Claimants to file affidavit verifying claim and may be heard</w:t>
      </w:r>
      <w:bookmarkEnd w:id="1440"/>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1441" w:name="_Toc163121702"/>
      <w:r>
        <w:rPr>
          <w:rStyle w:val="CharSectno"/>
        </w:rPr>
        <w:t>6</w:t>
      </w:r>
      <w:r>
        <w:rPr>
          <w:snapToGrid w:val="0"/>
        </w:rPr>
        <w:t>.</w:t>
      </w:r>
      <w:r>
        <w:rPr>
          <w:snapToGrid w:val="0"/>
        </w:rPr>
        <w:tab/>
        <w:t>Judge may order issue to be tried</w:t>
      </w:r>
      <w:bookmarkEnd w:id="1441"/>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1442" w:name="_Toc163121703"/>
      <w:r>
        <w:rPr>
          <w:rStyle w:val="CharSectno"/>
        </w:rPr>
        <w:t>7</w:t>
      </w:r>
      <w:r>
        <w:rPr>
          <w:snapToGrid w:val="0"/>
        </w:rPr>
        <w:t>.</w:t>
      </w:r>
      <w:r>
        <w:rPr>
          <w:snapToGrid w:val="0"/>
        </w:rPr>
        <w:tab/>
        <w:t>Order of Escheat, form of</w:t>
      </w:r>
      <w:bookmarkEnd w:id="1442"/>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1443" w:name="_Toc163121704"/>
      <w:r>
        <w:rPr>
          <w:rStyle w:val="CharSectno"/>
        </w:rPr>
        <w:t>8</w:t>
      </w:r>
      <w:r>
        <w:rPr>
          <w:snapToGrid w:val="0"/>
        </w:rPr>
        <w:t>.</w:t>
      </w:r>
      <w:r>
        <w:rPr>
          <w:snapToGrid w:val="0"/>
        </w:rPr>
        <w:tab/>
        <w:t>Costs</w:t>
      </w:r>
      <w:bookmarkEnd w:id="1443"/>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1444" w:name="_Toc162941243"/>
      <w:bookmarkStart w:id="1445" w:name="_Toc162954032"/>
      <w:bookmarkStart w:id="1446" w:name="_Toc163121705"/>
      <w:r>
        <w:rPr>
          <w:rStyle w:val="CharPartNo"/>
        </w:rPr>
        <w:lastRenderedPageBreak/>
        <w:t>Order 80A</w:t>
      </w:r>
      <w:r>
        <w:rPr>
          <w:b w:val="0"/>
        </w:rPr>
        <w:t> </w:t>
      </w:r>
      <w:r>
        <w:t>—</w:t>
      </w:r>
      <w:r>
        <w:rPr>
          <w:b w:val="0"/>
        </w:rPr>
        <w:t> </w:t>
      </w:r>
      <w:r>
        <w:rPr>
          <w:rStyle w:val="CharPartText"/>
          <w:i/>
          <w:iCs/>
        </w:rPr>
        <w:t>Royal Commission (Custody of Records) Act 1992</w:t>
      </w:r>
      <w:r>
        <w:rPr>
          <w:rStyle w:val="CharPartText"/>
        </w:rPr>
        <w:t xml:space="preserve"> rules</w:t>
      </w:r>
      <w:bookmarkEnd w:id="1444"/>
      <w:bookmarkEnd w:id="1445"/>
      <w:bookmarkEnd w:id="1446"/>
    </w:p>
    <w:p>
      <w:pPr>
        <w:pStyle w:val="Footnoteheading"/>
      </w:pPr>
      <w:r>
        <w:tab/>
        <w:t xml:space="preserve">[Heading inserted: Gazette 22 Feb 2008 p. 643.] </w:t>
      </w:r>
    </w:p>
    <w:p>
      <w:pPr>
        <w:pStyle w:val="Heading5"/>
        <w:rPr>
          <w:snapToGrid w:val="0"/>
        </w:rPr>
      </w:pPr>
      <w:bookmarkStart w:id="1447" w:name="_Toc163121706"/>
      <w:r>
        <w:rPr>
          <w:rStyle w:val="CharSectno"/>
        </w:rPr>
        <w:t>1</w:t>
      </w:r>
      <w:r>
        <w:rPr>
          <w:snapToGrid w:val="0"/>
        </w:rPr>
        <w:t>.</w:t>
      </w:r>
      <w:r>
        <w:rPr>
          <w:snapToGrid w:val="0"/>
        </w:rPr>
        <w:tab/>
        <w:t>Terms used</w:t>
      </w:r>
      <w:bookmarkEnd w:id="1447"/>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Gazette 26 Jan 1993 p. 828.] </w:t>
      </w:r>
    </w:p>
    <w:p>
      <w:pPr>
        <w:pStyle w:val="Heading5"/>
        <w:rPr>
          <w:snapToGrid w:val="0"/>
        </w:rPr>
      </w:pPr>
      <w:bookmarkStart w:id="1448" w:name="_Toc163121707"/>
      <w:r>
        <w:rPr>
          <w:rStyle w:val="CharSectno"/>
        </w:rPr>
        <w:t>2</w:t>
      </w:r>
      <w:r>
        <w:rPr>
          <w:snapToGrid w:val="0"/>
        </w:rPr>
        <w:t>.</w:t>
      </w:r>
      <w:r>
        <w:rPr>
          <w:snapToGrid w:val="0"/>
        </w:rPr>
        <w:tab/>
        <w:t>Applications for leave to have access (Act s. 14)</w:t>
      </w:r>
      <w:bookmarkEnd w:id="1448"/>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Ednotesubsection"/>
      </w:pPr>
      <w:r>
        <w:tab/>
        <w:t>[(3)</w:t>
      </w:r>
      <w:r>
        <w:tab/>
        <w:t>deleted]</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 xml:space="preserve">An application under subrule (4) may be made </w:t>
      </w:r>
      <w:r>
        <w:rPr>
          <w:i/>
          <w:snapToGrid w:val="0"/>
        </w:rPr>
        <w:t>ex parte</w:t>
      </w:r>
      <w:r>
        <w:rPr>
          <w:snapToGrid w:val="0"/>
        </w:rPr>
        <w:t xml:space="preserve"> and may be dealt with in chambers without the necessity of attendance by the applicant unless the Court otherwise directs.</w:t>
      </w:r>
    </w:p>
    <w:p>
      <w:pPr>
        <w:pStyle w:val="Subsection"/>
        <w:rPr>
          <w:snapToGrid w:val="0"/>
        </w:rPr>
      </w:pPr>
      <w:r>
        <w:rPr>
          <w:snapToGrid w:val="0"/>
        </w:rPr>
        <w:lastRenderedPageBreak/>
        <w:tab/>
        <w:t>(7)</w:t>
      </w:r>
      <w:r>
        <w:rPr>
          <w:snapToGrid w:val="0"/>
        </w:rPr>
        <w:tab/>
        <w:t xml:space="preserve">If the Court otherwise directs, the application shall be heard in chambers either </w:t>
      </w:r>
      <w:r>
        <w:rPr>
          <w:i/>
          <w:snapToGrid w:val="0"/>
        </w:rPr>
        <w:t>ex parte</w:t>
      </w:r>
      <w:r>
        <w:rPr>
          <w:snapToGrid w:val="0"/>
        </w:rPr>
        <w:t xml:space="preserv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Gazette 26 Jan 1993 p. 829; amended: Gazette 28 Jun 2011 p. 2552; 27 Feb 2018 p. 621.] </w:t>
      </w:r>
    </w:p>
    <w:p>
      <w:pPr>
        <w:pStyle w:val="Heading5"/>
        <w:rPr>
          <w:snapToGrid w:val="0"/>
        </w:rPr>
      </w:pPr>
      <w:bookmarkStart w:id="1449" w:name="_Toc163121708"/>
      <w:r>
        <w:rPr>
          <w:rStyle w:val="CharSectno"/>
        </w:rPr>
        <w:t>3</w:t>
      </w:r>
      <w:r>
        <w:rPr>
          <w:snapToGrid w:val="0"/>
        </w:rPr>
        <w:t>.</w:t>
      </w:r>
      <w:r>
        <w:rPr>
          <w:snapToGrid w:val="0"/>
        </w:rPr>
        <w:tab/>
        <w:t>Order granting leave, form of</w:t>
      </w:r>
      <w:bookmarkEnd w:id="1449"/>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Gazette 26 Jan 1993 p. 829.] </w:t>
      </w:r>
    </w:p>
    <w:p>
      <w:pPr>
        <w:pStyle w:val="Ednotepart"/>
      </w:pPr>
      <w:r>
        <w:t>[Order 81 deleted: Gazette 29 Apr 2005 p. 1801.]</w:t>
      </w:r>
    </w:p>
    <w:p>
      <w:pPr>
        <w:pStyle w:val="Ednotepart"/>
      </w:pPr>
      <w:r>
        <w:t>[Order 81A deleted: Gazette 21 Feb 2007 p. 584.]</w:t>
      </w:r>
    </w:p>
    <w:p>
      <w:pPr>
        <w:pStyle w:val="Heading2"/>
      </w:pPr>
      <w:bookmarkStart w:id="1450" w:name="_Toc162941247"/>
      <w:bookmarkStart w:id="1451" w:name="_Toc162954036"/>
      <w:bookmarkStart w:id="1452" w:name="_Toc163121709"/>
      <w:r>
        <w:rPr>
          <w:rStyle w:val="CharPartNo"/>
        </w:rPr>
        <w:lastRenderedPageBreak/>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1450"/>
      <w:bookmarkEnd w:id="1451"/>
      <w:bookmarkEnd w:id="1452"/>
    </w:p>
    <w:p>
      <w:pPr>
        <w:pStyle w:val="Footnoteheading"/>
      </w:pPr>
      <w:r>
        <w:tab/>
        <w:t xml:space="preserve">[Heading inserted: Gazette 22 Feb 2008 p. 644.] </w:t>
      </w:r>
    </w:p>
    <w:p>
      <w:pPr>
        <w:pStyle w:val="Heading5"/>
        <w:spacing w:before="260"/>
        <w:rPr>
          <w:snapToGrid w:val="0"/>
        </w:rPr>
      </w:pPr>
      <w:bookmarkStart w:id="1453" w:name="_Toc163121710"/>
      <w:r>
        <w:rPr>
          <w:rStyle w:val="CharSectno"/>
        </w:rPr>
        <w:t>1</w:t>
      </w:r>
      <w:r>
        <w:rPr>
          <w:snapToGrid w:val="0"/>
        </w:rPr>
        <w:t>.</w:t>
      </w:r>
      <w:r>
        <w:rPr>
          <w:snapToGrid w:val="0"/>
        </w:rPr>
        <w:tab/>
        <w:t>Terms used; how applications to be made</w:t>
      </w:r>
      <w:bookmarkEnd w:id="1453"/>
    </w:p>
    <w:p>
      <w:pPr>
        <w:pStyle w:val="Subsection"/>
        <w:spacing w:before="200"/>
        <w:rPr>
          <w:snapToGrid w:val="0"/>
        </w:rPr>
      </w:pPr>
      <w:r>
        <w:rPr>
          <w:snapToGrid w:val="0"/>
        </w:rPr>
        <w:tab/>
        <w:t>(1)</w:t>
      </w:r>
      <w:r>
        <w:rPr>
          <w:snapToGrid w:val="0"/>
        </w:rPr>
        <w:tab/>
        <w:t>In this Order — </w:t>
      </w:r>
    </w:p>
    <w:p>
      <w:pPr>
        <w:pStyle w:val="Defstart"/>
      </w:pPr>
      <w:r>
        <w:tab/>
      </w:r>
      <w:r>
        <w:rPr>
          <w:rStyle w:val="CharDefText"/>
        </w:rPr>
        <w:t>Act</w:t>
      </w:r>
      <w:r>
        <w:t xml:space="preserve"> means the </w:t>
      </w:r>
      <w:r>
        <w:rPr>
          <w:i/>
        </w:rPr>
        <w:t>Service and Execution of Process Act 1992</w:t>
      </w:r>
      <w:r>
        <w:t xml:space="preserve"> of the Commonwealth;</w:t>
      </w:r>
    </w:p>
    <w:p>
      <w:pPr>
        <w:pStyle w:val="Defstart"/>
      </w:pPr>
      <w:r>
        <w:rPr>
          <w:b/>
        </w:rPr>
        <w:tab/>
      </w:r>
      <w:r>
        <w:rPr>
          <w:rStyle w:val="CharDefText"/>
        </w:rPr>
        <w:t>court of rendition</w:t>
      </w:r>
      <w:r>
        <w:t xml:space="preserve">, </w:t>
      </w:r>
      <w:r>
        <w:rPr>
          <w:rStyle w:val="CharDefText"/>
        </w:rPr>
        <w:t>enforcement</w:t>
      </w:r>
      <w:r>
        <w:t xml:space="preserve"> and </w:t>
      </w:r>
      <w:r>
        <w:rPr>
          <w:rStyle w:val="CharDefText"/>
        </w:rPr>
        <w:t>place of rendition</w:t>
      </w:r>
      <w:r>
        <w:t xml:space="preserve"> have the same respective meanings as in section 104 of the Act.</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Gazette 1 Mar 1994 p. 788.] </w:t>
      </w:r>
    </w:p>
    <w:p>
      <w:pPr>
        <w:pStyle w:val="Heading5"/>
        <w:spacing w:before="260"/>
        <w:rPr>
          <w:snapToGrid w:val="0"/>
        </w:rPr>
      </w:pPr>
      <w:bookmarkStart w:id="1454" w:name="_Toc163121711"/>
      <w:r>
        <w:rPr>
          <w:rStyle w:val="CharSectno"/>
        </w:rPr>
        <w:t>2</w:t>
      </w:r>
      <w:r>
        <w:rPr>
          <w:snapToGrid w:val="0"/>
        </w:rPr>
        <w:t>.</w:t>
      </w:r>
      <w:r>
        <w:rPr>
          <w:snapToGrid w:val="0"/>
        </w:rPr>
        <w:tab/>
        <w:t>Enforcing judgments under Act s. 105, procedure for</w:t>
      </w:r>
      <w:bookmarkEnd w:id="1454"/>
      <w:r>
        <w:rPr>
          <w:snapToGrid w:val="0"/>
        </w:rPr>
        <w:t xml:space="preserve"> </w:t>
      </w:r>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Gazette 1 Mar 1994 p. 788.] </w:t>
      </w:r>
    </w:p>
    <w:p>
      <w:pPr>
        <w:pStyle w:val="Heading5"/>
        <w:rPr>
          <w:snapToGrid w:val="0"/>
        </w:rPr>
      </w:pPr>
      <w:bookmarkStart w:id="1455" w:name="_Toc163121712"/>
      <w:r>
        <w:rPr>
          <w:rStyle w:val="CharSectno"/>
        </w:rPr>
        <w:lastRenderedPageBreak/>
        <w:t>3</w:t>
      </w:r>
      <w:r>
        <w:rPr>
          <w:snapToGrid w:val="0"/>
        </w:rPr>
        <w:t>.</w:t>
      </w:r>
      <w:r>
        <w:rPr>
          <w:snapToGrid w:val="0"/>
        </w:rPr>
        <w:tab/>
        <w:t>Claiming interest under Act s. 108, procedure for</w:t>
      </w:r>
      <w:bookmarkEnd w:id="1455"/>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Gazette 1 Mar 1994 p. 789.] </w:t>
      </w:r>
    </w:p>
    <w:p>
      <w:pPr>
        <w:pStyle w:val="Heading5"/>
      </w:pPr>
      <w:bookmarkStart w:id="1456" w:name="_Toc163121713"/>
      <w:r>
        <w:rPr>
          <w:rStyle w:val="CharSectno"/>
        </w:rPr>
        <w:t>4</w:t>
      </w:r>
      <w:r>
        <w:t>.</w:t>
      </w:r>
      <w:r>
        <w:tab/>
        <w:t>Appeals under Act</w:t>
      </w:r>
      <w:bookmarkEnd w:id="1456"/>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Gazette 21 Feb 2007 p. 585.]</w:t>
      </w:r>
    </w:p>
    <w:p>
      <w:pPr>
        <w:pStyle w:val="Heading2"/>
      </w:pPr>
      <w:bookmarkStart w:id="1457" w:name="_Toc162941252"/>
      <w:bookmarkStart w:id="1458" w:name="_Toc162954041"/>
      <w:bookmarkStart w:id="1459" w:name="_Toc163121714"/>
      <w:r>
        <w:rPr>
          <w:rStyle w:val="CharPartNo"/>
        </w:rPr>
        <w:lastRenderedPageBreak/>
        <w:t>Order 81C</w:t>
      </w:r>
      <w:r>
        <w:rPr>
          <w:b w:val="0"/>
        </w:rPr>
        <w:t> </w:t>
      </w:r>
      <w:r>
        <w:t>—</w:t>
      </w:r>
      <w:r>
        <w:rPr>
          <w:b w:val="0"/>
        </w:rPr>
        <w:t> </w:t>
      </w:r>
      <w:r>
        <w:rPr>
          <w:rStyle w:val="CharPartText"/>
        </w:rPr>
        <w:t>Road traffic legislation</w:t>
      </w:r>
      <w:r>
        <w:rPr>
          <w:rStyle w:val="CharPartText"/>
          <w:i/>
        </w:rPr>
        <w:t xml:space="preserve"> </w:t>
      </w:r>
      <w:r>
        <w:rPr>
          <w:rStyle w:val="CharPartText"/>
        </w:rPr>
        <w:t>rules</w:t>
      </w:r>
      <w:bookmarkEnd w:id="1457"/>
      <w:bookmarkEnd w:id="1458"/>
      <w:bookmarkEnd w:id="1459"/>
    </w:p>
    <w:p>
      <w:pPr>
        <w:pStyle w:val="Footnoteheading"/>
      </w:pPr>
      <w:r>
        <w:tab/>
        <w:t>[Heading inserted: Gazette 21 Feb 2007 p. 585; amended: Gazette 19 Dec 2014 p. 4845.]</w:t>
      </w:r>
    </w:p>
    <w:p>
      <w:pPr>
        <w:pStyle w:val="Heading5"/>
      </w:pPr>
      <w:bookmarkStart w:id="1460" w:name="_Toc163121715"/>
      <w:r>
        <w:rPr>
          <w:rStyle w:val="CharSectno"/>
        </w:rPr>
        <w:t>1</w:t>
      </w:r>
      <w:r>
        <w:t>.</w:t>
      </w:r>
      <w:r>
        <w:tab/>
        <w:t>Terms used</w:t>
      </w:r>
      <w:bookmarkEnd w:id="1460"/>
    </w:p>
    <w:p>
      <w:pPr>
        <w:pStyle w:val="Subsection"/>
      </w:pPr>
      <w:r>
        <w:tab/>
      </w:r>
      <w:r>
        <w:tab/>
        <w:t xml:space="preserve">In this Order — </w:t>
      </w:r>
    </w:p>
    <w:p>
      <w:pPr>
        <w:pStyle w:val="Defstart"/>
      </w:pPr>
      <w:r>
        <w:tab/>
      </w:r>
      <w:r>
        <w:rPr>
          <w:rStyle w:val="CharDefText"/>
        </w:rPr>
        <w:t>CEO</w:t>
      </w:r>
      <w:r>
        <w:t xml:space="preserve"> has the meaning given in the </w:t>
      </w:r>
      <w:r>
        <w:rPr>
          <w:i/>
        </w:rPr>
        <w:t>Road Traffic (Administration) Act 2008</w:t>
      </w:r>
      <w:r>
        <w:t xml:space="preserve"> section 4;</w:t>
      </w:r>
    </w:p>
    <w:p>
      <w:pPr>
        <w:pStyle w:val="Defstart"/>
      </w:pPr>
      <w:r>
        <w:tab/>
      </w:r>
      <w:r>
        <w:rPr>
          <w:rStyle w:val="CharDefText"/>
        </w:rPr>
        <w:t>RT (AD) Act</w:t>
      </w:r>
      <w:r>
        <w:t xml:space="preserve"> means the </w:t>
      </w:r>
      <w:r>
        <w:rPr>
          <w:i/>
        </w:rPr>
        <w:t>Road Traffic (Authorisation to Drive) Act 2008</w:t>
      </w:r>
      <w:r>
        <w:t>.</w:t>
      </w:r>
    </w:p>
    <w:p>
      <w:pPr>
        <w:pStyle w:val="Footnotesection"/>
      </w:pPr>
      <w:r>
        <w:tab/>
        <w:t>[Rule 1 inserted: Gazette 19 Dec 2014 p. 4846.]</w:t>
      </w:r>
    </w:p>
    <w:p>
      <w:pPr>
        <w:pStyle w:val="Heading5"/>
      </w:pPr>
      <w:bookmarkStart w:id="1461" w:name="_Toc163121716"/>
      <w:r>
        <w:rPr>
          <w:rStyle w:val="CharSectno"/>
        </w:rPr>
        <w:t>2</w:t>
      </w:r>
      <w:r>
        <w:t>.</w:t>
      </w:r>
      <w:r>
        <w:tab/>
        <w:t>Applications under RT (AD) Act s. 24, 27 or 35, how to be made</w:t>
      </w:r>
      <w:bookmarkEnd w:id="1461"/>
    </w:p>
    <w:p>
      <w:pPr>
        <w:pStyle w:val="Subsection"/>
      </w:pPr>
      <w:r>
        <w:tab/>
        <w:t>(1)</w:t>
      </w:r>
      <w:r>
        <w:tab/>
        <w:t>An application under the RT (AD) Act section 27 must be made by filing a Form No. 101 and any affidavit that the applicant proposes to tender at the hearing of the application.</w:t>
      </w:r>
    </w:p>
    <w:p>
      <w:pPr>
        <w:pStyle w:val="Subsection"/>
      </w:pPr>
      <w:r>
        <w:tab/>
        <w:t>(2)</w:t>
      </w:r>
      <w:r>
        <w:tab/>
        <w:t>An application under the RT (AD) Act section 35(1) must be made by filing a Form No. 102 and any affidavit that the applicant proposes to tender at the hearing of the application.</w:t>
      </w:r>
    </w:p>
    <w:p>
      <w:pPr>
        <w:pStyle w:val="Subsection"/>
      </w:pPr>
      <w:r>
        <w:tab/>
        <w:t>(3)</w:t>
      </w:r>
      <w:r>
        <w:tab/>
        <w:t xml:space="preserve">An application under the RT (AD) Act section 35(2)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 (AD) Act section 24(1) must be made by filing a Form No. 104 and any affidavit that the applicant proposes to tender at the hearing of the application.</w:t>
      </w:r>
    </w:p>
    <w:p>
      <w:pPr>
        <w:pStyle w:val="Subsection"/>
        <w:keepNext/>
      </w:pPr>
      <w:r>
        <w:lastRenderedPageBreak/>
        <w:tab/>
        <w:t>(5)</w:t>
      </w:r>
      <w:r>
        <w:tab/>
        <w:t>When a form and any affidavit is filed under this rule, 3 copies must also be filed.</w:t>
      </w:r>
    </w:p>
    <w:p>
      <w:pPr>
        <w:pStyle w:val="Footnotesection"/>
      </w:pPr>
      <w:r>
        <w:tab/>
        <w:t>[Rule 2 inserted: Gazette 21 Feb 2007 p. 585</w:t>
      </w:r>
      <w:r>
        <w:noBreakHyphen/>
        <w:t>6; amended: Gazette 19 Dec 2014 p. 4846.]</w:t>
      </w:r>
    </w:p>
    <w:p>
      <w:pPr>
        <w:pStyle w:val="Heading5"/>
      </w:pPr>
      <w:bookmarkStart w:id="1462" w:name="_Toc163121717"/>
      <w:r>
        <w:rPr>
          <w:rStyle w:val="CharSectno"/>
        </w:rPr>
        <w:t>3</w:t>
      </w:r>
      <w:r>
        <w:t>.</w:t>
      </w:r>
      <w:r>
        <w:tab/>
        <w:t>Registrar’s functions when application is made</w:t>
      </w:r>
      <w:bookmarkEnd w:id="1462"/>
    </w:p>
    <w:p>
      <w:pPr>
        <w:pStyle w:val="Subsection"/>
      </w:pPr>
      <w:r>
        <w:tab/>
        <w:t>(1)</w:t>
      </w:r>
      <w:r>
        <w:tab/>
        <w:t>A registrar may reject an application made under rule 2 if the registrar has reason to believe that the application cannot be made to or heard by the Court under the RT (AD) Act section 29 or 35(3).</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r>
        <w:tab/>
        <w:t>[Rule 3 inserted: Gazette 21 Feb 2007 p. 586; amended: Gazette 19 Dec 2014 p. 4846.]</w:t>
      </w:r>
    </w:p>
    <w:p>
      <w:pPr>
        <w:pStyle w:val="Heading5"/>
      </w:pPr>
      <w:bookmarkStart w:id="1463" w:name="_Toc163121718"/>
      <w:r>
        <w:rPr>
          <w:rStyle w:val="CharSectno"/>
        </w:rPr>
        <w:t>4</w:t>
      </w:r>
      <w:r>
        <w:t>.</w:t>
      </w:r>
      <w:r>
        <w:tab/>
        <w:t>Applicant to serve application etc.</w:t>
      </w:r>
      <w:bookmarkEnd w:id="1463"/>
    </w:p>
    <w:p>
      <w:pPr>
        <w:pStyle w:val="Subsection"/>
      </w:pPr>
      <w:r>
        <w:tab/>
        <w:t>(1)</w:t>
      </w:r>
      <w:r>
        <w:tab/>
        <w:t xml:space="preserve">On receiving the copies of a Form No. 101, 102 or 104 and any accompanying affidavit from a registrar, the applicant must </w:t>
      </w:r>
      <w:r>
        <w:lastRenderedPageBreak/>
        <w:t>serve one copy of the form and any accompanying affidavit on the CEO.</w:t>
      </w:r>
    </w:p>
    <w:p>
      <w:pPr>
        <w:pStyle w:val="Subsection"/>
      </w:pPr>
      <w:r>
        <w:tab/>
        <w:t>(2)</w:t>
      </w:r>
      <w:r>
        <w:tab/>
        <w:t>On receiving the copies of a Form No. 103 and any accompanying affidavit from a registrar, the CEO must serve one copy on the holder of the extraordinary licence to which the application relates.</w:t>
      </w:r>
    </w:p>
    <w:p>
      <w:pPr>
        <w:pStyle w:val="Footnotesection"/>
      </w:pPr>
      <w:r>
        <w:tab/>
        <w:t>[Rule 4 inserted: Gazette 28 Jul 2010 p. 3484-5; amended: Gazette 19 Dec 2014 p. 4846</w:t>
      </w:r>
      <w:r>
        <w:noBreakHyphen/>
        <w:t>7.]</w:t>
      </w:r>
    </w:p>
    <w:p>
      <w:pPr>
        <w:pStyle w:val="Heading5"/>
      </w:pPr>
      <w:bookmarkStart w:id="1464" w:name="_Toc163121719"/>
      <w:r>
        <w:rPr>
          <w:rStyle w:val="CharSectno"/>
        </w:rPr>
        <w:t>5</w:t>
      </w:r>
      <w:r>
        <w:t>.</w:t>
      </w:r>
      <w:r>
        <w:tab/>
        <w:t>Hearing of application, appearance at</w:t>
      </w:r>
      <w:bookmarkEnd w:id="1464"/>
    </w:p>
    <w:p>
      <w:pPr>
        <w:pStyle w:val="Subsection"/>
      </w:pPr>
      <w:r>
        <w:tab/>
        <w:t>(1)</w:t>
      </w:r>
      <w:r>
        <w:tab/>
        <w:t>The CEO is entitled to be heard on an application made under the RT (AD) Act section 24(1), 27 or 35(1).</w:t>
      </w:r>
    </w:p>
    <w:p>
      <w:pPr>
        <w:pStyle w:val="Subsection"/>
      </w:pPr>
      <w:r>
        <w:tab/>
        <w:t>(2)</w:t>
      </w:r>
      <w:r>
        <w:tab/>
        <w:t>If the Court is satisfied that the CEO has been served with an application made under the RT (AD) Act section 24(1), 27 or 35(1), the Court may deal with it in the absence of the CEO.</w:t>
      </w:r>
    </w:p>
    <w:p>
      <w:pPr>
        <w:pStyle w:val="Ednotesubsection"/>
      </w:pPr>
      <w:r>
        <w:tab/>
        <w:t>[(3), (4)</w:t>
      </w:r>
      <w:r>
        <w:tab/>
        <w:t>deleted]</w:t>
      </w:r>
    </w:p>
    <w:p>
      <w:pPr>
        <w:pStyle w:val="Subsection"/>
      </w:pPr>
      <w:r>
        <w:tab/>
        <w:t>(5)</w:t>
      </w:r>
      <w:r>
        <w:tab/>
        <w:t>If the Court is satisfied that the holder of the extraordinary licence to which an application made under the RT (AD) Act section 35(2) relates has been served with it, the Court may deal with it in the absence of the holder.</w:t>
      </w:r>
    </w:p>
    <w:p>
      <w:pPr>
        <w:pStyle w:val="Footnotesection"/>
      </w:pPr>
      <w:r>
        <w:tab/>
        <w:t>[Rule 5 inserted: Gazette 21 Feb 2007 p. 587; amended: Gazette 28 Jul 2010 p. 3485; 19 Dec 2014 p. 4847; 4 Sep 2015 p. 3698.]</w:t>
      </w:r>
    </w:p>
    <w:p>
      <w:pPr>
        <w:pStyle w:val="Heading5"/>
      </w:pPr>
      <w:bookmarkStart w:id="1465" w:name="_Toc163121720"/>
      <w:r>
        <w:rPr>
          <w:rStyle w:val="CharSectno"/>
        </w:rPr>
        <w:t>6</w:t>
      </w:r>
      <w:r>
        <w:t>.</w:t>
      </w:r>
      <w:r>
        <w:tab/>
        <w:t>Hearing of application, procedure on</w:t>
      </w:r>
      <w:bookmarkEnd w:id="1465"/>
    </w:p>
    <w:p>
      <w:pPr>
        <w:pStyle w:val="Subsection"/>
      </w:pPr>
      <w:r>
        <w:tab/>
        <w:t>(1)</w:t>
      </w:r>
      <w:r>
        <w:tab/>
        <w:t>At the hearing of an application made under the RT (AD) Act section 27 or 35(1) or (2)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 (AD) Act section 24(1), 27 or 35(1) or (2), affidavit evidence may be adduced by a party if the maker of the affidavit is present.</w:t>
      </w:r>
    </w:p>
    <w:p>
      <w:pPr>
        <w:pStyle w:val="Footnotesection"/>
      </w:pPr>
      <w:r>
        <w:lastRenderedPageBreak/>
        <w:tab/>
        <w:t>[Rule 6 inserted: Gazette 21 Feb 2007 p. 587; amended: Gazette 19 Dec 2014 p. 4847.]</w:t>
      </w:r>
    </w:p>
    <w:p>
      <w:pPr>
        <w:pStyle w:val="Heading5"/>
      </w:pPr>
      <w:bookmarkStart w:id="1466" w:name="_Toc163121721"/>
      <w:r>
        <w:rPr>
          <w:rStyle w:val="CharSectno"/>
        </w:rPr>
        <w:t>7</w:t>
      </w:r>
      <w:r>
        <w:t>.</w:t>
      </w:r>
      <w:r>
        <w:tab/>
        <w:t>CEO to be notified of decision</w:t>
      </w:r>
      <w:bookmarkEnd w:id="1466"/>
    </w:p>
    <w:p>
      <w:pPr>
        <w:pStyle w:val="Subsection"/>
      </w:pPr>
      <w:r>
        <w:tab/>
      </w:r>
      <w:r>
        <w:tab/>
        <w:t>As soon as practicable after the Court decides an application made under the RT (AD) Act section 24(1), 27 or 35(1) or (2), a registrar must give the CEO notice of the decision including the details of any order made.</w:t>
      </w:r>
    </w:p>
    <w:p>
      <w:pPr>
        <w:pStyle w:val="Footnotesection"/>
      </w:pPr>
      <w:r>
        <w:tab/>
        <w:t>[Rule 7 inserted: Gazette 21 Feb 2007 p. 587; amended: Gazette 19 Dec 2014 p. 4848.]</w:t>
      </w:r>
    </w:p>
    <w:p>
      <w:pPr>
        <w:pStyle w:val="Ednotepart"/>
      </w:pPr>
      <w:r>
        <w:t>[Order 81D deleted: Gazette 20 Dec 2016 p. 5842.]</w:t>
      </w:r>
    </w:p>
    <w:p>
      <w:pPr>
        <w:pStyle w:val="Heading2"/>
        <w:rPr>
          <w:b w:val="0"/>
        </w:rPr>
      </w:pPr>
      <w:bookmarkStart w:id="1467" w:name="_Toc162941260"/>
      <w:bookmarkStart w:id="1468" w:name="_Toc162954049"/>
      <w:bookmarkStart w:id="1469" w:name="_Toc163121722"/>
      <w:r>
        <w:rPr>
          <w:rStyle w:val="CharPartNo"/>
        </w:rPr>
        <w:lastRenderedPageBreak/>
        <w:t>Order 81E</w:t>
      </w:r>
      <w:r>
        <w:rPr>
          <w:rStyle w:val="CharDivNo"/>
        </w:rPr>
        <w:t> </w:t>
      </w:r>
      <w:r>
        <w:t>—</w:t>
      </w:r>
      <w:r>
        <w:rPr>
          <w:rStyle w:val="CharDivText"/>
        </w:rPr>
        <w:t> </w:t>
      </w:r>
      <w:r>
        <w:rPr>
          <w:rStyle w:val="CharPartText"/>
        </w:rPr>
        <w:t>Cross</w:t>
      </w:r>
      <w:r>
        <w:rPr>
          <w:rStyle w:val="CharPartText"/>
        </w:rPr>
        <w:noBreakHyphen/>
        <w:t>vesting</w:t>
      </w:r>
      <w:bookmarkEnd w:id="1467"/>
      <w:bookmarkEnd w:id="1468"/>
      <w:bookmarkEnd w:id="1469"/>
    </w:p>
    <w:p>
      <w:pPr>
        <w:pStyle w:val="Footnoteheading"/>
        <w:ind w:left="890"/>
        <w:rPr>
          <w:snapToGrid w:val="0"/>
        </w:rPr>
      </w:pPr>
      <w:r>
        <w:rPr>
          <w:snapToGrid w:val="0"/>
        </w:rPr>
        <w:tab/>
        <w:t>[Heading inserted: Gazette 1 Jul 1988 p. 2140.]</w:t>
      </w:r>
    </w:p>
    <w:p>
      <w:pPr>
        <w:pStyle w:val="Heading5"/>
        <w:rPr>
          <w:snapToGrid w:val="0"/>
        </w:rPr>
      </w:pPr>
      <w:bookmarkStart w:id="1470" w:name="_Toc163121723"/>
      <w:r>
        <w:rPr>
          <w:rStyle w:val="CharSectno"/>
        </w:rPr>
        <w:t>1</w:t>
      </w:r>
      <w:r>
        <w:rPr>
          <w:snapToGrid w:val="0"/>
        </w:rPr>
        <w:t>.</w:t>
      </w:r>
      <w:r>
        <w:rPr>
          <w:snapToGrid w:val="0"/>
        </w:rPr>
        <w:tab/>
        <w:t>Terms used</w:t>
      </w:r>
      <w:bookmarkEnd w:id="1470"/>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Jurisdiction of Courts (Cross</w:t>
      </w:r>
      <w:r>
        <w:rPr>
          <w:i/>
        </w:rPr>
        <w:noBreakHyphen/>
        <w:t>vesting) Act 1987</w:t>
      </w:r>
      <w:r>
        <w:t xml:space="preserve"> of Western Australia;</w:t>
      </w:r>
    </w:p>
    <w:p>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pPr>
        <w:pStyle w:val="Footnotesection"/>
      </w:pPr>
      <w:r>
        <w:tab/>
        <w:t xml:space="preserve">[Rule 1 inserted: Gazette 1 Jul 1988 p. 2140.] </w:t>
      </w:r>
    </w:p>
    <w:p>
      <w:pPr>
        <w:pStyle w:val="Heading5"/>
        <w:rPr>
          <w:snapToGrid w:val="0"/>
        </w:rPr>
      </w:pPr>
      <w:bookmarkStart w:id="1471" w:name="_Toc163121724"/>
      <w:r>
        <w:rPr>
          <w:rStyle w:val="CharSectno"/>
        </w:rPr>
        <w:t>2</w:t>
      </w:r>
      <w:r>
        <w:rPr>
          <w:snapToGrid w:val="0"/>
        </w:rPr>
        <w:t>.</w:t>
      </w:r>
      <w:r>
        <w:rPr>
          <w:snapToGrid w:val="0"/>
        </w:rPr>
        <w:tab/>
        <w:t>Application of this Order</w:t>
      </w:r>
      <w:bookmarkEnd w:id="1471"/>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Gazette 1 Jul 1988 p. 2140.] </w:t>
      </w:r>
    </w:p>
    <w:p>
      <w:pPr>
        <w:pStyle w:val="Heading5"/>
        <w:rPr>
          <w:snapToGrid w:val="0"/>
        </w:rPr>
      </w:pPr>
      <w:bookmarkStart w:id="1472" w:name="_Toc163121725"/>
      <w:r>
        <w:rPr>
          <w:rStyle w:val="CharSectno"/>
        </w:rPr>
        <w:t>3</w:t>
      </w:r>
      <w:r>
        <w:rPr>
          <w:snapToGrid w:val="0"/>
        </w:rPr>
        <w:t>.</w:t>
      </w:r>
      <w:r>
        <w:rPr>
          <w:snapToGrid w:val="0"/>
        </w:rPr>
        <w:tab/>
        <w:t>Commencing proceedings that rely on cross-vesting laws</w:t>
      </w:r>
      <w:bookmarkEnd w:id="1472"/>
    </w:p>
    <w:p>
      <w:pPr>
        <w:pStyle w:val="Subsection"/>
        <w:rPr>
          <w:snapToGrid w:val="0"/>
        </w:rPr>
      </w:pPr>
      <w:r>
        <w:rPr>
          <w:snapToGrid w:val="0"/>
        </w:rPr>
        <w:tab/>
        <w:t>(1)</w:t>
      </w:r>
      <w:r>
        <w:rPr>
          <w:snapToGrid w:val="0"/>
        </w:rPr>
        <w:tab/>
        <w:t>Subject to subrule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 xml:space="preserve">An application under subrule (2) shall be by summons and may be </w:t>
      </w:r>
      <w:r>
        <w:rPr>
          <w:i/>
          <w:snapToGrid w:val="0"/>
        </w:rPr>
        <w:t>ex parte</w:t>
      </w:r>
      <w:r>
        <w:rPr>
          <w:snapToGrid w:val="0"/>
        </w:rPr>
        <w:t>.</w:t>
      </w:r>
    </w:p>
    <w:p>
      <w:pPr>
        <w:pStyle w:val="Subsection"/>
        <w:rPr>
          <w:snapToGrid w:val="0"/>
        </w:rPr>
      </w:pPr>
      <w:r>
        <w:rPr>
          <w:snapToGrid w:val="0"/>
        </w:rPr>
        <w:lastRenderedPageBreak/>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subrule (4) does not invalidate the process.</w:t>
      </w:r>
    </w:p>
    <w:p>
      <w:pPr>
        <w:pStyle w:val="Subsection"/>
        <w:rPr>
          <w:snapToGrid w:val="0"/>
        </w:rPr>
      </w:pPr>
      <w:r>
        <w:rPr>
          <w:snapToGrid w:val="0"/>
        </w:rPr>
        <w:tab/>
        <w:t>(6)</w:t>
      </w:r>
      <w:r>
        <w:rPr>
          <w:snapToGrid w:val="0"/>
        </w:rPr>
        <w:tab/>
        <w:t>Where a party has not complied with subrule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Gazette 1 Jul 1988 p. 2141; amended: Gazette 28 Jun 2011 p. 2552.] </w:t>
      </w:r>
    </w:p>
    <w:p>
      <w:pPr>
        <w:pStyle w:val="Heading5"/>
        <w:rPr>
          <w:snapToGrid w:val="0"/>
        </w:rPr>
      </w:pPr>
      <w:bookmarkStart w:id="1473" w:name="_Toc163121726"/>
      <w:r>
        <w:rPr>
          <w:rStyle w:val="CharSectno"/>
        </w:rPr>
        <w:t>4</w:t>
      </w:r>
      <w:r>
        <w:rPr>
          <w:snapToGrid w:val="0"/>
        </w:rPr>
        <w:t>.</w:t>
      </w:r>
      <w:r>
        <w:rPr>
          <w:snapToGrid w:val="0"/>
        </w:rPr>
        <w:tab/>
        <w:t>Special federal matters</w:t>
      </w:r>
      <w:bookmarkEnd w:id="1473"/>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Gazette 1 Jul 1988 p. 2141.] </w:t>
      </w:r>
    </w:p>
    <w:p>
      <w:pPr>
        <w:pStyle w:val="Ednotesection"/>
      </w:pPr>
      <w:r>
        <w:t>[</w:t>
      </w:r>
      <w:r>
        <w:rPr>
          <w:b/>
        </w:rPr>
        <w:t>5.</w:t>
      </w:r>
      <w:r>
        <w:rPr>
          <w:b/>
        </w:rPr>
        <w:tab/>
      </w:r>
      <w:r>
        <w:t xml:space="preserve">Deleted: Gazette 26 Aug 1994 p. 4413.] </w:t>
      </w:r>
    </w:p>
    <w:p>
      <w:pPr>
        <w:pStyle w:val="Heading5"/>
        <w:rPr>
          <w:snapToGrid w:val="0"/>
        </w:rPr>
      </w:pPr>
      <w:bookmarkStart w:id="1474" w:name="_Toc163121727"/>
      <w:r>
        <w:rPr>
          <w:rStyle w:val="CharSectno"/>
        </w:rPr>
        <w:t>6</w:t>
      </w:r>
      <w:r>
        <w:rPr>
          <w:snapToGrid w:val="0"/>
        </w:rPr>
        <w:t>.</w:t>
      </w:r>
      <w:r>
        <w:rPr>
          <w:snapToGrid w:val="0"/>
        </w:rPr>
        <w:tab/>
        <w:t>Directions for conduct of proceedings</w:t>
      </w:r>
      <w:bookmarkEnd w:id="1474"/>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lastRenderedPageBreak/>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Gazette 1 Jul 1988 p. 2141.] </w:t>
      </w:r>
    </w:p>
    <w:p>
      <w:pPr>
        <w:pStyle w:val="Heading5"/>
        <w:rPr>
          <w:snapToGrid w:val="0"/>
        </w:rPr>
      </w:pPr>
      <w:bookmarkStart w:id="1475" w:name="_Toc163121728"/>
      <w:r>
        <w:rPr>
          <w:rStyle w:val="CharSectno"/>
        </w:rPr>
        <w:t>7</w:t>
      </w:r>
      <w:r>
        <w:rPr>
          <w:snapToGrid w:val="0"/>
        </w:rPr>
        <w:t>.</w:t>
      </w:r>
      <w:r>
        <w:rPr>
          <w:snapToGrid w:val="0"/>
        </w:rPr>
        <w:tab/>
        <w:t>Transfer of proceedings</w:t>
      </w:r>
      <w:bookmarkEnd w:id="1475"/>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Gazette 1 Jul 1988 p. 2141.] </w:t>
      </w:r>
    </w:p>
    <w:p>
      <w:pPr>
        <w:pStyle w:val="Heading5"/>
        <w:rPr>
          <w:snapToGrid w:val="0"/>
        </w:rPr>
      </w:pPr>
      <w:bookmarkStart w:id="1476" w:name="_Toc163121729"/>
      <w:r>
        <w:rPr>
          <w:rStyle w:val="CharSectno"/>
        </w:rPr>
        <w:t>8</w:t>
      </w:r>
      <w:r>
        <w:rPr>
          <w:snapToGrid w:val="0"/>
        </w:rPr>
        <w:t>.</w:t>
      </w:r>
      <w:r>
        <w:rPr>
          <w:snapToGrid w:val="0"/>
        </w:rPr>
        <w:tab/>
        <w:t>Applications to be dealt with by judge</w:t>
      </w:r>
      <w:bookmarkEnd w:id="1476"/>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Gazette 1 Jul 1988 p. 2142.] </w:t>
      </w:r>
    </w:p>
    <w:p>
      <w:pPr>
        <w:pStyle w:val="Heading5"/>
        <w:rPr>
          <w:snapToGrid w:val="0"/>
        </w:rPr>
      </w:pPr>
      <w:bookmarkStart w:id="1477" w:name="_Toc163121730"/>
      <w:r>
        <w:rPr>
          <w:rStyle w:val="CharSectno"/>
        </w:rPr>
        <w:lastRenderedPageBreak/>
        <w:t>9</w:t>
      </w:r>
      <w:r>
        <w:rPr>
          <w:snapToGrid w:val="0"/>
        </w:rPr>
        <w:t>.</w:t>
      </w:r>
      <w:r>
        <w:rPr>
          <w:snapToGrid w:val="0"/>
        </w:rPr>
        <w:tab/>
        <w:t>Transfer on Attorney General’s application (Act s. 5 or 6)</w:t>
      </w:r>
      <w:bookmarkEnd w:id="1477"/>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Gazette 1 Jul 1988 p. 2142.] </w:t>
      </w:r>
    </w:p>
    <w:p>
      <w:pPr>
        <w:pStyle w:val="Heading5"/>
        <w:rPr>
          <w:snapToGrid w:val="0"/>
        </w:rPr>
      </w:pPr>
      <w:bookmarkStart w:id="1478" w:name="_Toc163121731"/>
      <w:r>
        <w:rPr>
          <w:rStyle w:val="CharSectno"/>
        </w:rPr>
        <w:t>10</w:t>
      </w:r>
      <w:r>
        <w:rPr>
          <w:snapToGrid w:val="0"/>
        </w:rPr>
        <w:t>.</w:t>
      </w:r>
      <w:r>
        <w:rPr>
          <w:snapToGrid w:val="0"/>
        </w:rPr>
        <w:tab/>
        <w:t>Transfer under Act s. 8, Court’s powers on</w:t>
      </w:r>
      <w:bookmarkEnd w:id="1478"/>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subrule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Gazette 1 Jul 1988 p. 2142; amended: Gazette 28 Jun 2011 p. 2552.] </w:t>
      </w:r>
    </w:p>
    <w:p>
      <w:pPr>
        <w:pStyle w:val="Heading5"/>
        <w:rPr>
          <w:snapToGrid w:val="0"/>
        </w:rPr>
      </w:pPr>
      <w:bookmarkStart w:id="1479" w:name="_Toc163121732"/>
      <w:r>
        <w:rPr>
          <w:rStyle w:val="CharSectno"/>
        </w:rPr>
        <w:t>11</w:t>
      </w:r>
      <w:r>
        <w:rPr>
          <w:snapToGrid w:val="0"/>
        </w:rPr>
        <w:t>.</w:t>
      </w:r>
      <w:r>
        <w:rPr>
          <w:snapToGrid w:val="0"/>
        </w:rPr>
        <w:tab/>
        <w:t>Procedure if laws etc. of other place to apply under Act s. 11(1)</w:t>
      </w:r>
      <w:bookmarkEnd w:id="1479"/>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lastRenderedPageBreak/>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Gazette 1 Jul 1988 p. 2142; amended: Gazette 28 Jun 2011 p. 2555.] </w:t>
      </w:r>
    </w:p>
    <w:p>
      <w:pPr>
        <w:pStyle w:val="Heading2"/>
      </w:pPr>
      <w:bookmarkStart w:id="1480" w:name="_Toc162941271"/>
      <w:bookmarkStart w:id="1481" w:name="_Toc162954060"/>
      <w:bookmarkStart w:id="1482" w:name="_Toc163121733"/>
      <w:r>
        <w:rPr>
          <w:rStyle w:val="CharPartNo"/>
        </w:rPr>
        <w:lastRenderedPageBreak/>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1480"/>
      <w:bookmarkEnd w:id="1481"/>
      <w:bookmarkEnd w:id="1482"/>
    </w:p>
    <w:p>
      <w:pPr>
        <w:pStyle w:val="Footnoteheading"/>
      </w:pPr>
      <w:r>
        <w:tab/>
        <w:t>[Heading inserted: Gazette 21 Feb 2007 p. 592.]</w:t>
      </w:r>
    </w:p>
    <w:p>
      <w:pPr>
        <w:pStyle w:val="Heading5"/>
      </w:pPr>
      <w:bookmarkStart w:id="1483" w:name="_Toc163121734"/>
      <w:r>
        <w:rPr>
          <w:rStyle w:val="CharSectno"/>
        </w:rPr>
        <w:t>1</w:t>
      </w:r>
      <w:r>
        <w:t>.</w:t>
      </w:r>
      <w:r>
        <w:tab/>
        <w:t>Terms used</w:t>
      </w:r>
      <w:bookmarkEnd w:id="1483"/>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Proceeds of Crime Act 2002</w:t>
      </w:r>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Gazette 21 Feb 2007 p. 592.]</w:t>
      </w:r>
    </w:p>
    <w:p>
      <w:pPr>
        <w:pStyle w:val="Heading5"/>
      </w:pPr>
      <w:bookmarkStart w:id="1484" w:name="_Toc163121735"/>
      <w:r>
        <w:rPr>
          <w:rStyle w:val="CharSectno"/>
        </w:rPr>
        <w:t>2</w:t>
      </w:r>
      <w:r>
        <w:t>.</w:t>
      </w:r>
      <w:r>
        <w:tab/>
        <w:t>Applications under Act, how to be made</w:t>
      </w:r>
      <w:bookmarkEnd w:id="1484"/>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lastRenderedPageBreak/>
        <w:tab/>
        <w:t>(c)</w:t>
      </w:r>
      <w:r>
        <w:tab/>
        <w:t>must call the person making the application the ‘applicant’; and</w:t>
      </w:r>
    </w:p>
    <w:p>
      <w:pPr>
        <w:pStyle w:val="Indenta"/>
      </w:pPr>
      <w:r>
        <w:tab/>
        <w:t>(d)</w:t>
      </w:r>
      <w:r>
        <w:tab/>
        <w:t>must call the person against whom the proceedings are initiated the ‘respondent’.</w:t>
      </w:r>
    </w:p>
    <w:p>
      <w:pPr>
        <w:pStyle w:val="Ednotesubsection"/>
      </w:pPr>
      <w:r>
        <w:tab/>
        <w:t>[(3A)</w:t>
      </w:r>
      <w:r>
        <w:tab/>
        <w:t>deleted]</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 xml:space="preserve">Subrule (5) does not apply to an application for an order under the Act that is filed together with the written consent to the </w:t>
      </w:r>
      <w:r>
        <w:lastRenderedPageBreak/>
        <w:t>making of the order of every person whose consent the Court needs in order to make the order by consent.</w:t>
      </w:r>
    </w:p>
    <w:p>
      <w:pPr>
        <w:pStyle w:val="Subsection"/>
        <w:keepNext/>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r>
        <w:tab/>
        <w:t>[Rule 2 inserted: Gazette 21 Feb 2007 p. 592</w:t>
      </w:r>
      <w:r>
        <w:noBreakHyphen/>
        <w:t>3; amended: Gazette 27 Feb 2018 p. 621; SL 2022/53 r. 4.]</w:t>
      </w:r>
    </w:p>
    <w:p>
      <w:pPr>
        <w:pStyle w:val="Heading5"/>
        <w:spacing w:before="240"/>
      </w:pPr>
      <w:bookmarkStart w:id="1485" w:name="_Toc163121736"/>
      <w:r>
        <w:rPr>
          <w:rStyle w:val="CharSectno"/>
        </w:rPr>
        <w:t>3</w:t>
      </w:r>
      <w:r>
        <w:t>.</w:t>
      </w:r>
      <w:r>
        <w:tab/>
        <w:t>Service on DPP (Cwlth) in Perth</w:t>
      </w:r>
      <w:bookmarkEnd w:id="1485"/>
    </w:p>
    <w:p>
      <w:pPr>
        <w:pStyle w:val="Subsection"/>
        <w:spacing w:before="180"/>
      </w:pPr>
      <w:r>
        <w:tab/>
      </w:r>
      <w:r>
        <w:tab/>
        <w:t>Service of an application under the Act and any document required to accompany the application on the DPP is effected if the application and document are served on the DPP’s office in Perth.</w:t>
      </w:r>
    </w:p>
    <w:p>
      <w:pPr>
        <w:pStyle w:val="Footnotesection"/>
      </w:pPr>
      <w:r>
        <w:tab/>
        <w:t>[Rule 3 inserted: Gazette 21 Feb 2007 p. 593.]</w:t>
      </w:r>
    </w:p>
    <w:p>
      <w:pPr>
        <w:pStyle w:val="Heading5"/>
      </w:pPr>
      <w:bookmarkStart w:id="1486" w:name="_Toc163121737"/>
      <w:r>
        <w:rPr>
          <w:rStyle w:val="CharSectno"/>
        </w:rPr>
        <w:t>4</w:t>
      </w:r>
      <w:r>
        <w:t>.</w:t>
      </w:r>
      <w:r>
        <w:tab/>
        <w:t>DPP to file grounds for contesting application</w:t>
      </w:r>
      <w:bookmarkEnd w:id="1486"/>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r>
        <w:tab/>
        <w:t>[Rule 4 inserted: Gazette 21 Feb 2007 p. 594.]</w:t>
      </w:r>
    </w:p>
    <w:p>
      <w:pPr>
        <w:pStyle w:val="Heading5"/>
        <w:spacing w:before="240"/>
      </w:pPr>
      <w:bookmarkStart w:id="1487" w:name="_Toc163121738"/>
      <w:r>
        <w:rPr>
          <w:rStyle w:val="CharSectno"/>
        </w:rPr>
        <w:t>5</w:t>
      </w:r>
      <w:r>
        <w:t>.</w:t>
      </w:r>
      <w:r>
        <w:tab/>
        <w:t>Summons for directions</w:t>
      </w:r>
      <w:bookmarkEnd w:id="1487"/>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r>
        <w:tab/>
        <w:t>[Rule 5 inserted: Gazette 21 Feb 2007 p. 594.]</w:t>
      </w:r>
    </w:p>
    <w:p>
      <w:pPr>
        <w:pStyle w:val="Heading5"/>
        <w:spacing w:before="240"/>
      </w:pPr>
      <w:bookmarkStart w:id="1488" w:name="_Toc163121739"/>
      <w:r>
        <w:rPr>
          <w:rStyle w:val="CharSectno"/>
        </w:rPr>
        <w:lastRenderedPageBreak/>
        <w:t>6</w:t>
      </w:r>
      <w:r>
        <w:t>.</w:t>
      </w:r>
      <w:r>
        <w:tab/>
        <w:t>Court may give directions at any time</w:t>
      </w:r>
      <w:bookmarkEnd w:id="1488"/>
    </w:p>
    <w:p>
      <w:pPr>
        <w:pStyle w:val="Subsection"/>
        <w:keepNext/>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r>
        <w:tab/>
        <w:t>[Rule 6 inserted: Gazette 21 Feb 2007 p. 594.]</w:t>
      </w:r>
    </w:p>
    <w:p>
      <w:pPr>
        <w:pStyle w:val="Heading5"/>
        <w:spacing w:before="240"/>
      </w:pPr>
      <w:bookmarkStart w:id="1489" w:name="_Toc163121740"/>
      <w:r>
        <w:rPr>
          <w:rStyle w:val="CharSectno"/>
        </w:rPr>
        <w:t>7</w:t>
      </w:r>
      <w:r>
        <w:t>.</w:t>
      </w:r>
      <w:r>
        <w:tab/>
        <w:t>Representative respondent</w:t>
      </w:r>
      <w:bookmarkEnd w:id="1489"/>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pPr>
      <w:r>
        <w:rPr>
          <w:i w:val="0"/>
        </w:rPr>
        <w:tab/>
      </w:r>
      <w:r>
        <w:t>[Rule 7 inserted as rule 6: Gazette 21 Feb 2007 p. 594; renumbered as rule 7: Gazette 22 Feb 2008 p. 644.]</w:t>
      </w:r>
    </w:p>
    <w:p>
      <w:pPr>
        <w:pStyle w:val="Heading5"/>
      </w:pPr>
      <w:bookmarkStart w:id="1490" w:name="_Toc163121741"/>
      <w:r>
        <w:rPr>
          <w:rStyle w:val="CharSectno"/>
        </w:rPr>
        <w:lastRenderedPageBreak/>
        <w:t>8</w:t>
      </w:r>
      <w:r>
        <w:t>.</w:t>
      </w:r>
      <w:r>
        <w:tab/>
        <w:t>Evidence on applications</w:t>
      </w:r>
      <w:bookmarkEnd w:id="1490"/>
    </w:p>
    <w:p>
      <w:pPr>
        <w:pStyle w:val="Subsection"/>
        <w:keepNext/>
        <w:keepLines/>
      </w:pPr>
      <w:r>
        <w:tab/>
      </w:r>
      <w:r>
        <w:tab/>
        <w:t>Evidence in support of or opposing an application for an order under the Act is to be by affidavit unless the Court orders otherwise.</w:t>
      </w:r>
    </w:p>
    <w:p>
      <w:pPr>
        <w:pStyle w:val="Footnotesection"/>
      </w:pPr>
      <w:r>
        <w:rPr>
          <w:rStyle w:val="Emphasis"/>
        </w:rPr>
        <w:tab/>
      </w:r>
      <w:r>
        <w:t>[Rule 8 inserted as rule 7: Gazette 21 Feb 2007 p. 594; renumbered as rule 8: Gazette 22 Feb 2008 p. 644.]</w:t>
      </w:r>
    </w:p>
    <w:p>
      <w:pPr>
        <w:pStyle w:val="Heading5"/>
      </w:pPr>
      <w:bookmarkStart w:id="1491" w:name="_Toc163121742"/>
      <w:r>
        <w:rPr>
          <w:rStyle w:val="CharSectno"/>
        </w:rPr>
        <w:t>9</w:t>
      </w:r>
      <w:r>
        <w:t>.</w:t>
      </w:r>
      <w:r>
        <w:tab/>
        <w:t>Court may order separate hearing</w:t>
      </w:r>
      <w:bookmarkEnd w:id="1491"/>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pPr>
      <w:r>
        <w:rPr>
          <w:rStyle w:val="Emphasis"/>
        </w:rPr>
        <w:tab/>
      </w:r>
      <w:r>
        <w:t>[Rule 9 inserted as rule 8: Gazette 21 Feb 2007 p. 595; renumbered as rule 9: Gazette 22 Feb 2008 p. 644.]</w:t>
      </w:r>
    </w:p>
    <w:p>
      <w:pPr>
        <w:pStyle w:val="Heading2"/>
      </w:pPr>
      <w:bookmarkStart w:id="1492" w:name="_Toc162941281"/>
      <w:bookmarkStart w:id="1493" w:name="_Toc162954070"/>
      <w:bookmarkStart w:id="1494" w:name="_Toc163121743"/>
      <w:r>
        <w:rPr>
          <w:rStyle w:val="CharPartNo"/>
        </w:rPr>
        <w:lastRenderedPageBreak/>
        <w:t>Order 81FA</w:t>
      </w:r>
      <w:r>
        <w:rPr>
          <w:b w:val="0"/>
        </w:rPr>
        <w:t> </w:t>
      </w:r>
      <w:r>
        <w:t>—</w:t>
      </w:r>
      <w:r>
        <w:rPr>
          <w:b w:val="0"/>
        </w:rPr>
        <w:t> </w:t>
      </w:r>
      <w:r>
        <w:rPr>
          <w:rStyle w:val="CharPartText"/>
          <w:i/>
          <w:iCs/>
        </w:rPr>
        <w:t>Criminal Property Confiscation Act 2000</w:t>
      </w:r>
      <w:r>
        <w:rPr>
          <w:rStyle w:val="CharPartText"/>
        </w:rPr>
        <w:t xml:space="preserve"> rules</w:t>
      </w:r>
      <w:bookmarkEnd w:id="1492"/>
      <w:bookmarkEnd w:id="1493"/>
      <w:bookmarkEnd w:id="1494"/>
    </w:p>
    <w:p>
      <w:pPr>
        <w:pStyle w:val="Footnoteheading"/>
        <w:ind w:left="890"/>
        <w:rPr>
          <w:snapToGrid w:val="0"/>
        </w:rPr>
      </w:pPr>
      <w:r>
        <w:rPr>
          <w:snapToGrid w:val="0"/>
        </w:rPr>
        <w:tab/>
        <w:t>[Heading inserted: Gazette 22 Feb 2008 p. 644.]</w:t>
      </w:r>
    </w:p>
    <w:p>
      <w:pPr>
        <w:pStyle w:val="Heading3"/>
        <w:rPr>
          <w:b w:val="0"/>
        </w:rPr>
      </w:pPr>
      <w:bookmarkStart w:id="1495" w:name="_Toc162941282"/>
      <w:bookmarkStart w:id="1496" w:name="_Toc162954071"/>
      <w:bookmarkStart w:id="1497" w:name="_Toc163121744"/>
      <w:r>
        <w:rPr>
          <w:rStyle w:val="CharDivNo"/>
        </w:rPr>
        <w:t>Part 1</w:t>
      </w:r>
      <w:r>
        <w:t> —</w:t>
      </w:r>
      <w:r>
        <w:rPr>
          <w:b w:val="0"/>
        </w:rPr>
        <w:t> </w:t>
      </w:r>
      <w:r>
        <w:rPr>
          <w:rStyle w:val="CharDivText"/>
        </w:rPr>
        <w:t>Preliminary</w:t>
      </w:r>
      <w:bookmarkEnd w:id="1495"/>
      <w:bookmarkEnd w:id="1496"/>
      <w:bookmarkEnd w:id="1497"/>
    </w:p>
    <w:p>
      <w:pPr>
        <w:pStyle w:val="Footnoteheading"/>
        <w:ind w:left="890"/>
        <w:rPr>
          <w:snapToGrid w:val="0"/>
        </w:rPr>
      </w:pPr>
      <w:r>
        <w:rPr>
          <w:snapToGrid w:val="0"/>
        </w:rPr>
        <w:tab/>
        <w:t>[Heading inserted: Gazette 27 Sep 2002 p. 4830.]</w:t>
      </w:r>
    </w:p>
    <w:p>
      <w:pPr>
        <w:pStyle w:val="Heading5"/>
      </w:pPr>
      <w:bookmarkStart w:id="1498" w:name="_Toc163121745"/>
      <w:r>
        <w:rPr>
          <w:rStyle w:val="CharSectno"/>
        </w:rPr>
        <w:t>1</w:t>
      </w:r>
      <w:r>
        <w:t>.</w:t>
      </w:r>
      <w:r>
        <w:tab/>
        <w:t>Terms used</w:t>
      </w:r>
      <w:bookmarkEnd w:id="1498"/>
    </w:p>
    <w:p>
      <w:pPr>
        <w:pStyle w:val="Subsection"/>
      </w:pPr>
      <w:r>
        <w:tab/>
      </w:r>
      <w:r>
        <w:tab/>
        <w:t>In this Order, unless the contrary intention appears —</w:t>
      </w:r>
    </w:p>
    <w:p>
      <w:pPr>
        <w:pStyle w:val="Defstart"/>
      </w:pPr>
      <w:r>
        <w:tab/>
      </w:r>
      <w:r>
        <w:rPr>
          <w:rStyle w:val="CharDefText"/>
        </w:rPr>
        <w:t>CCC</w:t>
      </w:r>
      <w:r>
        <w:t xml:space="preserve"> means the Corruption and Crime Commission established under the </w:t>
      </w:r>
      <w:r>
        <w:rPr>
          <w:i/>
        </w:rPr>
        <w:t>Corruption, Crime and Misconduct Act 2003</w:t>
      </w:r>
      <w:r>
        <w:t xml:space="preserve"> section 8(1);</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rStyle w:val="CharDefText"/>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made by the court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keepNext/>
      </w:pPr>
      <w:r>
        <w:rPr>
          <w:b/>
        </w:rPr>
        <w:lastRenderedPageBreak/>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Gazette 27 Sep 2002 p. 4830</w:t>
      </w:r>
      <w:r>
        <w:noBreakHyphen/>
        <w:t>1; amended: Gazette 28 Aug 2018 p. 2992.]</w:t>
      </w:r>
    </w:p>
    <w:p>
      <w:pPr>
        <w:pStyle w:val="Heading3"/>
      </w:pPr>
      <w:bookmarkStart w:id="1499" w:name="_Toc162941284"/>
      <w:bookmarkStart w:id="1500" w:name="_Toc162954073"/>
      <w:bookmarkStart w:id="1501" w:name="_Toc163121746"/>
      <w:r>
        <w:rPr>
          <w:rStyle w:val="CharDivNo"/>
        </w:rPr>
        <w:t>Part 2</w:t>
      </w:r>
      <w:r>
        <w:t> — </w:t>
      </w:r>
      <w:r>
        <w:rPr>
          <w:rStyle w:val="CharDivText"/>
        </w:rPr>
        <w:t>Proceedings under the Confiscation Act 2000</w:t>
      </w:r>
      <w:bookmarkEnd w:id="1499"/>
      <w:bookmarkEnd w:id="1500"/>
      <w:bookmarkEnd w:id="1501"/>
    </w:p>
    <w:p>
      <w:pPr>
        <w:pStyle w:val="Footnoteheading"/>
        <w:ind w:left="890"/>
        <w:rPr>
          <w:snapToGrid w:val="0"/>
        </w:rPr>
      </w:pPr>
      <w:r>
        <w:rPr>
          <w:snapToGrid w:val="0"/>
        </w:rPr>
        <w:tab/>
        <w:t>[Heading inserted: Gazette 27 Sep 2002 p. 4831.]</w:t>
      </w:r>
    </w:p>
    <w:p>
      <w:pPr>
        <w:pStyle w:val="Heading5"/>
      </w:pPr>
      <w:bookmarkStart w:id="1502" w:name="_Toc163121747"/>
      <w:r>
        <w:rPr>
          <w:rStyle w:val="CharSectno"/>
        </w:rPr>
        <w:t>2</w:t>
      </w:r>
      <w:r>
        <w:t>.</w:t>
      </w:r>
      <w:r>
        <w:tab/>
        <w:t>Declarations under Act s. 30, applications for</w:t>
      </w:r>
      <w:bookmarkEnd w:id="1502"/>
    </w:p>
    <w:p>
      <w:pPr>
        <w:pStyle w:val="Subsection"/>
      </w:pPr>
      <w:r>
        <w:tab/>
        <w:t>(1)</w:t>
      </w:r>
      <w:r>
        <w:tab/>
        <w:t xml:space="preserve">An application by the DPP or the CCC under section 30(1) of the Confiscation Act 2000 for a declaration that property has been confiscated may be made </w:t>
      </w:r>
      <w:r>
        <w:rPr>
          <w:i/>
        </w:rPr>
        <w:t>ex parte</w:t>
      </w:r>
      <w:r>
        <w:t>.</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keepNext/>
      </w:pPr>
      <w:r>
        <w:lastRenderedPageBreak/>
        <w:tab/>
        <w:t>(4)</w:t>
      </w:r>
      <w:r>
        <w:tab/>
        <w:t>On hearing an application, the court may give any directions it thinks fit, whether or not it finds that the property has been confiscated.</w:t>
      </w:r>
    </w:p>
    <w:p>
      <w:pPr>
        <w:pStyle w:val="Footnotesection"/>
      </w:pPr>
      <w:r>
        <w:tab/>
        <w:t>[Rule 2 inserted: Gazette 27 Sep 2002 p. 4831; amended: Gazette 28 Aug 2018 p. 2992.]</w:t>
      </w:r>
    </w:p>
    <w:p>
      <w:pPr>
        <w:pStyle w:val="Heading5"/>
      </w:pPr>
      <w:bookmarkStart w:id="1503" w:name="_Toc163121748"/>
      <w:r>
        <w:rPr>
          <w:rStyle w:val="CharSectno"/>
        </w:rPr>
        <w:t>3</w:t>
      </w:r>
      <w:r>
        <w:t>.</w:t>
      </w:r>
      <w:r>
        <w:tab/>
        <w:t>Other declarations or orders, applications for</w:t>
      </w:r>
      <w:bookmarkEnd w:id="1503"/>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 xml:space="preserve">a freezing order, except an </w:t>
      </w:r>
      <w:r>
        <w:rPr>
          <w:i/>
        </w:rPr>
        <w:t>ex parte</w:t>
      </w:r>
      <w:r>
        <w:t xml:space="preserv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keepNext/>
      </w:pPr>
      <w:r>
        <w:lastRenderedPageBreak/>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w:t>
      </w:r>
      <w:r>
        <w:rPr>
          <w:i/>
        </w:rPr>
        <w:t>ex parte</w:t>
      </w:r>
      <w:r>
        <w:t xml:space="preserv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Gazette 27 Sep 2002 p. 4831</w:t>
      </w:r>
      <w:r>
        <w:noBreakHyphen/>
        <w:t>2; amended: Gazette 10 Aug 2004 p. 3185.]</w:t>
      </w:r>
    </w:p>
    <w:p>
      <w:pPr>
        <w:pStyle w:val="Heading5"/>
      </w:pPr>
      <w:bookmarkStart w:id="1504" w:name="_Toc163121749"/>
      <w:r>
        <w:rPr>
          <w:rStyle w:val="CharSectno"/>
        </w:rPr>
        <w:t>4</w:t>
      </w:r>
      <w:r>
        <w:t>.</w:t>
      </w:r>
      <w:r>
        <w:tab/>
        <w:t>Affidavit in support required for some applications</w:t>
      </w:r>
      <w:bookmarkEnd w:id="1504"/>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Gazette 27 Sep 2002 p. 4832.]</w:t>
      </w:r>
    </w:p>
    <w:p>
      <w:pPr>
        <w:pStyle w:val="Heading5"/>
      </w:pPr>
      <w:bookmarkStart w:id="1505" w:name="_Toc163121750"/>
      <w:r>
        <w:rPr>
          <w:rStyle w:val="CharSectno"/>
        </w:rPr>
        <w:t>5</w:t>
      </w:r>
      <w:r>
        <w:t>.</w:t>
      </w:r>
      <w:r>
        <w:tab/>
        <w:t>Objections to confiscation of property, making of</w:t>
      </w:r>
      <w:bookmarkEnd w:id="1505"/>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Gazette 27 Sep 2002 p. 4832.]</w:t>
      </w:r>
    </w:p>
    <w:p>
      <w:pPr>
        <w:pStyle w:val="Heading5"/>
      </w:pPr>
      <w:bookmarkStart w:id="1506" w:name="_Toc163121751"/>
      <w:r>
        <w:rPr>
          <w:rStyle w:val="CharSectno"/>
        </w:rPr>
        <w:lastRenderedPageBreak/>
        <w:t>6</w:t>
      </w:r>
      <w:r>
        <w:t>.</w:t>
      </w:r>
      <w:r>
        <w:tab/>
        <w:t>DPP or CCC to be served</w:t>
      </w:r>
      <w:bookmarkEnd w:id="1506"/>
    </w:p>
    <w:p>
      <w:pPr>
        <w:pStyle w:val="Subsection"/>
        <w:keepNext/>
        <w:keepLines/>
      </w:pPr>
      <w:r>
        <w:tab/>
      </w:r>
      <w:r>
        <w:tab/>
        <w:t>When a party (other than the DPP or the CCC) files an objection or makes an application under this Order, the party is to serve a copy of the objection or application on the DPP or the CCC, as the case requires.</w:t>
      </w:r>
    </w:p>
    <w:p>
      <w:pPr>
        <w:pStyle w:val="Footnotesection"/>
      </w:pPr>
      <w:r>
        <w:tab/>
        <w:t>[Rule 6 inserted: Gazette 27 Sep 2002 p. 4832; amended: Gazette 28 Aug 2018 p. 2992.]</w:t>
      </w:r>
    </w:p>
    <w:p>
      <w:pPr>
        <w:pStyle w:val="Heading5"/>
      </w:pPr>
      <w:bookmarkStart w:id="1507" w:name="_Toc163121752"/>
      <w:r>
        <w:rPr>
          <w:rStyle w:val="CharSectno"/>
        </w:rPr>
        <w:t>7</w:t>
      </w:r>
      <w:r>
        <w:t>.</w:t>
      </w:r>
      <w:r>
        <w:tab/>
        <w:t>Directions</w:t>
      </w:r>
      <w:bookmarkEnd w:id="1507"/>
    </w:p>
    <w:p>
      <w:pPr>
        <w:pStyle w:val="Ednotesubsection"/>
      </w:pPr>
      <w:r>
        <w:tab/>
        <w:t>[(1)</w:t>
      </w:r>
      <w:r>
        <w:tab/>
        <w:t>deleted]</w:t>
      </w:r>
    </w:p>
    <w:p>
      <w:pPr>
        <w:pStyle w:val="Subsection"/>
      </w:pPr>
      <w:r>
        <w:tab/>
        <w:t>(2)</w:t>
      </w:r>
      <w:r>
        <w:tab/>
        <w:t xml:space="preserve">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Gazette 27 Sep 2002 p. 4832</w:t>
      </w:r>
      <w:r>
        <w:noBreakHyphen/>
        <w:t>3; amended: SL 2022/53 r. 5.]</w:t>
      </w:r>
    </w:p>
    <w:p>
      <w:pPr>
        <w:pStyle w:val="Heading5"/>
      </w:pPr>
      <w:bookmarkStart w:id="1508" w:name="_Toc163121753"/>
      <w:r>
        <w:rPr>
          <w:rStyle w:val="CharSectno"/>
        </w:rPr>
        <w:t>8</w:t>
      </w:r>
      <w:r>
        <w:t>.</w:t>
      </w:r>
      <w:r>
        <w:tab/>
        <w:t>Conference not required</w:t>
      </w:r>
      <w:bookmarkEnd w:id="1508"/>
    </w:p>
    <w:p>
      <w:pPr>
        <w:pStyle w:val="Subsection"/>
      </w:pPr>
      <w:r>
        <w:tab/>
      </w:r>
      <w:r>
        <w:tab/>
        <w:t>Order 59 rule 9 does not apply to a summons in proceedings under the Confiscation Act 2000.</w:t>
      </w:r>
    </w:p>
    <w:p>
      <w:pPr>
        <w:pStyle w:val="Footnotesection"/>
      </w:pPr>
      <w:r>
        <w:tab/>
        <w:t>[Rule 8 inserted: Gazette 27 Sep 2002 p. 4833.]</w:t>
      </w:r>
    </w:p>
    <w:p>
      <w:pPr>
        <w:pStyle w:val="Heading5"/>
      </w:pPr>
      <w:bookmarkStart w:id="1509" w:name="_Toc163121754"/>
      <w:r>
        <w:rPr>
          <w:rStyle w:val="CharSectno"/>
        </w:rPr>
        <w:t>9</w:t>
      </w:r>
      <w:r>
        <w:t>.</w:t>
      </w:r>
      <w:r>
        <w:tab/>
        <w:t>Representative defendant</w:t>
      </w:r>
      <w:bookmarkEnd w:id="1509"/>
    </w:p>
    <w:p>
      <w:pPr>
        <w:pStyle w:val="Subsection"/>
        <w:keepNext/>
      </w:pPr>
      <w:r>
        <w:tab/>
      </w:r>
      <w:r>
        <w:tab/>
        <w:t xml:space="preserve">If a person has been added as a defendant in proceedings under the Confiscation Act 2000, and other persons (including unborn </w:t>
      </w:r>
      <w:r>
        <w:lastRenderedPageBreak/>
        <w:t xml:space="preserve">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Gazette 27 Sep 2002 p. 4833.]</w:t>
      </w:r>
    </w:p>
    <w:p>
      <w:pPr>
        <w:pStyle w:val="Heading3"/>
        <w:keepLines/>
      </w:pPr>
      <w:bookmarkStart w:id="1510" w:name="_Toc162941293"/>
      <w:bookmarkStart w:id="1511" w:name="_Toc162954082"/>
      <w:bookmarkStart w:id="1512" w:name="_Toc163121755"/>
      <w:r>
        <w:rPr>
          <w:rStyle w:val="CharDivNo"/>
        </w:rPr>
        <w:t>Part 3</w:t>
      </w:r>
      <w:r>
        <w:t> — </w:t>
      </w:r>
      <w:r>
        <w:rPr>
          <w:rStyle w:val="CharDivText"/>
        </w:rPr>
        <w:t>Registration of freezing notices and interstate orders</w:t>
      </w:r>
      <w:bookmarkEnd w:id="1510"/>
      <w:bookmarkEnd w:id="1511"/>
      <w:bookmarkEnd w:id="1512"/>
    </w:p>
    <w:p>
      <w:pPr>
        <w:pStyle w:val="Footnoteheading"/>
        <w:keepNext/>
        <w:keepLines/>
        <w:ind w:left="890"/>
        <w:rPr>
          <w:snapToGrid w:val="0"/>
        </w:rPr>
      </w:pPr>
      <w:r>
        <w:rPr>
          <w:snapToGrid w:val="0"/>
        </w:rPr>
        <w:tab/>
        <w:t>[Heading inserted: Gazette 27 Sep 2002 p. 4833.]</w:t>
      </w:r>
    </w:p>
    <w:p>
      <w:pPr>
        <w:pStyle w:val="Heading5"/>
      </w:pPr>
      <w:bookmarkStart w:id="1513" w:name="_Toc163121756"/>
      <w:r>
        <w:rPr>
          <w:rStyle w:val="CharSectno"/>
        </w:rPr>
        <w:t>10</w:t>
      </w:r>
      <w:r>
        <w:t>.</w:t>
      </w:r>
      <w:r>
        <w:tab/>
        <w:t>Freezing notices, registration of etc.</w:t>
      </w:r>
      <w:bookmarkEnd w:id="1513"/>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 and</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Gazette 27 Sep 2002 p. 4833</w:t>
      </w:r>
      <w:r>
        <w:noBreakHyphen/>
        <w:t>4.]</w:t>
      </w:r>
    </w:p>
    <w:p>
      <w:pPr>
        <w:pStyle w:val="Heading5"/>
      </w:pPr>
      <w:bookmarkStart w:id="1514" w:name="_Toc163121757"/>
      <w:r>
        <w:rPr>
          <w:rStyle w:val="CharSectno"/>
        </w:rPr>
        <w:t>11</w:t>
      </w:r>
      <w:r>
        <w:t>.</w:t>
      </w:r>
      <w:r>
        <w:tab/>
        <w:t>Interstate orders, registration of etc.</w:t>
      </w:r>
      <w:bookmarkEnd w:id="1514"/>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keepNext/>
      </w:pPr>
      <w:r>
        <w:lastRenderedPageBreak/>
        <w:tab/>
        <w:t>(2)</w:t>
      </w:r>
      <w:r>
        <w:tab/>
        <w:t xml:space="preserve">When a sealed copy of an interstate freezing order is filed, the proper officer must — </w:t>
      </w:r>
    </w:p>
    <w:p>
      <w:pPr>
        <w:pStyle w:val="Indenta"/>
      </w:pPr>
      <w:r>
        <w:tab/>
        <w:t>(a)</w:t>
      </w:r>
      <w:r>
        <w:tab/>
        <w:t>assign a number to it; and</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Gazette 27 Sep 2002 p. 4834; amended: Gazette 22 Feb 2008 p. 645.]</w:t>
      </w:r>
    </w:p>
    <w:p>
      <w:pPr>
        <w:pStyle w:val="Heading2"/>
      </w:pPr>
      <w:bookmarkStart w:id="1515" w:name="_Toc162941296"/>
      <w:bookmarkStart w:id="1516" w:name="_Toc162954085"/>
      <w:bookmarkStart w:id="1517" w:name="_Toc163121758"/>
      <w:r>
        <w:rPr>
          <w:rStyle w:val="CharPartNo"/>
        </w:rPr>
        <w:lastRenderedPageBreak/>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1515"/>
      <w:bookmarkEnd w:id="1516"/>
      <w:bookmarkEnd w:id="1517"/>
    </w:p>
    <w:p>
      <w:pPr>
        <w:pStyle w:val="Footnoteheading"/>
        <w:ind w:left="890"/>
        <w:rPr>
          <w:snapToGrid w:val="0"/>
        </w:rPr>
      </w:pPr>
      <w:r>
        <w:rPr>
          <w:snapToGrid w:val="0"/>
        </w:rPr>
        <w:tab/>
        <w:t>[Heading inserted: Gazette 22 Feb 2008 p. 645.]</w:t>
      </w:r>
    </w:p>
    <w:p>
      <w:pPr>
        <w:pStyle w:val="Heading5"/>
      </w:pPr>
      <w:bookmarkStart w:id="1518" w:name="_Toc163121759"/>
      <w:r>
        <w:rPr>
          <w:rStyle w:val="CharSectno"/>
        </w:rPr>
        <w:t>1</w:t>
      </w:r>
      <w:r>
        <w:t>.</w:t>
      </w:r>
      <w:r>
        <w:tab/>
        <w:t>Terms used</w:t>
      </w:r>
      <w:bookmarkEnd w:id="1518"/>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pPr>
      <w:r>
        <w:tab/>
        <w:t>[Rule 1 inserted: Gazette 22 Feb 2008 p. 645.]</w:t>
      </w:r>
    </w:p>
    <w:p>
      <w:pPr>
        <w:pStyle w:val="Heading5"/>
      </w:pPr>
      <w:bookmarkStart w:id="1519" w:name="_Toc163121760"/>
      <w:r>
        <w:rPr>
          <w:rStyle w:val="CharSectno"/>
        </w:rPr>
        <w:t>2</w:t>
      </w:r>
      <w:r>
        <w:t>.</w:t>
      </w:r>
      <w:r>
        <w:tab/>
        <w:t>General matters</w:t>
      </w:r>
      <w:bookmarkEnd w:id="1519"/>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lastRenderedPageBreak/>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i/>
        </w:rPr>
      </w:pPr>
      <w:r>
        <w:tab/>
        <w:t>[Rule 2 inserted: Gazette 22 Feb 2008 p. 645</w:t>
      </w:r>
      <w:r>
        <w:noBreakHyphen/>
        <w:t>6.]</w:t>
      </w:r>
    </w:p>
    <w:p>
      <w:pPr>
        <w:pStyle w:val="Heading5"/>
      </w:pPr>
      <w:bookmarkStart w:id="1520" w:name="_Toc163121761"/>
      <w:r>
        <w:rPr>
          <w:rStyle w:val="CharSectno"/>
        </w:rPr>
        <w:t>3</w:t>
      </w:r>
      <w:r>
        <w:t>.</w:t>
      </w:r>
      <w:r>
        <w:tab/>
        <w:t>Claims, how to be made</w:t>
      </w:r>
      <w:bookmarkEnd w:id="1520"/>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pPr>
      <w:r>
        <w:tab/>
        <w:t>[Rule 3 inserted: Gazette 22 Feb 2008 p. 646.]</w:t>
      </w:r>
    </w:p>
    <w:p>
      <w:pPr>
        <w:pStyle w:val="Heading5"/>
      </w:pPr>
      <w:bookmarkStart w:id="1521" w:name="_Toc163121762"/>
      <w:r>
        <w:rPr>
          <w:rStyle w:val="CharSectno"/>
        </w:rPr>
        <w:t>4</w:t>
      </w:r>
      <w:r>
        <w:t>.</w:t>
      </w:r>
      <w:r>
        <w:tab/>
        <w:t>Defendant may file memorandum of appearance</w:t>
      </w:r>
      <w:bookmarkEnd w:id="1521"/>
    </w:p>
    <w:p>
      <w:pPr>
        <w:pStyle w:val="Subsection"/>
      </w:pPr>
      <w:r>
        <w:tab/>
      </w:r>
      <w:r>
        <w:tab/>
        <w:t>A defendant who is served with a claim and who wants to respond to it or be heard at its hearing must enter an appearance under Order 12.</w:t>
      </w:r>
    </w:p>
    <w:p>
      <w:pPr>
        <w:pStyle w:val="Footnotesection"/>
      </w:pPr>
      <w:r>
        <w:tab/>
        <w:t>[Rule 4 inserted: Gazette 22 Feb 2008 p. 647.]</w:t>
      </w:r>
    </w:p>
    <w:p>
      <w:pPr>
        <w:pStyle w:val="Heading5"/>
      </w:pPr>
      <w:bookmarkStart w:id="1522" w:name="_Toc163121763"/>
      <w:r>
        <w:rPr>
          <w:rStyle w:val="CharSectno"/>
        </w:rPr>
        <w:lastRenderedPageBreak/>
        <w:t>5</w:t>
      </w:r>
      <w:r>
        <w:t>.</w:t>
      </w:r>
      <w:r>
        <w:tab/>
        <w:t>Defendant may file affidavit in response</w:t>
      </w:r>
      <w:bookmarkEnd w:id="1522"/>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pPr>
      <w:r>
        <w:tab/>
        <w:t>[Rule 5 inserted: Gazette 22 Feb 2008 p. 647.]</w:t>
      </w:r>
    </w:p>
    <w:p>
      <w:pPr>
        <w:pStyle w:val="Heading5"/>
      </w:pPr>
      <w:bookmarkStart w:id="1523" w:name="_Toc163121764"/>
      <w:r>
        <w:rPr>
          <w:rStyle w:val="CharSectno"/>
        </w:rPr>
        <w:t>6</w:t>
      </w:r>
      <w:r>
        <w:t>.</w:t>
      </w:r>
      <w:r>
        <w:tab/>
        <w:t>Applications in course of proceedings on claim</w:t>
      </w:r>
      <w:bookmarkEnd w:id="1523"/>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pPr>
      <w:r>
        <w:tab/>
        <w:t>[Rule 6 inserted: Gazette 22 Feb 2008 p. 647.]</w:t>
      </w:r>
    </w:p>
    <w:p>
      <w:pPr>
        <w:pStyle w:val="Heading5"/>
      </w:pPr>
      <w:bookmarkStart w:id="1524" w:name="_Toc163121765"/>
      <w:r>
        <w:rPr>
          <w:rStyle w:val="CharSectno"/>
        </w:rPr>
        <w:t>7</w:t>
      </w:r>
      <w:r>
        <w:t>.</w:t>
      </w:r>
      <w:r>
        <w:tab/>
        <w:t>Hearing claims</w:t>
      </w:r>
      <w:bookmarkEnd w:id="1524"/>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pPr>
      <w:r>
        <w:tab/>
        <w:t>[Rule 7 inserted: Gazette 22 Feb 2008 p. 647.]</w:t>
      </w:r>
    </w:p>
    <w:p>
      <w:pPr>
        <w:pStyle w:val="Heading5"/>
      </w:pPr>
      <w:bookmarkStart w:id="1525" w:name="_Toc163121766"/>
      <w:r>
        <w:rPr>
          <w:rStyle w:val="CharSectno"/>
        </w:rPr>
        <w:lastRenderedPageBreak/>
        <w:t>8</w:t>
      </w:r>
      <w:r>
        <w:t>.</w:t>
      </w:r>
      <w:r>
        <w:tab/>
        <w:t>Costs</w:t>
      </w:r>
      <w:bookmarkEnd w:id="1525"/>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pPr>
      <w:r>
        <w:tab/>
        <w:t>[Rule 8 inserted: Gazette 22 Feb 2008 p. 648.]</w:t>
      </w:r>
    </w:p>
    <w:p>
      <w:pPr>
        <w:pStyle w:val="Heading5"/>
      </w:pPr>
      <w:bookmarkStart w:id="1526" w:name="_Toc163121767"/>
      <w:r>
        <w:rPr>
          <w:rStyle w:val="CharSectno"/>
        </w:rPr>
        <w:t>9</w:t>
      </w:r>
      <w:r>
        <w:t>.</w:t>
      </w:r>
      <w:r>
        <w:tab/>
        <w:t>Documents cannot be filed electronically</w:t>
      </w:r>
      <w:bookmarkEnd w:id="1526"/>
    </w:p>
    <w:p>
      <w:pPr>
        <w:pStyle w:val="Subsection"/>
      </w:pPr>
      <w:r>
        <w:tab/>
      </w:r>
      <w:r>
        <w:tab/>
        <w:t>A claim, affidavit or other document to be filed under this Order cannot be filed electronically.</w:t>
      </w:r>
    </w:p>
    <w:p>
      <w:pPr>
        <w:pStyle w:val="Footnotesection"/>
      </w:pPr>
      <w:r>
        <w:tab/>
        <w:t xml:space="preserve">[Rule 9 inserted: Gazette 27 Feb 2018 p. 621.] </w:t>
      </w:r>
    </w:p>
    <w:p>
      <w:pPr>
        <w:pStyle w:val="Heading2"/>
      </w:pPr>
      <w:bookmarkStart w:id="1527" w:name="_Toc162941306"/>
      <w:bookmarkStart w:id="1528" w:name="_Toc162954095"/>
      <w:bookmarkStart w:id="1529" w:name="_Toc163121768"/>
      <w:r>
        <w:rPr>
          <w:rStyle w:val="CharPartNo"/>
        </w:rPr>
        <w:lastRenderedPageBreak/>
        <w:t>Order 81H</w:t>
      </w:r>
      <w:r>
        <w:rPr>
          <w:b w:val="0"/>
        </w:rPr>
        <w:t> </w:t>
      </w:r>
      <w:r>
        <w:t>—</w:t>
      </w:r>
      <w:r>
        <w:rPr>
          <w:b w:val="0"/>
        </w:rPr>
        <w:t> </w:t>
      </w:r>
      <w:r>
        <w:rPr>
          <w:rStyle w:val="CharPartText"/>
          <w:i/>
          <w:iCs/>
        </w:rPr>
        <w:t xml:space="preserve">Surveillance Devices Act 1998 </w:t>
      </w:r>
      <w:r>
        <w:rPr>
          <w:rStyle w:val="CharPartText"/>
        </w:rPr>
        <w:t>rules</w:t>
      </w:r>
      <w:bookmarkEnd w:id="1527"/>
      <w:bookmarkEnd w:id="1528"/>
      <w:bookmarkEnd w:id="1529"/>
    </w:p>
    <w:p>
      <w:pPr>
        <w:pStyle w:val="Footnoteheading"/>
        <w:ind w:left="890"/>
        <w:rPr>
          <w:snapToGrid w:val="0"/>
        </w:rPr>
      </w:pPr>
      <w:r>
        <w:rPr>
          <w:snapToGrid w:val="0"/>
        </w:rPr>
        <w:tab/>
        <w:t>[Heading inserted: Gazette 22 Feb 2008 p. 649.]</w:t>
      </w:r>
    </w:p>
    <w:p>
      <w:pPr>
        <w:pStyle w:val="Heading5"/>
      </w:pPr>
      <w:bookmarkStart w:id="1530" w:name="_Toc163121769"/>
      <w:r>
        <w:rPr>
          <w:rStyle w:val="CharSectno"/>
        </w:rPr>
        <w:t>1</w:t>
      </w:r>
      <w:r>
        <w:t>.</w:t>
      </w:r>
      <w:r>
        <w:tab/>
        <w:t>Term used: Act</w:t>
      </w:r>
      <w:bookmarkEnd w:id="1530"/>
    </w:p>
    <w:p>
      <w:pPr>
        <w:pStyle w:val="Subsection"/>
      </w:pPr>
      <w:r>
        <w:tab/>
      </w:r>
      <w:r>
        <w:tab/>
        <w:t>In this Order —</w:t>
      </w:r>
    </w:p>
    <w:p>
      <w:pPr>
        <w:pStyle w:val="Defstart"/>
      </w:pPr>
      <w:r>
        <w:tab/>
      </w:r>
      <w:r>
        <w:rPr>
          <w:rStyle w:val="CharDefText"/>
        </w:rPr>
        <w:t>Act</w:t>
      </w:r>
      <w:r>
        <w:t xml:space="preserve"> means the </w:t>
      </w:r>
      <w:r>
        <w:rPr>
          <w:i/>
        </w:rPr>
        <w:t>Surveillance Devices Act 1998</w:t>
      </w:r>
      <w:r>
        <w:t>.</w:t>
      </w:r>
    </w:p>
    <w:p>
      <w:pPr>
        <w:pStyle w:val="Footnotesection"/>
      </w:pPr>
      <w:r>
        <w:tab/>
        <w:t>[Rule 1 inserted: Gazette 26 Nov 1999 p. 5903.]</w:t>
      </w:r>
    </w:p>
    <w:p>
      <w:pPr>
        <w:pStyle w:val="Heading5"/>
      </w:pPr>
      <w:bookmarkStart w:id="1531" w:name="_Toc163121770"/>
      <w:r>
        <w:rPr>
          <w:rStyle w:val="CharSectno"/>
        </w:rPr>
        <w:t>2</w:t>
      </w:r>
      <w:r>
        <w:t>.</w:t>
      </w:r>
      <w:r>
        <w:tab/>
        <w:t>Warrants, applications for</w:t>
      </w:r>
      <w:bookmarkEnd w:id="1531"/>
      <w:r>
        <w:t xml:space="preserve"> </w:t>
      </w:r>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Gazette 26 Nov 1999 p. 5904.]</w:t>
      </w:r>
    </w:p>
    <w:p>
      <w:pPr>
        <w:pStyle w:val="Heading5"/>
      </w:pPr>
      <w:bookmarkStart w:id="1532" w:name="_Toc163121771"/>
      <w:r>
        <w:rPr>
          <w:rStyle w:val="CharSectno"/>
        </w:rPr>
        <w:t>3</w:t>
      </w:r>
      <w:r>
        <w:t>.</w:t>
      </w:r>
      <w:r>
        <w:tab/>
        <w:t>Report to judge (Act s. 21 or 30)</w:t>
      </w:r>
      <w:bookmarkEnd w:id="1532"/>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Gazette 26 Nov 1999 p. 5904.]</w:t>
      </w:r>
    </w:p>
    <w:p>
      <w:pPr>
        <w:pStyle w:val="Heading5"/>
      </w:pPr>
      <w:bookmarkStart w:id="1533" w:name="_Toc163121772"/>
      <w:r>
        <w:rPr>
          <w:rStyle w:val="CharSectno"/>
        </w:rPr>
        <w:t>4</w:t>
      </w:r>
      <w:r>
        <w:t>.</w:t>
      </w:r>
      <w:r>
        <w:tab/>
        <w:t>Order allowing publication etc. (Act s. 31), application for</w:t>
      </w:r>
      <w:bookmarkEnd w:id="1533"/>
    </w:p>
    <w:p>
      <w:pPr>
        <w:pStyle w:val="Subsection"/>
      </w:pPr>
      <w:r>
        <w:tab/>
      </w:r>
      <w:r>
        <w:tab/>
        <w:t>An application for an order under section 31 of the Act is to be made by originating motion and accompanied by an affidavit in support.</w:t>
      </w:r>
    </w:p>
    <w:p>
      <w:pPr>
        <w:pStyle w:val="Footnotesection"/>
      </w:pPr>
      <w:r>
        <w:tab/>
        <w:t>[Rule 4 inserted: Gazette 26 Nov 1999 p. 5904.]</w:t>
      </w:r>
    </w:p>
    <w:p>
      <w:pPr>
        <w:pStyle w:val="Heading5"/>
      </w:pPr>
      <w:bookmarkStart w:id="1534" w:name="_Toc163121773"/>
      <w:r>
        <w:rPr>
          <w:rStyle w:val="CharSectno"/>
        </w:rPr>
        <w:lastRenderedPageBreak/>
        <w:t>5</w:t>
      </w:r>
      <w:r>
        <w:t>.</w:t>
      </w:r>
      <w:r>
        <w:tab/>
        <w:t>Identification of persons in documents</w:t>
      </w:r>
      <w:bookmarkEnd w:id="1534"/>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Gazette 26 Nov 1999 p. 5904.]</w:t>
      </w:r>
    </w:p>
    <w:p>
      <w:pPr>
        <w:pStyle w:val="Heading5"/>
      </w:pPr>
      <w:bookmarkStart w:id="1535" w:name="_Toc163121774"/>
      <w:r>
        <w:rPr>
          <w:rStyle w:val="CharSectno"/>
        </w:rPr>
        <w:t>6</w:t>
      </w:r>
      <w:r>
        <w:t>.</w:t>
      </w:r>
      <w:r>
        <w:tab/>
        <w:t>Practice Directions</w:t>
      </w:r>
      <w:bookmarkEnd w:id="1535"/>
      <w:r>
        <w:t xml:space="preserve"> </w:t>
      </w:r>
    </w:p>
    <w:p>
      <w:pPr>
        <w:pStyle w:val="Subsection"/>
      </w:pPr>
      <w:r>
        <w:tab/>
        <w:t>(1)</w:t>
      </w:r>
      <w:r>
        <w:tab/>
        <w:t>The Court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Gazette 26 Nov 1999 p. 5904; amended: Gazette 27 Feb 2018 p. 621.]</w:t>
      </w:r>
    </w:p>
    <w:p>
      <w:pPr>
        <w:pStyle w:val="Heading5"/>
      </w:pPr>
      <w:bookmarkStart w:id="1536" w:name="_Toc163121775"/>
      <w:r>
        <w:rPr>
          <w:rStyle w:val="CharSectno"/>
        </w:rPr>
        <w:t>7</w:t>
      </w:r>
      <w:r>
        <w:t>.</w:t>
      </w:r>
      <w:r>
        <w:tab/>
        <w:t>Documents cannot be filed electronically</w:t>
      </w:r>
      <w:bookmarkEnd w:id="1536"/>
    </w:p>
    <w:p>
      <w:pPr>
        <w:pStyle w:val="Subsection"/>
      </w:pPr>
      <w:r>
        <w:tab/>
      </w:r>
      <w:r>
        <w:tab/>
        <w:t>An originating summons, affidavit or other document to be filed under this Order cannot be filed electronically.</w:t>
      </w:r>
    </w:p>
    <w:p>
      <w:pPr>
        <w:pStyle w:val="Footnotesection"/>
      </w:pPr>
      <w:r>
        <w:tab/>
        <w:t>[Rule 7 inserted: Gazette 27 Feb 2018 p. 622.]</w:t>
      </w:r>
    </w:p>
    <w:p>
      <w:pPr>
        <w:pStyle w:val="Heading2"/>
        <w:rPr>
          <w:b w:val="0"/>
        </w:rPr>
      </w:pPr>
      <w:bookmarkStart w:id="1537" w:name="_Toc162941314"/>
      <w:bookmarkStart w:id="1538" w:name="_Toc162954103"/>
      <w:bookmarkStart w:id="1539" w:name="_Toc163121776"/>
      <w:r>
        <w:rPr>
          <w:rStyle w:val="CharPartNo"/>
        </w:rPr>
        <w:lastRenderedPageBreak/>
        <w:t>Order 82</w:t>
      </w:r>
      <w:r>
        <w:rPr>
          <w:rStyle w:val="CharDivNo"/>
        </w:rPr>
        <w:t> </w:t>
      </w:r>
      <w:r>
        <w:t>—</w:t>
      </w:r>
      <w:r>
        <w:rPr>
          <w:rStyle w:val="CharDivText"/>
        </w:rPr>
        <w:t> </w:t>
      </w:r>
      <w:r>
        <w:rPr>
          <w:rStyle w:val="CharPartText"/>
        </w:rPr>
        <w:t>Sheriff’s rules</w:t>
      </w:r>
      <w:bookmarkEnd w:id="1537"/>
      <w:bookmarkEnd w:id="1538"/>
      <w:bookmarkEnd w:id="1539"/>
    </w:p>
    <w:p>
      <w:pPr>
        <w:pStyle w:val="Ednotesection"/>
      </w:pPr>
      <w:r>
        <w:t>[</w:t>
      </w:r>
      <w:r>
        <w:rPr>
          <w:b/>
        </w:rPr>
        <w:t>1</w:t>
      </w:r>
      <w:r>
        <w:rPr>
          <w:b/>
        </w:rPr>
        <w:noBreakHyphen/>
        <w:t>6.</w:t>
      </w:r>
      <w:r>
        <w:tab/>
        <w:t>Deleted: Gazette 21 Feb 2007 p. 595.]</w:t>
      </w:r>
    </w:p>
    <w:p>
      <w:pPr>
        <w:pStyle w:val="Heading5"/>
        <w:rPr>
          <w:snapToGrid w:val="0"/>
        </w:rPr>
      </w:pPr>
      <w:bookmarkStart w:id="1540" w:name="_Toc163121777"/>
      <w:r>
        <w:rPr>
          <w:rStyle w:val="CharSectno"/>
        </w:rPr>
        <w:t>7</w:t>
      </w:r>
      <w:r>
        <w:rPr>
          <w:snapToGrid w:val="0"/>
        </w:rPr>
        <w:t>.</w:t>
      </w:r>
      <w:r>
        <w:rPr>
          <w:snapToGrid w:val="0"/>
        </w:rPr>
        <w:tab/>
        <w:t>Service of process by sheriff</w:t>
      </w:r>
      <w:bookmarkEnd w:id="1540"/>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 xml:space="preserve">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w:t>
      </w:r>
      <w:r>
        <w:rPr>
          <w:i/>
          <w:snapToGrid w:val="0"/>
        </w:rPr>
        <w:t>ex parte</w:t>
      </w:r>
      <w:r>
        <w:rPr>
          <w:snapToGrid w:val="0"/>
        </w:rPr>
        <w:t>.</w:t>
      </w:r>
    </w:p>
    <w:p>
      <w:pPr>
        <w:pStyle w:val="Footnotesection"/>
      </w:pPr>
      <w:r>
        <w:tab/>
        <w:t xml:space="preserve">[Rule 7 amended: Gazette 30 Nov 1984 p. 3952.] </w:t>
      </w:r>
    </w:p>
    <w:p>
      <w:pPr>
        <w:pStyle w:val="Ednotesection"/>
      </w:pPr>
      <w:r>
        <w:t>[</w:t>
      </w:r>
      <w:r>
        <w:rPr>
          <w:b/>
        </w:rPr>
        <w:t>8.</w:t>
      </w:r>
      <w:r>
        <w:tab/>
        <w:t>Deleted: Gazette 21 Feb 2007 p. 595.]</w:t>
      </w:r>
    </w:p>
    <w:p>
      <w:pPr>
        <w:pStyle w:val="Heading5"/>
        <w:rPr>
          <w:snapToGrid w:val="0"/>
        </w:rPr>
      </w:pPr>
      <w:bookmarkStart w:id="1541" w:name="_Toc163121778"/>
      <w:r>
        <w:rPr>
          <w:rStyle w:val="CharSectno"/>
        </w:rPr>
        <w:t>9</w:t>
      </w:r>
      <w:r>
        <w:rPr>
          <w:snapToGrid w:val="0"/>
        </w:rPr>
        <w:t>.</w:t>
      </w:r>
      <w:r>
        <w:rPr>
          <w:snapToGrid w:val="0"/>
        </w:rPr>
        <w:tab/>
        <w:t>Fees etc. payable to sheriff, disputes as to</w:t>
      </w:r>
      <w:bookmarkEnd w:id="1541"/>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Gazette 30 Jul 1982 p. 2947.] </w:t>
      </w:r>
    </w:p>
    <w:p>
      <w:pPr>
        <w:pStyle w:val="Ednotesection"/>
      </w:pPr>
      <w:r>
        <w:t>[</w:t>
      </w:r>
      <w:r>
        <w:rPr>
          <w:b/>
        </w:rPr>
        <w:t>10.</w:t>
      </w:r>
      <w:r>
        <w:tab/>
        <w:t>Deleted: Gazette 21 Feb 2007 p. 595.]</w:t>
      </w:r>
    </w:p>
    <w:p>
      <w:pPr>
        <w:pStyle w:val="Heading5"/>
        <w:rPr>
          <w:snapToGrid w:val="0"/>
        </w:rPr>
      </w:pPr>
      <w:bookmarkStart w:id="1542" w:name="_Toc163121779"/>
      <w:r>
        <w:rPr>
          <w:rStyle w:val="CharSectno"/>
        </w:rPr>
        <w:lastRenderedPageBreak/>
        <w:t>11</w:t>
      </w:r>
      <w:r>
        <w:rPr>
          <w:snapToGrid w:val="0"/>
        </w:rPr>
        <w:t>.</w:t>
      </w:r>
      <w:r>
        <w:rPr>
          <w:snapToGrid w:val="0"/>
        </w:rPr>
        <w:tab/>
        <w:t>Deposit on account of sheriff’s fees</w:t>
      </w:r>
      <w:bookmarkEnd w:id="1542"/>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Gazette 21 Feb 2007 p. 595.]</w:t>
      </w:r>
    </w:p>
    <w:p>
      <w:pPr>
        <w:pStyle w:val="Ednotesection"/>
      </w:pPr>
      <w:r>
        <w:t>[</w:t>
      </w:r>
      <w:r>
        <w:rPr>
          <w:b/>
        </w:rPr>
        <w:t>12, 13.</w:t>
      </w:r>
      <w:r>
        <w:tab/>
        <w:t>Deleted: Gazette 21 Feb 2007 p. 595.]</w:t>
      </w:r>
    </w:p>
    <w:p>
      <w:pPr>
        <w:pStyle w:val="Heading5"/>
        <w:rPr>
          <w:snapToGrid w:val="0"/>
        </w:rPr>
      </w:pPr>
      <w:bookmarkStart w:id="1543" w:name="_Toc163121780"/>
      <w:r>
        <w:rPr>
          <w:rStyle w:val="CharSectno"/>
        </w:rPr>
        <w:t>14</w:t>
      </w:r>
      <w:r>
        <w:rPr>
          <w:snapToGrid w:val="0"/>
        </w:rPr>
        <w:t>.</w:t>
      </w:r>
      <w:r>
        <w:rPr>
          <w:snapToGrid w:val="0"/>
        </w:rPr>
        <w:tab/>
        <w:t>Travel distance by sheriff for service</w:t>
      </w:r>
      <w:bookmarkEnd w:id="1543"/>
    </w:p>
    <w:p>
      <w:pPr>
        <w:pStyle w:val="Subsection"/>
        <w:rPr>
          <w:snapToGrid w:val="0"/>
        </w:rPr>
      </w:pPr>
      <w:r>
        <w:rPr>
          <w:snapToGrid w:val="0"/>
        </w:rPr>
        <w:tab/>
      </w:r>
      <w:r>
        <w:rPr>
          <w:snapToGrid w:val="0"/>
        </w:rPr>
        <w:tab/>
        <w:t xml:space="preserve">No sheriff’s officer shall be compellable to go more than 65 km by the shortest route usually used in travelling from his office or residence for the service of any writ of summons, notice, order, summons or other document, nor shall an allowance for more than 150 km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Gazette 7 Dec 1973 p. 4489; 30 Nov 1984 p. 3952; 26 Aug 1994 p. 4415; 27 Jul 2001 p. 3895; 21 Feb 2007 p. 595.] </w:t>
      </w:r>
    </w:p>
    <w:p>
      <w:pPr>
        <w:pStyle w:val="Ednotesection"/>
      </w:pPr>
      <w:r>
        <w:t>[</w:t>
      </w:r>
      <w:r>
        <w:rPr>
          <w:b/>
        </w:rPr>
        <w:t>15.</w:t>
      </w:r>
      <w:r>
        <w:tab/>
        <w:t>Deleted: Gazette 21 Feb 2007 p. 595.]</w:t>
      </w:r>
    </w:p>
    <w:p>
      <w:pPr>
        <w:pStyle w:val="Heading5"/>
        <w:rPr>
          <w:snapToGrid w:val="0"/>
        </w:rPr>
      </w:pPr>
      <w:bookmarkStart w:id="1544" w:name="_Toc163121781"/>
      <w:r>
        <w:rPr>
          <w:rStyle w:val="CharSectno"/>
        </w:rPr>
        <w:t>16</w:t>
      </w:r>
      <w:r>
        <w:rPr>
          <w:snapToGrid w:val="0"/>
        </w:rPr>
        <w:t>.</w:t>
      </w:r>
      <w:r>
        <w:rPr>
          <w:snapToGrid w:val="0"/>
        </w:rPr>
        <w:tab/>
        <w:t>Non</w:t>
      </w:r>
      <w:r>
        <w:rPr>
          <w:snapToGrid w:val="0"/>
        </w:rPr>
        <w:noBreakHyphen/>
        <w:t>payment of sheriff’s fees, consequences of</w:t>
      </w:r>
      <w:bookmarkEnd w:id="1544"/>
    </w:p>
    <w:p>
      <w:pPr>
        <w:pStyle w:val="Subsection"/>
        <w:rPr>
          <w:snapToGrid w:val="0"/>
        </w:rPr>
      </w:pPr>
      <w:r>
        <w:rPr>
          <w:snapToGrid w:val="0"/>
        </w:rPr>
        <w:tab/>
      </w:r>
      <w:r>
        <w:rPr>
          <w:snapToGrid w:val="0"/>
        </w:rPr>
        <w:tab/>
        <w:t xml:space="preserve">If any solicitor, who has made a request for the service of any process or document, or for any work for which fees are </w:t>
      </w:r>
      <w:r>
        <w:rPr>
          <w:snapToGrid w:val="0"/>
        </w:rPr>
        <w:lastRenderedPageBreak/>
        <w:t>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Gazette 21 Feb 2007 p. 595.]</w:t>
      </w:r>
    </w:p>
    <w:p>
      <w:pPr>
        <w:pStyle w:val="Heading2"/>
        <w:rPr>
          <w:b w:val="0"/>
        </w:rPr>
      </w:pPr>
      <w:bookmarkStart w:id="1545" w:name="_Toc162941320"/>
      <w:bookmarkStart w:id="1546" w:name="_Toc162954109"/>
      <w:bookmarkStart w:id="1547" w:name="_Toc163121782"/>
      <w:r>
        <w:rPr>
          <w:rStyle w:val="CharPartNo"/>
        </w:rPr>
        <w:lastRenderedPageBreak/>
        <w:t>Order 83</w:t>
      </w:r>
      <w:r>
        <w:rPr>
          <w:rStyle w:val="CharDivNo"/>
        </w:rPr>
        <w:t> </w:t>
      </w:r>
      <w:r>
        <w:t>—</w:t>
      </w:r>
      <w:r>
        <w:rPr>
          <w:rStyle w:val="CharDivText"/>
        </w:rPr>
        <w:t> </w:t>
      </w:r>
      <w:r>
        <w:rPr>
          <w:rStyle w:val="CharPartText"/>
        </w:rPr>
        <w:t>Consolidation of pending causes and matters</w:t>
      </w:r>
      <w:bookmarkEnd w:id="1545"/>
      <w:bookmarkEnd w:id="1546"/>
      <w:bookmarkEnd w:id="1547"/>
    </w:p>
    <w:p>
      <w:pPr>
        <w:pStyle w:val="Heading5"/>
        <w:rPr>
          <w:snapToGrid w:val="0"/>
        </w:rPr>
      </w:pPr>
      <w:bookmarkStart w:id="1548" w:name="_Toc163121783"/>
      <w:r>
        <w:rPr>
          <w:rStyle w:val="CharSectno"/>
        </w:rPr>
        <w:t>1</w:t>
      </w:r>
      <w:r>
        <w:rPr>
          <w:snapToGrid w:val="0"/>
        </w:rPr>
        <w:t>.</w:t>
      </w:r>
      <w:r>
        <w:rPr>
          <w:snapToGrid w:val="0"/>
        </w:rPr>
        <w:tab/>
        <w:t>Causes may be consolidated</w:t>
      </w:r>
      <w:bookmarkEnd w:id="1548"/>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1549" w:name="_Toc163121784"/>
      <w:r>
        <w:rPr>
          <w:rStyle w:val="CharSectno"/>
        </w:rPr>
        <w:t>2</w:t>
      </w:r>
      <w:r>
        <w:rPr>
          <w:snapToGrid w:val="0"/>
        </w:rPr>
        <w:t>.</w:t>
      </w:r>
      <w:r>
        <w:rPr>
          <w:snapToGrid w:val="0"/>
        </w:rPr>
        <w:tab/>
        <w:t>Consolidation with action removed from another court</w:t>
      </w:r>
      <w:bookmarkEnd w:id="1549"/>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1550" w:name="_Toc163121785"/>
      <w:r>
        <w:rPr>
          <w:rStyle w:val="CharSectno"/>
        </w:rPr>
        <w:t>3</w:t>
      </w:r>
      <w:r>
        <w:rPr>
          <w:snapToGrid w:val="0"/>
        </w:rPr>
        <w:t>.</w:t>
      </w:r>
      <w:r>
        <w:rPr>
          <w:snapToGrid w:val="0"/>
        </w:rPr>
        <w:tab/>
        <w:t>Directions</w:t>
      </w:r>
      <w:bookmarkEnd w:id="1550"/>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deleted: Gazette 27 Jul 2001 p. 3895.]</w:t>
      </w:r>
    </w:p>
    <w:p>
      <w:pPr>
        <w:pStyle w:val="Heading2"/>
        <w:rPr>
          <w:b w:val="0"/>
        </w:rPr>
      </w:pPr>
      <w:bookmarkStart w:id="1551" w:name="_Toc162941324"/>
      <w:bookmarkStart w:id="1552" w:name="_Toc162954113"/>
      <w:bookmarkStart w:id="1553" w:name="_Toc163121786"/>
      <w:r>
        <w:rPr>
          <w:rStyle w:val="CharPartNo"/>
        </w:rPr>
        <w:lastRenderedPageBreak/>
        <w:t>Order 84</w:t>
      </w:r>
      <w:r>
        <w:rPr>
          <w:rStyle w:val="CharDivNo"/>
        </w:rPr>
        <w:t> </w:t>
      </w:r>
      <w:r>
        <w:t>—</w:t>
      </w:r>
      <w:r>
        <w:rPr>
          <w:rStyle w:val="CharDivText"/>
        </w:rPr>
        <w:t> </w:t>
      </w:r>
      <w:r>
        <w:rPr>
          <w:rStyle w:val="CharPartText"/>
        </w:rPr>
        <w:t>General rules</w:t>
      </w:r>
      <w:bookmarkEnd w:id="1551"/>
      <w:bookmarkEnd w:id="1552"/>
      <w:bookmarkEnd w:id="1553"/>
    </w:p>
    <w:p>
      <w:pPr>
        <w:pStyle w:val="Heading5"/>
        <w:rPr>
          <w:snapToGrid w:val="0"/>
        </w:rPr>
      </w:pPr>
      <w:bookmarkStart w:id="1554" w:name="_Toc163121787"/>
      <w:r>
        <w:rPr>
          <w:rStyle w:val="CharSectno"/>
        </w:rPr>
        <w:t>1</w:t>
      </w:r>
      <w:r>
        <w:rPr>
          <w:snapToGrid w:val="0"/>
        </w:rPr>
        <w:t>.</w:t>
      </w:r>
      <w:r>
        <w:rPr>
          <w:snapToGrid w:val="0"/>
        </w:rPr>
        <w:tab/>
        <w:t>Repealed Orders not revived</w:t>
      </w:r>
      <w:bookmarkEnd w:id="1554"/>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1555" w:name="_Toc163121788"/>
      <w:r>
        <w:rPr>
          <w:rStyle w:val="CharSectno"/>
        </w:rPr>
        <w:t>2</w:t>
      </w:r>
      <w:r>
        <w:rPr>
          <w:snapToGrid w:val="0"/>
        </w:rPr>
        <w:t>.</w:t>
      </w:r>
      <w:r>
        <w:rPr>
          <w:snapToGrid w:val="0"/>
        </w:rPr>
        <w:tab/>
        <w:t>Cases not provided for</w:t>
      </w:r>
      <w:bookmarkEnd w:id="1555"/>
    </w:p>
    <w:p>
      <w:pPr>
        <w:pStyle w:val="Subsection"/>
        <w:rPr>
          <w:snapToGrid w:val="0"/>
        </w:rPr>
      </w:pPr>
      <w:r>
        <w:rPr>
          <w:snapToGrid w:val="0"/>
        </w:rPr>
        <w:tab/>
        <w:t>(1)</w:t>
      </w:r>
      <w:r>
        <w:rPr>
          <w:snapToGrid w:val="0"/>
        </w:rPr>
        <w:tab/>
        <w:t xml:space="preserve">Where no provision is made by law or by these rules, the previous practice of this Court shall be followed or if there be no such practice, or if there is doubt as to what is the correct procedure, the Court may direct (and </w:t>
      </w:r>
      <w:r>
        <w:rPr>
          <w:i/>
          <w:snapToGrid w:val="0"/>
        </w:rPr>
        <w:t>ex parte</w:t>
      </w:r>
      <w:r>
        <w:rPr>
          <w:snapToGrid w:val="0"/>
        </w:rPr>
        <w:t xml:space="preserv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subrule (1) shall be deemed to be regular and sufficient.</w:t>
      </w:r>
    </w:p>
    <w:p>
      <w:pPr>
        <w:pStyle w:val="Subsection"/>
        <w:rPr>
          <w:snapToGrid w:val="0"/>
        </w:rPr>
      </w:pPr>
      <w:r>
        <w:rPr>
          <w:snapToGrid w:val="0"/>
        </w:rPr>
        <w:tab/>
        <w:t>(3)</w:t>
      </w:r>
      <w:r>
        <w:rPr>
          <w:snapToGrid w:val="0"/>
        </w:rPr>
        <w:tab/>
        <w:t>A direction given under subrule (1) is subject to review at any time by the Court, and such further or other directions may be given as the Court thinks necessary or proper in the interests of justice.</w:t>
      </w:r>
    </w:p>
    <w:p>
      <w:pPr>
        <w:pStyle w:val="Footnotesection"/>
      </w:pPr>
      <w:r>
        <w:tab/>
        <w:t>[Rule 2 amended: Gazette 28 Jun 2011 p. 2552.]</w:t>
      </w:r>
    </w:p>
    <w:p>
      <w:pPr>
        <w:pStyle w:val="Heading5"/>
        <w:rPr>
          <w:snapToGrid w:val="0"/>
        </w:rPr>
      </w:pPr>
      <w:bookmarkStart w:id="1556" w:name="_Toc163121789"/>
      <w:r>
        <w:rPr>
          <w:rStyle w:val="CharSectno"/>
        </w:rPr>
        <w:t>3</w:t>
      </w:r>
      <w:r>
        <w:rPr>
          <w:snapToGrid w:val="0"/>
        </w:rPr>
        <w:t>.</w:t>
      </w:r>
      <w:r>
        <w:rPr>
          <w:snapToGrid w:val="0"/>
        </w:rPr>
        <w:tab/>
        <w:t>Publication of written reasons for judgment</w:t>
      </w:r>
      <w:bookmarkEnd w:id="1556"/>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Gazette 29 Apr 2005 p. 1795.]</w:t>
      </w:r>
    </w:p>
    <w:p>
      <w:pPr>
        <w:pStyle w:val="Heading5"/>
        <w:rPr>
          <w:snapToGrid w:val="0"/>
        </w:rPr>
      </w:pPr>
      <w:bookmarkStart w:id="1557" w:name="_Toc163121790"/>
      <w:r>
        <w:rPr>
          <w:rStyle w:val="CharSectno"/>
        </w:rPr>
        <w:lastRenderedPageBreak/>
        <w:t>4</w:t>
      </w:r>
      <w:r>
        <w:rPr>
          <w:snapToGrid w:val="0"/>
        </w:rPr>
        <w:t>.</w:t>
      </w:r>
      <w:r>
        <w:rPr>
          <w:snapToGrid w:val="0"/>
        </w:rPr>
        <w:tab/>
        <w:t>Bankruptcy jurisdiction, duty of Registrar in Bankruptcy as to seals, records etc.</w:t>
      </w:r>
      <w:bookmarkEnd w:id="1557"/>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Gazette 26 Aug 1994 p. 4415; 19 Apr 2005 p. 1300.] </w:t>
      </w:r>
    </w:p>
    <w:p>
      <w:pPr>
        <w:pStyle w:val="Heading5"/>
        <w:spacing w:before="240"/>
        <w:rPr>
          <w:snapToGrid w:val="0"/>
        </w:rPr>
      </w:pPr>
      <w:bookmarkStart w:id="1558" w:name="_Toc163121791"/>
      <w:r>
        <w:rPr>
          <w:rStyle w:val="CharSectno"/>
        </w:rPr>
        <w:t>5</w:t>
      </w:r>
      <w:r>
        <w:rPr>
          <w:snapToGrid w:val="0"/>
        </w:rPr>
        <w:t>.</w:t>
      </w:r>
      <w:r>
        <w:rPr>
          <w:snapToGrid w:val="0"/>
        </w:rPr>
        <w:tab/>
      </w:r>
      <w:r>
        <w:rPr>
          <w:i/>
          <w:iCs/>
          <w:snapToGrid w:val="0"/>
        </w:rPr>
        <w:t xml:space="preserve">Public Trustee Act 1941 </w:t>
      </w:r>
      <w:r>
        <w:rPr>
          <w:snapToGrid w:val="0"/>
        </w:rPr>
        <w:t>s. 27, proceedings under</w:t>
      </w:r>
      <w:bookmarkEnd w:id="1558"/>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Gazette 12 Nov 1976 p. 4277.] </w:t>
      </w:r>
    </w:p>
    <w:p>
      <w:pPr>
        <w:pStyle w:val="Heading5"/>
        <w:spacing w:before="240"/>
        <w:rPr>
          <w:snapToGrid w:val="0"/>
        </w:rPr>
      </w:pPr>
      <w:bookmarkStart w:id="1559" w:name="_Toc163121792"/>
      <w:r>
        <w:rPr>
          <w:rStyle w:val="CharSectno"/>
        </w:rPr>
        <w:lastRenderedPageBreak/>
        <w:t>6</w:t>
      </w:r>
      <w:r>
        <w:rPr>
          <w:snapToGrid w:val="0"/>
        </w:rPr>
        <w:t>.</w:t>
      </w:r>
      <w:r>
        <w:rPr>
          <w:snapToGrid w:val="0"/>
        </w:rPr>
        <w:tab/>
        <w:t>Sale proceeds paid into court, claimants to must file affidavit</w:t>
      </w:r>
      <w:bookmarkEnd w:id="1559"/>
      <w:r>
        <w:rPr>
          <w:snapToGrid w:val="0"/>
        </w:rPr>
        <w:t xml:space="preserve"> </w:t>
      </w:r>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Gazette 26 Aug 1994 p. 4415.] </w:t>
      </w:r>
    </w:p>
    <w:p>
      <w:pPr>
        <w:pStyle w:val="Heading5"/>
        <w:rPr>
          <w:snapToGrid w:val="0"/>
        </w:rPr>
      </w:pPr>
      <w:bookmarkStart w:id="1560" w:name="_Toc163121793"/>
      <w:r>
        <w:rPr>
          <w:rStyle w:val="CharSectno"/>
        </w:rPr>
        <w:t>7</w:t>
      </w:r>
      <w:r>
        <w:rPr>
          <w:snapToGrid w:val="0"/>
        </w:rPr>
        <w:t>.</w:t>
      </w:r>
      <w:r>
        <w:rPr>
          <w:snapToGrid w:val="0"/>
        </w:rPr>
        <w:tab/>
        <w:t>Account by solicitor to client, applying for and order as to</w:t>
      </w:r>
      <w:bookmarkEnd w:id="1560"/>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1561" w:name="_Toc163121794"/>
      <w:r>
        <w:rPr>
          <w:rStyle w:val="CharSectno"/>
        </w:rPr>
        <w:t>8</w:t>
      </w:r>
      <w:r>
        <w:t>.</w:t>
      </w:r>
      <w:r>
        <w:tab/>
        <w:t>Interest and apportionment, certification of</w:t>
      </w:r>
      <w:bookmarkEnd w:id="1561"/>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Gazette 21 Feb 2007 p. 595.]</w:t>
      </w:r>
    </w:p>
    <w:p>
      <w:pPr>
        <w:pStyle w:val="Heading5"/>
        <w:rPr>
          <w:snapToGrid w:val="0"/>
        </w:rPr>
      </w:pPr>
      <w:bookmarkStart w:id="1562" w:name="_Toc163121795"/>
      <w:r>
        <w:rPr>
          <w:rStyle w:val="CharSectno"/>
        </w:rPr>
        <w:lastRenderedPageBreak/>
        <w:t>9</w:t>
      </w:r>
      <w:r>
        <w:rPr>
          <w:snapToGrid w:val="0"/>
        </w:rPr>
        <w:t>.</w:t>
      </w:r>
      <w:r>
        <w:rPr>
          <w:snapToGrid w:val="0"/>
        </w:rPr>
        <w:tab/>
      </w:r>
      <w:r>
        <w:rPr>
          <w:i/>
          <w:snapToGrid w:val="0"/>
        </w:rPr>
        <w:t>Admiralty Act 1988</w:t>
      </w:r>
      <w:r>
        <w:rPr>
          <w:snapToGrid w:val="0"/>
        </w:rPr>
        <w:t xml:space="preserve"> (Cwlth) rules, registrar etc. may exercise powers etc. under</w:t>
      </w:r>
      <w:bookmarkEnd w:id="1562"/>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Gazette 30 Mar 1990 p. 1574; amended: Gazette 30 Oct 1992 p. 5310; 21 Feb 2007 p. 595.]</w:t>
      </w:r>
    </w:p>
    <w:p>
      <w:pPr>
        <w:pStyle w:val="Heading2"/>
      </w:pPr>
      <w:bookmarkStart w:id="1563" w:name="_Toc162941334"/>
      <w:bookmarkStart w:id="1564" w:name="_Toc162954123"/>
      <w:bookmarkStart w:id="1565" w:name="_Toc163121796"/>
      <w:r>
        <w:rPr>
          <w:rStyle w:val="CharPartNo"/>
        </w:rPr>
        <w:lastRenderedPageBreak/>
        <w:t>Order 85</w:t>
      </w:r>
      <w:r>
        <w:rPr>
          <w:b w:val="0"/>
        </w:rPr>
        <w:t> </w:t>
      </w:r>
      <w:r>
        <w:t>—</w:t>
      </w:r>
      <w:r>
        <w:rPr>
          <w:b w:val="0"/>
        </w:rPr>
        <w:t> </w:t>
      </w:r>
      <w:r>
        <w:rPr>
          <w:rStyle w:val="CharPartText"/>
          <w:i/>
          <w:iCs/>
        </w:rPr>
        <w:t>Federal Courts (State Jurisdiction) Act 1999</w:t>
      </w:r>
      <w:r>
        <w:rPr>
          <w:rStyle w:val="CharPartText"/>
        </w:rPr>
        <w:t xml:space="preserve"> rules</w:t>
      </w:r>
      <w:bookmarkEnd w:id="1563"/>
      <w:bookmarkEnd w:id="1564"/>
      <w:bookmarkEnd w:id="1565"/>
    </w:p>
    <w:p>
      <w:pPr>
        <w:pStyle w:val="Footnoteheading"/>
        <w:ind w:left="890"/>
        <w:rPr>
          <w:snapToGrid w:val="0"/>
        </w:rPr>
      </w:pPr>
      <w:r>
        <w:rPr>
          <w:snapToGrid w:val="0"/>
        </w:rPr>
        <w:tab/>
        <w:t>[Heading inserted: Gazette 22 Feb 2008 p. 649.]</w:t>
      </w:r>
    </w:p>
    <w:p>
      <w:pPr>
        <w:pStyle w:val="Heading5"/>
      </w:pPr>
      <w:bookmarkStart w:id="1566" w:name="_Toc163121797"/>
      <w:r>
        <w:rPr>
          <w:rStyle w:val="CharSectno"/>
        </w:rPr>
        <w:t>1</w:t>
      </w:r>
      <w:r>
        <w:t>.</w:t>
      </w:r>
      <w:r>
        <w:tab/>
        <w:t>Terms used</w:t>
      </w:r>
      <w:bookmarkEnd w:id="1566"/>
    </w:p>
    <w:p>
      <w:pPr>
        <w:pStyle w:val="Subsection"/>
      </w:pPr>
      <w:r>
        <w:tab/>
        <w:t>(1)</w:t>
      </w:r>
      <w:r>
        <w:tab/>
        <w:t>In this Order, unless the contrary intention appears —</w:t>
      </w:r>
    </w:p>
    <w:p>
      <w:pPr>
        <w:pStyle w:val="Defstart"/>
      </w:pPr>
      <w:r>
        <w:tab/>
      </w:r>
      <w:r>
        <w:rPr>
          <w:rStyle w:val="CharDefText"/>
        </w:rPr>
        <w:t>Act</w:t>
      </w:r>
      <w:r>
        <w:t xml:space="preserve"> means the </w:t>
      </w:r>
      <w:r>
        <w:rPr>
          <w:i/>
        </w:rPr>
        <w:t>Federal Courts (State Jurisdiction) Act 1999</w:t>
      </w:r>
      <w:r>
        <w:t>;</w:t>
      </w:r>
    </w:p>
    <w:p>
      <w:pPr>
        <w:pStyle w:val="Defstart"/>
      </w:pPr>
      <w:r>
        <w:tab/>
      </w:r>
      <w:r>
        <w:rPr>
          <w:rStyle w:val="CharDefText"/>
        </w:rPr>
        <w:t>section</w:t>
      </w:r>
      <w:r>
        <w:t xml:space="preserve"> means a section of the Act.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Gazette 5 Nov 1999 p. 5629.]</w:t>
      </w:r>
    </w:p>
    <w:p>
      <w:pPr>
        <w:pStyle w:val="Heading5"/>
      </w:pPr>
      <w:bookmarkStart w:id="1567" w:name="_Toc163121798"/>
      <w:r>
        <w:rPr>
          <w:rStyle w:val="CharSectno"/>
        </w:rPr>
        <w:t>2</w:t>
      </w:r>
      <w:r>
        <w:t>.</w:t>
      </w:r>
      <w:r>
        <w:tab/>
        <w:t>Title of proceedings</w:t>
      </w:r>
      <w:bookmarkEnd w:id="1567"/>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Gazette 5 Nov 1999 p. 5629.]</w:t>
      </w:r>
    </w:p>
    <w:p>
      <w:pPr>
        <w:pStyle w:val="Heading5"/>
      </w:pPr>
      <w:bookmarkStart w:id="1568" w:name="_Toc163121799"/>
      <w:r>
        <w:rPr>
          <w:rStyle w:val="CharSectno"/>
        </w:rPr>
        <w:t>3</w:t>
      </w:r>
      <w:r>
        <w:t>.</w:t>
      </w:r>
      <w:r>
        <w:tab/>
        <w:t>No proceedings on ineffective judgment before application to have it registered</w:t>
      </w:r>
      <w:bookmarkEnd w:id="1568"/>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Subrule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lastRenderedPageBreak/>
        <w:tab/>
        <w:t>(3)</w:t>
      </w:r>
      <w:r>
        <w:tab/>
        <w:t>An application to have an ineffective judgment registered may be made at the same time as an application referred to in rule 6(1)(a).</w:t>
      </w:r>
    </w:p>
    <w:p>
      <w:pPr>
        <w:pStyle w:val="Footnotesection"/>
      </w:pPr>
      <w:r>
        <w:tab/>
        <w:t>[Rule 3 inserted: Gazette 5 Nov 1999 p. 5629</w:t>
      </w:r>
      <w:r>
        <w:noBreakHyphen/>
        <w:t>30; amended: Gazette 28 Jun 2011 p. 2552.]</w:t>
      </w:r>
    </w:p>
    <w:p>
      <w:pPr>
        <w:pStyle w:val="Heading5"/>
      </w:pPr>
      <w:bookmarkStart w:id="1569" w:name="_Toc163121800"/>
      <w:r>
        <w:rPr>
          <w:rStyle w:val="CharSectno"/>
        </w:rPr>
        <w:t>4</w:t>
      </w:r>
      <w:r>
        <w:t>.</w:t>
      </w:r>
      <w:r>
        <w:tab/>
        <w:t>Ineffective judgment, application for registration of</w:t>
      </w:r>
      <w:bookmarkEnd w:id="1569"/>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If an ineffective judgment relates to 2 or more matters some of which are not State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 and</w:t>
      </w:r>
    </w:p>
    <w:p>
      <w:pPr>
        <w:pStyle w:val="Indenta"/>
      </w:pPr>
      <w:r>
        <w:tab/>
        <w:t>(b)</w:t>
      </w:r>
      <w:r>
        <w:tab/>
        <w:t>state the rate of interest (if any) that applies to the amount; and</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lastRenderedPageBreak/>
        <w:tab/>
        <w:t>(d)</w:t>
      </w:r>
      <w:r>
        <w:tab/>
        <w:t>state to the best of the deponent’s knowledge and belief that the applicant is entitled to enforce the judgment.</w:t>
      </w:r>
    </w:p>
    <w:p>
      <w:pPr>
        <w:pStyle w:val="Footnotesection"/>
      </w:pPr>
      <w:r>
        <w:tab/>
        <w:t>[Rule 4 inserted: Gazette 5 Nov 1999 p. 5630.]</w:t>
      </w:r>
    </w:p>
    <w:p>
      <w:pPr>
        <w:pStyle w:val="Heading5"/>
      </w:pPr>
      <w:bookmarkStart w:id="1570" w:name="_Toc163121801"/>
      <w:r>
        <w:rPr>
          <w:rStyle w:val="CharSectno"/>
        </w:rPr>
        <w:t>5</w:t>
      </w:r>
      <w:r>
        <w:t>.</w:t>
      </w:r>
      <w:r>
        <w:tab/>
        <w:t>Ineffective judgments, registration of</w:t>
      </w:r>
      <w:bookmarkEnd w:id="1570"/>
    </w:p>
    <w:p>
      <w:pPr>
        <w:pStyle w:val="Subsection"/>
      </w:pPr>
      <w:r>
        <w:tab/>
      </w:r>
      <w:r>
        <w:tab/>
        <w:t xml:space="preserve">The Court is to register an ineffective judgment if satisfied that — </w:t>
      </w:r>
    </w:p>
    <w:p>
      <w:pPr>
        <w:pStyle w:val="Indenta"/>
      </w:pPr>
      <w:r>
        <w:tab/>
        <w:t>(a)</w:t>
      </w:r>
      <w:r>
        <w:tab/>
        <w:t>the judgment concerned is an ineffective judgment; and</w:t>
      </w:r>
    </w:p>
    <w:p>
      <w:pPr>
        <w:pStyle w:val="Indenta"/>
      </w:pPr>
      <w:r>
        <w:tab/>
        <w:t>(b)</w:t>
      </w:r>
      <w:r>
        <w:tab/>
        <w:t>the application to register it complies with these rules; and</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Gazette 5 Nov 1999 p. 5630</w:t>
      </w:r>
      <w:r>
        <w:noBreakHyphen/>
        <w:t>1.]</w:t>
      </w:r>
    </w:p>
    <w:p>
      <w:pPr>
        <w:pStyle w:val="Heading5"/>
      </w:pPr>
      <w:bookmarkStart w:id="1571" w:name="_Toc163121802"/>
      <w:r>
        <w:rPr>
          <w:rStyle w:val="CharSectno"/>
        </w:rPr>
        <w:t>6</w:t>
      </w:r>
      <w:r>
        <w:t>.</w:t>
      </w:r>
      <w:r>
        <w:tab/>
        <w:t>Act s. 10, application for order under</w:t>
      </w:r>
      <w:bookmarkEnd w:id="1571"/>
      <w:r>
        <w:t xml:space="preserve"> </w:t>
      </w:r>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 xml:space="preserve">If an application under </w:t>
      </w:r>
      <w:r>
        <w:rPr>
          <w:snapToGrid w:val="0"/>
        </w:rPr>
        <w:t>subrule</w:t>
      </w:r>
      <w:r>
        <w:t> (1)(a) also includes an application under rule 3(1) —</w:t>
      </w:r>
    </w:p>
    <w:p>
      <w:pPr>
        <w:pStyle w:val="Indenta"/>
      </w:pPr>
      <w:r>
        <w:tab/>
        <w:t>(a)</w:t>
      </w:r>
      <w:r>
        <w:tab/>
        <w:t xml:space="preserve">the application under </w:t>
      </w:r>
      <w:r>
        <w:rPr>
          <w:snapToGrid w:val="0"/>
        </w:rPr>
        <w:t>subrule</w:t>
      </w:r>
      <w:r>
        <w:t> (1)(a) must be made by originating summons; and</w:t>
      </w:r>
    </w:p>
    <w:p>
      <w:pPr>
        <w:pStyle w:val="Indenta"/>
      </w:pPr>
      <w:r>
        <w:lastRenderedPageBreak/>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Gazette 5 Nov 1999 p. 5631; amended: Gazette 29 Apr 2005 p. 1795; 28 Jun 2011 p. 2552.]</w:t>
      </w:r>
    </w:p>
    <w:p>
      <w:pPr>
        <w:pStyle w:val="Heading5"/>
      </w:pPr>
      <w:bookmarkStart w:id="1572" w:name="_Toc163121803"/>
      <w:r>
        <w:rPr>
          <w:rStyle w:val="CharSectno"/>
        </w:rPr>
        <w:t>7</w:t>
      </w:r>
      <w:r>
        <w:t>.</w:t>
      </w:r>
      <w:r>
        <w:tab/>
        <w:t>Act s. 11, application for order under</w:t>
      </w:r>
      <w:bookmarkEnd w:id="1572"/>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 and</w:t>
      </w:r>
    </w:p>
    <w:p>
      <w:pPr>
        <w:pStyle w:val="Indenta"/>
      </w:pPr>
      <w:r>
        <w:tab/>
        <w:t>(b)</w:t>
      </w:r>
      <w:r>
        <w:tab/>
        <w:t>exhibits a copy of the relevant order, or of the Commonwealth court’s record of the relevant order; and</w:t>
      </w:r>
    </w:p>
    <w:p>
      <w:pPr>
        <w:pStyle w:val="Indenta"/>
      </w:pPr>
      <w:r>
        <w:tab/>
        <w:t>(c)</w:t>
      </w:r>
      <w:r>
        <w:tab/>
        <w:t>exhibits a copy of each document on the Commonwealth court’s file, unless that file has been transferred to the Supreme Court or the Supreme Court orders otherwise; and</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Gazette 5 Nov 1999 p. 5631</w:t>
      </w:r>
      <w:r>
        <w:noBreakHyphen/>
        <w:t>2.]</w:t>
      </w:r>
    </w:p>
    <w:p>
      <w:pPr>
        <w:pStyle w:val="Heading5"/>
      </w:pPr>
      <w:bookmarkStart w:id="1573" w:name="_Toc163121804"/>
      <w:r>
        <w:rPr>
          <w:rStyle w:val="CharSectno"/>
        </w:rPr>
        <w:t>8</w:t>
      </w:r>
      <w:r>
        <w:t>.</w:t>
      </w:r>
      <w:r>
        <w:tab/>
        <w:t>Act s. 11, effect of order under</w:t>
      </w:r>
      <w:bookmarkEnd w:id="1573"/>
    </w:p>
    <w:p>
      <w:pPr>
        <w:pStyle w:val="Subsection"/>
      </w:pPr>
      <w:r>
        <w:tab/>
      </w:r>
      <w:r>
        <w:tab/>
        <w:t>When an order is made under section 11(2) in relation to a proceeding in a Commonwealth court —</w:t>
      </w:r>
    </w:p>
    <w:p>
      <w:pPr>
        <w:pStyle w:val="Indenta"/>
      </w:pPr>
      <w:r>
        <w:lastRenderedPageBreak/>
        <w:tab/>
        <w:t>(a)</w:t>
      </w:r>
      <w:r>
        <w:tab/>
        <w:t>the Principal Registrar is to assign the proceeding the appropriate Supreme Court code or action number; and</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Gazette 5 Nov 1999 p. 5632.]</w:t>
      </w:r>
    </w:p>
    <w:p>
      <w:pPr>
        <w:pStyle w:val="yEdnoteschedule"/>
      </w:pPr>
      <w:r>
        <w:t>[First Schedule deleted: Gazette 21 Feb 2007 p. 595.]</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1574" w:name="_Toc162941343"/>
      <w:bookmarkStart w:id="1575" w:name="_Toc162954132"/>
      <w:bookmarkStart w:id="1576" w:name="_Toc163121805"/>
      <w:r>
        <w:rPr>
          <w:rStyle w:val="CharSchNo"/>
        </w:rPr>
        <w:lastRenderedPageBreak/>
        <w:t>Schedule 2</w:t>
      </w:r>
      <w:r>
        <w:rPr>
          <w:rStyle w:val="CharSDivNo"/>
        </w:rPr>
        <w:t> </w:t>
      </w:r>
      <w:r>
        <w:t>—</w:t>
      </w:r>
      <w:r>
        <w:rPr>
          <w:rStyle w:val="CharSDivText"/>
        </w:rPr>
        <w:t> </w:t>
      </w:r>
      <w:r>
        <w:rPr>
          <w:rStyle w:val="CharSchText"/>
        </w:rPr>
        <w:t>Forms</w:t>
      </w:r>
      <w:bookmarkEnd w:id="1574"/>
      <w:bookmarkEnd w:id="1575"/>
      <w:bookmarkEnd w:id="1576"/>
    </w:p>
    <w:p>
      <w:pPr>
        <w:pStyle w:val="yFootnoteheading"/>
      </w:pPr>
      <w:r>
        <w:tab/>
        <w:t>[Heading inserted: Gazette 28 Jun 2011 p. 2555.]</w:t>
      </w:r>
    </w:p>
    <w:p>
      <w:pPr>
        <w:pStyle w:val="yHeading5"/>
      </w:pPr>
      <w:bookmarkStart w:id="1577" w:name="_Toc163121806"/>
      <w:r>
        <w:rPr>
          <w:rStyle w:val="CharSClsNo"/>
        </w:rPr>
        <w:t>1</w:t>
      </w:r>
      <w:r>
        <w:t>.</w:t>
      </w:r>
      <w:r>
        <w:tab/>
        <w:t>Writ of summons (general form) (O. 5 r. 1)</w:t>
      </w:r>
      <w:bookmarkEnd w:id="1577"/>
    </w:p>
    <w:p>
      <w:pPr>
        <w:pStyle w:val="yMiscellaneousBody"/>
        <w:tabs>
          <w:tab w:val="left" w:pos="4920"/>
        </w:tabs>
        <w:spacing w:before="120"/>
        <w:rPr>
          <w:sz w:val="20"/>
        </w:rPr>
      </w:pPr>
      <w:r>
        <w:rPr>
          <w:sz w:val="20"/>
        </w:rPr>
        <w:t xml:space="preserve">In the Supreme Court </w:t>
      </w:r>
      <w:r>
        <w:rPr>
          <w:sz w:val="20"/>
        </w:rPr>
        <w:tab/>
        <w:t>No.                 of 20     .</w:t>
      </w:r>
      <w:r>
        <w:rPr>
          <w:sz w:val="20"/>
        </w:rPr>
        <w:br/>
        <w:t>of Western Australia.</w:t>
      </w:r>
    </w:p>
    <w:p>
      <w:pPr>
        <w:pStyle w:val="yMiscellaneousBody"/>
        <w:spacing w:before="120"/>
        <w:jc w:val="center"/>
        <w:rPr>
          <w:sz w:val="20"/>
        </w:rPr>
      </w:pPr>
      <w:r>
        <w:rPr>
          <w:sz w:val="20"/>
        </w:rPr>
        <w:t>Between</w:t>
      </w:r>
    </w:p>
    <w:p>
      <w:pPr>
        <w:pStyle w:val="yMiscellaneousBody"/>
        <w:spacing w:before="120"/>
        <w:jc w:val="right"/>
        <w:rPr>
          <w:sz w:val="20"/>
        </w:rPr>
      </w:pPr>
      <w:r>
        <w:rPr>
          <w:sz w:val="20"/>
        </w:rPr>
        <w:t>A.B., Plaintiff,</w:t>
      </w:r>
    </w:p>
    <w:p>
      <w:pPr>
        <w:pStyle w:val="yMiscellaneousBody"/>
        <w:spacing w:before="120"/>
        <w:jc w:val="right"/>
        <w:rPr>
          <w:sz w:val="20"/>
        </w:rPr>
      </w:pPr>
      <w:r>
        <w:rPr>
          <w:sz w:val="20"/>
        </w:rPr>
        <w:t>and</w:t>
      </w:r>
    </w:p>
    <w:p>
      <w:pPr>
        <w:pStyle w:val="yMiscellaneousBody"/>
        <w:spacing w:before="120"/>
        <w:jc w:val="right"/>
        <w:rPr>
          <w:sz w:val="20"/>
        </w:rPr>
      </w:pPr>
      <w:r>
        <w:rPr>
          <w:sz w:val="20"/>
        </w:rPr>
        <w:t>C.D., Defendant.</w:t>
      </w:r>
    </w:p>
    <w:p>
      <w:pPr>
        <w:pStyle w:val="yMiscellaneousBody"/>
        <w:spacing w:before="120"/>
        <w:rPr>
          <w:sz w:val="20"/>
        </w:rPr>
      </w:pPr>
      <w:r>
        <w:rPr>
          <w:sz w:val="20"/>
        </w:rPr>
        <w:t>To C.D. of                                                               in the State of Western Australia.</w:t>
      </w:r>
    </w:p>
    <w:p>
      <w:pPr>
        <w:pStyle w:val="yMiscellaneousBody"/>
        <w:spacing w:before="120"/>
        <w:rPr>
          <w:sz w:val="20"/>
        </w:rPr>
      </w:pPr>
      <w:r>
        <w:rPr>
          <w:sz w:val="20"/>
        </w:rPr>
        <w:t>You are commanded that, within                      days after the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p>
      <w:pPr>
        <w:pStyle w:val="yMiscellaneousBody"/>
        <w:pBdr>
          <w:bottom w:val="single" w:sz="12" w:space="1" w:color="auto"/>
        </w:pBdr>
        <w:spacing w:before="120"/>
        <w:rPr>
          <w:sz w:val="20"/>
        </w:rPr>
      </w:pPr>
      <w:r>
        <w:rPr>
          <w:sz w:val="20"/>
        </w:rPr>
        <w:t xml:space="preserve">Witness                                                                      Chief Justice of Western Australia </w:t>
      </w:r>
      <w:r>
        <w:rPr>
          <w:sz w:val="20"/>
        </w:rPr>
        <w:br/>
        <w:t>the                    day of                                     20       .</w:t>
      </w:r>
    </w:p>
    <w:p>
      <w:pPr>
        <w:pStyle w:val="yMiscellaneousBody"/>
        <w:spacing w:before="240"/>
        <w:jc w:val="center"/>
        <w:rPr>
          <w:sz w:val="20"/>
        </w:rPr>
      </w:pPr>
      <w:r>
        <w:rPr>
          <w:sz w:val="20"/>
        </w:rPr>
        <w:t>Memoranda to be subscribed on Writ.</w:t>
      </w:r>
    </w:p>
    <w:p>
      <w:pPr>
        <w:pStyle w:val="yMiscellaneousBody"/>
        <w:spacing w:before="120"/>
        <w:rPr>
          <w:sz w:val="20"/>
        </w:rPr>
      </w:pPr>
      <w:r>
        <w:rPr>
          <w:sz w:val="20"/>
        </w:rPr>
        <w:t>Note: This writ may not be served later than 12 calendar months beginning with the above date unless renewed by order of the Court.</w:t>
      </w:r>
    </w:p>
    <w:p>
      <w:pPr>
        <w:pStyle w:val="yMiscellaneousBody"/>
        <w:spacing w:before="120"/>
        <w:rPr>
          <w:sz w:val="20"/>
        </w:rPr>
      </w:pPr>
      <w:r>
        <w:rPr>
          <w:sz w:val="20"/>
        </w:rPr>
        <w:t>A defendant may appear to this writ by entering an appearance either personally or by solicitor at the Central Office of the Supreme Court at Perth.</w:t>
      </w:r>
    </w:p>
    <w:p>
      <w:pPr>
        <w:pStyle w:val="yMiscellaneousBody"/>
        <w:spacing w:before="240"/>
        <w:jc w:val="center"/>
        <w:rPr>
          <w:i/>
          <w:iCs/>
          <w:sz w:val="20"/>
        </w:rPr>
      </w:pPr>
      <w:r>
        <w:rPr>
          <w:i/>
          <w:iCs/>
          <w:sz w:val="20"/>
        </w:rPr>
        <w:t>Indorsement of Claim.</w:t>
      </w:r>
    </w:p>
    <w:p>
      <w:pPr>
        <w:pStyle w:val="yMiscellaneousBody"/>
        <w:spacing w:before="120"/>
        <w:rPr>
          <w:sz w:val="20"/>
        </w:rPr>
      </w:pPr>
      <w:r>
        <w:rPr>
          <w:sz w:val="20"/>
        </w:rPr>
        <w:t>The plaintiff’s claim is for</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Where the plaintiff’s claim is for a debt or liquidated demand only the following indorsement must be added</w:t>
      </w:r>
      <w:r>
        <w:rPr>
          <w:sz w:val="20"/>
        </w:rPr>
        <w:t>): —</w:t>
      </w:r>
    </w:p>
    <w:p>
      <w:pPr>
        <w:pStyle w:val="yMiscellaneousBody"/>
        <w:spacing w:before="120"/>
        <w:ind w:left="600"/>
        <w:rPr>
          <w:sz w:val="20"/>
        </w:rPr>
      </w:pPr>
      <w:r>
        <w:rPr>
          <w:sz w:val="20"/>
        </w:rPr>
        <w:t xml:space="preserve">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w:t>
      </w:r>
      <w:r>
        <w:rPr>
          <w:sz w:val="20"/>
        </w:rPr>
        <w:lastRenderedPageBreak/>
        <w:t>by the taxing officer of the Court and if more than one sixth be disallowed the plaintiff shall pay the costs of taxation.</w:t>
      </w:r>
    </w:p>
    <w:p>
      <w:pPr>
        <w:pStyle w:val="yMiscellaneousBody"/>
        <w:spacing w:before="120"/>
        <w:rPr>
          <w:sz w:val="20"/>
        </w:rPr>
      </w:pPr>
      <w:r>
        <w:rPr>
          <w:sz w:val="20"/>
        </w:rPr>
        <w:t>(</w:t>
      </w:r>
      <w:r>
        <w:rPr>
          <w:i/>
          <w:sz w:val="20"/>
        </w:rPr>
        <w:t>If the plaintiff sues or the defendant or any of the defendants is sued in a representative capacity this must be shown in the indorsement of claim.</w:t>
      </w:r>
      <w:r>
        <w:rPr>
          <w:sz w:val="20"/>
        </w:rPr>
        <w:t>)</w:t>
      </w:r>
    </w:p>
    <w:p>
      <w:pPr>
        <w:pStyle w:val="yMiscellaneousBody"/>
        <w:spacing w:before="120"/>
        <w:rPr>
          <w:sz w:val="20"/>
        </w:rPr>
      </w:pPr>
      <w:r>
        <w:rPr>
          <w:sz w:val="20"/>
        </w:rPr>
        <w:t>This writ was issued by or on behalf of the plaintiff.</w:t>
      </w:r>
    </w:p>
    <w:p>
      <w:pPr>
        <w:pStyle w:val="yMiscellaneousBody"/>
        <w:spacing w:before="120"/>
        <w:rPr>
          <w:sz w:val="20"/>
        </w:rPr>
      </w:pPr>
      <w:r>
        <w:rPr>
          <w:sz w:val="20"/>
        </w:rPr>
        <w:t>The plaintiff’s geographical address</w:t>
      </w:r>
      <w:r>
        <w:rPr>
          <w:sz w:val="20"/>
          <w:vertAlign w:val="superscript"/>
        </w:rPr>
        <w:t xml:space="preserve">1 </w:t>
      </w:r>
      <w:r>
        <w:rPr>
          <w:sz w:val="20"/>
        </w:rPr>
        <w:t>is:</w:t>
      </w:r>
    </w:p>
    <w:p>
      <w:pPr>
        <w:pStyle w:val="yMiscellaneousBody"/>
        <w:spacing w:before="120"/>
        <w:rPr>
          <w:sz w:val="20"/>
        </w:rPr>
      </w:pPr>
      <w:r>
        <w:rPr>
          <w:sz w:val="20"/>
        </w:rPr>
        <w:t>The plaintiff’s service details</w:t>
      </w:r>
      <w:r>
        <w:rPr>
          <w:sz w:val="20"/>
          <w:vertAlign w:val="superscript"/>
        </w:rPr>
        <w:t xml:space="preserve">2 </w:t>
      </w:r>
      <w:r>
        <w:rPr>
          <w:sz w:val="20"/>
        </w:rPr>
        <w:t>are:</w:t>
      </w:r>
    </w:p>
    <w:p>
      <w:pPr>
        <w:pStyle w:val="yMiscellaneousBody"/>
        <w:spacing w:before="240"/>
        <w:jc w:val="center"/>
        <w:rPr>
          <w:sz w:val="20"/>
        </w:rPr>
      </w:pPr>
      <w:r>
        <w:rPr>
          <w:i/>
          <w:sz w:val="20"/>
        </w:rPr>
        <w:t>Indorsement as to service</w:t>
      </w:r>
    </w:p>
    <w:p>
      <w:pPr>
        <w:pStyle w:val="yMiscellaneousBody"/>
        <w:spacing w:before="120"/>
        <w:rPr>
          <w:sz w:val="20"/>
        </w:rPr>
      </w:pPr>
      <w:r>
        <w:rPr>
          <w:sz w:val="20"/>
        </w:rPr>
        <w:t>This writ was served by me at</w:t>
      </w:r>
      <w:r>
        <w:rPr>
          <w:sz w:val="20"/>
        </w:rPr>
        <w:br/>
        <w:t xml:space="preserve">on                                                                                           [the defendant </w:t>
      </w:r>
      <w:r>
        <w:rPr>
          <w:i/>
          <w:sz w:val="20"/>
        </w:rPr>
        <w:t>or</w:t>
      </w:r>
      <w:r>
        <w:rPr>
          <w:sz w:val="20"/>
        </w:rPr>
        <w:t xml:space="preserve"> one of the defendants] on                           the                   day of                                    20        .</w:t>
      </w:r>
    </w:p>
    <w:p>
      <w:pPr>
        <w:pStyle w:val="yMiscellaneousBody"/>
        <w:spacing w:before="120"/>
        <w:rPr>
          <w:sz w:val="20"/>
        </w:rPr>
      </w:pPr>
      <w:r>
        <w:rPr>
          <w:sz w:val="20"/>
        </w:rPr>
        <w:t>Indorsed the                         day of                                20      .</w:t>
      </w:r>
    </w:p>
    <w:p>
      <w:pPr>
        <w:pStyle w:val="yMiscellaneousBody"/>
        <w:spacing w:before="120"/>
        <w:ind w:left="3120"/>
        <w:rPr>
          <w:sz w:val="20"/>
        </w:rPr>
      </w:pPr>
      <w:r>
        <w:rPr>
          <w:sz w:val="20"/>
        </w:rPr>
        <w:t>(Signed)</w:t>
      </w:r>
    </w:p>
    <w:p>
      <w:pPr>
        <w:pStyle w:val="yMiscellaneousBody"/>
        <w:spacing w:before="0"/>
        <w:ind w:left="3119"/>
        <w:rPr>
          <w:sz w:val="20"/>
        </w:rPr>
      </w:pPr>
      <w:r>
        <w:rPr>
          <w:sz w:val="20"/>
        </w:rPr>
        <w:t>(Address)</w:t>
      </w:r>
    </w:p>
    <w:p>
      <w:pPr>
        <w:pStyle w:val="yMiscellaneousBody"/>
      </w:pPr>
      <w:r>
        <w:rPr>
          <w:sz w:val="20"/>
        </w:rPr>
        <w:t>Notes to Form No. 1 —</w:t>
      </w:r>
    </w:p>
    <w:p>
      <w:pPr>
        <w:pStyle w:val="yMiscellaneousBody"/>
        <w:tabs>
          <w:tab w:val="left" w:pos="426"/>
        </w:tabs>
        <w:ind w:left="426" w:hanging="426"/>
      </w:pPr>
      <w:r>
        <w:t>1.</w:t>
      </w:r>
      <w:r>
        <w:tab/>
        <w:t>Must be provided unless otherwise ordered by the Court.  See Order 71A r. 2 and 3A.</w:t>
      </w:r>
    </w:p>
    <w:p>
      <w:pPr>
        <w:pStyle w:val="yMiscellaneousBody"/>
        <w:tabs>
          <w:tab w:val="left" w:pos="426"/>
        </w:tabs>
        <w:ind w:left="426" w:hanging="426"/>
      </w:pPr>
      <w:r>
        <w:t>2.</w:t>
      </w:r>
      <w:r>
        <w:tab/>
        <w:t>Must be in accordance with Order 71A.</w:t>
      </w:r>
    </w:p>
    <w:p>
      <w:pPr>
        <w:pStyle w:val="yFootnotesection"/>
      </w:pPr>
      <w:r>
        <w:tab/>
        <w:t>[Form 1 amended: Gazette 9 Nov 1973 p. 4165; 29 Mar 1974 p. 1042; 27 Aug 1976 p. 3226; 19 Apr 2005 p. 1300; 21 Feb 2007 p. 596; 28 Jul 2010 p. 3485; 28 Jun 2011 p. 2556; 13 Nov 2015 p. 4650-1.]</w:t>
      </w:r>
    </w:p>
    <w:p>
      <w:pPr>
        <w:pStyle w:val="yHeading5"/>
        <w:keepNext w:val="0"/>
        <w:keepLines w:val="0"/>
        <w:pageBreakBefore/>
        <w:widowControl w:val="0"/>
        <w:spacing w:before="0" w:after="120"/>
      </w:pPr>
      <w:bookmarkStart w:id="1578" w:name="_Toc163121807"/>
      <w:r>
        <w:rPr>
          <w:rStyle w:val="CharSClsNo"/>
        </w:rPr>
        <w:lastRenderedPageBreak/>
        <w:t>2</w:t>
      </w:r>
      <w:r>
        <w:t>.</w:t>
      </w:r>
      <w:r>
        <w:tab/>
        <w:t>Writ of summons indorsed with statement of claim (O. 5 r. 1)</w:t>
      </w:r>
      <w:bookmarkEnd w:id="1578"/>
    </w:p>
    <w:p>
      <w:pPr>
        <w:pStyle w:val="yMiscellaneousBody"/>
        <w:spacing w:before="120"/>
        <w:rPr>
          <w:sz w:val="20"/>
        </w:rPr>
      </w:pPr>
      <w:r>
        <w:rPr>
          <w:sz w:val="20"/>
        </w:rPr>
        <w:t>[</w:t>
      </w:r>
      <w:r>
        <w:rPr>
          <w:i/>
          <w:sz w:val="20"/>
        </w:rPr>
        <w:t>As in No. 1 except that the following note shall be inserted after the directions for entering an appearance and that a statement of claim shall be substituted for the indorsement of claim.</w:t>
      </w:r>
      <w:r>
        <w:rPr>
          <w:sz w:val="20"/>
        </w:rPr>
        <w:t>]</w:t>
      </w:r>
    </w:p>
    <w:p>
      <w:pPr>
        <w:pStyle w:val="yMiscellaneousBody"/>
        <w:spacing w:before="120"/>
        <w:rPr>
          <w:sz w:val="20"/>
        </w:rPr>
      </w:pPr>
      <w:r>
        <w:rPr>
          <w:i/>
          <w:sz w:val="20"/>
        </w:rPr>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p>
      <w:pPr>
        <w:pStyle w:val="yMiscellaneousBody"/>
        <w:keepNext/>
        <w:spacing w:before="240"/>
        <w:jc w:val="center"/>
        <w:rPr>
          <w:sz w:val="20"/>
        </w:rPr>
      </w:pPr>
      <w:r>
        <w:rPr>
          <w:sz w:val="20"/>
        </w:rPr>
        <w:t>Statement of claim.</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If the plaintiff’s claim is for a debt or liquidated demand only, the indorsement in Form No. 1 beginning “If within the time allowed for entering an appearance” must be added.</w:t>
      </w:r>
      <w:r>
        <w:rPr>
          <w:sz w:val="20"/>
        </w:rPr>
        <w:t>]</w:t>
      </w:r>
    </w:p>
    <w:p>
      <w:pPr>
        <w:pStyle w:val="yFootnotesection"/>
      </w:pPr>
      <w:r>
        <w:tab/>
        <w:t>[Form 2 amended: Gazette 9 Nov 1973 p. 4165; 28 Jun 2011 p. 2556.]</w:t>
      </w:r>
    </w:p>
    <w:p>
      <w:pPr>
        <w:pStyle w:val="yHeading5"/>
        <w:keepNext w:val="0"/>
        <w:keepLines w:val="0"/>
        <w:pageBreakBefore/>
        <w:widowControl w:val="0"/>
        <w:spacing w:before="0" w:after="120"/>
      </w:pPr>
      <w:bookmarkStart w:id="1579" w:name="_Toc163121808"/>
      <w:r>
        <w:rPr>
          <w:rStyle w:val="CharSClsNo"/>
        </w:rPr>
        <w:lastRenderedPageBreak/>
        <w:t>3</w:t>
      </w:r>
      <w:r>
        <w:t>.</w:t>
      </w:r>
      <w:r>
        <w:rPr>
          <w:b w:val="0"/>
        </w:rPr>
        <w:tab/>
      </w:r>
      <w:r>
        <w:t>Writ of summons to be served outside WA</w:t>
      </w:r>
      <w:bookmarkEnd w:id="1579"/>
    </w:p>
    <w:tbl>
      <w:tblPr>
        <w:tblW w:w="0" w:type="auto"/>
        <w:tblInd w:w="57" w:type="dxa"/>
        <w:tblLayout w:type="fixed"/>
        <w:tblCellMar>
          <w:left w:w="57" w:type="dxa"/>
          <w:right w:w="113" w:type="dxa"/>
        </w:tblCellMar>
        <w:tblLook w:val="0000" w:firstRow="0" w:lastRow="0" w:firstColumn="0" w:lastColumn="0" w:noHBand="0" w:noVBand="0"/>
      </w:tblPr>
      <w:tblGrid>
        <w:gridCol w:w="879"/>
        <w:gridCol w:w="6240"/>
      </w:tblGrid>
      <w:tr>
        <w:tc>
          <w:tcPr>
            <w:tcW w:w="879" w:type="dxa"/>
          </w:tcPr>
          <w:p>
            <w:pPr>
              <w:pStyle w:val="yTableNAm"/>
              <w:rPr>
                <w:sz w:val="18"/>
              </w:rPr>
            </w:pPr>
          </w:p>
        </w:tc>
        <w:tc>
          <w:tcPr>
            <w:tcW w:w="6240" w:type="dxa"/>
          </w:tcPr>
          <w:p>
            <w:pPr>
              <w:pStyle w:val="yTableNAm"/>
              <w:jc w:val="center"/>
              <w:rPr>
                <w:sz w:val="20"/>
              </w:rPr>
            </w:pPr>
            <w:r>
              <w:rPr>
                <w:sz w:val="20"/>
              </w:rPr>
              <w:t>(</w:t>
            </w:r>
            <w:r>
              <w:rPr>
                <w:i/>
                <w:sz w:val="20"/>
              </w:rPr>
              <w:t>Headings as in No. 1.</w:t>
            </w:r>
            <w:r>
              <w:rPr>
                <w:sz w:val="20"/>
              </w:rPr>
              <w:t>)</w:t>
            </w:r>
          </w:p>
          <w:p>
            <w:pPr>
              <w:pStyle w:val="yTableNAm"/>
              <w:rPr>
                <w:sz w:val="20"/>
              </w:rPr>
            </w:pPr>
            <w:r>
              <w:rPr>
                <w:sz w:val="20"/>
              </w:rPr>
              <w:t>To C.D. of</w:t>
            </w:r>
          </w:p>
        </w:tc>
      </w:tr>
      <w:tr>
        <w:tc>
          <w:tcPr>
            <w:tcW w:w="879" w:type="dxa"/>
          </w:tcPr>
          <w:p>
            <w:pPr>
              <w:pStyle w:val="yTableNAm"/>
              <w:rPr>
                <w:sz w:val="14"/>
              </w:rPr>
            </w:pPr>
            <w:r>
              <w:rPr>
                <w:sz w:val="14"/>
              </w:rPr>
              <w:t>*Insert number of days limited for appearance. If notice of the writ is to be served insert here “of notice”.</w:t>
            </w:r>
          </w:p>
        </w:tc>
        <w:tc>
          <w:tcPr>
            <w:tcW w:w="6240" w:type="dxa"/>
          </w:tcPr>
          <w:p>
            <w:pPr>
              <w:pStyle w:val="yTableNAm"/>
              <w:rPr>
                <w:sz w:val="20"/>
              </w:rPr>
            </w:pPr>
            <w:r>
              <w:rPr>
                <w:sz w:val="20"/>
              </w:rPr>
              <w:t>You are commanded that, within *         days after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tc>
          <w:tcPr>
            <w:tcW w:w="879" w:type="dxa"/>
          </w:tcPr>
          <w:p>
            <w:pPr>
              <w:pStyle w:val="yTableNAm"/>
              <w:rPr>
                <w:sz w:val="18"/>
              </w:rPr>
            </w:pPr>
          </w:p>
        </w:tc>
        <w:tc>
          <w:tcPr>
            <w:tcW w:w="6240" w:type="dxa"/>
          </w:tcPr>
          <w:p>
            <w:pPr>
              <w:pStyle w:val="yTableNAm"/>
              <w:rPr>
                <w:sz w:val="20"/>
              </w:rPr>
            </w:pPr>
            <w:r>
              <w:rPr>
                <w:sz w:val="20"/>
              </w:rPr>
              <w:t>Witness (</w:t>
            </w:r>
            <w:r>
              <w:rPr>
                <w:i/>
                <w:sz w:val="20"/>
              </w:rPr>
              <w:t>as in No. 1</w:t>
            </w:r>
            <w:r>
              <w:rPr>
                <w:sz w:val="20"/>
              </w:rPr>
              <w:t>.)</w:t>
            </w:r>
          </w:p>
        </w:tc>
      </w:tr>
      <w:tr>
        <w:tc>
          <w:tcPr>
            <w:tcW w:w="879" w:type="dxa"/>
          </w:tcPr>
          <w:p>
            <w:pPr>
              <w:pStyle w:val="yTableNAm"/>
              <w:rPr>
                <w:sz w:val="18"/>
              </w:rPr>
            </w:pPr>
          </w:p>
        </w:tc>
        <w:tc>
          <w:tcPr>
            <w:tcW w:w="6240" w:type="dxa"/>
          </w:tcPr>
          <w:p>
            <w:pPr>
              <w:pStyle w:val="yTableNAm"/>
              <w:rPr>
                <w:sz w:val="20"/>
              </w:rPr>
            </w:pPr>
            <w:r>
              <w:rPr>
                <w:sz w:val="20"/>
              </w:rPr>
              <w:t>[</w:t>
            </w:r>
            <w:r>
              <w:rPr>
                <w:i/>
                <w:sz w:val="20"/>
              </w:rPr>
              <w:t>Memoranda and Indorsements as in No. 1. If the writ is indorsed with a statement of claim the form should be modified to comply with the directions given in No. 2.</w:t>
            </w:r>
            <w:r>
              <w:rPr>
                <w:sz w:val="20"/>
              </w:rPr>
              <w:t>]</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i/>
                <w:sz w:val="20"/>
              </w:rPr>
            </w:pPr>
            <w:r>
              <w:rPr>
                <w:i/>
                <w:sz w:val="20"/>
              </w:rPr>
              <w:t>Further indorsement to be made on the writ before the issue thereof:</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sz w:val="20"/>
              </w:rPr>
            </w:pPr>
            <w:r>
              <w:rPr>
                <w:i/>
                <w:sz w:val="20"/>
              </w:rPr>
              <w:t>This writ is to be used where the defendant or all the defendants or one or more defendant or defendants is or are out of the jurisdiction.</w:t>
            </w:r>
          </w:p>
        </w:tc>
      </w:tr>
    </w:tbl>
    <w:p>
      <w:pPr>
        <w:pStyle w:val="yFootnotesection"/>
        <w:spacing w:before="160"/>
      </w:pPr>
      <w:r>
        <w:tab/>
        <w:t>[Form 3 amended: Gazette 9 Nov 1973 p. 4165; 28 Jul 2010 p. 3485-6; 28 Jun 2011 p. 2556; 12 Jun 2012 p. 2452.]</w:t>
      </w:r>
    </w:p>
    <w:p>
      <w:pPr>
        <w:pStyle w:val="yHeading5"/>
        <w:keepNext w:val="0"/>
        <w:keepLines w:val="0"/>
        <w:pageBreakBefore/>
        <w:widowControl w:val="0"/>
        <w:spacing w:before="0" w:after="120"/>
      </w:pPr>
      <w:bookmarkStart w:id="1580" w:name="_Toc163121809"/>
      <w:r>
        <w:rPr>
          <w:rStyle w:val="CharSClsNo"/>
        </w:rPr>
        <w:lastRenderedPageBreak/>
        <w:t>4</w:t>
      </w:r>
      <w:r>
        <w:t>.</w:t>
      </w:r>
      <w:r>
        <w:tab/>
        <w:t>Notice to defendant in action for possession, foreclosure or sale of mortgaged property (O. 4AA r. 3)</w:t>
      </w:r>
      <w:bookmarkEnd w:id="1580"/>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701"/>
        <w:gridCol w:w="2268"/>
        <w:gridCol w:w="3111"/>
      </w:tblGrid>
      <w:tr>
        <w:trPr>
          <w:trHeight w:val="244"/>
        </w:trPr>
        <w:tc>
          <w:tcPr>
            <w:tcW w:w="3969" w:type="dxa"/>
            <w:gridSpan w:val="2"/>
            <w:vMerge w:val="restart"/>
          </w:tcPr>
          <w:p>
            <w:pPr>
              <w:pStyle w:val="yMiscellaneousBody"/>
              <w:rPr>
                <w:sz w:val="20"/>
              </w:rPr>
            </w:pPr>
            <w:r>
              <w:rPr>
                <w:b/>
                <w:sz w:val="20"/>
              </w:rPr>
              <w:t>Supreme Court of Western Australia</w:t>
            </w:r>
          </w:p>
        </w:tc>
        <w:tc>
          <w:tcPr>
            <w:tcW w:w="3111" w:type="dxa"/>
          </w:tcPr>
          <w:p>
            <w:pPr>
              <w:pStyle w:val="yMiscellaneousBody"/>
              <w:rPr>
                <w:sz w:val="20"/>
              </w:rPr>
            </w:pPr>
            <w:r>
              <w:rPr>
                <w:sz w:val="20"/>
              </w:rPr>
              <w:t>Action No:</w:t>
            </w:r>
          </w:p>
        </w:tc>
      </w:tr>
      <w:tr>
        <w:trPr>
          <w:trHeight w:val="243"/>
        </w:trPr>
        <w:tc>
          <w:tcPr>
            <w:tcW w:w="3969" w:type="dxa"/>
            <w:gridSpan w:val="2"/>
            <w:vMerge/>
          </w:tcPr>
          <w:p>
            <w:pPr>
              <w:pStyle w:val="zyMiscellaneousBody"/>
              <w:rPr>
                <w:sz w:val="20"/>
              </w:rPr>
            </w:pPr>
          </w:p>
        </w:tc>
        <w:tc>
          <w:tcPr>
            <w:tcW w:w="3111" w:type="dxa"/>
          </w:tcPr>
          <w:p>
            <w:pPr>
              <w:pStyle w:val="yMiscellaneousBody"/>
              <w:rPr>
                <w:sz w:val="20"/>
              </w:rPr>
            </w:pPr>
            <w:r>
              <w:rPr>
                <w:b/>
                <w:bCs/>
                <w:sz w:val="20"/>
              </w:rPr>
              <w:t>Notice to defendant in action for possession, foreclosure or sale of mortgaged property</w:t>
            </w:r>
          </w:p>
        </w:tc>
      </w:tr>
      <w:tr>
        <w:tc>
          <w:tcPr>
            <w:tcW w:w="1701" w:type="dxa"/>
          </w:tcPr>
          <w:p>
            <w:pPr>
              <w:pStyle w:val="yMiscellaneousBody"/>
              <w:rPr>
                <w:sz w:val="20"/>
              </w:rPr>
            </w:pPr>
            <w:r>
              <w:rPr>
                <w:sz w:val="20"/>
              </w:rPr>
              <w:t>Parties</w:t>
            </w:r>
          </w:p>
        </w:tc>
        <w:tc>
          <w:tcPr>
            <w:tcW w:w="5379" w:type="dxa"/>
            <w:gridSpan w:val="2"/>
          </w:tcPr>
          <w:p>
            <w:pPr>
              <w:pStyle w:val="yMiscellaneousBody"/>
              <w:jc w:val="right"/>
              <w:rPr>
                <w:sz w:val="20"/>
              </w:rPr>
            </w:pPr>
            <w:r>
              <w:rPr>
                <w:sz w:val="20"/>
              </w:rPr>
              <w:t>Plaintiff</w:t>
            </w:r>
          </w:p>
          <w:p>
            <w:pPr>
              <w:pStyle w:val="yMiscellaneousBody"/>
              <w:jc w:val="right"/>
              <w:rPr>
                <w:sz w:val="20"/>
              </w:rPr>
            </w:pPr>
            <w:r>
              <w:rPr>
                <w:sz w:val="20"/>
              </w:rPr>
              <w:t>Defendant</w:t>
            </w:r>
          </w:p>
        </w:tc>
      </w:tr>
      <w:tr>
        <w:tc>
          <w:tcPr>
            <w:tcW w:w="7080" w:type="dxa"/>
            <w:gridSpan w:val="3"/>
            <w:tcBorders>
              <w:bottom w:val="single" w:sz="4" w:space="0" w:color="auto"/>
            </w:tcBorders>
          </w:tcPr>
          <w:p>
            <w:pPr>
              <w:pStyle w:val="yMiscellaneousBody"/>
              <w:jc w:val="center"/>
              <w:rPr>
                <w:b/>
                <w:sz w:val="20"/>
              </w:rPr>
            </w:pPr>
            <w:r>
              <w:rPr>
                <w:b/>
                <w:sz w:val="20"/>
              </w:rPr>
              <w:t>Notice to [</w:t>
            </w:r>
            <w:r>
              <w:rPr>
                <w:b/>
                <w:i/>
                <w:sz w:val="20"/>
              </w:rPr>
              <w:t>insert name of defendant</w:t>
            </w:r>
            <w:r>
              <w:rPr>
                <w:b/>
                <w:sz w:val="20"/>
              </w:rPr>
              <w:t>]</w:t>
            </w:r>
          </w:p>
          <w:p>
            <w:pPr>
              <w:pStyle w:val="yMiscellaneousBody"/>
              <w:jc w:val="center"/>
              <w:rPr>
                <w:b/>
                <w:sz w:val="20"/>
              </w:rPr>
            </w:pPr>
            <w:r>
              <w:rPr>
                <w:b/>
                <w:sz w:val="20"/>
              </w:rPr>
              <w:t>IMPORTANT NOTICE AND HOW TO RESPOND</w:t>
            </w:r>
          </w:p>
        </w:tc>
      </w:tr>
      <w:tr>
        <w:tc>
          <w:tcPr>
            <w:tcW w:w="7080" w:type="dxa"/>
            <w:gridSpan w:val="3"/>
            <w:tcBorders>
              <w:bottom w:val="nil"/>
            </w:tcBorders>
          </w:tcPr>
          <w:p>
            <w:pPr>
              <w:pStyle w:val="yMiscellaneousBody"/>
              <w:rPr>
                <w:sz w:val="20"/>
              </w:rPr>
            </w:pPr>
            <w:r>
              <w:rPr>
                <w:sz w:val="20"/>
              </w:rPr>
              <w:t>This is an IMPORTANT NOTICE issued to you because a claim has been made against you in the Supreme Court of Western Australia. If you do not respond you may lose ownership of the property described below and action may be taken to sell that property.</w:t>
            </w:r>
          </w:p>
        </w:tc>
      </w:tr>
      <w:tr>
        <w:tc>
          <w:tcPr>
            <w:tcW w:w="7080" w:type="dxa"/>
            <w:gridSpan w:val="3"/>
            <w:tcBorders>
              <w:top w:val="nil"/>
              <w:bottom w:val="nil"/>
            </w:tcBorders>
          </w:tcPr>
          <w:p>
            <w:pPr>
              <w:pStyle w:val="yMiscellaneousBody"/>
              <w:rPr>
                <w:sz w:val="20"/>
              </w:rPr>
            </w:pPr>
            <w:r>
              <w:rPr>
                <w:sz w:val="20"/>
              </w:rPr>
              <w:t>Attached to this notice is a writ of summons issued by the Supreme Court of Western Australia. The plaintiff, [</w:t>
            </w:r>
            <w:r>
              <w:rPr>
                <w:i/>
                <w:sz w:val="20"/>
              </w:rPr>
              <w:t>name of plaintiff</w:t>
            </w:r>
            <w:r>
              <w:rPr>
                <w:sz w:val="20"/>
              </w:rPr>
              <w:t>], seeks orders against you including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under a mortgage. </w:t>
            </w:r>
            <w:r>
              <w:rPr>
                <w:b/>
                <w:sz w:val="20"/>
              </w:rPr>
              <w:t>This notice contains important information about your rights. Please read it carefully.</w:t>
            </w:r>
          </w:p>
        </w:tc>
      </w:tr>
      <w:tr>
        <w:tc>
          <w:tcPr>
            <w:tcW w:w="7080" w:type="dxa"/>
            <w:gridSpan w:val="3"/>
            <w:tcBorders>
              <w:top w:val="nil"/>
              <w:bottom w:val="nil"/>
            </w:tcBorders>
          </w:tcPr>
          <w:p>
            <w:pPr>
              <w:pStyle w:val="yMiscellaneousBody"/>
              <w:rPr>
                <w:sz w:val="20"/>
              </w:rPr>
            </w:pPr>
            <w:r>
              <w:rPr>
                <w:b/>
                <w:sz w:val="20"/>
              </w:rPr>
              <w:t>If you are unsure of what you should do:</w:t>
            </w:r>
            <w:r>
              <w:rPr>
                <w:sz w:val="20"/>
              </w:rPr>
              <w:t xml:space="preserve"> 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0" w:type="dxa"/>
            <w:gridSpan w:val="3"/>
            <w:tcBorders>
              <w:top w:val="nil"/>
              <w:bottom w:val="nil"/>
            </w:tcBorders>
          </w:tcPr>
          <w:p>
            <w:pPr>
              <w:pStyle w:val="yMiscellaneousBody"/>
              <w:rPr>
                <w:sz w:val="20"/>
              </w:rPr>
            </w:pPr>
            <w:r>
              <w:rPr>
                <w:b/>
                <w:sz w:val="20"/>
              </w:rPr>
              <w:t>If you do not agree with the claim and believe that you have a legal defence:</w:t>
            </w:r>
            <w:r>
              <w:rPr>
                <w:sz w:val="20"/>
              </w:rPr>
              <w:t xml:space="preserve"> you should, within [</w:t>
            </w:r>
            <w:r>
              <w:rPr>
                <w:i/>
                <w:sz w:val="20"/>
              </w:rPr>
              <w:t>number of days as required in Order 5 rule 11</w:t>
            </w:r>
            <w:r>
              <w:rPr>
                <w:sz w:val="20"/>
              </w:rPr>
              <w:t>] days after the writ of summons was served on you, inform the Court and [</w:t>
            </w:r>
            <w:r>
              <w:rPr>
                <w:i/>
                <w:sz w:val="20"/>
              </w:rPr>
              <w:t>name of plaintiff</w:t>
            </w:r>
            <w:r>
              <w:rPr>
                <w:sz w:val="20"/>
              </w:rPr>
              <w:t>]’s lawyers, [</w:t>
            </w:r>
            <w:r>
              <w:rPr>
                <w:i/>
                <w:sz w:val="20"/>
              </w:rPr>
              <w:t>name of law firm representing plaintiff</w:t>
            </w:r>
            <w:r>
              <w:rPr>
                <w:sz w:val="20"/>
              </w:rPr>
              <w:t>] (whose contact details appear below), that you wish to defend the action.</w:t>
            </w:r>
          </w:p>
        </w:tc>
      </w:tr>
      <w:tr>
        <w:tc>
          <w:tcPr>
            <w:tcW w:w="7080" w:type="dxa"/>
            <w:gridSpan w:val="3"/>
            <w:tcBorders>
              <w:top w:val="nil"/>
              <w:bottom w:val="nil"/>
            </w:tcBorders>
          </w:tcPr>
          <w:p>
            <w:pPr>
              <w:pStyle w:val="yMiscellaneousBody"/>
              <w:rPr>
                <w:sz w:val="20"/>
              </w:rPr>
            </w:pPr>
            <w:r>
              <w:rPr>
                <w:sz w:val="20"/>
              </w:rPr>
              <w:t xml:space="preserve">You do not have a legal defence just because you disagree with what the plaintiff is proposing to do or because events have been outside your control. For example, it is not a legal defence that you cannot pay your mortgage repayments because you are </w:t>
            </w:r>
            <w:r>
              <w:rPr>
                <w:sz w:val="20"/>
              </w:rPr>
              <w:lastRenderedPageBreak/>
              <w:t>unemployed. Because any defence can only succeed if it is recognised at law it might assist you to get some legal advice.</w:t>
            </w:r>
          </w:p>
        </w:tc>
      </w:tr>
      <w:tr>
        <w:tc>
          <w:tcPr>
            <w:tcW w:w="7080" w:type="dxa"/>
            <w:gridSpan w:val="3"/>
            <w:tcBorders>
              <w:top w:val="nil"/>
              <w:bottom w:val="nil"/>
            </w:tcBorders>
          </w:tcPr>
          <w:p>
            <w:pPr>
              <w:pStyle w:val="yMiscellaneousBody"/>
              <w:rPr>
                <w:sz w:val="20"/>
              </w:rPr>
            </w:pPr>
            <w:r>
              <w:rPr>
                <w:sz w:val="20"/>
              </w:rPr>
              <w:lastRenderedPageBreak/>
              <w:t>To inform the Court and [</w:t>
            </w:r>
            <w:r>
              <w:rPr>
                <w:i/>
                <w:sz w:val="20"/>
              </w:rPr>
              <w:t>name of law firm representing plaintiff</w:t>
            </w:r>
            <w:r>
              <w:rPr>
                <w:sz w:val="20"/>
              </w:rPr>
              <w:t>] that you wish to defend the action you should:</w:t>
            </w:r>
          </w:p>
          <w:p>
            <w:pPr>
              <w:pStyle w:val="yMiscellaneousBody"/>
              <w:tabs>
                <w:tab w:val="left" w:pos="293"/>
                <w:tab w:val="left" w:pos="853"/>
              </w:tabs>
              <w:ind w:left="867" w:hanging="867"/>
              <w:rPr>
                <w:sz w:val="20"/>
              </w:rPr>
            </w:pPr>
            <w:r>
              <w:rPr>
                <w:sz w:val="20"/>
              </w:rPr>
              <w:tab/>
              <w:t>1.</w:t>
            </w:r>
            <w:r>
              <w:rPr>
                <w:sz w:val="20"/>
              </w:rPr>
              <w:tab/>
              <w:t>File an original and one copy of a completed Memorandum of Appearance (</w:t>
            </w:r>
            <w:r>
              <w:rPr>
                <w:i/>
                <w:sz w:val="20"/>
              </w:rPr>
              <w:t>Rules of the Supreme Court 1971</w:t>
            </w:r>
            <w:r>
              <w:rPr>
                <w:sz w:val="20"/>
              </w:rPr>
              <w:t xml:space="preserve"> Schedule 2 Form 6) at the Supreme Court registry, Level 11, David Malcolm Justice Centre, 28 Barrack Street, Perth. A Memorandum of Appearance form can be obtained from the Supreme Court website at: www.supremecourt.wa.gov.au.</w:t>
            </w:r>
          </w:p>
          <w:p>
            <w:pPr>
              <w:pStyle w:val="yMiscellaneousBody"/>
              <w:tabs>
                <w:tab w:val="left" w:pos="293"/>
                <w:tab w:val="left" w:pos="853"/>
              </w:tabs>
              <w:ind w:left="867" w:hanging="867"/>
              <w:rPr>
                <w:sz w:val="20"/>
              </w:rPr>
            </w:pPr>
            <w:r>
              <w:rPr>
                <w:sz w:val="20"/>
              </w:rPr>
              <w:tab/>
              <w:t>2.</w:t>
            </w:r>
            <w:r>
              <w:rPr>
                <w:sz w:val="20"/>
              </w:rPr>
              <w:tab/>
              <w:t>Serve on [</w:t>
            </w:r>
            <w:r>
              <w:rPr>
                <w:i/>
                <w:sz w:val="20"/>
              </w:rPr>
              <w:t>name of law firm representing plaintiff</w:t>
            </w:r>
            <w:r>
              <w:rPr>
                <w:sz w:val="20"/>
              </w:rPr>
              <w:t>] without delay a copy of the stamped Memorandum of Appearance that is returned to you by the Court (1. above).</w:t>
            </w:r>
          </w:p>
        </w:tc>
      </w:tr>
      <w:tr>
        <w:tc>
          <w:tcPr>
            <w:tcW w:w="7080" w:type="dxa"/>
            <w:gridSpan w:val="3"/>
            <w:tcBorders>
              <w:top w:val="nil"/>
              <w:bottom w:val="nil"/>
            </w:tcBorders>
          </w:tcPr>
          <w:p>
            <w:pPr>
              <w:pStyle w:val="yMiscellaneousBody"/>
              <w:rPr>
                <w:sz w:val="20"/>
              </w:rPr>
            </w:pPr>
            <w:r>
              <w:rPr>
                <w:b/>
                <w:sz w:val="20"/>
              </w:rPr>
              <w:t>If you do nothing:</w:t>
            </w:r>
            <w:r>
              <w:rPr>
                <w:sz w:val="20"/>
              </w:rPr>
              <w:t xml:space="preserve"> if you do not file a Memorandum of Appearance at the Court within [</w:t>
            </w:r>
            <w:r>
              <w:rPr>
                <w:i/>
                <w:sz w:val="20"/>
              </w:rPr>
              <w:t>number of days as required in Order 5 rule 11</w:t>
            </w:r>
            <w:r>
              <w:rPr>
                <w:sz w:val="20"/>
              </w:rPr>
              <w:t>] days after the writ of summons was served on you, then [</w:t>
            </w:r>
            <w:r>
              <w:rPr>
                <w:i/>
                <w:sz w:val="20"/>
              </w:rPr>
              <w:t>name of plaintiff</w:t>
            </w:r>
            <w:r>
              <w:rPr>
                <w:sz w:val="20"/>
              </w:rPr>
              <w:t>] may ask the Court to make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w:t>
            </w:r>
          </w:p>
        </w:tc>
      </w:tr>
      <w:tr>
        <w:tc>
          <w:tcPr>
            <w:tcW w:w="7080" w:type="dxa"/>
            <w:gridSpan w:val="3"/>
            <w:tcBorders>
              <w:top w:val="nil"/>
            </w:tcBorders>
          </w:tcPr>
          <w:p>
            <w:pPr>
              <w:pStyle w:val="yMiscellaneousBody"/>
              <w:rPr>
                <w:sz w:val="20"/>
              </w:rPr>
            </w:pPr>
            <w:r>
              <w:rPr>
                <w:b/>
                <w:sz w:val="20"/>
              </w:rPr>
              <w:t>The plaintiff’s lawyers:</w:t>
            </w:r>
            <w:r>
              <w:rPr>
                <w:sz w:val="20"/>
              </w:rPr>
              <w:t xml:space="preserve"> The plaintiff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tc>
      </w:tr>
    </w:tbl>
    <w:p>
      <w:pPr>
        <w:pStyle w:val="yMiscellaneousBody"/>
        <w:rPr>
          <w:sz w:val="20"/>
        </w:rPr>
      </w:pPr>
      <w:r>
        <w:rPr>
          <w:sz w:val="20"/>
        </w:rPr>
        <w:t>Note to Form 4:</w:t>
      </w:r>
    </w:p>
    <w:p>
      <w:pPr>
        <w:pStyle w:val="yMiscellaneousBody"/>
        <w:rPr>
          <w:sz w:val="20"/>
        </w:rPr>
      </w:pPr>
      <w:r>
        <w:rPr>
          <w:sz w:val="20"/>
        </w:rPr>
        <w:t>1.</w:t>
      </w:r>
      <w:r>
        <w:rPr>
          <w:sz w:val="20"/>
        </w:rPr>
        <w:tab/>
        <w:t>Delete inapplicable.</w:t>
      </w:r>
    </w:p>
    <w:p>
      <w:pPr>
        <w:pStyle w:val="yFootnotesection"/>
        <w:keepLines w:val="0"/>
        <w:widowControl w:val="0"/>
        <w:spacing w:before="160"/>
      </w:pPr>
      <w:r>
        <w:tab/>
        <w:t>[Form 4 inserted: Gazette 16 Nov 2016 p. 5200</w:t>
      </w:r>
      <w:r>
        <w:noBreakHyphen/>
        <w:t>2.]</w:t>
      </w:r>
    </w:p>
    <w:p>
      <w:pPr>
        <w:pStyle w:val="yHeading5"/>
        <w:keepNext w:val="0"/>
        <w:keepLines w:val="0"/>
        <w:pageBreakBefore/>
        <w:widowControl w:val="0"/>
        <w:spacing w:before="0" w:after="120"/>
      </w:pPr>
      <w:bookmarkStart w:id="1581" w:name="_Toc163121810"/>
      <w:r>
        <w:rPr>
          <w:rStyle w:val="CharSClsNo"/>
        </w:rPr>
        <w:lastRenderedPageBreak/>
        <w:t>5</w:t>
      </w:r>
      <w:r>
        <w:t>.</w:t>
      </w:r>
      <w:r>
        <w:rPr>
          <w:b w:val="0"/>
        </w:rPr>
        <w:tab/>
      </w:r>
      <w:r>
        <w:t>Indorsements of representative capacity of parties (O. 6 r. 5)</w:t>
      </w:r>
      <w:bookmarkEnd w:id="1581"/>
    </w:p>
    <w:p>
      <w:pPr>
        <w:pStyle w:val="yMiscellaneousBody"/>
        <w:rPr>
          <w:sz w:val="20"/>
        </w:rPr>
      </w:pPr>
      <w:r>
        <w:rPr>
          <w:sz w:val="20"/>
        </w:rPr>
        <w:t>The plaintiff’s claim is as executor (</w:t>
      </w:r>
      <w:r>
        <w:rPr>
          <w:i/>
          <w:sz w:val="20"/>
        </w:rPr>
        <w:t>or</w:t>
      </w:r>
      <w:r>
        <w:rPr>
          <w:sz w:val="20"/>
        </w:rPr>
        <w:t xml:space="preserve"> administrator) of C.D., deceased, for, etc.</w:t>
      </w:r>
    </w:p>
    <w:p>
      <w:pPr>
        <w:pStyle w:val="yMiscellaneousBody"/>
        <w:rPr>
          <w:sz w:val="20"/>
        </w:rPr>
      </w:pPr>
      <w:r>
        <w:rPr>
          <w:sz w:val="20"/>
        </w:rPr>
        <w:t>The plaintiff’s claim is against the defendant A.B. as executor (</w:t>
      </w:r>
      <w:r>
        <w:rPr>
          <w:i/>
          <w:sz w:val="20"/>
        </w:rPr>
        <w:t>or</w:t>
      </w:r>
      <w:r>
        <w:rPr>
          <w:sz w:val="20"/>
        </w:rPr>
        <w:t xml:space="preserve"> etc.) of C.D., deceased, for etc.</w:t>
      </w:r>
    </w:p>
    <w:p>
      <w:pPr>
        <w:pStyle w:val="yMiscellaneousBody"/>
        <w:rPr>
          <w:sz w:val="20"/>
        </w:rPr>
      </w:pPr>
      <w:r>
        <w:rPr>
          <w:sz w:val="20"/>
        </w:rPr>
        <w:t>The plaintiff’s claim is against the defendant A.B. as executor of X.Y., deceased, for, etc. and against the defendant C.D., in his personal capacity, for, etc.</w:t>
      </w:r>
    </w:p>
    <w:p>
      <w:pPr>
        <w:pStyle w:val="yMiscellaneousBody"/>
        <w:rPr>
          <w:sz w:val="20"/>
        </w:rPr>
      </w:pPr>
      <w:r>
        <w:rPr>
          <w:sz w:val="20"/>
        </w:rPr>
        <w:t>The plaintiff’s claim is as trustee under the bankruptcy of A.B. for</w:t>
      </w:r>
    </w:p>
    <w:p>
      <w:pPr>
        <w:pStyle w:val="yMiscellaneousBody"/>
        <w:rPr>
          <w:sz w:val="20"/>
        </w:rPr>
      </w:pPr>
      <w:r>
        <w:rPr>
          <w:sz w:val="20"/>
        </w:rPr>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p>
      <w:pPr>
        <w:pStyle w:val="yMiscellaneousBody"/>
        <w:rPr>
          <w:sz w:val="20"/>
        </w:rPr>
      </w:pPr>
      <w:r>
        <w:rPr>
          <w:sz w:val="20"/>
        </w:rPr>
        <w:t>The plaintiff’s claim is against the defendant A.B. as principal, and against the defendant C.D. as surety, for</w:t>
      </w:r>
    </w:p>
    <w:p>
      <w:pPr>
        <w:pStyle w:val="yFootnotesection"/>
        <w:keepLines w:val="0"/>
        <w:widowControl w:val="0"/>
        <w:spacing w:before="160"/>
      </w:pPr>
      <w:r>
        <w:tab/>
        <w:t>[Form 5 amended: Gazette 30 Jun 2003 p. 2631; 28 Jun 2011 p. 2556.]</w:t>
      </w:r>
    </w:p>
    <w:p>
      <w:pPr>
        <w:pStyle w:val="yHeading5"/>
        <w:keepNext w:val="0"/>
        <w:keepLines w:val="0"/>
        <w:pageBreakBefore/>
        <w:widowControl w:val="0"/>
        <w:spacing w:before="0" w:after="120"/>
      </w:pPr>
      <w:bookmarkStart w:id="1582" w:name="_Toc163121811"/>
      <w:r>
        <w:rPr>
          <w:rStyle w:val="CharSClsNo"/>
        </w:rPr>
        <w:lastRenderedPageBreak/>
        <w:t>5AA</w:t>
      </w:r>
      <w:r>
        <w:t>.</w:t>
      </w:r>
      <w:r>
        <w:tab/>
        <w:t>Notice of change of representation, service details or address (O. 8 r. 5A; O. 71A r. 5(2)(aa))</w:t>
      </w:r>
      <w:bookmarkEnd w:id="1582"/>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1843"/>
        <w:gridCol w:w="1417"/>
        <w:gridCol w:w="690"/>
        <w:gridCol w:w="1153"/>
      </w:tblGrid>
      <w:tr>
        <w:trPr>
          <w:cantSplit/>
          <w:trHeight w:val="329"/>
        </w:trPr>
        <w:tc>
          <w:tcPr>
            <w:tcW w:w="3544" w:type="dxa"/>
            <w:gridSpan w:val="2"/>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Height w:val="328"/>
        </w:trPr>
        <w:tc>
          <w:tcPr>
            <w:tcW w:w="3544" w:type="dxa"/>
            <w:gridSpan w:val="2"/>
            <w:vMerge/>
            <w:tcBorders>
              <w:bottom w:val="nil"/>
            </w:tcBorders>
          </w:tcPr>
          <w:p>
            <w:pPr>
              <w:pStyle w:val="yTableNAm"/>
              <w:spacing w:before="60"/>
              <w:rPr>
                <w:sz w:val="20"/>
              </w:rPr>
            </w:pPr>
          </w:p>
        </w:tc>
        <w:tc>
          <w:tcPr>
            <w:tcW w:w="3260" w:type="dxa"/>
            <w:gridSpan w:val="3"/>
            <w:tcBorders>
              <w:bottom w:val="nil"/>
            </w:tcBorders>
          </w:tcPr>
          <w:p>
            <w:pPr>
              <w:pStyle w:val="yTableNAm"/>
              <w:spacing w:before="60"/>
              <w:rPr>
                <w:sz w:val="20"/>
              </w:rPr>
            </w:pPr>
            <w:r>
              <w:rPr>
                <w:b/>
                <w:sz w:val="20"/>
              </w:rPr>
              <w:t>Notice of change of representation, service details or address</w:t>
            </w:r>
          </w:p>
        </w:tc>
      </w:tr>
      <w:tr>
        <w:trPr>
          <w:cantSplit/>
        </w:trPr>
        <w:tc>
          <w:tcPr>
            <w:tcW w:w="1701" w:type="dxa"/>
            <w:tcBorders>
              <w:bottom w:val="nil"/>
            </w:tcBorders>
          </w:tcPr>
          <w:p>
            <w:pPr>
              <w:pStyle w:val="yTableNAm"/>
              <w:rPr>
                <w:sz w:val="20"/>
              </w:rPr>
            </w:pPr>
            <w:r>
              <w:rPr>
                <w:sz w:val="20"/>
              </w:rPr>
              <w:t>Parties</w:t>
            </w:r>
          </w:p>
        </w:tc>
        <w:tc>
          <w:tcPr>
            <w:tcW w:w="5103" w:type="dxa"/>
            <w:gridSpan w:val="4"/>
            <w:tcBorders>
              <w:bottom w:val="nil"/>
            </w:tcBorders>
          </w:tcPr>
          <w:p>
            <w:pPr>
              <w:pStyle w:val="yTableNAm"/>
              <w:tabs>
                <w:tab w:val="clear" w:pos="567"/>
                <w:tab w:val="left" w:pos="228"/>
              </w:tabs>
              <w:jc w:val="right"/>
              <w:rPr>
                <w:sz w:val="20"/>
              </w:rPr>
            </w:pPr>
            <w:r>
              <w:rPr>
                <w:sz w:val="20"/>
              </w:rPr>
              <w:t>Plaintiff/Applicant/Appellant</w:t>
            </w:r>
            <w:r>
              <w:rPr>
                <w:sz w:val="20"/>
                <w:vertAlign w:val="superscript"/>
              </w:rPr>
              <w:t>1</w:t>
            </w:r>
          </w:p>
          <w:p>
            <w:pPr>
              <w:pStyle w:val="yTableNAm"/>
              <w:tabs>
                <w:tab w:val="clear" w:pos="567"/>
                <w:tab w:val="left" w:pos="228"/>
              </w:tabs>
              <w:jc w:val="right"/>
              <w:rPr>
                <w:sz w:val="20"/>
              </w:rPr>
            </w:pPr>
            <w:r>
              <w:rPr>
                <w:sz w:val="20"/>
              </w:rPr>
              <w:t>Defendant/Respondent</w:t>
            </w:r>
            <w:r>
              <w:rPr>
                <w:sz w:val="20"/>
                <w:vertAlign w:val="superscript"/>
              </w:rPr>
              <w:t>1</w:t>
            </w:r>
          </w:p>
        </w:tc>
      </w:tr>
      <w:tr>
        <w:trPr>
          <w:cantSplit/>
        </w:trPr>
        <w:tc>
          <w:tcPr>
            <w:tcW w:w="1701" w:type="dxa"/>
            <w:tcBorders>
              <w:bottom w:val="nil"/>
            </w:tcBorders>
          </w:tcPr>
          <w:p>
            <w:pPr>
              <w:pStyle w:val="yTableNAm"/>
              <w:rPr>
                <w:sz w:val="20"/>
              </w:rPr>
            </w:pPr>
            <w:r>
              <w:rPr>
                <w:sz w:val="20"/>
              </w:rPr>
              <w:t>Party filing notice</w:t>
            </w:r>
          </w:p>
        </w:tc>
        <w:tc>
          <w:tcPr>
            <w:tcW w:w="5103" w:type="dxa"/>
            <w:gridSpan w:val="4"/>
            <w:tcBorders>
              <w:bottom w:val="nil"/>
            </w:tcBorders>
          </w:tcPr>
          <w:p>
            <w:pPr>
              <w:pStyle w:val="yTableNAm"/>
              <w:rPr>
                <w:sz w:val="20"/>
              </w:rPr>
            </w:pPr>
            <w:r>
              <w:rPr>
                <w:sz w:val="20"/>
              </w:rPr>
              <w:t>Plaintiff/Applicant/Appellant</w:t>
            </w:r>
            <w:r>
              <w:rPr>
                <w:sz w:val="20"/>
                <w:vertAlign w:val="superscript"/>
              </w:rPr>
              <w:t>2</w:t>
            </w:r>
          </w:p>
          <w:p>
            <w:pPr>
              <w:pStyle w:val="yTableNAm"/>
              <w:rPr>
                <w:sz w:val="20"/>
              </w:rPr>
            </w:pPr>
            <w:r>
              <w:rPr>
                <w:sz w:val="20"/>
              </w:rPr>
              <w:t>Defendant/Respondent</w:t>
            </w:r>
            <w:r>
              <w:rPr>
                <w:sz w:val="20"/>
                <w:vertAlign w:val="superscript"/>
              </w:rPr>
              <w:t>2</w:t>
            </w:r>
            <w:r>
              <w:rPr>
                <w:sz w:val="20"/>
              </w:rPr>
              <w:t xml:space="preserve">  Third Party</w:t>
            </w:r>
            <w:r>
              <w:rPr>
                <w:sz w:val="20"/>
                <w:vertAlign w:val="superscript"/>
              </w:rPr>
              <w:t>2</w:t>
            </w:r>
          </w:p>
        </w:tc>
      </w:tr>
      <w:tr>
        <w:trPr>
          <w:cantSplit/>
        </w:trPr>
        <w:tc>
          <w:tcPr>
            <w:tcW w:w="1701" w:type="dxa"/>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CURRENT ADDRESS AND SERVICE DETAILS</w:t>
            </w:r>
          </w:p>
        </w:tc>
      </w:tr>
      <w:tr>
        <w:trPr>
          <w:cantSplit/>
        </w:trPr>
        <w:tc>
          <w:tcPr>
            <w:tcW w:w="1701"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Postal address for service of documents</w:t>
            </w:r>
            <w:r>
              <w:rPr>
                <w:sz w:val="20"/>
                <w:vertAlign w:val="superscript"/>
              </w:rPr>
              <w:t>4</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Telephone number</w:t>
            </w:r>
            <w:r>
              <w:rPr>
                <w:sz w:val="20"/>
                <w:vertAlign w:val="superscript"/>
              </w:rPr>
              <w:t>5</w:t>
            </w:r>
          </w:p>
        </w:tc>
        <w:tc>
          <w:tcPr>
            <w:tcW w:w="1843" w:type="dxa"/>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Email address</w:t>
            </w:r>
            <w:r>
              <w:rPr>
                <w:sz w:val="20"/>
                <w:vertAlign w:val="superscript"/>
              </w:rPr>
              <w:t>6</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Reference</w:t>
            </w:r>
            <w:r>
              <w:rPr>
                <w:sz w:val="20"/>
                <w:vertAlign w:val="superscript"/>
              </w:rPr>
              <w:t>7</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CHANGE OF REPRESENTATION - IF APPLICABLE</w:t>
            </w:r>
          </w:p>
        </w:tc>
      </w:tr>
      <w:tr>
        <w:trPr>
          <w:cantSplit/>
        </w:trPr>
        <w:tc>
          <w:tcPr>
            <w:tcW w:w="1701" w:type="dxa"/>
            <w:tcBorders>
              <w:bottom w:val="single" w:sz="4" w:space="0" w:color="auto"/>
            </w:tcBorders>
          </w:tcPr>
          <w:p>
            <w:pPr>
              <w:pStyle w:val="yTableNAm"/>
              <w:rPr>
                <w:sz w:val="20"/>
              </w:rPr>
            </w:pPr>
            <w:r>
              <w:rPr>
                <w:sz w:val="20"/>
              </w:rPr>
              <w:t>Change in representation</w:t>
            </w:r>
            <w:r>
              <w:rPr>
                <w:sz w:val="20"/>
                <w:vertAlign w:val="superscript"/>
              </w:rPr>
              <w:t>8</w:t>
            </w:r>
          </w:p>
        </w:tc>
        <w:tc>
          <w:tcPr>
            <w:tcW w:w="5103" w:type="dxa"/>
            <w:gridSpan w:val="4"/>
            <w:tcBorders>
              <w:bottom w:val="single" w:sz="4" w:space="0" w:color="auto"/>
            </w:tcBorders>
          </w:tcPr>
          <w:p>
            <w:pPr>
              <w:pStyle w:val="yTableNAm"/>
              <w:rPr>
                <w:sz w:val="20"/>
              </w:rPr>
            </w:pPr>
            <w:r>
              <w:rPr>
                <w:sz w:val="20"/>
              </w:rPr>
              <w:sym w:font="Monotype Sorts" w:char="F070"/>
            </w:r>
            <w:r>
              <w:rPr>
                <w:sz w:val="20"/>
              </w:rPr>
              <w:tab/>
              <w:t xml:space="preserve">I intend to act in person </w:t>
            </w:r>
          </w:p>
          <w:p>
            <w:pPr>
              <w:pStyle w:val="yTableNAm"/>
              <w:rPr>
                <w:sz w:val="20"/>
              </w:rPr>
            </w:pPr>
            <w:r>
              <w:rPr>
                <w:sz w:val="20"/>
              </w:rPr>
              <w:sym w:font="Monotype Sorts" w:char="F070"/>
            </w:r>
            <w:r>
              <w:rPr>
                <w:sz w:val="20"/>
              </w:rPr>
              <w:tab/>
              <w:t xml:space="preserve">I have changed lawyers </w:t>
            </w:r>
          </w:p>
        </w:tc>
      </w:tr>
      <w:tr>
        <w:trPr>
          <w:cantSplit/>
        </w:trPr>
        <w:tc>
          <w:tcPr>
            <w:tcW w:w="1701" w:type="dxa"/>
            <w:tcBorders>
              <w:bottom w:val="single" w:sz="4" w:space="0" w:color="auto"/>
            </w:tcBorders>
          </w:tcPr>
          <w:p>
            <w:pPr>
              <w:pStyle w:val="yTableNAm"/>
              <w:rPr>
                <w:sz w:val="20"/>
              </w:rPr>
            </w:pPr>
            <w:r>
              <w:rPr>
                <w:sz w:val="20"/>
              </w:rPr>
              <w:t>Name of new lawyer</w:t>
            </w:r>
            <w:r>
              <w:rPr>
                <w:sz w:val="20"/>
                <w:vertAlign w:val="superscript"/>
              </w:rPr>
              <w:t>9</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Address where new lawyer conducts business</w:t>
            </w:r>
            <w:r>
              <w:rPr>
                <w:sz w:val="20"/>
                <w:vertAlign w:val="superscript"/>
              </w:rPr>
              <w:t>10</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12" w:space="0" w:color="auto"/>
            </w:tcBorders>
          </w:tcPr>
          <w:p>
            <w:pPr>
              <w:pStyle w:val="yTableNAm"/>
              <w:rPr>
                <w:sz w:val="20"/>
              </w:rPr>
            </w:pPr>
            <w:r>
              <w:rPr>
                <w:sz w:val="20"/>
              </w:rPr>
              <w:t>New lawyer’s postal address</w:t>
            </w:r>
            <w:r>
              <w:rPr>
                <w:sz w:val="20"/>
                <w:vertAlign w:val="superscript"/>
              </w:rPr>
              <w:t>10</w:t>
            </w:r>
          </w:p>
        </w:tc>
        <w:tc>
          <w:tcPr>
            <w:tcW w:w="5103" w:type="dxa"/>
            <w:gridSpan w:val="4"/>
            <w:tcBorders>
              <w:bottom w:val="single" w:sz="12" w:space="0" w:color="auto"/>
            </w:tcBorders>
          </w:tcPr>
          <w:p>
            <w:pPr>
              <w:pStyle w:val="yTableNAm"/>
              <w:rPr>
                <w:sz w:val="20"/>
              </w:rPr>
            </w:pPr>
          </w:p>
        </w:tc>
      </w:tr>
      <w:tr>
        <w:trPr>
          <w:cantSplit/>
        </w:trPr>
        <w:tc>
          <w:tcPr>
            <w:tcW w:w="1701" w:type="dxa"/>
            <w:tcBorders>
              <w:top w:val="single" w:sz="12" w:space="0" w:color="auto"/>
              <w:bottom w:val="single" w:sz="4" w:space="0" w:color="auto"/>
            </w:tcBorders>
          </w:tcPr>
          <w:p>
            <w:pPr>
              <w:pStyle w:val="yTableNAm"/>
              <w:rPr>
                <w:sz w:val="20"/>
              </w:rPr>
            </w:pPr>
            <w:r>
              <w:rPr>
                <w:sz w:val="20"/>
              </w:rPr>
              <w:t>Signature of party or lawyer</w:t>
            </w:r>
          </w:p>
        </w:tc>
        <w:tc>
          <w:tcPr>
            <w:tcW w:w="3950" w:type="dxa"/>
            <w:gridSpan w:val="3"/>
            <w:tcBorders>
              <w:top w:val="single" w:sz="12" w:space="0" w:color="auto"/>
              <w:bottom w:val="single" w:sz="4" w:space="0" w:color="auto"/>
            </w:tcBorders>
          </w:tcPr>
          <w:p>
            <w:pPr>
              <w:pStyle w:val="BodyText3"/>
              <w:spacing w:before="60"/>
              <w:rPr>
                <w:sz w:val="20"/>
              </w:rPr>
            </w:pPr>
            <w:r>
              <w:rPr>
                <w:sz w:val="20"/>
              </w:rPr>
              <w:br/>
              <w:t>Party/Party’s Lawyer</w:t>
            </w:r>
          </w:p>
        </w:tc>
        <w:tc>
          <w:tcPr>
            <w:tcW w:w="1153" w:type="dxa"/>
            <w:tcBorders>
              <w:top w:val="single" w:sz="12"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lastRenderedPageBreak/>
        <w:t>Notes to Form No. 5AA —</w:t>
      </w:r>
    </w:p>
    <w:p>
      <w:pPr>
        <w:pStyle w:val="yMiscellaneousBody"/>
        <w:spacing w:before="0"/>
        <w:ind w:left="540" w:hanging="540"/>
        <w:rPr>
          <w:sz w:val="20"/>
        </w:rPr>
      </w:pPr>
      <w:r>
        <w:rPr>
          <w:sz w:val="20"/>
        </w:rPr>
        <w:t>1.</w:t>
      </w:r>
      <w:r>
        <w:rPr>
          <w:sz w:val="20"/>
        </w:rPr>
        <w:tab/>
        <w:t>Add full party details.</w:t>
      </w:r>
    </w:p>
    <w:p>
      <w:pPr>
        <w:pStyle w:val="yMiscellaneousBody"/>
        <w:spacing w:before="0"/>
        <w:ind w:left="540" w:hanging="540"/>
        <w:rPr>
          <w:sz w:val="20"/>
        </w:rPr>
      </w:pPr>
      <w:r>
        <w:rPr>
          <w:sz w:val="20"/>
        </w:rPr>
        <w:t>2.</w:t>
      </w:r>
      <w:r>
        <w:rPr>
          <w:sz w:val="20"/>
        </w:rPr>
        <w:tab/>
        <w:t>Delete inapplicable.  Add other party designation if required.</w:t>
      </w:r>
    </w:p>
    <w:p>
      <w:pPr>
        <w:pStyle w:val="yMiscellaneousBody"/>
        <w:spacing w:before="0"/>
        <w:ind w:left="540" w:hanging="540"/>
        <w:rPr>
          <w:sz w:val="20"/>
        </w:rPr>
      </w:pPr>
      <w:r>
        <w:rPr>
          <w:sz w:val="20"/>
        </w:rPr>
        <w:t>3.</w:t>
      </w:r>
      <w:r>
        <w:rPr>
          <w:sz w:val="20"/>
        </w:rPr>
        <w:tab/>
        <w:t>Must be provided unless otherwise ordered by the Court.  See Order 71A r. 2 and 3A.</w:t>
      </w:r>
    </w:p>
    <w:p>
      <w:pPr>
        <w:pStyle w:val="yMiscellaneousBody"/>
        <w:spacing w:before="0"/>
        <w:ind w:left="540" w:hanging="540"/>
        <w:rPr>
          <w:sz w:val="20"/>
        </w:rPr>
      </w:pPr>
      <w:r>
        <w:rPr>
          <w:sz w:val="20"/>
        </w:rPr>
        <w:t>4.</w:t>
      </w:r>
      <w:r>
        <w:rPr>
          <w:sz w:val="20"/>
        </w:rPr>
        <w:tab/>
        <w:t>Must be provided - to be lawyer’s postal address if party is legally represented.</w:t>
      </w:r>
    </w:p>
    <w:p>
      <w:pPr>
        <w:pStyle w:val="yMiscellaneousBody"/>
        <w:spacing w:before="0"/>
        <w:ind w:left="540" w:hanging="540"/>
        <w:rPr>
          <w:sz w:val="20"/>
        </w:rPr>
      </w:pPr>
      <w:r>
        <w:rPr>
          <w:sz w:val="20"/>
        </w:rPr>
        <w:t>5.</w:t>
      </w:r>
      <w:r>
        <w:rPr>
          <w:sz w:val="20"/>
        </w:rPr>
        <w:tab/>
        <w:t>Must be provided - to be lawyer’s telephone number if party is legally represented.</w:t>
      </w:r>
    </w:p>
    <w:p>
      <w:pPr>
        <w:pStyle w:val="yMiscellaneousBody"/>
        <w:spacing w:before="0"/>
        <w:ind w:left="540" w:hanging="540"/>
        <w:rPr>
          <w:sz w:val="20"/>
        </w:rPr>
      </w:pPr>
      <w:r>
        <w:rPr>
          <w:sz w:val="20"/>
        </w:rPr>
        <w:t>6.</w:t>
      </w:r>
      <w:r>
        <w:rPr>
          <w:sz w:val="20"/>
        </w:rPr>
        <w:tab/>
        <w:t>Optional - if provided, may be used for service of documents.</w:t>
      </w:r>
    </w:p>
    <w:p>
      <w:pPr>
        <w:pStyle w:val="yMiscellaneousBody"/>
        <w:spacing w:before="0"/>
        <w:ind w:left="540" w:hanging="540"/>
        <w:rPr>
          <w:sz w:val="20"/>
        </w:rPr>
      </w:pPr>
      <w:r>
        <w:rPr>
          <w:sz w:val="20"/>
        </w:rPr>
        <w:t>7.</w:t>
      </w:r>
      <w:r>
        <w:rPr>
          <w:sz w:val="20"/>
        </w:rPr>
        <w:tab/>
        <w:t>Optional.</w:t>
      </w:r>
    </w:p>
    <w:p>
      <w:pPr>
        <w:pStyle w:val="yMiscellaneousBody"/>
        <w:spacing w:before="0"/>
        <w:ind w:left="540" w:hanging="540"/>
        <w:rPr>
          <w:sz w:val="20"/>
        </w:rPr>
      </w:pPr>
      <w:r>
        <w:rPr>
          <w:sz w:val="20"/>
        </w:rPr>
        <w:t>8.</w:t>
      </w:r>
      <w:r>
        <w:rPr>
          <w:sz w:val="20"/>
        </w:rPr>
        <w:tab/>
        <w:t>Tick relevant box.  If changing lawyers complete new lawyer’s contact details below.</w:t>
      </w:r>
    </w:p>
    <w:p>
      <w:pPr>
        <w:pStyle w:val="yMiscellaneousBody"/>
        <w:spacing w:before="0"/>
        <w:ind w:left="540" w:hanging="540"/>
        <w:rPr>
          <w:sz w:val="20"/>
        </w:rPr>
      </w:pPr>
      <w:r>
        <w:rPr>
          <w:sz w:val="20"/>
        </w:rPr>
        <w:t>9.</w:t>
      </w:r>
      <w:r>
        <w:rPr>
          <w:sz w:val="20"/>
        </w:rPr>
        <w:tab/>
        <w:t>Must be provided if a new lawyer has been appointed.</w:t>
      </w:r>
    </w:p>
    <w:p>
      <w:pPr>
        <w:pStyle w:val="yMiscellaneousBody"/>
        <w:spacing w:before="0"/>
        <w:ind w:left="540" w:hanging="540"/>
        <w:rPr>
          <w:sz w:val="20"/>
        </w:rPr>
      </w:pPr>
      <w:r>
        <w:rPr>
          <w:sz w:val="20"/>
        </w:rPr>
        <w:t>10.</w:t>
      </w:r>
      <w:r>
        <w:rPr>
          <w:sz w:val="20"/>
        </w:rPr>
        <w:tab/>
        <w:t>Must be provided if a new lawyer has been appointed.  Write “as above” if the same as the party’s postal address for service of documents.</w:t>
      </w:r>
    </w:p>
    <w:p>
      <w:pPr>
        <w:pStyle w:val="yFootnotesection"/>
        <w:keepLines w:val="0"/>
        <w:widowControl w:val="0"/>
        <w:spacing w:before="160"/>
      </w:pPr>
      <w:r>
        <w:tab/>
        <w:t>[Form 5AA inserted: Gazette 13 Nov 2015 p. 4651-2.]</w:t>
      </w:r>
    </w:p>
    <w:p>
      <w:pPr>
        <w:pStyle w:val="yHeading5"/>
        <w:keepNext w:val="0"/>
        <w:keepLines w:val="0"/>
        <w:pageBreakBefore/>
        <w:widowControl w:val="0"/>
        <w:spacing w:before="0" w:after="120"/>
      </w:pPr>
      <w:bookmarkStart w:id="1583" w:name="_Toc163121812"/>
      <w:r>
        <w:rPr>
          <w:rStyle w:val="CharSClsNo"/>
        </w:rPr>
        <w:lastRenderedPageBreak/>
        <w:t>5A</w:t>
      </w:r>
      <w:r>
        <w:t>.</w:t>
      </w:r>
      <w:r>
        <w:tab/>
        <w:t>Request for service abroad of judicial documents and certificate (O. 11A r. 4, 6 &amp; 16)</w:t>
      </w:r>
      <w:bookmarkEnd w:id="1583"/>
    </w:p>
    <w:p>
      <w:pPr>
        <w:pStyle w:val="yMiscellaneousBody"/>
        <w:tabs>
          <w:tab w:val="left" w:pos="840"/>
        </w:tabs>
        <w:ind w:left="839" w:hanging="839"/>
        <w:jc w:val="center"/>
        <w:rPr>
          <w:b/>
          <w:bCs/>
        </w:rPr>
      </w:pPr>
      <w:r>
        <w:rPr>
          <w:b/>
          <w:bCs/>
        </w:rPr>
        <w:t>Part 1 — Request for service abroad of judicial documents</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0"/>
        <w:rPr>
          <w:sz w:val="20"/>
        </w:rPr>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c>
          <w:tcPr>
            <w:tcW w:w="3000" w:type="dxa"/>
            <w:tcBorders>
              <w:right w:val="single" w:sz="4" w:space="0" w:color="auto"/>
            </w:tcBorders>
          </w:tcPr>
          <w:p>
            <w:pPr>
              <w:pStyle w:val="yTableNAm"/>
              <w:tabs>
                <w:tab w:val="clear" w:pos="567"/>
              </w:tabs>
              <w:ind w:left="12"/>
              <w:rPr>
                <w:sz w:val="20"/>
              </w:rPr>
            </w:pPr>
            <w:r>
              <w:rPr>
                <w:sz w:val="20"/>
              </w:rPr>
              <w:t>Identity and address of the forwarding authority requesting service</w:t>
            </w:r>
          </w:p>
          <w:p>
            <w:pPr>
              <w:pStyle w:val="yTableNAm"/>
              <w:tabs>
                <w:tab w:val="clear" w:pos="567"/>
              </w:tabs>
              <w:ind w:left="12"/>
              <w:rPr>
                <w:sz w:val="20"/>
              </w:rPr>
            </w:pPr>
          </w:p>
        </w:tc>
        <w:tc>
          <w:tcPr>
            <w:tcW w:w="360" w:type="dxa"/>
            <w:tcBorders>
              <w:top w:val="nil"/>
              <w:left w:val="single" w:sz="4" w:space="0" w:color="auto"/>
              <w:bottom w:val="nil"/>
              <w:right w:val="single" w:sz="4" w:space="0" w:color="auto"/>
            </w:tcBorders>
          </w:tcPr>
          <w:p>
            <w:pPr>
              <w:pStyle w:val="yTableNAm"/>
              <w:ind w:left="600"/>
              <w:rPr>
                <w:sz w:val="20"/>
              </w:rPr>
            </w:pPr>
          </w:p>
        </w:tc>
        <w:tc>
          <w:tcPr>
            <w:tcW w:w="3120" w:type="dxa"/>
            <w:tcBorders>
              <w:left w:val="single" w:sz="4" w:space="0" w:color="auto"/>
            </w:tcBorders>
          </w:tcPr>
          <w:p>
            <w:pPr>
              <w:pStyle w:val="yTableNAm"/>
              <w:tabs>
                <w:tab w:val="clear" w:pos="567"/>
              </w:tabs>
              <w:ind w:left="12"/>
              <w:rPr>
                <w:sz w:val="20"/>
              </w:rPr>
            </w:pPr>
            <w:r>
              <w:rPr>
                <w:sz w:val="20"/>
              </w:rPr>
              <w:t xml:space="preserve">Identity and address of receiving authority </w:t>
            </w:r>
            <w:r>
              <w:rPr>
                <w:i/>
                <w:iCs/>
                <w:sz w:val="20"/>
              </w:rPr>
              <w:t>[Central Authority/additional authority]</w:t>
            </w:r>
          </w:p>
          <w:p>
            <w:pPr>
              <w:pStyle w:val="yTableNAm"/>
              <w:tabs>
                <w:tab w:val="clear" w:pos="567"/>
              </w:tabs>
              <w:ind w:left="12"/>
              <w:rPr>
                <w:sz w:val="20"/>
              </w:rPr>
            </w:pPr>
          </w:p>
        </w:tc>
      </w:tr>
    </w:tbl>
    <w:p>
      <w:pPr>
        <w:pStyle w:val="yMiscellaneousBody"/>
        <w:rPr>
          <w:sz w:val="20"/>
        </w:rPr>
      </w:pPr>
      <w:r>
        <w:rPr>
          <w:sz w:val="20"/>
        </w:rPr>
        <w:t>The undersigned forwarding authority (on the application of [</w:t>
      </w:r>
      <w:r>
        <w:rPr>
          <w:i/>
          <w:iCs/>
          <w:sz w:val="20"/>
        </w:rPr>
        <w:t>name and address of applicant on whose behalf forwarding authority requests service</w:t>
      </w:r>
      <w:r>
        <w:rPr>
          <w:sz w:val="20"/>
        </w:rPr>
        <w:t>]) has the honour to transmit – in duplicate – the documents listed below and, in conformity with Article 5 of the above</w:t>
      </w:r>
      <w:r>
        <w:rPr>
          <w:sz w:val="20"/>
        </w:rPr>
        <w:noBreakHyphen/>
        <w:t>mentioned Convention, requests prompt service of one copy thereof on the addressee, i.e.:</w:t>
      </w:r>
    </w:p>
    <w:p>
      <w:pPr>
        <w:pStyle w:val="yMiscellaneousBody"/>
        <w:tabs>
          <w:tab w:val="right" w:leader="dot" w:pos="7080"/>
        </w:tabs>
        <w:spacing w:before="0"/>
        <w:rPr>
          <w:sz w:val="20"/>
        </w:rPr>
      </w:pPr>
      <w:r>
        <w:rPr>
          <w:sz w:val="20"/>
        </w:rPr>
        <w:t>(identity and address)</w:t>
      </w:r>
      <w:r>
        <w:rPr>
          <w:sz w:val="20"/>
        </w:rPr>
        <w:tab/>
      </w:r>
      <w:r>
        <w:rPr>
          <w:sz w:val="20"/>
        </w:rPr>
        <w:br/>
      </w:r>
      <w:r>
        <w:rPr>
          <w:sz w:val="20"/>
        </w:rPr>
        <w:tab/>
      </w:r>
    </w:p>
    <w:p>
      <w:pPr>
        <w:pStyle w:val="yMiscellaneousBody"/>
        <w:tabs>
          <w:tab w:val="left" w:pos="600"/>
        </w:tabs>
        <w:spacing w:before="120"/>
        <w:ind w:left="601" w:hanging="601"/>
        <w:rPr>
          <w:sz w:val="20"/>
        </w:rPr>
      </w:pPr>
      <w:r>
        <w:rPr>
          <w:sz w:val="20"/>
        </w:rPr>
        <w:t>(a)</w:t>
      </w:r>
      <w:r>
        <w:rPr>
          <w:sz w:val="20"/>
        </w:rPr>
        <w:tab/>
        <w:t>in accordance with the provisions of sub</w:t>
      </w:r>
      <w:r>
        <w:rPr>
          <w:sz w:val="20"/>
        </w:rPr>
        <w:noBreakHyphen/>
        <w:t>paragraph (a) of the first paragraph of Article 5 of the Convention*.</w:t>
      </w:r>
    </w:p>
    <w:p>
      <w:pPr>
        <w:pStyle w:val="yMiscellaneousBody"/>
        <w:tabs>
          <w:tab w:val="left" w:pos="600"/>
          <w:tab w:val="right" w:leader="dot" w:pos="7080"/>
        </w:tabs>
        <w:spacing w:before="120"/>
        <w:ind w:left="601" w:hanging="601"/>
        <w:rPr>
          <w:sz w:val="20"/>
        </w:rPr>
      </w:pPr>
      <w:r>
        <w:rPr>
          <w:sz w:val="20"/>
        </w:rPr>
        <w:t>(b)</w:t>
      </w:r>
      <w:r>
        <w:rPr>
          <w:sz w:val="20"/>
        </w:rPr>
        <w:tab/>
        <w:t>in accordance with the following particular method (sub</w:t>
      </w:r>
      <w:r>
        <w:rPr>
          <w:sz w:val="20"/>
        </w:rPr>
        <w:noBreakHyphen/>
        <w:t>paragraph (b) of the first paragraph of Article 5*):</w:t>
      </w:r>
      <w:r>
        <w:rPr>
          <w:sz w:val="20"/>
        </w:rPr>
        <w:tab/>
      </w:r>
      <w:r>
        <w:rPr>
          <w:sz w:val="20"/>
        </w:rPr>
        <w:br/>
      </w:r>
      <w:r>
        <w:rPr>
          <w:sz w:val="20"/>
        </w:rPr>
        <w:tab/>
      </w:r>
    </w:p>
    <w:p>
      <w:pPr>
        <w:pStyle w:val="yMiscellaneousBody"/>
        <w:tabs>
          <w:tab w:val="left" w:pos="600"/>
        </w:tabs>
        <w:spacing w:before="120"/>
        <w:ind w:left="601" w:hanging="601"/>
        <w:rPr>
          <w:sz w:val="20"/>
        </w:rPr>
      </w:pPr>
      <w:r>
        <w:rPr>
          <w:sz w:val="20"/>
        </w:rPr>
        <w:t>(c)</w:t>
      </w:r>
      <w:r>
        <w:rPr>
          <w:sz w:val="20"/>
        </w:rPr>
        <w:tab/>
        <w:t>by delivery to the addressee, if the addressee accepts it voluntarily (second paragraph of Article 5)*.</w:t>
      </w:r>
    </w:p>
    <w:p>
      <w:pPr>
        <w:pStyle w:val="yMiscellaneousBody"/>
        <w:rPr>
          <w:sz w:val="20"/>
        </w:rPr>
      </w:pPr>
      <w:r>
        <w:rPr>
          <w:sz w:val="20"/>
        </w:rPr>
        <w:t xml:space="preserve">The receiving authority </w:t>
      </w:r>
      <w:r>
        <w:rPr>
          <w:i/>
          <w:iCs/>
          <w:sz w:val="20"/>
        </w:rPr>
        <w:t xml:space="preserve">[Central Authority/additional authority] </w:t>
      </w:r>
      <w:r>
        <w:rPr>
          <w:sz w:val="20"/>
        </w:rPr>
        <w:t>is requested to return or to have returned to the forwarding authority a copy of the documents – and of the annexes* – with a certificate as provided in Part 2 of this Form on the reverse side.</w:t>
      </w:r>
    </w:p>
    <w:p>
      <w:pPr>
        <w:pStyle w:val="yMiscellaneousBody"/>
        <w:tabs>
          <w:tab w:val="left" w:pos="600"/>
        </w:tabs>
        <w:ind w:left="601" w:hanging="601"/>
        <w:rPr>
          <w:i/>
          <w:iCs/>
          <w:sz w:val="20"/>
        </w:rPr>
      </w:pPr>
      <w:r>
        <w:rPr>
          <w:i/>
          <w:iCs/>
          <w:sz w:val="20"/>
        </w:rPr>
        <w:t>List of documents</w:t>
      </w:r>
    </w:p>
    <w:p>
      <w:pPr>
        <w:pStyle w:val="yMiscellaneousBody"/>
        <w:tabs>
          <w:tab w:val="right" w:leader="dot" w:pos="7080"/>
        </w:tabs>
        <w:spacing w:before="0"/>
        <w:rPr>
          <w:sz w:val="20"/>
        </w:rPr>
      </w:pPr>
      <w:r>
        <w:rPr>
          <w:sz w:val="20"/>
        </w:rPr>
        <w:tab/>
      </w:r>
      <w:r>
        <w:rPr>
          <w:sz w:val="20"/>
        </w:rPr>
        <w:br/>
      </w:r>
      <w:r>
        <w:rPr>
          <w:sz w:val="20"/>
        </w:rPr>
        <w:tab/>
      </w:r>
    </w:p>
    <w:p>
      <w:pPr>
        <w:pStyle w:val="yMiscellaneousBody"/>
        <w:spacing w:before="80"/>
        <w:jc w:val="right"/>
        <w:rPr>
          <w:sz w:val="20"/>
        </w:rPr>
      </w:pPr>
      <w:r>
        <w:rPr>
          <w:sz w:val="20"/>
        </w:rPr>
        <w:t>Done at ................. , the ..................</w:t>
      </w:r>
    </w:p>
    <w:p>
      <w:pPr>
        <w:pStyle w:val="yMiscellaneousBody"/>
        <w:spacing w:before="80"/>
        <w:jc w:val="right"/>
        <w:rPr>
          <w:sz w:val="20"/>
        </w:rPr>
      </w:pPr>
      <w:r>
        <w:rPr>
          <w:sz w:val="20"/>
        </w:rPr>
        <w:t>Signature or stamp (or both) of forwarding authority.</w:t>
      </w:r>
    </w:p>
    <w:p>
      <w:pPr>
        <w:pStyle w:val="yMiscellaneousBody"/>
        <w:tabs>
          <w:tab w:val="left" w:pos="600"/>
        </w:tabs>
        <w:spacing w:before="100"/>
        <w:ind w:left="601" w:hanging="601"/>
        <w:rPr>
          <w:sz w:val="20"/>
        </w:rPr>
      </w:pPr>
      <w:r>
        <w:rPr>
          <w:sz w:val="20"/>
        </w:rPr>
        <w:t>*Delete if inappropriate.</w:t>
      </w:r>
    </w:p>
    <w:p>
      <w:pPr>
        <w:pStyle w:val="yMiscellaneousBody"/>
        <w:pageBreakBefore/>
        <w:jc w:val="center"/>
        <w:rPr>
          <w:b/>
          <w:bCs/>
        </w:rPr>
      </w:pPr>
      <w:r>
        <w:rPr>
          <w:b/>
          <w:bCs/>
        </w:rPr>
        <w:lastRenderedPageBreak/>
        <w:t>Part 2 — Certificate</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rPr>
          <w:sz w:val="20"/>
        </w:rPr>
      </w:pPr>
      <w:r>
        <w:rPr>
          <w:sz w:val="20"/>
        </w:rPr>
        <w:t>The undersigned authority has the honour to certify, in conformity with Article 6 of the Convention:</w:t>
      </w:r>
    </w:p>
    <w:p>
      <w:pPr>
        <w:pStyle w:val="yMiscellaneousBody"/>
        <w:tabs>
          <w:tab w:val="left" w:pos="600"/>
        </w:tabs>
        <w:spacing w:before="120"/>
        <w:ind w:left="600" w:hanging="600"/>
        <w:rPr>
          <w:sz w:val="20"/>
        </w:rPr>
      </w:pPr>
      <w:r>
        <w:rPr>
          <w:sz w:val="20"/>
        </w:rPr>
        <w:t>1.</w:t>
      </w:r>
      <w:r>
        <w:rPr>
          <w:sz w:val="20"/>
        </w:rPr>
        <w:tab/>
        <w:t>that the documents listed in Part 1 have been served*</w:t>
      </w:r>
    </w:p>
    <w:p>
      <w:pPr>
        <w:pStyle w:val="yMiscellaneousBody"/>
        <w:tabs>
          <w:tab w:val="left" w:pos="600"/>
          <w:tab w:val="right" w:leader="dot" w:pos="7080"/>
        </w:tabs>
        <w:spacing w:before="120"/>
        <w:rPr>
          <w:sz w:val="20"/>
        </w:rPr>
      </w:pPr>
      <w:r>
        <w:rPr>
          <w:sz w:val="20"/>
        </w:rPr>
        <w:tab/>
        <w:t>–the (date)</w:t>
      </w:r>
      <w:r>
        <w:rPr>
          <w:sz w:val="20"/>
        </w:rPr>
        <w:tab/>
      </w:r>
    </w:p>
    <w:p>
      <w:pPr>
        <w:pStyle w:val="yMiscellaneousBody"/>
        <w:tabs>
          <w:tab w:val="left" w:pos="600"/>
          <w:tab w:val="right" w:leader="dot" w:pos="7080"/>
        </w:tabs>
        <w:spacing w:before="120"/>
        <w:rPr>
          <w:sz w:val="20"/>
        </w:rPr>
      </w:pPr>
      <w:r>
        <w:rPr>
          <w:sz w:val="20"/>
        </w:rPr>
        <w:tab/>
        <w:t xml:space="preserve">–at (place, street, number) </w:t>
      </w:r>
      <w:r>
        <w:rPr>
          <w:sz w:val="20"/>
        </w:rPr>
        <w:tab/>
      </w:r>
      <w:r>
        <w:rPr>
          <w:sz w:val="20"/>
        </w:rPr>
        <w:br/>
      </w:r>
      <w:r>
        <w:rPr>
          <w:sz w:val="20"/>
        </w:rPr>
        <w:tab/>
      </w:r>
      <w:r>
        <w:rPr>
          <w:sz w:val="20"/>
        </w:rPr>
        <w:tab/>
      </w:r>
    </w:p>
    <w:p>
      <w:pPr>
        <w:pStyle w:val="yMiscellaneousBody"/>
        <w:tabs>
          <w:tab w:val="left" w:pos="600"/>
          <w:tab w:val="right" w:leader="dot" w:pos="6804"/>
        </w:tabs>
        <w:spacing w:before="120"/>
        <w:rPr>
          <w:sz w:val="20"/>
        </w:rPr>
      </w:pPr>
      <w:r>
        <w:rPr>
          <w:sz w:val="20"/>
        </w:rPr>
        <w:tab/>
        <w:t>–in one of the following methods authorised by Article 5:</w:t>
      </w:r>
    </w:p>
    <w:p>
      <w:pPr>
        <w:pStyle w:val="yMiscellaneousBody"/>
        <w:tabs>
          <w:tab w:val="left" w:pos="600"/>
          <w:tab w:val="left" w:pos="1080"/>
          <w:tab w:val="right" w:leader="dot" w:pos="7080"/>
        </w:tabs>
        <w:spacing w:before="120"/>
        <w:ind w:left="1080" w:hanging="1080"/>
        <w:rPr>
          <w:sz w:val="20"/>
        </w:rPr>
      </w:pPr>
      <w:r>
        <w:rPr>
          <w:i/>
          <w:iCs/>
          <w:sz w:val="20"/>
        </w:rPr>
        <w:tab/>
        <w:t>a)</w:t>
      </w:r>
      <w:r>
        <w:rPr>
          <w:sz w:val="20"/>
        </w:rPr>
        <w:tab/>
        <w:t>in accordance with the provisions of sub</w:t>
      </w:r>
      <w:r>
        <w:rPr>
          <w:sz w:val="20"/>
        </w:rPr>
        <w:noBreakHyphen/>
        <w:t xml:space="preserve">paragraph (a) of the first paragraph of Article 5 of the Convention*, </w:t>
      </w:r>
      <w:r>
        <w:rPr>
          <w:sz w:val="20"/>
        </w:rPr>
        <w:tab/>
      </w:r>
      <w:r>
        <w:rPr>
          <w:sz w:val="20"/>
        </w:rPr>
        <w:br/>
      </w:r>
      <w:r>
        <w:rPr>
          <w:sz w:val="20"/>
        </w:rPr>
        <w:tab/>
      </w:r>
    </w:p>
    <w:p>
      <w:pPr>
        <w:pStyle w:val="yMiscellaneousBody"/>
        <w:tabs>
          <w:tab w:val="left" w:pos="600"/>
          <w:tab w:val="left" w:pos="1080"/>
          <w:tab w:val="right" w:leader="dot" w:pos="7080"/>
        </w:tabs>
        <w:spacing w:before="120"/>
        <w:ind w:left="1080" w:hanging="1080"/>
        <w:rPr>
          <w:sz w:val="20"/>
        </w:rPr>
      </w:pPr>
      <w:r>
        <w:rPr>
          <w:i/>
          <w:iCs/>
          <w:sz w:val="20"/>
        </w:rPr>
        <w:tab/>
        <w:t>b)</w:t>
      </w:r>
      <w:r>
        <w:rPr>
          <w:sz w:val="20"/>
        </w:rPr>
        <w:tab/>
        <w:t xml:space="preserve">in accordance with the following particular method*: </w:t>
      </w:r>
      <w:r>
        <w:rPr>
          <w:sz w:val="20"/>
        </w:rPr>
        <w:tab/>
      </w:r>
      <w:r>
        <w:rPr>
          <w:sz w:val="20"/>
        </w:rPr>
        <w:br/>
      </w:r>
      <w:r>
        <w:rPr>
          <w:sz w:val="20"/>
        </w:rPr>
        <w:tab/>
      </w:r>
    </w:p>
    <w:p>
      <w:pPr>
        <w:pStyle w:val="yMiscellaneousBody"/>
        <w:tabs>
          <w:tab w:val="left" w:pos="600"/>
          <w:tab w:val="left" w:pos="1080"/>
          <w:tab w:val="right" w:leader="dot" w:pos="6804"/>
        </w:tabs>
        <w:spacing w:before="120"/>
        <w:ind w:left="1080" w:hanging="1080"/>
        <w:rPr>
          <w:sz w:val="20"/>
        </w:rPr>
      </w:pPr>
      <w:r>
        <w:rPr>
          <w:i/>
          <w:iCs/>
          <w:sz w:val="20"/>
        </w:rPr>
        <w:tab/>
        <w:t>c)</w:t>
      </w:r>
      <w:r>
        <w:rPr>
          <w:sz w:val="20"/>
        </w:rPr>
        <w:tab/>
        <w:t>by delivery to the addressee, who accepted it voluntarily*.</w:t>
      </w:r>
    </w:p>
    <w:p>
      <w:pPr>
        <w:pStyle w:val="yMiscellaneousBody"/>
        <w:tabs>
          <w:tab w:val="left" w:pos="600"/>
          <w:tab w:val="left" w:pos="1080"/>
          <w:tab w:val="right" w:leader="dot" w:pos="6804"/>
        </w:tabs>
        <w:spacing w:before="120"/>
        <w:ind w:left="1080" w:hanging="1080"/>
        <w:rPr>
          <w:sz w:val="20"/>
        </w:rPr>
      </w:pPr>
      <w:r>
        <w:rPr>
          <w:sz w:val="20"/>
        </w:rPr>
        <w:tab/>
        <w:t>The document referred to in the request, has been delivered to:</w:t>
      </w:r>
    </w:p>
    <w:p>
      <w:pPr>
        <w:pStyle w:val="yMiscellaneousBody"/>
        <w:tabs>
          <w:tab w:val="left" w:pos="600"/>
          <w:tab w:val="right" w:leader="dot" w:pos="7080"/>
        </w:tabs>
        <w:spacing w:before="120"/>
        <w:ind w:left="600"/>
        <w:rPr>
          <w:sz w:val="20"/>
        </w:rPr>
      </w:pPr>
      <w:r>
        <w:rPr>
          <w:sz w:val="20"/>
        </w:rPr>
        <w:t>–(identity and description of person)</w:t>
      </w:r>
      <w:r>
        <w:rPr>
          <w:sz w:val="20"/>
        </w:rPr>
        <w:tab/>
      </w:r>
      <w:r>
        <w:rPr>
          <w:sz w:val="20"/>
        </w:rPr>
        <w:br/>
      </w:r>
      <w:r>
        <w:rPr>
          <w:sz w:val="20"/>
        </w:rPr>
        <w:tab/>
      </w:r>
    </w:p>
    <w:p>
      <w:pPr>
        <w:pStyle w:val="yMiscellaneousBody"/>
        <w:tabs>
          <w:tab w:val="left" w:pos="600"/>
          <w:tab w:val="right" w:leader="dot" w:pos="7080"/>
        </w:tabs>
        <w:spacing w:before="120"/>
        <w:rPr>
          <w:sz w:val="20"/>
        </w:rPr>
      </w:pPr>
      <w:r>
        <w:rPr>
          <w:sz w:val="20"/>
        </w:rPr>
        <w:tab/>
        <w:t xml:space="preserve">–relationship to the addressee (family, business or other.) </w:t>
      </w:r>
      <w:r>
        <w:rPr>
          <w:sz w:val="20"/>
        </w:rPr>
        <w:tab/>
      </w:r>
      <w:r>
        <w:rPr>
          <w:sz w:val="20"/>
        </w:rPr>
        <w:br/>
      </w:r>
      <w:r>
        <w:rPr>
          <w:sz w:val="20"/>
        </w:rPr>
        <w:tab/>
      </w:r>
      <w:r>
        <w:rPr>
          <w:sz w:val="20"/>
        </w:rPr>
        <w:tab/>
      </w:r>
    </w:p>
    <w:p>
      <w:pPr>
        <w:pStyle w:val="yMiscellaneousBody"/>
        <w:tabs>
          <w:tab w:val="left" w:pos="600"/>
          <w:tab w:val="right" w:leader="dot" w:pos="7080"/>
        </w:tabs>
        <w:spacing w:before="120"/>
        <w:rPr>
          <w:sz w:val="20"/>
        </w:rPr>
      </w:pPr>
      <w:r>
        <w:rPr>
          <w:sz w:val="20"/>
        </w:rPr>
        <w:t>2.</w:t>
      </w:r>
      <w:r>
        <w:rPr>
          <w:sz w:val="20"/>
        </w:rPr>
        <w:tab/>
        <w:t>that the document has not been served, by reason of the following facts*:</w:t>
      </w:r>
      <w:r>
        <w:rPr>
          <w:sz w:val="20"/>
        </w:rPr>
        <w:tab/>
      </w:r>
      <w:r>
        <w:rPr>
          <w:sz w:val="20"/>
        </w:rPr>
        <w:tab/>
      </w:r>
      <w:r>
        <w:rPr>
          <w:sz w:val="20"/>
        </w:rPr>
        <w:tab/>
      </w:r>
      <w:r>
        <w:rPr>
          <w:sz w:val="20"/>
        </w:rPr>
        <w:br/>
      </w:r>
      <w:r>
        <w:rPr>
          <w:sz w:val="20"/>
        </w:rPr>
        <w:tab/>
      </w:r>
      <w:r>
        <w:rPr>
          <w:sz w:val="20"/>
        </w:rPr>
        <w:tab/>
      </w:r>
    </w:p>
    <w:p>
      <w:pPr>
        <w:pStyle w:val="yMiscellaneousBody"/>
        <w:tabs>
          <w:tab w:val="left" w:pos="600"/>
          <w:tab w:val="right" w:leader="dot" w:pos="6804"/>
        </w:tabs>
        <w:rPr>
          <w:sz w:val="20"/>
        </w:rPr>
      </w:pPr>
      <w:r>
        <w:rPr>
          <w:sz w:val="20"/>
        </w:rPr>
        <w:t>In conformity with the second paragraph of Article 12 of the Convention, the forwarding authority is requested to pay or reimburse the expenses detailed in the attached statement*.</w:t>
      </w:r>
    </w:p>
    <w:p>
      <w:pPr>
        <w:pStyle w:val="yMiscellaneousBody"/>
        <w:keepNext/>
        <w:tabs>
          <w:tab w:val="left" w:pos="600"/>
          <w:tab w:val="right" w:leader="dot" w:pos="6804"/>
        </w:tabs>
        <w:rPr>
          <w:i/>
          <w:iCs/>
          <w:sz w:val="20"/>
        </w:rPr>
      </w:pPr>
      <w:r>
        <w:rPr>
          <w:i/>
          <w:iCs/>
          <w:sz w:val="20"/>
        </w:rPr>
        <w:t>Annexes</w:t>
      </w:r>
    </w:p>
    <w:p>
      <w:pPr>
        <w:pStyle w:val="yMiscellaneousBody"/>
        <w:keepNext/>
        <w:tabs>
          <w:tab w:val="right" w:leader="dot" w:pos="7080"/>
        </w:tabs>
        <w:rPr>
          <w:sz w:val="20"/>
        </w:rPr>
      </w:pPr>
      <w:r>
        <w:rPr>
          <w:sz w:val="20"/>
        </w:rPr>
        <w:t xml:space="preserve">Documents returned: </w:t>
      </w:r>
      <w:r>
        <w:rPr>
          <w:sz w:val="20"/>
        </w:rPr>
        <w:tab/>
      </w:r>
      <w:r>
        <w:rPr>
          <w:sz w:val="20"/>
        </w:rPr>
        <w:br/>
      </w:r>
      <w:r>
        <w:rPr>
          <w:sz w:val="20"/>
        </w:rPr>
        <w:tab/>
      </w:r>
      <w:r>
        <w:rPr>
          <w:sz w:val="20"/>
        </w:rPr>
        <w:br/>
      </w:r>
      <w:r>
        <w:rPr>
          <w:sz w:val="20"/>
        </w:rPr>
        <w:lastRenderedPageBreak/>
        <w:t xml:space="preserve">In appropriate cases, documents, establishing the service: </w:t>
      </w:r>
      <w:r>
        <w:rPr>
          <w:sz w:val="20"/>
        </w:rPr>
        <w:tab/>
      </w:r>
      <w:r>
        <w:rPr>
          <w:sz w:val="20"/>
        </w:rPr>
        <w:br/>
      </w:r>
      <w:r>
        <w:rPr>
          <w:sz w:val="20"/>
        </w:rPr>
        <w:tab/>
      </w:r>
    </w:p>
    <w:p>
      <w:pPr>
        <w:pStyle w:val="yMiscellaneousBody"/>
        <w:keepNext/>
        <w:jc w:val="right"/>
        <w:rPr>
          <w:sz w:val="20"/>
        </w:rPr>
      </w:pPr>
      <w:r>
        <w:rPr>
          <w:sz w:val="20"/>
        </w:rPr>
        <w:t>Done at ................. , the ..................</w:t>
      </w:r>
    </w:p>
    <w:p>
      <w:pPr>
        <w:pStyle w:val="yMiscellaneousBody"/>
        <w:jc w:val="right"/>
        <w:rPr>
          <w:sz w:val="20"/>
        </w:rPr>
      </w:pPr>
      <w:r>
        <w:rPr>
          <w:sz w:val="20"/>
        </w:rPr>
        <w:t>Signature or stamp (or both).</w:t>
      </w:r>
    </w:p>
    <w:p>
      <w:pPr>
        <w:pStyle w:val="yMiscellaneousBody"/>
        <w:tabs>
          <w:tab w:val="left" w:pos="600"/>
        </w:tabs>
        <w:ind w:left="600" w:hanging="600"/>
        <w:rPr>
          <w:sz w:val="20"/>
        </w:rPr>
      </w:pPr>
      <w:r>
        <w:rPr>
          <w:sz w:val="20"/>
        </w:rPr>
        <w:t>*Delete if inappropriate.</w:t>
      </w:r>
    </w:p>
    <w:p>
      <w:pPr>
        <w:pStyle w:val="yFootnotesection"/>
      </w:pPr>
      <w:r>
        <w:tab/>
        <w:t>[Form 5A inserted: Gazette 3 Jul 2009 p. 2696</w:t>
      </w:r>
      <w:r>
        <w:noBreakHyphen/>
        <w:t>8; (printers correction: Gazette 7 Jul 2009 p. 2719).]</w:t>
      </w:r>
    </w:p>
    <w:p>
      <w:pPr>
        <w:pStyle w:val="yHeading5"/>
        <w:keepLines w:val="0"/>
        <w:pageBreakBefore/>
      </w:pPr>
      <w:bookmarkStart w:id="1584" w:name="_Toc161821931"/>
      <w:bookmarkStart w:id="1585" w:name="_Toc161822339"/>
      <w:bookmarkStart w:id="1586" w:name="_Toc163121813"/>
      <w:bookmarkStart w:id="1587" w:name="_Hlk162949531"/>
      <w:r>
        <w:rPr>
          <w:rStyle w:val="CharSClsNo"/>
        </w:rPr>
        <w:lastRenderedPageBreak/>
        <w:t>5AB</w:t>
      </w:r>
      <w:r>
        <w:t>.</w:t>
      </w:r>
      <w:r>
        <w:tab/>
        <w:t>Notice to defendant served outside Australia (O. 10 r. 8)</w:t>
      </w:r>
      <w:bookmarkEnd w:id="1584"/>
      <w:bookmarkEnd w:id="1585"/>
      <w:bookmarkEnd w:id="1586"/>
    </w:p>
    <w:p>
      <w:pPr>
        <w:pStyle w:val="yMiscellaneousBody"/>
        <w:keepNext/>
      </w:pPr>
      <w:r>
        <w:t>To the Defendant:</w:t>
      </w:r>
    </w:p>
    <w:p>
      <w:pPr>
        <w:pStyle w:val="ySubsection"/>
      </w:pPr>
      <w:r>
        <w:tab/>
        <w:t>1.</w:t>
      </w:r>
      <w:r>
        <w:tab/>
        <w:t xml:space="preserve">You have been served with an originating process outside Australia under Order 10 Division 3 of the </w:t>
      </w:r>
      <w:r>
        <w:rPr>
          <w:i/>
        </w:rPr>
        <w:t xml:space="preserve">Rules of the Supreme Court 1971 </w:t>
      </w:r>
      <w:r>
        <w:t>(WA). A copy of the applicable Division is enclosed for your information. The Division shows the scope of the jurisdiction of the Court in respect of claims against persons who are served outside Australia.</w:t>
      </w:r>
    </w:p>
    <w:p>
      <w:pPr>
        <w:pStyle w:val="ySubsection"/>
      </w:pPr>
      <w:r>
        <w:tab/>
        <w:t>2.</w:t>
      </w:r>
      <w:r>
        <w:tab/>
        <w:t>The grounds alleged by the plaintiff to support its claim to be entitled to serve you outside Australia are:</w:t>
      </w:r>
    </w:p>
    <w:p>
      <w:pPr>
        <w:pStyle w:val="ySubsection"/>
      </w:pPr>
      <w:r>
        <w:tab/>
      </w:r>
      <w:r>
        <w:tab/>
        <w:t>[</w:t>
      </w:r>
      <w:r>
        <w:rPr>
          <w:i/>
        </w:rPr>
        <w:t>specify grounds</w:t>
      </w:r>
      <w:r>
        <w:t>]</w:t>
      </w:r>
    </w:p>
    <w:p>
      <w:pPr>
        <w:pStyle w:val="ySubsection"/>
      </w:pPr>
      <w:r>
        <w:tab/>
        <w:t>3.</w:t>
      </w:r>
      <w:r>
        <w:tab/>
        <w:t xml:space="preserve">The Court may, on application made by you in accordance with the rules of court, dismiss or stay the proceeding or set aside the service on you of this originating process. Without limiting the Court’s powers in this regard, the Court may dismiss or stay the proceeding or set aside the service on you if satisfied that — </w:t>
      </w:r>
    </w:p>
    <w:p>
      <w:pPr>
        <w:pStyle w:val="yIndenta"/>
      </w:pPr>
      <w:r>
        <w:tab/>
        <w:t>(a)</w:t>
      </w:r>
      <w:r>
        <w:tab/>
        <w:t>the service was not authorised by the rules of court; or</w:t>
      </w:r>
    </w:p>
    <w:p>
      <w:pPr>
        <w:pStyle w:val="yIndenta"/>
      </w:pPr>
      <w:r>
        <w:tab/>
        <w:t>(b)</w:t>
      </w:r>
      <w:r>
        <w:tab/>
        <w:t>this Court is an inappropriate forum for the trial of the proceedings; or</w:t>
      </w:r>
    </w:p>
    <w:p>
      <w:pPr>
        <w:pStyle w:val="yIndenta"/>
      </w:pPr>
      <w:r>
        <w:tab/>
        <w:t>(c)</w:t>
      </w:r>
      <w:r>
        <w:tab/>
        <w:t>the claim has insufficient prospects of success to warrant putting you to the time, expense and trouble of defending the claim.</w:t>
      </w:r>
    </w:p>
    <w:p>
      <w:pPr>
        <w:pStyle w:val="ySubsection"/>
      </w:pPr>
      <w:r>
        <w:tab/>
        <w:t>4.</w:t>
      </w:r>
      <w:r>
        <w:tab/>
        <w:t>Alternatively you may enter an unconditional appearance (in the form prescribed by the rules of court) within the time required under the rules of court.</w:t>
      </w:r>
    </w:p>
    <w:p>
      <w:pPr>
        <w:pStyle w:val="ySubsection"/>
      </w:pPr>
      <w:r>
        <w:tab/>
        <w:t>5.</w:t>
      </w:r>
      <w:r>
        <w:tab/>
        <w:t>If you enter an unconditional appearance, additional procedural obligations (such as an obligation to file a defence or an affidavit) may apply to you in accordance with the rules of court.</w:t>
      </w:r>
    </w:p>
    <w:p>
      <w:pPr>
        <w:pStyle w:val="ySubsection"/>
      </w:pPr>
      <w:r>
        <w:tab/>
        <w:t>6.</w:t>
      </w:r>
      <w:r>
        <w:tab/>
        <w:t>If you do not make an application to set aside service referred to in paragraph 3 or enter an unconditional appearance, the Court may give leave to the plaintiff to proceed against you without further notice.</w:t>
      </w:r>
      <w:bookmarkEnd w:id="1587"/>
    </w:p>
    <w:p>
      <w:pPr>
        <w:pStyle w:val="yFootnotesection"/>
        <w:keepLines w:val="0"/>
        <w:widowControl w:val="0"/>
        <w:spacing w:before="160"/>
      </w:pPr>
      <w:r>
        <w:tab/>
        <w:t>[Form 5AB inserted: SL 2024/38 r. 17.]</w:t>
      </w:r>
    </w:p>
    <w:p>
      <w:pPr>
        <w:pStyle w:val="yHeading5"/>
        <w:keepLines w:val="0"/>
        <w:pageBreakBefore/>
        <w:spacing w:before="0"/>
      </w:pPr>
      <w:bookmarkStart w:id="1588" w:name="_Toc163121814"/>
      <w:r>
        <w:rPr>
          <w:rStyle w:val="CharSClsNo"/>
        </w:rPr>
        <w:lastRenderedPageBreak/>
        <w:t>5B</w:t>
      </w:r>
      <w:r>
        <w:t>.</w:t>
      </w:r>
      <w:r>
        <w:tab/>
        <w:t>Summary of the document to be served (O. 11A r. 4)</w:t>
      </w:r>
      <w:bookmarkEnd w:id="1588"/>
    </w:p>
    <w:p>
      <w:pPr>
        <w:pStyle w:val="yMiscellaneousBody"/>
        <w:keepNext/>
        <w:tabs>
          <w:tab w:val="left" w:pos="0"/>
        </w:tabs>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 (Article 5, fourth paragraph)</w:t>
      </w:r>
    </w:p>
    <w:p>
      <w:pPr>
        <w:pStyle w:val="yMiscellaneousBody"/>
        <w:keepNext/>
        <w:tabs>
          <w:tab w:val="left" w:pos="0"/>
        </w:tabs>
        <w:rPr>
          <w:b/>
          <w:bCs/>
          <w:sz w:val="20"/>
        </w:rPr>
      </w:pPr>
      <w:r>
        <w:rPr>
          <w:b/>
          <w:bCs/>
          <w:sz w:val="20"/>
        </w:rPr>
        <w:t xml:space="preserve">Identity and address of the addressee </w:t>
      </w:r>
      <w:r>
        <w:rPr>
          <w:b/>
          <w:i/>
          <w:sz w:val="20"/>
        </w:rPr>
        <w:t>[person to be served]</w:t>
      </w:r>
      <w:r>
        <w:rPr>
          <w:b/>
          <w:sz w:val="20"/>
        </w:rPr>
        <w:t>:</w:t>
      </w:r>
    </w:p>
    <w:p>
      <w:pPr>
        <w:pStyle w:val="yMiscellaneousBody"/>
        <w:tabs>
          <w:tab w:val="left" w:pos="0"/>
        </w:tabs>
        <w:spacing w:before="0"/>
        <w:rPr>
          <w:b/>
          <w:bCs/>
          <w:sz w:val="20"/>
        </w:rPr>
      </w:pPr>
    </w:p>
    <w:tbl>
      <w:tblPr>
        <w:tblW w:w="3360" w:type="dxa"/>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0"/>
      </w:tblGrid>
      <w:tr>
        <w:tc>
          <w:tcPr>
            <w:tcW w:w="3360" w:type="dxa"/>
            <w:tcBorders>
              <w:left w:val="single" w:sz="4" w:space="0" w:color="auto"/>
            </w:tcBorders>
          </w:tcPr>
          <w:p>
            <w:pPr>
              <w:pStyle w:val="yMiscellaneousBody"/>
              <w:rPr>
                <w:sz w:val="20"/>
              </w:rPr>
            </w:pPr>
          </w:p>
        </w:tc>
      </w:tr>
    </w:tbl>
    <w:p>
      <w:pPr>
        <w:pStyle w:val="yMiscellaneousBody"/>
        <w:spacing w:before="0"/>
        <w:rPr>
          <w:b/>
          <w:bCs/>
          <w:sz w:val="20"/>
        </w:rPr>
      </w:pPr>
    </w:p>
    <w:p>
      <w:pPr>
        <w:pStyle w:val="yMiscellaneousBody"/>
        <w:spacing w:before="80"/>
        <w:jc w:val="center"/>
        <w:rPr>
          <w:b/>
          <w:bCs/>
          <w:sz w:val="20"/>
        </w:rPr>
      </w:pPr>
      <w:r>
        <w:rPr>
          <w:b/>
          <w:bCs/>
          <w:sz w:val="20"/>
        </w:rPr>
        <w:t>IMPORTANT</w:t>
      </w:r>
    </w:p>
    <w:p>
      <w:pPr>
        <w:pStyle w:val="yMiscellaneousBody"/>
        <w:tabs>
          <w:tab w:val="left" w:pos="600"/>
          <w:tab w:val="right" w:leader="dot" w:pos="6804"/>
        </w:tabs>
        <w:rPr>
          <w:sz w:val="20"/>
        </w:rPr>
      </w:pPr>
      <w:r>
        <w:rPr>
          <w:sz w:val="20"/>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MiscellaneousBody"/>
        <w:tabs>
          <w:tab w:val="left" w:pos="600"/>
          <w:tab w:val="right" w:leader="dot" w:pos="6804"/>
        </w:tabs>
        <w:rPr>
          <w:sz w:val="20"/>
        </w:rPr>
      </w:pPr>
      <w:r>
        <w:rPr>
          <w:sz w:val="20"/>
        </w:rPr>
        <w:t>IF YOUR FINANCIAL RESOURCES ARE INSUFFICIENT YOU SHOULD SEEK INFORMATION ON THE POSSIBILITY OF OBTAINING LEGAL AID OR ADVICE EITHER IN THE COUNTRY WHERE YOU LIVE OR IN THE COUNTRY WHERE THE DOCUMENT WAS ISSUED.</w:t>
      </w:r>
    </w:p>
    <w:p>
      <w:pPr>
        <w:pStyle w:val="yMiscellaneousBody"/>
        <w:tabs>
          <w:tab w:val="left" w:pos="600"/>
          <w:tab w:val="right" w:leader="dot" w:pos="7080"/>
        </w:tabs>
        <w:rPr>
          <w:sz w:val="20"/>
        </w:rPr>
      </w:pPr>
      <w:r>
        <w:rPr>
          <w:sz w:val="20"/>
        </w:rPr>
        <w:t>ENQUIRIES ABOUT THE AVAILABILITY OF LEGAL AID OR ADVICE IN THE COUNTRY WHERE THE DOCUMENT WAS ISSUED MAY BE DIRECTED TO:</w:t>
      </w:r>
      <w:r>
        <w:rPr>
          <w:sz w:val="20"/>
        </w:rPr>
        <w:tab/>
      </w:r>
    </w:p>
    <w:p>
      <w:pPr>
        <w:pStyle w:val="yMiscellaneousBody"/>
        <w:tabs>
          <w:tab w:val="left" w:pos="600"/>
          <w:tab w:val="right" w:leader="dot" w:pos="6804"/>
        </w:tabs>
        <w:rPr>
          <w:sz w:val="20"/>
        </w:rPr>
      </w:pPr>
      <w:r>
        <w:rPr>
          <w:sz w:val="20"/>
        </w:rPr>
        <w:t>SUMMARY OF THE DOCUMENT TO BE SERVED</w:t>
      </w:r>
    </w:p>
    <w:p>
      <w:pPr>
        <w:pStyle w:val="yMiscellaneousBody"/>
        <w:tabs>
          <w:tab w:val="left" w:pos="600"/>
          <w:tab w:val="right" w:leader="dot" w:pos="7080"/>
        </w:tabs>
        <w:spacing w:before="120"/>
        <w:rPr>
          <w:sz w:val="20"/>
        </w:rPr>
      </w:pPr>
      <w:r>
        <w:rPr>
          <w:sz w:val="20"/>
        </w:rPr>
        <w:t>Name and address of the forwarding authority</w:t>
      </w:r>
      <w:r>
        <w:rPr>
          <w:sz w:val="20"/>
        </w:rPr>
        <w:tab/>
      </w:r>
    </w:p>
    <w:p>
      <w:pPr>
        <w:pStyle w:val="yMiscellaneousBody"/>
        <w:tabs>
          <w:tab w:val="left" w:pos="600"/>
          <w:tab w:val="right" w:leader="dot" w:pos="7080"/>
        </w:tabs>
        <w:spacing w:before="120"/>
        <w:rPr>
          <w:sz w:val="20"/>
        </w:rPr>
      </w:pPr>
      <w:r>
        <w:rPr>
          <w:sz w:val="20"/>
        </w:rPr>
        <w:t>Particulars of the parties</w:t>
      </w:r>
      <w:r>
        <w:rPr>
          <w:sz w:val="20"/>
        </w:rPr>
        <w:tab/>
      </w:r>
    </w:p>
    <w:p>
      <w:pPr>
        <w:pStyle w:val="yMiscellaneousBody"/>
        <w:tabs>
          <w:tab w:val="left" w:pos="600"/>
          <w:tab w:val="right" w:leader="dot" w:pos="6804"/>
        </w:tabs>
        <w:rPr>
          <w:sz w:val="20"/>
        </w:rPr>
      </w:pPr>
      <w:r>
        <w:rPr>
          <w:sz w:val="20"/>
        </w:rPr>
        <w:t>**JUDICIAL DOCUMENT</w:t>
      </w:r>
    </w:p>
    <w:p>
      <w:pPr>
        <w:pStyle w:val="yMiscellaneousBody"/>
        <w:tabs>
          <w:tab w:val="left" w:pos="600"/>
          <w:tab w:val="right" w:leader="dot" w:pos="7080"/>
        </w:tabs>
        <w:spacing w:before="120"/>
        <w:rPr>
          <w:sz w:val="20"/>
        </w:rPr>
      </w:pPr>
      <w:r>
        <w:rPr>
          <w:sz w:val="20"/>
        </w:rPr>
        <w:t>Nature and purpose of the document</w:t>
      </w:r>
      <w:r>
        <w:rPr>
          <w:sz w:val="20"/>
        </w:rPr>
        <w:tab/>
      </w:r>
    </w:p>
    <w:p>
      <w:pPr>
        <w:pStyle w:val="yMiscellaneousBody"/>
        <w:tabs>
          <w:tab w:val="left" w:pos="600"/>
          <w:tab w:val="right" w:leader="dot" w:pos="7080"/>
        </w:tabs>
        <w:spacing w:before="120"/>
        <w:rPr>
          <w:sz w:val="20"/>
        </w:rPr>
      </w:pPr>
      <w:r>
        <w:rPr>
          <w:sz w:val="20"/>
        </w:rPr>
        <w:t>Nature and purpose of the proceedings and, when appropriate, the amount in dispute</w:t>
      </w:r>
      <w:r>
        <w:rPr>
          <w:sz w:val="20"/>
        </w:rPr>
        <w:tab/>
      </w:r>
    </w:p>
    <w:p>
      <w:pPr>
        <w:pStyle w:val="yMiscellaneousBody"/>
        <w:tabs>
          <w:tab w:val="left" w:pos="600"/>
          <w:tab w:val="right" w:leader="dot" w:pos="7080"/>
        </w:tabs>
        <w:spacing w:before="120"/>
        <w:rPr>
          <w:sz w:val="20"/>
        </w:rPr>
      </w:pPr>
      <w:r>
        <w:rPr>
          <w:sz w:val="20"/>
        </w:rPr>
        <w:t>Date and place for entering appearance</w:t>
      </w:r>
      <w:r>
        <w:rPr>
          <w:sz w:val="20"/>
        </w:rPr>
        <w:tab/>
      </w:r>
    </w:p>
    <w:p>
      <w:pPr>
        <w:pStyle w:val="yMiscellaneousBody"/>
        <w:tabs>
          <w:tab w:val="left" w:pos="600"/>
          <w:tab w:val="right" w:leader="dot" w:pos="7080"/>
        </w:tabs>
        <w:spacing w:before="120"/>
        <w:rPr>
          <w:sz w:val="20"/>
        </w:rPr>
      </w:pPr>
      <w:r>
        <w:rPr>
          <w:sz w:val="20"/>
        </w:rPr>
        <w:t>Court in which proceedings pending/judgment given</w:t>
      </w:r>
      <w:r>
        <w:rPr>
          <w:sz w:val="20"/>
        </w:rPr>
        <w:tab/>
      </w:r>
    </w:p>
    <w:p>
      <w:pPr>
        <w:pStyle w:val="yMiscellaneousBody"/>
        <w:tabs>
          <w:tab w:val="left" w:pos="600"/>
          <w:tab w:val="right" w:leader="dot" w:pos="7080"/>
        </w:tabs>
        <w:spacing w:before="120"/>
        <w:rPr>
          <w:sz w:val="20"/>
        </w:rPr>
      </w:pPr>
      <w:r>
        <w:rPr>
          <w:sz w:val="20"/>
        </w:rPr>
        <w:t xml:space="preserve">**Date of judgment (if applicable) </w:t>
      </w:r>
      <w:r>
        <w:rPr>
          <w:sz w:val="20"/>
        </w:rPr>
        <w:tab/>
      </w:r>
    </w:p>
    <w:p>
      <w:pPr>
        <w:pStyle w:val="yMiscellaneousBody"/>
        <w:tabs>
          <w:tab w:val="left" w:pos="600"/>
          <w:tab w:val="right" w:leader="dot" w:pos="7080"/>
        </w:tabs>
        <w:spacing w:before="120"/>
        <w:rPr>
          <w:sz w:val="20"/>
        </w:rPr>
      </w:pPr>
      <w:r>
        <w:rPr>
          <w:sz w:val="20"/>
        </w:rPr>
        <w:t xml:space="preserve">Time limits stated in the document </w:t>
      </w:r>
      <w:r>
        <w:rPr>
          <w:sz w:val="20"/>
        </w:rPr>
        <w:tab/>
      </w:r>
    </w:p>
    <w:p>
      <w:pPr>
        <w:pStyle w:val="yFootnotesection"/>
      </w:pPr>
      <w:r>
        <w:tab/>
        <w:t>[Form 5B inserted: Gazette 3 Jul 2009 p. 2698</w:t>
      </w:r>
      <w:r>
        <w:noBreakHyphen/>
        <w:t>9; amended: SL 2020/242 r. 11.]</w:t>
      </w:r>
    </w:p>
    <w:p>
      <w:pPr>
        <w:pStyle w:val="yEdnotedivision"/>
        <w:spacing w:before="240"/>
        <w:outlineLvl w:val="9"/>
      </w:pPr>
      <w:r>
        <w:lastRenderedPageBreak/>
        <w:t>[Forms 5C</w:t>
      </w:r>
      <w:r>
        <w:noBreakHyphen/>
        <w:t>5F deleted: Gazette 3 Jul 2009 p. 2696.]</w:t>
      </w:r>
    </w:p>
    <w:p>
      <w:pPr>
        <w:pStyle w:val="yHeading5"/>
        <w:keepNext w:val="0"/>
        <w:keepLines w:val="0"/>
        <w:pageBreakBefore/>
        <w:spacing w:before="0"/>
      </w:pPr>
      <w:bookmarkStart w:id="1589" w:name="_Toc163121815"/>
      <w:r>
        <w:rPr>
          <w:rStyle w:val="CharSClsNo"/>
        </w:rPr>
        <w:lastRenderedPageBreak/>
        <w:t>6</w:t>
      </w:r>
      <w:r>
        <w:t>.</w:t>
      </w:r>
      <w:r>
        <w:tab/>
        <w:t>Memorandum of appearance (O. 12 r. 2(2))</w:t>
      </w:r>
      <w:bookmarkEnd w:id="1589"/>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58"/>
        <w:gridCol w:w="43"/>
        <w:gridCol w:w="1843"/>
        <w:gridCol w:w="1417"/>
        <w:gridCol w:w="690"/>
        <w:gridCol w:w="1153"/>
      </w:tblGrid>
      <w:tr>
        <w:trPr>
          <w:cantSplit/>
          <w:trHeight w:val="329"/>
        </w:trPr>
        <w:tc>
          <w:tcPr>
            <w:tcW w:w="3544" w:type="dxa"/>
            <w:gridSpan w:val="3"/>
            <w:vMerge w:val="restart"/>
            <w:tcBorders>
              <w:bottom w:val="single" w:sz="4" w:space="0" w:color="auto"/>
            </w:tcBorders>
          </w:tcPr>
          <w:p>
            <w:pPr>
              <w:pStyle w:val="yTableNAm"/>
              <w:rPr>
                <w:sz w:val="20"/>
              </w:rPr>
            </w:pPr>
            <w:r>
              <w:rPr>
                <w:sz w:val="20"/>
              </w:rPr>
              <w:t>Supreme Court of Western Australia</w:t>
            </w:r>
          </w:p>
        </w:tc>
        <w:tc>
          <w:tcPr>
            <w:tcW w:w="3260" w:type="dxa"/>
            <w:gridSpan w:val="3"/>
            <w:tcBorders>
              <w:bottom w:val="single" w:sz="4" w:space="0" w:color="auto"/>
            </w:tcBorders>
            <w:vAlign w:val="center"/>
          </w:tcPr>
          <w:p>
            <w:pPr>
              <w:pStyle w:val="yTableNAm"/>
              <w:rPr>
                <w:sz w:val="20"/>
              </w:rPr>
            </w:pPr>
            <w:r>
              <w:rPr>
                <w:sz w:val="20"/>
              </w:rPr>
              <w:t>No:</w:t>
            </w:r>
          </w:p>
        </w:tc>
      </w:tr>
      <w:tr>
        <w:trPr>
          <w:cantSplit/>
          <w:trHeight w:val="328"/>
        </w:trPr>
        <w:tc>
          <w:tcPr>
            <w:tcW w:w="3544" w:type="dxa"/>
            <w:gridSpan w:val="3"/>
            <w:vMerge/>
            <w:tcBorders>
              <w:bottom w:val="single" w:sz="4" w:space="0" w:color="auto"/>
            </w:tcBorders>
          </w:tcPr>
          <w:p>
            <w:pPr>
              <w:pStyle w:val="yTableNAm"/>
              <w:spacing w:before="60"/>
              <w:rPr>
                <w:sz w:val="20"/>
              </w:rPr>
            </w:pPr>
          </w:p>
        </w:tc>
        <w:tc>
          <w:tcPr>
            <w:tcW w:w="3260" w:type="dxa"/>
            <w:gridSpan w:val="3"/>
            <w:tcBorders>
              <w:bottom w:val="single" w:sz="4" w:space="0" w:color="auto"/>
            </w:tcBorders>
          </w:tcPr>
          <w:p>
            <w:pPr>
              <w:pStyle w:val="yTableNAm"/>
              <w:spacing w:before="60"/>
              <w:rPr>
                <w:sz w:val="20"/>
              </w:rPr>
            </w:pPr>
            <w:r>
              <w:rPr>
                <w:b/>
                <w:sz w:val="20"/>
              </w:rPr>
              <w:t>Memorandum of appearance</w:t>
            </w:r>
          </w:p>
        </w:tc>
      </w:tr>
      <w:tr>
        <w:trPr>
          <w:cantSplit/>
        </w:trPr>
        <w:tc>
          <w:tcPr>
            <w:tcW w:w="1658" w:type="dxa"/>
            <w:tcBorders>
              <w:top w:val="single" w:sz="4" w:space="0" w:color="auto"/>
              <w:bottom w:val="nil"/>
            </w:tcBorders>
          </w:tcPr>
          <w:p>
            <w:pPr>
              <w:pStyle w:val="yTableNAm"/>
              <w:rPr>
                <w:sz w:val="20"/>
              </w:rPr>
            </w:pPr>
            <w:r>
              <w:rPr>
                <w:sz w:val="20"/>
              </w:rPr>
              <w:t>Parties</w:t>
            </w:r>
          </w:p>
        </w:tc>
        <w:tc>
          <w:tcPr>
            <w:tcW w:w="5146" w:type="dxa"/>
            <w:gridSpan w:val="5"/>
            <w:tcBorders>
              <w:top w:val="single" w:sz="4" w:space="0" w:color="auto"/>
              <w:bottom w:val="nil"/>
            </w:tcBorders>
          </w:tcPr>
          <w:p>
            <w:pPr>
              <w:pStyle w:val="yTableNAm"/>
              <w:jc w:val="right"/>
              <w:rPr>
                <w:sz w:val="20"/>
              </w:rPr>
            </w:pPr>
            <w:r>
              <w:rPr>
                <w:sz w:val="20"/>
              </w:rPr>
              <w:t>Plaintiff/Applicant</w:t>
            </w:r>
            <w:r>
              <w:rPr>
                <w:sz w:val="20"/>
                <w:vertAlign w:val="superscript"/>
              </w:rPr>
              <w:t>1</w:t>
            </w:r>
          </w:p>
          <w:p>
            <w:pPr>
              <w:pStyle w:val="yTableNAm"/>
              <w:jc w:val="right"/>
              <w:rPr>
                <w:sz w:val="20"/>
              </w:rPr>
            </w:pPr>
            <w:r>
              <w:rPr>
                <w:sz w:val="20"/>
              </w:rPr>
              <w:t>Defendant/Respondent</w:t>
            </w:r>
            <w:r>
              <w:rPr>
                <w:sz w:val="20"/>
                <w:vertAlign w:val="superscript"/>
              </w:rPr>
              <w:t>1</w:t>
            </w:r>
          </w:p>
        </w:tc>
      </w:tr>
      <w:tr>
        <w:trPr>
          <w:cantSplit/>
        </w:trPr>
        <w:tc>
          <w:tcPr>
            <w:tcW w:w="6804" w:type="dxa"/>
            <w:gridSpan w:val="6"/>
            <w:tcBorders>
              <w:bottom w:val="single" w:sz="4" w:space="0" w:color="auto"/>
            </w:tcBorders>
          </w:tcPr>
          <w:p>
            <w:pPr>
              <w:pStyle w:val="yTableNAm"/>
              <w:rPr>
                <w:sz w:val="20"/>
              </w:rPr>
            </w:pPr>
            <w:r>
              <w:rPr>
                <w:sz w:val="20"/>
              </w:rPr>
              <w:t>Enter an appearance for the Defendant/Respondent/Third Party</w:t>
            </w:r>
            <w:r>
              <w:rPr>
                <w:sz w:val="20"/>
                <w:vertAlign w:val="superscript"/>
              </w:rPr>
              <w:t>2</w:t>
            </w:r>
            <w:r>
              <w:rPr>
                <w:sz w:val="20"/>
              </w:rPr>
              <w:t>:</w:t>
            </w:r>
          </w:p>
          <w:p>
            <w:pPr>
              <w:pStyle w:val="yTableNAm"/>
              <w:rPr>
                <w:sz w:val="20"/>
              </w:rPr>
            </w:pPr>
          </w:p>
        </w:tc>
      </w:tr>
      <w:tr>
        <w:trPr>
          <w:cantSplit/>
        </w:trPr>
        <w:tc>
          <w:tcPr>
            <w:tcW w:w="1701" w:type="dxa"/>
            <w:gridSpan w:val="2"/>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6"/>
            <w:tcBorders>
              <w:bottom w:val="single" w:sz="4" w:space="0" w:color="auto"/>
            </w:tcBorders>
          </w:tcPr>
          <w:p>
            <w:pPr>
              <w:pStyle w:val="yTableNAm"/>
              <w:rPr>
                <w:sz w:val="20"/>
              </w:rPr>
            </w:pPr>
            <w:r>
              <w:rPr>
                <w:b/>
                <w:sz w:val="20"/>
              </w:rPr>
              <w:t>ADDRESS AND SERVICE DETAILS</w:t>
            </w:r>
          </w:p>
        </w:tc>
      </w:tr>
      <w:tr>
        <w:trPr>
          <w:cantSplit/>
        </w:trPr>
        <w:tc>
          <w:tcPr>
            <w:tcW w:w="1658"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Name of lawyer</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Address where lawyer conducts business</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Postal address for service of documents</w:t>
            </w:r>
            <w:r>
              <w:rPr>
                <w:sz w:val="20"/>
                <w:vertAlign w:val="superscript"/>
              </w:rPr>
              <w:t>5</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Email address</w:t>
            </w:r>
            <w:r>
              <w:rPr>
                <w:sz w:val="20"/>
                <w:vertAlign w:val="superscript"/>
              </w:rPr>
              <w:t>6</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Telephone number</w:t>
            </w:r>
            <w:r>
              <w:rPr>
                <w:sz w:val="20"/>
                <w:vertAlign w:val="superscript"/>
              </w:rPr>
              <w:t>7</w:t>
            </w:r>
          </w:p>
        </w:tc>
        <w:tc>
          <w:tcPr>
            <w:tcW w:w="1886" w:type="dxa"/>
            <w:gridSpan w:val="2"/>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Reference</w:t>
            </w:r>
            <w:r>
              <w:rPr>
                <w:sz w:val="20"/>
                <w:vertAlign w:val="superscript"/>
              </w:rPr>
              <w:t>8</w:t>
            </w:r>
          </w:p>
        </w:tc>
        <w:tc>
          <w:tcPr>
            <w:tcW w:w="5146" w:type="dxa"/>
            <w:gridSpan w:val="5"/>
            <w:tcBorders>
              <w:bottom w:val="single" w:sz="4" w:space="0" w:color="auto"/>
            </w:tcBorders>
          </w:tcPr>
          <w:p>
            <w:pPr>
              <w:pStyle w:val="yTableNAm"/>
              <w:rPr>
                <w:sz w:val="20"/>
              </w:rPr>
            </w:pPr>
          </w:p>
        </w:tc>
      </w:tr>
      <w:tr>
        <w:trPr>
          <w:cantSplit/>
        </w:trPr>
        <w:tc>
          <w:tcPr>
            <w:tcW w:w="1658" w:type="dxa"/>
            <w:tcBorders>
              <w:top w:val="single" w:sz="4" w:space="0" w:color="auto"/>
              <w:bottom w:val="single" w:sz="4" w:space="0" w:color="auto"/>
            </w:tcBorders>
          </w:tcPr>
          <w:p>
            <w:pPr>
              <w:pStyle w:val="yTableNAm"/>
              <w:rPr>
                <w:sz w:val="20"/>
              </w:rPr>
            </w:pPr>
            <w:r>
              <w:rPr>
                <w:sz w:val="20"/>
              </w:rPr>
              <w:t>Signature of party or lawyer</w:t>
            </w:r>
          </w:p>
        </w:tc>
        <w:tc>
          <w:tcPr>
            <w:tcW w:w="3993" w:type="dxa"/>
            <w:gridSpan w:val="4"/>
            <w:tcBorders>
              <w:top w:val="single" w:sz="4" w:space="0" w:color="auto"/>
              <w:bottom w:val="single" w:sz="4" w:space="0" w:color="auto"/>
            </w:tcBorders>
          </w:tcPr>
          <w:p>
            <w:pPr>
              <w:pStyle w:val="BodyText3"/>
              <w:spacing w:before="60"/>
              <w:rPr>
                <w:sz w:val="20"/>
              </w:rPr>
            </w:pPr>
            <w:r>
              <w:rPr>
                <w:sz w:val="20"/>
              </w:rPr>
              <w:br/>
              <w:t>Party/Party’s Lawyer</w:t>
            </w:r>
          </w:p>
        </w:tc>
        <w:tc>
          <w:tcPr>
            <w:tcW w:w="1153" w:type="dxa"/>
            <w:tcBorders>
              <w:top w:val="single" w:sz="4" w:space="0" w:color="auto"/>
              <w:bottom w:val="single" w:sz="4" w:space="0" w:color="auto"/>
            </w:tcBorders>
          </w:tcPr>
          <w:p>
            <w:pPr>
              <w:pStyle w:val="yTableNAm"/>
              <w:rPr>
                <w:sz w:val="20"/>
              </w:rPr>
            </w:pPr>
            <w:r>
              <w:rPr>
                <w:sz w:val="20"/>
              </w:rPr>
              <w:t>Date:</w:t>
            </w:r>
          </w:p>
        </w:tc>
      </w:tr>
    </w:tbl>
    <w:p>
      <w:pPr>
        <w:pStyle w:val="yMiscellaneousBody"/>
        <w:tabs>
          <w:tab w:val="left" w:pos="5670"/>
        </w:tabs>
        <w:ind w:left="540" w:hanging="540"/>
        <w:rPr>
          <w:sz w:val="20"/>
        </w:rPr>
      </w:pPr>
      <w:r>
        <w:rPr>
          <w:sz w:val="20"/>
        </w:rPr>
        <w:t>Notes to Form No. 6 —</w:t>
      </w:r>
    </w:p>
    <w:p>
      <w:pPr>
        <w:pStyle w:val="yMiscellaneousBody"/>
        <w:tabs>
          <w:tab w:val="left" w:pos="5670"/>
        </w:tabs>
        <w:spacing w:before="0"/>
        <w:ind w:left="540" w:hanging="540"/>
        <w:rPr>
          <w:sz w:val="20"/>
        </w:rPr>
      </w:pPr>
      <w:r>
        <w:rPr>
          <w:sz w:val="20"/>
        </w:rPr>
        <w:t>1.</w:t>
      </w:r>
      <w:r>
        <w:rPr>
          <w:sz w:val="20"/>
        </w:rPr>
        <w:tab/>
        <w:t>Add full party details.</w:t>
      </w:r>
    </w:p>
    <w:p>
      <w:pPr>
        <w:pStyle w:val="yMiscellaneousBody"/>
        <w:tabs>
          <w:tab w:val="left" w:pos="5670"/>
        </w:tabs>
        <w:spacing w:before="0"/>
        <w:ind w:left="540" w:hanging="540"/>
        <w:rPr>
          <w:sz w:val="20"/>
        </w:rPr>
      </w:pPr>
      <w:r>
        <w:rPr>
          <w:sz w:val="20"/>
        </w:rPr>
        <w:t>2.</w:t>
      </w:r>
      <w:r>
        <w:rPr>
          <w:sz w:val="20"/>
        </w:rPr>
        <w:tab/>
        <w:t>Delete inapplicable.  Add other party designation if required.</w:t>
      </w:r>
    </w:p>
    <w:p>
      <w:pPr>
        <w:pStyle w:val="yMiscellaneousBody"/>
        <w:tabs>
          <w:tab w:val="left" w:pos="5670"/>
        </w:tabs>
        <w:spacing w:before="0"/>
        <w:ind w:left="540" w:hanging="540"/>
        <w:rPr>
          <w:sz w:val="20"/>
        </w:rPr>
      </w:pPr>
      <w:r>
        <w:rPr>
          <w:sz w:val="20"/>
        </w:rPr>
        <w:t>3.</w:t>
      </w:r>
      <w:r>
        <w:rPr>
          <w:sz w:val="20"/>
        </w:rPr>
        <w:tab/>
        <w:t>Must be provided unless otherwise ordered by the Court.  See Order 71A r. 2 and 3A.</w:t>
      </w:r>
    </w:p>
    <w:p>
      <w:pPr>
        <w:pStyle w:val="yMiscellaneousBody"/>
        <w:tabs>
          <w:tab w:val="left" w:pos="5670"/>
        </w:tabs>
        <w:spacing w:before="0"/>
        <w:ind w:left="540" w:hanging="540"/>
        <w:rPr>
          <w:sz w:val="20"/>
        </w:rPr>
      </w:pPr>
      <w:r>
        <w:rPr>
          <w:sz w:val="20"/>
        </w:rPr>
        <w:t>4.</w:t>
      </w:r>
      <w:r>
        <w:rPr>
          <w:sz w:val="20"/>
        </w:rPr>
        <w:tab/>
        <w:t>Must be provided if a lawyer has been appointed.</w:t>
      </w:r>
    </w:p>
    <w:p>
      <w:pPr>
        <w:pStyle w:val="yMiscellaneousBody"/>
        <w:tabs>
          <w:tab w:val="left" w:pos="5670"/>
        </w:tabs>
        <w:spacing w:before="0"/>
        <w:ind w:left="540" w:hanging="540"/>
        <w:rPr>
          <w:sz w:val="20"/>
        </w:rPr>
      </w:pPr>
      <w:r>
        <w:rPr>
          <w:sz w:val="20"/>
        </w:rPr>
        <w:t>5.</w:t>
      </w:r>
      <w:r>
        <w:rPr>
          <w:sz w:val="20"/>
        </w:rPr>
        <w:tab/>
        <w:t>Must be provided - to be lawyer’s postal address if party is legally represented.</w:t>
      </w:r>
    </w:p>
    <w:p>
      <w:pPr>
        <w:pStyle w:val="yMiscellaneousBody"/>
        <w:tabs>
          <w:tab w:val="left" w:pos="5670"/>
        </w:tabs>
        <w:spacing w:before="0"/>
        <w:ind w:left="540" w:hanging="540"/>
        <w:rPr>
          <w:sz w:val="20"/>
        </w:rPr>
      </w:pPr>
      <w:r>
        <w:rPr>
          <w:sz w:val="20"/>
        </w:rPr>
        <w:t>6.</w:t>
      </w:r>
      <w:r>
        <w:rPr>
          <w:sz w:val="20"/>
        </w:rPr>
        <w:tab/>
        <w:t>Optional - if provided, may be used for service of documents.</w:t>
      </w:r>
    </w:p>
    <w:p>
      <w:pPr>
        <w:pStyle w:val="yMiscellaneousBody"/>
        <w:keepNext/>
        <w:tabs>
          <w:tab w:val="left" w:pos="5670"/>
        </w:tabs>
        <w:spacing w:before="0"/>
        <w:ind w:left="540" w:hanging="540"/>
        <w:rPr>
          <w:sz w:val="20"/>
        </w:rPr>
      </w:pPr>
      <w:r>
        <w:rPr>
          <w:sz w:val="20"/>
        </w:rPr>
        <w:lastRenderedPageBreak/>
        <w:t>7.</w:t>
      </w:r>
      <w:r>
        <w:rPr>
          <w:sz w:val="20"/>
        </w:rPr>
        <w:tab/>
        <w:t>Must be provided - to be lawyer’s telephone number if party is legally represented.</w:t>
      </w:r>
    </w:p>
    <w:p>
      <w:pPr>
        <w:pStyle w:val="yMiscellaneousBody"/>
        <w:keepNext/>
        <w:tabs>
          <w:tab w:val="left" w:pos="5670"/>
        </w:tabs>
        <w:spacing w:before="0"/>
        <w:ind w:left="540" w:hanging="540"/>
        <w:rPr>
          <w:sz w:val="20"/>
        </w:rPr>
      </w:pPr>
      <w:r>
        <w:rPr>
          <w:sz w:val="20"/>
        </w:rPr>
        <w:t>8.</w:t>
      </w:r>
      <w:r>
        <w:rPr>
          <w:sz w:val="20"/>
        </w:rPr>
        <w:tab/>
        <w:t>Optional.</w:t>
      </w:r>
    </w:p>
    <w:p>
      <w:pPr>
        <w:pStyle w:val="yFootnotesection"/>
        <w:tabs>
          <w:tab w:val="left" w:pos="5670"/>
        </w:tabs>
      </w:pPr>
      <w:r>
        <w:tab/>
        <w:t>[Form 6 inserted: Gazette 13 Nov 2015 p. 4652.]</w:t>
      </w:r>
    </w:p>
    <w:p>
      <w:pPr>
        <w:pStyle w:val="yHeading5"/>
        <w:keepNext w:val="0"/>
        <w:keepLines w:val="0"/>
        <w:pageBreakBefore/>
        <w:widowControl w:val="0"/>
        <w:spacing w:after="160"/>
      </w:pPr>
      <w:bookmarkStart w:id="1590" w:name="_Toc163121816"/>
      <w:r>
        <w:rPr>
          <w:rStyle w:val="CharSClsNo"/>
        </w:rPr>
        <w:lastRenderedPageBreak/>
        <w:t>7</w:t>
      </w:r>
      <w:r>
        <w:t>.</w:t>
      </w:r>
      <w:r>
        <w:rPr>
          <w:b w:val="0"/>
        </w:rPr>
        <w:tab/>
      </w:r>
      <w:r>
        <w:t>Notice limiting defence (O. 12 r. 10)</w:t>
      </w:r>
      <w:bookmarkEnd w:id="1590"/>
    </w:p>
    <w:p>
      <w:pPr>
        <w:pStyle w:val="yMiscellaneousBody"/>
        <w:spacing w:before="120"/>
        <w:jc w:val="center"/>
        <w:rPr>
          <w:i/>
          <w:sz w:val="20"/>
        </w:rPr>
      </w:pPr>
      <w:r>
        <w:rPr>
          <w:i/>
          <w:sz w:val="20"/>
        </w:rPr>
        <w:t>(Heading as in action)</w:t>
      </w:r>
    </w:p>
    <w:p>
      <w:pPr>
        <w:pStyle w:val="yMiscellaneousBody"/>
        <w:spacing w:before="120"/>
        <w:rPr>
          <w:sz w:val="20"/>
        </w:rPr>
      </w:pP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pPr>
        <w:pStyle w:val="yMiscellaneousBody"/>
        <w:spacing w:before="120"/>
        <w:rPr>
          <w:sz w:val="20"/>
        </w:rPr>
      </w:pPr>
      <w:r>
        <w:rPr>
          <w:sz w:val="20"/>
        </w:rPr>
        <w:t>Dated the                           day of                                  20        .</w:t>
      </w:r>
    </w:p>
    <w:p>
      <w:pPr>
        <w:pStyle w:val="yMiscellaneousBody"/>
        <w:spacing w:before="120"/>
        <w:ind w:left="3720"/>
        <w:rPr>
          <w:sz w:val="20"/>
        </w:rPr>
      </w:pPr>
      <w:r>
        <w:rPr>
          <w:sz w:val="20"/>
        </w:rPr>
        <w:t>(Signed)</w:t>
      </w:r>
    </w:p>
    <w:p>
      <w:pPr>
        <w:pStyle w:val="yMiscellaneousBody"/>
        <w:tabs>
          <w:tab w:val="left" w:pos="5040"/>
        </w:tabs>
        <w:spacing w:before="120"/>
        <w:ind w:left="3720"/>
        <w:rPr>
          <w:sz w:val="20"/>
        </w:rPr>
      </w:pPr>
      <w:r>
        <w:rPr>
          <w:sz w:val="20"/>
        </w:rPr>
        <w:t>of</w:t>
      </w:r>
      <w:r>
        <w:rPr>
          <w:sz w:val="20"/>
        </w:rPr>
        <w:tab/>
        <w:t>Agent for</w:t>
      </w:r>
    </w:p>
    <w:p>
      <w:pPr>
        <w:pStyle w:val="yMiscellaneousBody"/>
        <w:spacing w:before="120"/>
        <w:ind w:left="4560"/>
        <w:rPr>
          <w:sz w:val="20"/>
        </w:rPr>
      </w:pPr>
      <w:r>
        <w:rPr>
          <w:sz w:val="20"/>
        </w:rPr>
        <w:t>of</w:t>
      </w:r>
    </w:p>
    <w:p>
      <w:pPr>
        <w:pStyle w:val="yMiscellaneousBody"/>
        <w:spacing w:before="120"/>
        <w:ind w:left="3000"/>
        <w:rPr>
          <w:sz w:val="20"/>
        </w:rPr>
      </w:pPr>
      <w:r>
        <w:rPr>
          <w:sz w:val="20"/>
        </w:rPr>
        <w:t>Solicitor for the said</w:t>
      </w:r>
      <w:r>
        <w:rPr>
          <w:sz w:val="20"/>
        </w:rPr>
        <w:br/>
        <w:t>defendant C.D.</w:t>
      </w:r>
    </w:p>
    <w:p>
      <w:pPr>
        <w:pStyle w:val="yMiscellaneousBody"/>
        <w:spacing w:before="120"/>
        <w:ind w:left="3000"/>
        <w:rPr>
          <w:sz w:val="20"/>
        </w:rPr>
      </w:pPr>
    </w:p>
    <w:p>
      <w:pPr>
        <w:pStyle w:val="yMiscellaneousBody"/>
        <w:spacing w:before="120"/>
        <w:ind w:left="3000"/>
        <w:rPr>
          <w:sz w:val="20"/>
        </w:rPr>
      </w:pPr>
      <w:r>
        <w:rPr>
          <w:sz w:val="20"/>
        </w:rPr>
        <w:t>(</w:t>
      </w:r>
      <w:r>
        <w:rPr>
          <w:i/>
          <w:sz w:val="20"/>
        </w:rPr>
        <w:t>or</w:t>
      </w:r>
      <w:r>
        <w:rPr>
          <w:sz w:val="20"/>
        </w:rPr>
        <w:t>) C.D., defendant in person.</w:t>
      </w:r>
    </w:p>
    <w:p>
      <w:pPr>
        <w:pStyle w:val="yFootnotesection"/>
      </w:pPr>
      <w:r>
        <w:tab/>
        <w:t>[Form 7 amended: Gazette 28 Jun 2011 p. 2556.]</w:t>
      </w:r>
    </w:p>
    <w:p>
      <w:pPr>
        <w:pStyle w:val="yHeading5"/>
      </w:pPr>
      <w:bookmarkStart w:id="1591" w:name="_Toc161821933"/>
      <w:bookmarkStart w:id="1592" w:name="_Toc161822341"/>
      <w:bookmarkStart w:id="1593" w:name="_Toc163121817"/>
      <w:r>
        <w:rPr>
          <w:rStyle w:val="CharSClsNo"/>
        </w:rPr>
        <w:lastRenderedPageBreak/>
        <w:t>8</w:t>
      </w:r>
      <w:r>
        <w:t>.</w:t>
      </w:r>
      <w:r>
        <w:tab/>
        <w:t>Notice of intention to abide (O. 12 r. 11)</w:t>
      </w:r>
      <w:bookmarkEnd w:id="1591"/>
      <w:bookmarkEnd w:id="1592"/>
      <w:bookmarkEnd w:id="1593"/>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1843"/>
        <w:gridCol w:w="1782"/>
        <w:gridCol w:w="1478"/>
      </w:tblGrid>
      <w:tr>
        <w:trPr>
          <w:cantSplit/>
          <w:trHeight w:val="329"/>
        </w:trPr>
        <w:tc>
          <w:tcPr>
            <w:tcW w:w="3544" w:type="dxa"/>
            <w:gridSpan w:val="2"/>
            <w:vMerge w:val="restart"/>
            <w:noWrap/>
          </w:tcPr>
          <w:p>
            <w:pPr>
              <w:pStyle w:val="yTableNAm"/>
              <w:keepNext/>
              <w:rPr>
                <w:sz w:val="20"/>
                <w:szCs w:val="18"/>
              </w:rPr>
            </w:pPr>
            <w:r>
              <w:rPr>
                <w:sz w:val="20"/>
                <w:szCs w:val="18"/>
              </w:rPr>
              <w:t>Supreme Court of Western Australia</w:t>
            </w:r>
          </w:p>
        </w:tc>
        <w:tc>
          <w:tcPr>
            <w:tcW w:w="3260" w:type="dxa"/>
            <w:gridSpan w:val="2"/>
            <w:tcBorders>
              <w:bottom w:val="nil"/>
            </w:tcBorders>
            <w:noWrap/>
            <w:vAlign w:val="center"/>
          </w:tcPr>
          <w:p>
            <w:pPr>
              <w:pStyle w:val="yTableNAm"/>
              <w:keepNext/>
              <w:rPr>
                <w:sz w:val="20"/>
                <w:szCs w:val="18"/>
              </w:rPr>
            </w:pPr>
            <w:r>
              <w:rPr>
                <w:sz w:val="20"/>
                <w:szCs w:val="18"/>
              </w:rPr>
              <w:t>No:</w:t>
            </w:r>
          </w:p>
        </w:tc>
      </w:tr>
      <w:tr>
        <w:trPr>
          <w:cantSplit/>
          <w:trHeight w:val="328"/>
        </w:trPr>
        <w:tc>
          <w:tcPr>
            <w:tcW w:w="3544" w:type="dxa"/>
            <w:gridSpan w:val="2"/>
            <w:vMerge/>
            <w:tcBorders>
              <w:bottom w:val="nil"/>
            </w:tcBorders>
            <w:noWrap/>
          </w:tcPr>
          <w:p>
            <w:pPr>
              <w:pStyle w:val="yTableNAm"/>
              <w:keepNext/>
              <w:spacing w:before="60"/>
              <w:rPr>
                <w:sz w:val="20"/>
              </w:rPr>
            </w:pPr>
          </w:p>
        </w:tc>
        <w:tc>
          <w:tcPr>
            <w:tcW w:w="3260" w:type="dxa"/>
            <w:gridSpan w:val="2"/>
            <w:tcBorders>
              <w:bottom w:val="nil"/>
            </w:tcBorders>
            <w:noWrap/>
          </w:tcPr>
          <w:p>
            <w:pPr>
              <w:pStyle w:val="yTableNAm"/>
              <w:keepNext/>
              <w:rPr>
                <w:sz w:val="20"/>
                <w:szCs w:val="18"/>
              </w:rPr>
            </w:pPr>
            <w:r>
              <w:rPr>
                <w:b/>
                <w:sz w:val="20"/>
                <w:szCs w:val="18"/>
              </w:rPr>
              <w:t>Notice of intention to abide</w:t>
            </w:r>
          </w:p>
        </w:tc>
      </w:tr>
      <w:tr>
        <w:trPr>
          <w:cantSplit/>
        </w:trPr>
        <w:tc>
          <w:tcPr>
            <w:tcW w:w="1701" w:type="dxa"/>
            <w:tcBorders>
              <w:bottom w:val="nil"/>
            </w:tcBorders>
            <w:noWrap/>
          </w:tcPr>
          <w:p>
            <w:pPr>
              <w:pStyle w:val="yTableNAm"/>
              <w:keepNext/>
              <w:rPr>
                <w:sz w:val="20"/>
                <w:szCs w:val="18"/>
              </w:rPr>
            </w:pPr>
            <w:r>
              <w:rPr>
                <w:sz w:val="20"/>
                <w:szCs w:val="18"/>
              </w:rPr>
              <w:t>Parties</w:t>
            </w:r>
          </w:p>
        </w:tc>
        <w:tc>
          <w:tcPr>
            <w:tcW w:w="5103" w:type="dxa"/>
            <w:gridSpan w:val="3"/>
            <w:tcBorders>
              <w:bottom w:val="nil"/>
            </w:tcBorders>
            <w:noWrap/>
          </w:tcPr>
          <w:p>
            <w:pPr>
              <w:pStyle w:val="yTableNAm"/>
              <w:keepNext/>
              <w:jc w:val="right"/>
              <w:rPr>
                <w:sz w:val="20"/>
                <w:szCs w:val="18"/>
              </w:rPr>
            </w:pPr>
            <w:r>
              <w:rPr>
                <w:sz w:val="20"/>
                <w:szCs w:val="18"/>
              </w:rPr>
              <w:t>Plaintiff/Applicant</w:t>
            </w:r>
            <w:r>
              <w:rPr>
                <w:sz w:val="20"/>
                <w:szCs w:val="18"/>
                <w:vertAlign w:val="superscript"/>
              </w:rPr>
              <w:t> 1</w:t>
            </w:r>
          </w:p>
          <w:p>
            <w:pPr>
              <w:pStyle w:val="yTableNAm"/>
              <w:keepNext/>
              <w:jc w:val="right"/>
            </w:pPr>
            <w:r>
              <w:rPr>
                <w:sz w:val="20"/>
                <w:szCs w:val="18"/>
              </w:rPr>
              <w:t>Defendant/Respondent</w:t>
            </w:r>
            <w:r>
              <w:rPr>
                <w:sz w:val="20"/>
                <w:szCs w:val="18"/>
                <w:vertAlign w:val="superscript"/>
              </w:rPr>
              <w:t> 1</w:t>
            </w:r>
          </w:p>
        </w:tc>
      </w:tr>
      <w:tr>
        <w:trPr>
          <w:cantSplit/>
        </w:trPr>
        <w:tc>
          <w:tcPr>
            <w:tcW w:w="1701" w:type="dxa"/>
            <w:tcBorders>
              <w:bottom w:val="nil"/>
            </w:tcBorders>
            <w:noWrap/>
          </w:tcPr>
          <w:p>
            <w:pPr>
              <w:pStyle w:val="yTableNAm"/>
              <w:keepNext/>
              <w:rPr>
                <w:sz w:val="20"/>
                <w:szCs w:val="18"/>
              </w:rPr>
            </w:pPr>
            <w:r>
              <w:rPr>
                <w:sz w:val="20"/>
                <w:szCs w:val="18"/>
              </w:rPr>
              <w:t>Notice</w:t>
            </w:r>
          </w:p>
          <w:p>
            <w:pPr>
              <w:pStyle w:val="yTableNAm"/>
              <w:keepNext/>
              <w:rPr>
                <w:i/>
                <w:iCs/>
                <w:sz w:val="20"/>
                <w:szCs w:val="18"/>
              </w:rPr>
            </w:pPr>
            <w:r>
              <w:rPr>
                <w:i/>
                <w:iCs/>
                <w:sz w:val="20"/>
                <w:szCs w:val="18"/>
              </w:rPr>
              <w:t>[Tick one box]</w:t>
            </w:r>
          </w:p>
          <w:p>
            <w:pPr>
              <w:pStyle w:val="yTableNAm"/>
              <w:keepNext/>
              <w:rPr>
                <w:sz w:val="20"/>
                <w:szCs w:val="18"/>
              </w:rPr>
            </w:pPr>
          </w:p>
        </w:tc>
        <w:tc>
          <w:tcPr>
            <w:tcW w:w="5103" w:type="dxa"/>
            <w:gridSpan w:val="3"/>
            <w:tcBorders>
              <w:bottom w:val="nil"/>
            </w:tcBorders>
            <w:noWrap/>
          </w:tcPr>
          <w:p>
            <w:pPr>
              <w:pStyle w:val="yTableNAm"/>
              <w:keepNext/>
              <w:tabs>
                <w:tab w:val="clear" w:pos="567"/>
              </w:tabs>
              <w:ind w:left="336" w:hanging="336"/>
              <w:rPr>
                <w:sz w:val="20"/>
                <w:szCs w:val="18"/>
              </w:rPr>
            </w:pPr>
            <w:r>
              <w:rPr>
                <w:sz w:val="20"/>
                <w:szCs w:val="18"/>
              </w:rPr>
              <w:sym w:font="Monotype Sorts" w:char="F070"/>
            </w:r>
            <w:r>
              <w:rPr>
                <w:sz w:val="20"/>
                <w:szCs w:val="18"/>
              </w:rPr>
              <w:tab/>
              <w:t>The defendant/respondent does not intend to take part in the proceedings and will accept any order made by the Court.</w:t>
            </w:r>
          </w:p>
          <w:p>
            <w:pPr>
              <w:pStyle w:val="yTableNAm"/>
              <w:keepNext/>
              <w:tabs>
                <w:tab w:val="clear" w:pos="567"/>
              </w:tabs>
              <w:ind w:left="336" w:hanging="336"/>
              <w:rPr>
                <w:sz w:val="20"/>
              </w:rPr>
            </w:pPr>
            <w:r>
              <w:rPr>
                <w:sz w:val="20"/>
              </w:rPr>
              <w:sym w:font="Monotype Sorts" w:char="F070"/>
            </w:r>
            <w:r>
              <w:rPr>
                <w:sz w:val="20"/>
              </w:rPr>
              <w:tab/>
              <w:t xml:space="preserve">The defendant/respondent does not intend to take part in the </w:t>
            </w:r>
            <w:r>
              <w:rPr>
                <w:sz w:val="20"/>
                <w:szCs w:val="18"/>
              </w:rPr>
              <w:t>proceedings</w:t>
            </w:r>
            <w:r>
              <w:rPr>
                <w:sz w:val="20"/>
              </w:rPr>
              <w:t xml:space="preserve"> and will accept any order made by the Court other than as to costs.</w:t>
            </w:r>
          </w:p>
        </w:tc>
      </w:tr>
      <w:tr>
        <w:trPr>
          <w:cantSplit/>
        </w:trPr>
        <w:tc>
          <w:tcPr>
            <w:tcW w:w="1701" w:type="dxa"/>
            <w:tcBorders>
              <w:bottom w:val="single" w:sz="4" w:space="0" w:color="auto"/>
            </w:tcBorders>
            <w:noWrap/>
          </w:tcPr>
          <w:p>
            <w:pPr>
              <w:pStyle w:val="yTableNAm"/>
              <w:keepNext/>
              <w:rPr>
                <w:sz w:val="20"/>
                <w:szCs w:val="18"/>
              </w:rPr>
            </w:pPr>
            <w:r>
              <w:rPr>
                <w:sz w:val="20"/>
                <w:szCs w:val="18"/>
              </w:rPr>
              <w:t>Name of defendant/ respondent</w:t>
            </w:r>
            <w:r>
              <w:rPr>
                <w:sz w:val="20"/>
                <w:szCs w:val="18"/>
                <w:vertAlign w:val="superscript"/>
              </w:rPr>
              <w:t> 2</w:t>
            </w:r>
          </w:p>
        </w:tc>
        <w:tc>
          <w:tcPr>
            <w:tcW w:w="5103" w:type="dxa"/>
            <w:gridSpan w:val="3"/>
            <w:tcBorders>
              <w:bottom w:val="single" w:sz="4" w:space="0" w:color="auto"/>
            </w:tcBorders>
            <w:noWrap/>
          </w:tcPr>
          <w:p>
            <w:pPr>
              <w:pStyle w:val="yTableNAm"/>
              <w:keepNext/>
              <w:rPr>
                <w:sz w:val="20"/>
                <w:szCs w:val="18"/>
              </w:rPr>
            </w:pPr>
          </w:p>
        </w:tc>
      </w:tr>
      <w:tr>
        <w:trPr>
          <w:cantSplit/>
        </w:trPr>
        <w:tc>
          <w:tcPr>
            <w:tcW w:w="1701" w:type="dxa"/>
            <w:tcBorders>
              <w:top w:val="single" w:sz="12" w:space="0" w:color="auto"/>
              <w:bottom w:val="single" w:sz="4" w:space="0" w:color="auto"/>
            </w:tcBorders>
            <w:noWrap/>
          </w:tcPr>
          <w:p>
            <w:pPr>
              <w:pStyle w:val="yTableNAm"/>
              <w:keepNext/>
              <w:spacing w:after="40"/>
              <w:rPr>
                <w:sz w:val="20"/>
                <w:szCs w:val="18"/>
              </w:rPr>
            </w:pPr>
            <w:r>
              <w:rPr>
                <w:sz w:val="20"/>
                <w:szCs w:val="18"/>
              </w:rPr>
              <w:t>Signature of party or lawyer</w:t>
            </w:r>
          </w:p>
        </w:tc>
        <w:tc>
          <w:tcPr>
            <w:tcW w:w="3625" w:type="dxa"/>
            <w:gridSpan w:val="2"/>
            <w:tcBorders>
              <w:top w:val="single" w:sz="12" w:space="0" w:color="auto"/>
              <w:bottom w:val="single" w:sz="4" w:space="0" w:color="auto"/>
            </w:tcBorders>
            <w:noWrap/>
            <w:vAlign w:val="bottom"/>
          </w:tcPr>
          <w:p>
            <w:pPr>
              <w:pStyle w:val="yTableNAm"/>
              <w:keepNext/>
              <w:spacing w:after="40"/>
              <w:rPr>
                <w:sz w:val="20"/>
                <w:szCs w:val="18"/>
              </w:rPr>
            </w:pPr>
            <w:r>
              <w:rPr>
                <w:sz w:val="20"/>
                <w:szCs w:val="18"/>
              </w:rPr>
              <w:t>Party/Party’s Lawyer</w:t>
            </w:r>
          </w:p>
        </w:tc>
        <w:tc>
          <w:tcPr>
            <w:tcW w:w="1478" w:type="dxa"/>
            <w:tcBorders>
              <w:top w:val="single" w:sz="12" w:space="0" w:color="auto"/>
              <w:bottom w:val="single" w:sz="4" w:space="0" w:color="auto"/>
            </w:tcBorders>
            <w:noWrap/>
          </w:tcPr>
          <w:p>
            <w:pPr>
              <w:pStyle w:val="yTableNAm"/>
              <w:keepNext/>
              <w:rPr>
                <w:sz w:val="20"/>
                <w:szCs w:val="18"/>
              </w:rPr>
            </w:pPr>
            <w:r>
              <w:rPr>
                <w:sz w:val="20"/>
                <w:szCs w:val="18"/>
              </w:rPr>
              <w:t>Date:</w:t>
            </w:r>
          </w:p>
        </w:tc>
      </w:tr>
    </w:tbl>
    <w:p>
      <w:pPr>
        <w:pStyle w:val="yMiscellaneousBody"/>
        <w:keepNext/>
        <w:rPr>
          <w:sz w:val="20"/>
          <w:szCs w:val="18"/>
        </w:rPr>
      </w:pPr>
      <w:r>
        <w:rPr>
          <w:sz w:val="20"/>
          <w:szCs w:val="18"/>
        </w:rPr>
        <w:t>Notes to Form 8 —</w:t>
      </w:r>
    </w:p>
    <w:p>
      <w:pPr>
        <w:pStyle w:val="yMiscellaneousBody"/>
        <w:keepNext/>
        <w:ind w:left="567" w:hanging="567"/>
        <w:rPr>
          <w:sz w:val="20"/>
          <w:szCs w:val="18"/>
        </w:rPr>
      </w:pPr>
      <w:r>
        <w:rPr>
          <w:sz w:val="20"/>
          <w:szCs w:val="18"/>
        </w:rPr>
        <w:t>1.</w:t>
      </w:r>
      <w:r>
        <w:rPr>
          <w:sz w:val="20"/>
          <w:szCs w:val="18"/>
        </w:rPr>
        <w:tab/>
        <w:t xml:space="preserve">Add full party </w:t>
      </w:r>
      <w:r>
        <w:rPr>
          <w:sz w:val="20"/>
        </w:rPr>
        <w:t>details</w:t>
      </w:r>
      <w:r>
        <w:rPr>
          <w:sz w:val="20"/>
          <w:szCs w:val="18"/>
        </w:rPr>
        <w:t>.</w:t>
      </w:r>
    </w:p>
    <w:p>
      <w:pPr>
        <w:pStyle w:val="yMiscellaneousBody"/>
        <w:keepNext/>
        <w:spacing w:before="0"/>
        <w:ind w:left="567" w:hanging="567"/>
        <w:rPr>
          <w:sz w:val="20"/>
        </w:rPr>
      </w:pPr>
      <w:r>
        <w:rPr>
          <w:sz w:val="20"/>
        </w:rPr>
        <w:t>2.</w:t>
      </w:r>
      <w:r>
        <w:rPr>
          <w:sz w:val="20"/>
        </w:rPr>
        <w:tab/>
        <w:t xml:space="preserve">Please state </w:t>
      </w:r>
      <w:r>
        <w:rPr>
          <w:sz w:val="20"/>
          <w:szCs w:val="18"/>
        </w:rPr>
        <w:t>full</w:t>
      </w:r>
      <w:r>
        <w:rPr>
          <w:sz w:val="20"/>
        </w:rPr>
        <w:t xml:space="preserve"> name if there is more than one respondent/defendant.</w:t>
      </w:r>
    </w:p>
    <w:p>
      <w:pPr>
        <w:pStyle w:val="yFootnotesection"/>
        <w:keepNext/>
        <w:tabs>
          <w:tab w:val="left" w:pos="5670"/>
        </w:tabs>
      </w:pPr>
      <w:r>
        <w:tab/>
        <w:t>[Form 8 inserted: SL 2024/38 r. 18.]</w:t>
      </w:r>
    </w:p>
    <w:p>
      <w:pPr>
        <w:pStyle w:val="yEdnotedivision"/>
        <w:spacing w:before="240"/>
        <w:outlineLvl w:val="9"/>
      </w:pPr>
      <w:r>
        <w:t>[Form 9 deleted: Gazette 21 Feb 2007 p. 536.]</w:t>
      </w:r>
    </w:p>
    <w:p>
      <w:pPr>
        <w:pStyle w:val="yHeading5"/>
        <w:keepNext w:val="0"/>
        <w:keepLines w:val="0"/>
        <w:pageBreakBefore/>
        <w:widowControl w:val="0"/>
        <w:spacing w:before="0"/>
      </w:pPr>
      <w:bookmarkStart w:id="1594" w:name="_Toc163121818"/>
      <w:r>
        <w:rPr>
          <w:rStyle w:val="CharSClsNo"/>
        </w:rPr>
        <w:lastRenderedPageBreak/>
        <w:t>10</w:t>
      </w:r>
      <w:r>
        <w:t>.</w:t>
      </w:r>
      <w:r>
        <w:rPr>
          <w:b w:val="0"/>
        </w:rPr>
        <w:tab/>
      </w:r>
      <w:r>
        <w:t>Forms for Order 18</w:t>
      </w:r>
      <w:bookmarkEnd w:id="1594"/>
    </w:p>
    <w:p>
      <w:pPr>
        <w:pStyle w:val="yTHeadingNAm"/>
        <w:spacing w:before="120"/>
        <w:rPr>
          <w:sz w:val="20"/>
        </w:rPr>
      </w:pPr>
      <w:r>
        <w:rPr>
          <w:sz w:val="20"/>
        </w:rPr>
        <w:t>(1) Notice to be indorsed on copy of counterclaim (O. 18 r. 3(5))</w:t>
      </w:r>
    </w:p>
    <w:tbl>
      <w:tblPr>
        <w:tblW w:w="0" w:type="auto"/>
        <w:tblLayout w:type="fixed"/>
        <w:tblCellMar>
          <w:left w:w="85" w:type="dxa"/>
          <w:right w:w="85" w:type="dxa"/>
        </w:tblCellMar>
        <w:tblLook w:val="0000" w:firstRow="0" w:lastRow="0" w:firstColumn="0" w:lastColumn="0" w:noHBand="0" w:noVBand="0"/>
      </w:tblPr>
      <w:tblGrid>
        <w:gridCol w:w="925"/>
        <w:gridCol w:w="6247"/>
      </w:tblGrid>
      <w:tr>
        <w:tc>
          <w:tcPr>
            <w:tcW w:w="925" w:type="dxa"/>
          </w:tcPr>
          <w:p>
            <w:pPr>
              <w:pStyle w:val="yTableNAm"/>
            </w:pPr>
          </w:p>
          <w:p>
            <w:pPr>
              <w:pStyle w:val="yTableNAm"/>
              <w:rPr>
                <w:sz w:val="14"/>
              </w:rPr>
            </w:pPr>
            <w:r>
              <w:rPr>
                <w:sz w:val="14"/>
              </w:rPr>
              <w:t xml:space="preserve">* Insert number </w:t>
            </w:r>
            <w:r>
              <w:rPr>
                <w:sz w:val="14"/>
              </w:rPr>
              <w:br/>
              <w:t xml:space="preserve">of days </w:t>
            </w:r>
            <w:r>
              <w:rPr>
                <w:sz w:val="14"/>
              </w:rPr>
              <w:br/>
              <w:t>limited for appearance</w:t>
            </w:r>
          </w:p>
        </w:tc>
        <w:tc>
          <w:tcPr>
            <w:tcW w:w="6247" w:type="dxa"/>
          </w:tcPr>
          <w:p>
            <w:pPr>
              <w:pStyle w:val="yTableNAm"/>
              <w:rPr>
                <w:sz w:val="20"/>
              </w:rPr>
            </w:pPr>
            <w:r>
              <w:rPr>
                <w:sz w:val="20"/>
              </w:rPr>
              <w:t>To X.Y.</w:t>
            </w:r>
          </w:p>
          <w:p>
            <w:pPr>
              <w:pStyle w:val="yTableNAm"/>
              <w:rPr>
                <w:sz w:val="20"/>
              </w:rPr>
            </w:pPr>
            <w:r>
              <w:rPr>
                <w:sz w:val="20"/>
              </w:rPr>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NAm"/>
              <w:rPr>
                <w:sz w:val="19"/>
              </w:rPr>
            </w:pPr>
            <w:r>
              <w:rPr>
                <w:sz w:val="20"/>
              </w:rPr>
              <w:t>The person served with this Counterclaim may enter an appearance either personally or by a solicitor at the Central Office of the Supreme Court at Perth.</w:t>
            </w:r>
          </w:p>
        </w:tc>
      </w:tr>
    </w:tbl>
    <w:p>
      <w:pPr>
        <w:pStyle w:val="yTHeadingNAm"/>
        <w:rPr>
          <w:sz w:val="20"/>
        </w:rPr>
      </w:pPr>
      <w:r>
        <w:rPr>
          <w:sz w:val="20"/>
        </w:rPr>
        <w:t>(2) Memorandum of appearance to counterclaim (O. 18 r. 3)</w:t>
      </w:r>
    </w:p>
    <w:tbl>
      <w:tblPr>
        <w:tblW w:w="0" w:type="auto"/>
        <w:tblInd w:w="-12" w:type="dxa"/>
        <w:tblLayout w:type="fixed"/>
        <w:tblCellMar>
          <w:left w:w="85" w:type="dxa"/>
          <w:right w:w="85" w:type="dxa"/>
        </w:tblCellMar>
        <w:tblLook w:val="0000" w:firstRow="0" w:lastRow="0" w:firstColumn="0" w:lastColumn="0" w:noHBand="0" w:noVBand="0"/>
      </w:tblPr>
      <w:tblGrid>
        <w:gridCol w:w="960"/>
        <w:gridCol w:w="6240"/>
      </w:tblGrid>
      <w:tr>
        <w:tc>
          <w:tcPr>
            <w:tcW w:w="960" w:type="dxa"/>
          </w:tcPr>
          <w:p>
            <w:pPr>
              <w:pStyle w:val="yTableNAm"/>
              <w:rPr>
                <w:sz w:val="20"/>
              </w:rPr>
            </w:pPr>
          </w:p>
        </w:tc>
        <w:tc>
          <w:tcPr>
            <w:tcW w:w="6240" w:type="dxa"/>
          </w:tcPr>
          <w:p>
            <w:pPr>
              <w:pStyle w:val="yTableNAm"/>
              <w:rPr>
                <w:sz w:val="20"/>
              </w:rPr>
            </w:pPr>
            <w:r>
              <w:rPr>
                <w:sz w:val="20"/>
              </w:rPr>
              <w:t>[</w:t>
            </w:r>
            <w:r>
              <w:rPr>
                <w:i/>
                <w:sz w:val="20"/>
              </w:rPr>
              <w:t xml:space="preserve">As in No. 6 but substituting for the title of the action the following: — </w:t>
            </w:r>
            <w:r>
              <w:rPr>
                <w:sz w:val="20"/>
              </w:rPr>
              <w:t xml:space="preserve">    ]</w:t>
            </w:r>
          </w:p>
        </w:tc>
      </w:tr>
      <w:tr>
        <w:tc>
          <w:tcPr>
            <w:tcW w:w="960" w:type="dxa"/>
          </w:tcPr>
          <w:p>
            <w:pPr>
              <w:pStyle w:val="yTableNAm"/>
              <w:rPr>
                <w:sz w:val="20"/>
              </w:rPr>
            </w:pPr>
          </w:p>
        </w:tc>
        <w:tc>
          <w:tcPr>
            <w:tcW w:w="6240"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action)</w:t>
            </w:r>
          </w:p>
          <w:p>
            <w:pPr>
              <w:pStyle w:val="yTableNAm"/>
              <w:rPr>
                <w:sz w:val="20"/>
              </w:rPr>
            </w:pPr>
            <w:r>
              <w:rPr>
                <w:sz w:val="20"/>
              </w:rPr>
              <w:t>And between</w:t>
            </w:r>
          </w:p>
          <w:p>
            <w:pPr>
              <w:pStyle w:val="yTableNAm"/>
              <w:rPr>
                <w:sz w:val="20"/>
              </w:rPr>
            </w:pPr>
            <w:r>
              <w:rPr>
                <w:sz w:val="20"/>
              </w:rPr>
              <w:tab/>
              <w:t>the said</w:t>
            </w:r>
          </w:p>
          <w:p>
            <w:pPr>
              <w:pStyle w:val="yTableNAm"/>
              <w:jc w:val="right"/>
              <w:rPr>
                <w:sz w:val="20"/>
              </w:rPr>
            </w:pPr>
            <w:r>
              <w:rPr>
                <w:sz w:val="20"/>
              </w:rPr>
              <w:t>Plaintiff(s)</w:t>
            </w:r>
          </w:p>
          <w:p>
            <w:pPr>
              <w:pStyle w:val="yTableNAm"/>
              <w:jc w:val="center"/>
              <w:rPr>
                <w:sz w:val="20"/>
              </w:rPr>
            </w:pPr>
            <w:r>
              <w:rPr>
                <w:sz w:val="20"/>
              </w:rPr>
              <w:t>and</w:t>
            </w:r>
          </w:p>
          <w:p>
            <w:pPr>
              <w:pStyle w:val="yTableNAm"/>
              <w:rPr>
                <w:sz w:val="20"/>
              </w:rPr>
            </w:pPr>
            <w:r>
              <w:rPr>
                <w:sz w:val="20"/>
              </w:rPr>
              <w:tab/>
              <w:t>the said</w:t>
            </w:r>
          </w:p>
          <w:p>
            <w:pPr>
              <w:pStyle w:val="yTableNAm"/>
              <w:jc w:val="right"/>
              <w:rPr>
                <w:sz w:val="20"/>
              </w:rPr>
            </w:pPr>
            <w:r>
              <w:rPr>
                <w:sz w:val="20"/>
              </w:rPr>
              <w:t>Defendant(s)</w:t>
            </w:r>
          </w:p>
          <w:p>
            <w:pPr>
              <w:pStyle w:val="yTableNAm"/>
              <w:jc w:val="center"/>
              <w:rPr>
                <w:sz w:val="20"/>
              </w:rPr>
            </w:pPr>
            <w:r>
              <w:rPr>
                <w:sz w:val="20"/>
              </w:rPr>
              <w:t>(by counterclaim)</w:t>
            </w:r>
          </w:p>
          <w:p>
            <w:pPr>
              <w:pStyle w:val="yTableNAm"/>
              <w:rPr>
                <w:sz w:val="20"/>
              </w:rPr>
            </w:pPr>
            <w:r>
              <w:rPr>
                <w:sz w:val="20"/>
              </w:rPr>
              <w:t>[</w:t>
            </w:r>
            <w:r>
              <w:rPr>
                <w:i/>
                <w:sz w:val="20"/>
              </w:rPr>
              <w:t xml:space="preserve">and substituting for the request to enter appearance the following:    </w:t>
            </w:r>
            <w:r>
              <w:rPr>
                <w:sz w:val="20"/>
              </w:rPr>
              <w:t>]</w:t>
            </w:r>
          </w:p>
          <w:p>
            <w:pPr>
              <w:pStyle w:val="yTableNAm"/>
              <w:rPr>
                <w:sz w:val="20"/>
              </w:rPr>
            </w:pPr>
            <w:r>
              <w:rPr>
                <w:sz w:val="20"/>
              </w:rPr>
              <w:t>Enter an appearance for [</w:t>
            </w:r>
            <w:r>
              <w:rPr>
                <w:i/>
                <w:sz w:val="20"/>
              </w:rPr>
              <w:t>full name of defendant to counterclaim wishing to appear</w:t>
            </w:r>
            <w:r>
              <w:rPr>
                <w:sz w:val="20"/>
              </w:rPr>
              <w:t>] to the Counterclaim of the abovenamed defendant in this action.</w:t>
            </w:r>
          </w:p>
        </w:tc>
      </w:tr>
    </w:tbl>
    <w:p>
      <w:pPr>
        <w:pStyle w:val="yTHeadingNAm"/>
        <w:pageBreakBefore/>
        <w:rPr>
          <w:sz w:val="20"/>
        </w:rPr>
      </w:pPr>
      <w:r>
        <w:rPr>
          <w:sz w:val="20"/>
        </w:rPr>
        <w:lastRenderedPageBreak/>
        <w:t>(3) Memorandum of appearance of person added as defendant (O. 18 r. 8(3))</w:t>
      </w:r>
    </w:p>
    <w:tbl>
      <w:tblPr>
        <w:tblW w:w="0" w:type="auto"/>
        <w:tblInd w:w="-12" w:type="dxa"/>
        <w:tblLayout w:type="fixed"/>
        <w:tblCellMar>
          <w:left w:w="85" w:type="dxa"/>
          <w:right w:w="85" w:type="dxa"/>
        </w:tblCellMar>
        <w:tblLook w:val="0000" w:firstRow="0" w:lastRow="0" w:firstColumn="0" w:lastColumn="0" w:noHBand="0" w:noVBand="0"/>
      </w:tblPr>
      <w:tblGrid>
        <w:gridCol w:w="937"/>
        <w:gridCol w:w="6263"/>
      </w:tblGrid>
      <w:tr>
        <w:tc>
          <w:tcPr>
            <w:tcW w:w="937" w:type="dxa"/>
          </w:tcPr>
          <w:p>
            <w:pPr>
              <w:pStyle w:val="yTableNAm"/>
              <w:rPr>
                <w:sz w:val="20"/>
              </w:rPr>
            </w:pPr>
          </w:p>
        </w:tc>
        <w:tc>
          <w:tcPr>
            <w:tcW w:w="6263" w:type="dxa"/>
          </w:tcPr>
          <w:p>
            <w:pPr>
              <w:pStyle w:val="yTableNAm"/>
              <w:rPr>
                <w:sz w:val="20"/>
              </w:rPr>
            </w:pPr>
            <w:r>
              <w:rPr>
                <w:sz w:val="20"/>
              </w:rPr>
              <w:t>[</w:t>
            </w:r>
            <w:r>
              <w:rPr>
                <w:i/>
                <w:sz w:val="20"/>
              </w:rPr>
              <w:t xml:space="preserve">As in No. 6 but substituting for the title of the action the following: </w:t>
            </w:r>
            <w:r>
              <w:rPr>
                <w:sz w:val="20"/>
              </w:rPr>
              <w:t xml:space="preserve">        ]</w:t>
            </w:r>
          </w:p>
        </w:tc>
      </w:tr>
      <w:tr>
        <w:tc>
          <w:tcPr>
            <w:tcW w:w="937" w:type="dxa"/>
          </w:tcPr>
          <w:p>
            <w:pPr>
              <w:pStyle w:val="yTableNAm"/>
              <w:rPr>
                <w:sz w:val="20"/>
              </w:rPr>
            </w:pPr>
          </w:p>
        </w:tc>
        <w:tc>
          <w:tcPr>
            <w:tcW w:w="6263"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rPr>
                <w:sz w:val="20"/>
              </w:rPr>
            </w:pPr>
            <w:r>
              <w:rPr>
                <w:sz w:val="20"/>
              </w:rPr>
              <w:t>And 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writ and by order)</w:t>
            </w:r>
          </w:p>
          <w:p>
            <w:pPr>
              <w:pStyle w:val="yTableNAm"/>
              <w:rPr>
                <w:sz w:val="20"/>
              </w:rPr>
            </w:pPr>
            <w:r>
              <w:rPr>
                <w:sz w:val="20"/>
              </w:rPr>
              <w:t>[</w:t>
            </w:r>
            <w:r>
              <w:rPr>
                <w:i/>
                <w:sz w:val="20"/>
              </w:rPr>
              <w:t>and substituting for the request to enter appearance the following: —</w:t>
            </w:r>
            <w:r>
              <w:rPr>
                <w:sz w:val="20"/>
              </w:rPr>
              <w:t>]</w:t>
            </w:r>
          </w:p>
          <w:p>
            <w:pPr>
              <w:pStyle w:val="yTableNAm"/>
              <w:rPr>
                <w:sz w:val="20"/>
              </w:rPr>
            </w:pPr>
            <w:r>
              <w:rPr>
                <w:sz w:val="20"/>
              </w:rPr>
              <w:t>Enter an appearance for [</w:t>
            </w:r>
            <w:r>
              <w:rPr>
                <w:i/>
                <w:sz w:val="20"/>
              </w:rPr>
              <w:t>full name of added defendant</w:t>
            </w:r>
            <w:r>
              <w:rPr>
                <w:sz w:val="20"/>
              </w:rPr>
              <w:t>] who has been served with an order dated the                 day of                       20     , making him a defendant to the action.</w:t>
            </w:r>
          </w:p>
        </w:tc>
      </w:tr>
    </w:tbl>
    <w:p>
      <w:pPr>
        <w:pStyle w:val="yFootnotesection"/>
        <w:spacing w:after="120"/>
      </w:pPr>
      <w:r>
        <w:tab/>
        <w:t>[Form 10 amended: Gazette 28 Jun 2011 p. 2556</w:t>
      </w:r>
      <w:r>
        <w:noBreakHyphen/>
        <w:t>7.]</w:t>
      </w:r>
    </w:p>
    <w:p>
      <w:pPr>
        <w:pStyle w:val="yHeading5"/>
        <w:pageBreakBefore/>
      </w:pPr>
      <w:bookmarkStart w:id="1595" w:name="_Toc163121819"/>
      <w:r>
        <w:rPr>
          <w:rStyle w:val="CharSClsNo"/>
        </w:rPr>
        <w:lastRenderedPageBreak/>
        <w:t>10A</w:t>
      </w:r>
      <w:r>
        <w:t>.</w:t>
      </w:r>
      <w:r>
        <w:tab/>
        <w:t>Consent to be group member in representative proceeding (O. 18A r. 4)</w:t>
      </w:r>
      <w:bookmarkEnd w:id="1595"/>
    </w:p>
    <w:p>
      <w:pPr>
        <w:pStyle w:val="yMiscellaneousHeading"/>
        <w:rPr>
          <w:sz w:val="20"/>
        </w:rPr>
      </w:pPr>
      <w:r>
        <w:rPr>
          <w:sz w:val="20"/>
        </w:rPr>
        <w:t>(</w:t>
      </w:r>
      <w:r>
        <w:rPr>
          <w:i/>
          <w:sz w:val="20"/>
        </w:rPr>
        <w:t>Heading as in application commencing the representative proceeding</w:t>
      </w:r>
      <w:r>
        <w:rPr>
          <w:sz w:val="20"/>
        </w:rPr>
        <w:t>)</w:t>
      </w:r>
    </w:p>
    <w:p>
      <w:pPr>
        <w:pStyle w:val="yMiscellaneousHeading"/>
        <w:rPr>
          <w:b/>
          <w:sz w:val="20"/>
        </w:rPr>
      </w:pPr>
      <w:r>
        <w:rPr>
          <w:b/>
          <w:sz w:val="20"/>
        </w:rPr>
        <w:t>CONSENT TO BE GROUP MEMBER</w:t>
      </w:r>
    </w:p>
    <w:p>
      <w:pPr>
        <w:pStyle w:val="yMiscellaneousBody"/>
        <w:rPr>
          <w:sz w:val="20"/>
        </w:rPr>
      </w:pPr>
      <w:r>
        <w:rPr>
          <w:sz w:val="20"/>
        </w:rPr>
        <w:t>Date of document:</w:t>
      </w:r>
    </w:p>
    <w:p>
      <w:pPr>
        <w:pStyle w:val="yMiscellaneousBody"/>
        <w:rPr>
          <w:sz w:val="20"/>
        </w:rPr>
      </w:pPr>
      <w:r>
        <w:rPr>
          <w:sz w:val="20"/>
        </w:rPr>
        <w:t>Date of filing:</w:t>
      </w:r>
    </w:p>
    <w:p>
      <w:pPr>
        <w:pStyle w:val="yMiscellaneousBody"/>
        <w:rPr>
          <w:sz w:val="20"/>
        </w:rPr>
      </w:pPr>
      <w:r>
        <w:rPr>
          <w:sz w:val="20"/>
        </w:rPr>
        <w:t>Filed on behalf of:</w:t>
      </w:r>
    </w:p>
    <w:p>
      <w:pPr>
        <w:pStyle w:val="yMiscellaneousBody"/>
        <w:rPr>
          <w:sz w:val="20"/>
        </w:rPr>
      </w:pPr>
    </w:p>
    <w:p>
      <w:pPr>
        <w:pStyle w:val="yMiscellaneousBody"/>
        <w:rPr>
          <w:sz w:val="20"/>
        </w:rPr>
      </w:pPr>
      <w:r>
        <w:rPr>
          <w:sz w:val="20"/>
        </w:rPr>
        <w:t>Prepared by:</w:t>
      </w:r>
    </w:p>
    <w:p>
      <w:pPr>
        <w:pStyle w:val="yMiscellaneousBody"/>
        <w:rPr>
          <w:sz w:val="20"/>
        </w:rPr>
      </w:pPr>
      <w:r>
        <w:rPr>
          <w:sz w:val="20"/>
        </w:rPr>
        <w:tab/>
      </w:r>
      <w:r>
        <w:rPr>
          <w:sz w:val="20"/>
        </w:rPr>
        <w:tab/>
      </w:r>
      <w:r>
        <w:rPr>
          <w:sz w:val="20"/>
        </w:rPr>
        <w:tab/>
      </w:r>
      <w:r>
        <w:rPr>
          <w:sz w:val="20"/>
        </w:rPr>
        <w:tab/>
        <w:t>Telephone:</w:t>
      </w:r>
    </w:p>
    <w:p>
      <w:pPr>
        <w:pStyle w:val="yMiscellaneousBody"/>
        <w:spacing w:after="560"/>
        <w:rPr>
          <w:sz w:val="20"/>
        </w:rPr>
      </w:pPr>
      <w:r>
        <w:rPr>
          <w:sz w:val="20"/>
        </w:rPr>
        <w:tab/>
      </w:r>
      <w:r>
        <w:rPr>
          <w:sz w:val="20"/>
        </w:rPr>
        <w:tab/>
      </w:r>
      <w:r>
        <w:rPr>
          <w:sz w:val="20"/>
        </w:rPr>
        <w:tab/>
      </w:r>
      <w:r>
        <w:rPr>
          <w:sz w:val="20"/>
        </w:rPr>
        <w:tab/>
        <w:t>Email:</w:t>
      </w:r>
    </w:p>
    <w:p>
      <w:pPr>
        <w:pStyle w:val="yMiscellaneousBody"/>
        <w:spacing w:after="160"/>
        <w:rPr>
          <w:sz w:val="20"/>
        </w:rPr>
      </w:pPr>
      <w:r>
        <w:rPr>
          <w:sz w:val="20"/>
        </w:rPr>
        <w:t>[</w:t>
      </w:r>
      <w:r>
        <w:rPr>
          <w:i/>
          <w:sz w:val="20"/>
        </w:rPr>
        <w:t>Name of person</w:t>
      </w:r>
      <w:r>
        <w:rPr>
          <w:sz w:val="20"/>
        </w:rPr>
        <w:t>], of [</w:t>
      </w:r>
      <w:r>
        <w:rPr>
          <w:i/>
          <w:sz w:val="20"/>
        </w:rPr>
        <w:t>address</w:t>
      </w:r>
      <w:r>
        <w:rPr>
          <w:sz w:val="20"/>
        </w:rPr>
        <w:t xml:space="preserve">], a person referred to in the </w:t>
      </w:r>
      <w:r>
        <w:rPr>
          <w:i/>
          <w:sz w:val="20"/>
        </w:rPr>
        <w:t>Civil Procedure (Representative Proceedings) Act 2022</w:t>
      </w:r>
      <w:r>
        <w:rPr>
          <w:sz w:val="20"/>
        </w:rPr>
        <w:t xml:space="preserve"> section 8(2), consents to being a group member in this proceeding.</w:t>
      </w:r>
    </w:p>
    <w:p>
      <w:pPr>
        <w:pStyle w:val="yMiscellaneousBody"/>
        <w:jc w:val="right"/>
        <w:rPr>
          <w:sz w:val="20"/>
        </w:rPr>
      </w:pPr>
      <w:r>
        <w:rPr>
          <w:sz w:val="20"/>
        </w:rPr>
        <w:t>[</w:t>
      </w:r>
      <w:r>
        <w:rPr>
          <w:i/>
          <w:sz w:val="20"/>
        </w:rPr>
        <w:t>Signature of person</w:t>
      </w:r>
      <w:r>
        <w:rPr>
          <w:i/>
          <w:sz w:val="20"/>
        </w:rPr>
        <w:br/>
        <w:t>or person’s legal practitioner</w:t>
      </w:r>
      <w:r>
        <w:rPr>
          <w:sz w:val="20"/>
        </w:rPr>
        <w:t>]</w:t>
      </w:r>
    </w:p>
    <w:p>
      <w:pPr>
        <w:pStyle w:val="yFootnotesection"/>
        <w:tabs>
          <w:tab w:val="left" w:pos="5670"/>
        </w:tabs>
      </w:pPr>
      <w:r>
        <w:tab/>
        <w:t>[Form 10A inserted: SL 2023/16 r. 10.]</w:t>
      </w:r>
    </w:p>
    <w:p>
      <w:pPr>
        <w:pStyle w:val="yHeading5"/>
        <w:pageBreakBefore/>
      </w:pPr>
      <w:bookmarkStart w:id="1596" w:name="_Toc163121820"/>
      <w:r>
        <w:rPr>
          <w:rStyle w:val="CharSClsNo"/>
        </w:rPr>
        <w:lastRenderedPageBreak/>
        <w:t>10B</w:t>
      </w:r>
      <w:r>
        <w:t>.</w:t>
      </w:r>
      <w:r>
        <w:tab/>
        <w:t>Notice for opting out of representative proceeding (O. 18A r. 5)</w:t>
      </w:r>
      <w:bookmarkEnd w:id="1596"/>
    </w:p>
    <w:p>
      <w:pPr>
        <w:pStyle w:val="yMiscellaneousHeading"/>
        <w:rPr>
          <w:sz w:val="20"/>
        </w:rPr>
      </w:pPr>
      <w:r>
        <w:rPr>
          <w:sz w:val="20"/>
        </w:rPr>
        <w:t>(</w:t>
      </w:r>
      <w:r>
        <w:rPr>
          <w:i/>
          <w:sz w:val="20"/>
        </w:rPr>
        <w:t>Heading as in application commencing the representative proceeding</w:t>
      </w:r>
      <w:r>
        <w:rPr>
          <w:sz w:val="20"/>
        </w:rPr>
        <w:t>)</w:t>
      </w:r>
    </w:p>
    <w:p>
      <w:pPr>
        <w:pStyle w:val="yMiscellaneousHeading"/>
        <w:rPr>
          <w:b/>
          <w:sz w:val="20"/>
        </w:rPr>
      </w:pPr>
      <w:r>
        <w:rPr>
          <w:b/>
          <w:sz w:val="20"/>
        </w:rPr>
        <w:t>NOTICE OF GROUP MEMBER OPTING OUT</w:t>
      </w:r>
    </w:p>
    <w:p>
      <w:pPr>
        <w:pStyle w:val="yMiscellaneousBody"/>
        <w:rPr>
          <w:sz w:val="20"/>
        </w:rPr>
      </w:pPr>
      <w:r>
        <w:rPr>
          <w:sz w:val="20"/>
        </w:rPr>
        <w:t>Date of document:</w:t>
      </w:r>
    </w:p>
    <w:p>
      <w:pPr>
        <w:pStyle w:val="yMiscellaneousBody"/>
        <w:rPr>
          <w:sz w:val="20"/>
        </w:rPr>
      </w:pPr>
      <w:r>
        <w:rPr>
          <w:sz w:val="20"/>
        </w:rPr>
        <w:t>Date of filing:</w:t>
      </w:r>
    </w:p>
    <w:p>
      <w:pPr>
        <w:pStyle w:val="yMiscellaneousBody"/>
        <w:rPr>
          <w:sz w:val="20"/>
        </w:rPr>
      </w:pPr>
      <w:r>
        <w:rPr>
          <w:sz w:val="20"/>
        </w:rPr>
        <w:t>Filed on behalf of:</w:t>
      </w:r>
    </w:p>
    <w:p>
      <w:pPr>
        <w:pStyle w:val="yMiscellaneousBody"/>
        <w:rPr>
          <w:sz w:val="20"/>
        </w:rPr>
      </w:pPr>
    </w:p>
    <w:p>
      <w:pPr>
        <w:pStyle w:val="yMiscellaneousBody"/>
        <w:rPr>
          <w:sz w:val="20"/>
        </w:rPr>
      </w:pPr>
      <w:r>
        <w:rPr>
          <w:sz w:val="20"/>
        </w:rPr>
        <w:t>Prepared by:</w:t>
      </w:r>
    </w:p>
    <w:p>
      <w:pPr>
        <w:pStyle w:val="yMiscellaneousBody"/>
        <w:rPr>
          <w:sz w:val="20"/>
        </w:rPr>
      </w:pPr>
      <w:r>
        <w:rPr>
          <w:sz w:val="20"/>
        </w:rPr>
        <w:tab/>
      </w:r>
      <w:r>
        <w:rPr>
          <w:sz w:val="20"/>
        </w:rPr>
        <w:tab/>
      </w:r>
      <w:r>
        <w:rPr>
          <w:sz w:val="20"/>
        </w:rPr>
        <w:tab/>
      </w:r>
      <w:r>
        <w:rPr>
          <w:sz w:val="20"/>
        </w:rPr>
        <w:tab/>
        <w:t>Telephone:</w:t>
      </w:r>
    </w:p>
    <w:p>
      <w:pPr>
        <w:pStyle w:val="yMiscellaneousBody"/>
        <w:spacing w:after="560"/>
        <w:rPr>
          <w:sz w:val="20"/>
        </w:rPr>
      </w:pPr>
      <w:r>
        <w:rPr>
          <w:sz w:val="20"/>
        </w:rPr>
        <w:tab/>
      </w:r>
      <w:r>
        <w:rPr>
          <w:sz w:val="20"/>
        </w:rPr>
        <w:tab/>
      </w:r>
      <w:r>
        <w:rPr>
          <w:sz w:val="20"/>
        </w:rPr>
        <w:tab/>
      </w:r>
      <w:r>
        <w:rPr>
          <w:sz w:val="20"/>
        </w:rPr>
        <w:tab/>
        <w:t>Email:</w:t>
      </w:r>
    </w:p>
    <w:p>
      <w:pPr>
        <w:pStyle w:val="yMiscellaneousBody"/>
        <w:spacing w:after="160"/>
        <w:rPr>
          <w:sz w:val="20"/>
        </w:rPr>
      </w:pPr>
      <w:r>
        <w:rPr>
          <w:sz w:val="20"/>
        </w:rPr>
        <w:t>[</w:t>
      </w:r>
      <w:r>
        <w:rPr>
          <w:i/>
          <w:sz w:val="20"/>
        </w:rPr>
        <w:t>Name of group member</w:t>
      </w:r>
      <w:r>
        <w:rPr>
          <w:sz w:val="20"/>
        </w:rPr>
        <w:t>], of [</w:t>
      </w:r>
      <w:r>
        <w:rPr>
          <w:i/>
          <w:sz w:val="20"/>
        </w:rPr>
        <w:t>address</w:t>
      </w:r>
      <w:r>
        <w:rPr>
          <w:sz w:val="20"/>
        </w:rPr>
        <w:t xml:space="preserve">], by this notice opts out of this proceeding under the </w:t>
      </w:r>
      <w:r>
        <w:rPr>
          <w:i/>
          <w:sz w:val="20"/>
        </w:rPr>
        <w:t>Civil Procedure (Representative Proceedings) Act 2022</w:t>
      </w:r>
      <w:r>
        <w:rPr>
          <w:sz w:val="20"/>
        </w:rPr>
        <w:t xml:space="preserve"> section 12(2).</w:t>
      </w:r>
    </w:p>
    <w:p>
      <w:pPr>
        <w:pStyle w:val="yMiscellaneousBody"/>
        <w:jc w:val="right"/>
        <w:rPr>
          <w:sz w:val="20"/>
        </w:rPr>
      </w:pPr>
      <w:r>
        <w:rPr>
          <w:sz w:val="20"/>
        </w:rPr>
        <w:t>[</w:t>
      </w:r>
      <w:r>
        <w:rPr>
          <w:i/>
          <w:sz w:val="20"/>
        </w:rPr>
        <w:t>Signature of group member</w:t>
      </w:r>
      <w:r>
        <w:rPr>
          <w:i/>
          <w:sz w:val="20"/>
        </w:rPr>
        <w:br/>
        <w:t>or group member’s legal practitioner</w:t>
      </w:r>
      <w:r>
        <w:rPr>
          <w:sz w:val="20"/>
        </w:rPr>
        <w:t>]</w:t>
      </w:r>
    </w:p>
    <w:p>
      <w:pPr>
        <w:pStyle w:val="yFootnotesection"/>
        <w:tabs>
          <w:tab w:val="left" w:pos="5670"/>
        </w:tabs>
      </w:pPr>
      <w:r>
        <w:tab/>
        <w:t>[Form 10B inserted: SL 2023/16 r. 10.]</w:t>
      </w:r>
    </w:p>
    <w:p>
      <w:pPr>
        <w:pStyle w:val="yHeading5"/>
        <w:pageBreakBefore/>
        <w:spacing w:before="0" w:after="120"/>
      </w:pPr>
      <w:bookmarkStart w:id="1597" w:name="_Toc163121821"/>
      <w:r>
        <w:rPr>
          <w:rStyle w:val="CharSClsNo"/>
        </w:rPr>
        <w:lastRenderedPageBreak/>
        <w:t>11</w:t>
      </w:r>
      <w:r>
        <w:t>.</w:t>
      </w:r>
      <w:r>
        <w:rPr>
          <w:b w:val="0"/>
        </w:rPr>
        <w:tab/>
      </w:r>
      <w:r>
        <w:t>Third party notice (general form) (O. 19 r. 1)</w:t>
      </w:r>
      <w:bookmarkEnd w:id="1597"/>
    </w:p>
    <w:tbl>
      <w:tblPr>
        <w:tblW w:w="0" w:type="auto"/>
        <w:tblLayout w:type="fixed"/>
        <w:tblCellMar>
          <w:left w:w="85" w:type="dxa"/>
          <w:right w:w="85" w:type="dxa"/>
        </w:tblCellMar>
        <w:tblLook w:val="0000" w:firstRow="0" w:lastRow="0" w:firstColumn="0" w:lastColumn="0" w:noHBand="0" w:noVBand="0"/>
      </w:tblPr>
      <w:tblGrid>
        <w:gridCol w:w="925"/>
        <w:gridCol w:w="6298"/>
      </w:tblGrid>
      <w:tr>
        <w:tc>
          <w:tcPr>
            <w:tcW w:w="925" w:type="dxa"/>
          </w:tcPr>
          <w:p>
            <w:pPr>
              <w:pStyle w:val="yTableNAm"/>
              <w:rPr>
                <w:sz w:val="20"/>
              </w:rPr>
            </w:pPr>
          </w:p>
        </w:tc>
        <w:tc>
          <w:tcPr>
            <w:tcW w:w="6298" w:type="dxa"/>
          </w:tcPr>
          <w:p>
            <w:pPr>
              <w:pStyle w:val="yTableNAm"/>
              <w:tabs>
                <w:tab w:val="clear" w:pos="567"/>
                <w:tab w:val="left" w:pos="3975"/>
              </w:tabs>
              <w:rPr>
                <w:sz w:val="20"/>
              </w:rPr>
            </w:pPr>
            <w:r>
              <w:rPr>
                <w:sz w:val="20"/>
              </w:rPr>
              <w:t>In the Supreme Court</w:t>
            </w:r>
            <w:r>
              <w:rPr>
                <w:sz w:val="20"/>
              </w:rPr>
              <w:tab/>
              <w:t>20   .  No.</w:t>
            </w:r>
            <w:r>
              <w:rPr>
                <w:sz w:val="20"/>
              </w:rPr>
              <w:br/>
              <w:t>of Western Australia.</w:t>
            </w:r>
            <w:r>
              <w:rPr>
                <w:sz w:val="20"/>
              </w:rPr>
              <w:tab/>
              <w:t>Between</w:t>
            </w:r>
          </w:p>
          <w:p>
            <w:pPr>
              <w:pStyle w:val="yTableNAm"/>
              <w:tabs>
                <w:tab w:val="clear" w:pos="567"/>
                <w:tab w:val="left" w:pos="3135"/>
              </w:tabs>
              <w:spacing w:before="60"/>
              <w:rPr>
                <w:sz w:val="20"/>
              </w:rPr>
            </w:pPr>
            <w:r>
              <w:rPr>
                <w:sz w:val="20"/>
              </w:rPr>
              <w:tab/>
              <w:t>A.B., Plaintiff,</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C.D., Defendant,</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E.F., Third Party</w:t>
            </w:r>
          </w:p>
        </w:tc>
      </w:tr>
      <w:tr>
        <w:tc>
          <w:tcPr>
            <w:tcW w:w="925" w:type="dxa"/>
          </w:tcPr>
          <w:p>
            <w:pPr>
              <w:pStyle w:val="yTableNAm"/>
              <w:rPr>
                <w:sz w:val="20"/>
              </w:rPr>
            </w:pPr>
          </w:p>
        </w:tc>
        <w:tc>
          <w:tcPr>
            <w:tcW w:w="6298" w:type="dxa"/>
          </w:tcPr>
          <w:p>
            <w:pPr>
              <w:pStyle w:val="yTableNAm"/>
              <w:jc w:val="center"/>
              <w:rPr>
                <w:sz w:val="20"/>
              </w:rPr>
            </w:pPr>
            <w:r>
              <w:rPr>
                <w:sz w:val="20"/>
              </w:rPr>
              <w:t>THIRD PARTY NOTICE</w:t>
            </w:r>
          </w:p>
          <w:p>
            <w:pPr>
              <w:pStyle w:val="yTableNAm"/>
              <w:spacing w:before="60"/>
              <w:rPr>
                <w:sz w:val="20"/>
              </w:rPr>
            </w:pPr>
            <w:r>
              <w:rPr>
                <w:sz w:val="20"/>
              </w:rPr>
              <w:t xml:space="preserve">[Issued pursuant to the order of </w:t>
            </w:r>
            <w:r>
              <w:rPr>
                <w:sz w:val="20"/>
              </w:rPr>
              <w:br/>
              <w:t>dated the                                   day of                                     ]</w:t>
            </w:r>
          </w:p>
          <w:p>
            <w:pPr>
              <w:pStyle w:val="yTableNAm"/>
              <w:spacing w:before="60"/>
              <w:rPr>
                <w:sz w:val="20"/>
              </w:rPr>
            </w:pPr>
            <w:r>
              <w:rPr>
                <w:sz w:val="20"/>
              </w:rPr>
              <w:t xml:space="preserve">To E.F. of                            </w:t>
            </w:r>
          </w:p>
          <w:p>
            <w:pPr>
              <w:pStyle w:val="yTableNAm"/>
              <w:spacing w:before="60"/>
              <w:rPr>
                <w:sz w:val="20"/>
              </w:rPr>
            </w:pPr>
            <w:r>
              <w:rPr>
                <w:sz w:val="20"/>
              </w:rPr>
              <w:t>Take notice that this action has been brought by the plaintiff against the defendant.  In it the plaintiff claims against the defendant [</w:t>
            </w:r>
            <w:r>
              <w:rPr>
                <w:i/>
                <w:sz w:val="20"/>
              </w:rPr>
              <w:t>here state concisely the nature of the plaintiff’s claim</w:t>
            </w:r>
            <w:r>
              <w:rPr>
                <w:sz w:val="20"/>
              </w:rPr>
              <w:t>] as appears from the writ of summons [</w:t>
            </w:r>
            <w:r>
              <w:rPr>
                <w:i/>
                <w:sz w:val="20"/>
              </w:rPr>
              <w:t>and statement of claim</w:t>
            </w:r>
            <w:r>
              <w:rPr>
                <w:sz w:val="20"/>
              </w:rPr>
              <w:t>] a copy [</w:t>
            </w:r>
            <w:r>
              <w:rPr>
                <w:i/>
                <w:sz w:val="20"/>
              </w:rPr>
              <w:t>copies</w:t>
            </w:r>
            <w:r>
              <w:rPr>
                <w:sz w:val="20"/>
              </w:rPr>
              <w:t>] whereof is [</w:t>
            </w:r>
            <w:r>
              <w:rPr>
                <w:i/>
                <w:sz w:val="20"/>
              </w:rPr>
              <w:t>are</w:t>
            </w:r>
            <w:r>
              <w:rPr>
                <w:sz w:val="20"/>
              </w:rPr>
              <w:t>] served herewith.</w:t>
            </w:r>
          </w:p>
          <w:p>
            <w:pPr>
              <w:pStyle w:val="yTableNAm"/>
              <w:spacing w:before="60"/>
              <w:rPr>
                <w:sz w:val="20"/>
              </w:rPr>
            </w:pPr>
            <w:r>
              <w:rPr>
                <w:sz w:val="20"/>
              </w:rPr>
              <w:t>The defendant claims against you [</w:t>
            </w:r>
            <w:r>
              <w:rPr>
                <w:i/>
                <w:sz w:val="20"/>
              </w:rPr>
              <w:t>here state concisely the nature of the claim against the third party, as for instance</w:t>
            </w:r>
            <w:r>
              <w:rPr>
                <w:sz w:val="20"/>
              </w:rPr>
              <w:t>] to be indemnified against the plaintiff’s claim and the costs of the action, [</w:t>
            </w:r>
            <w:r>
              <w:rPr>
                <w:i/>
                <w:sz w:val="20"/>
              </w:rPr>
              <w:t>or</w:t>
            </w:r>
            <w:r>
              <w:rPr>
                <w:sz w:val="20"/>
              </w:rPr>
              <w:t>] contribution to the extent of [</w:t>
            </w:r>
            <w:r>
              <w:rPr>
                <w:i/>
                <w:sz w:val="20"/>
              </w:rPr>
              <w:t>one</w:t>
            </w:r>
            <w:r>
              <w:rPr>
                <w:i/>
                <w:sz w:val="20"/>
              </w:rPr>
              <w:noBreakHyphen/>
              <w:t>half</w:t>
            </w:r>
            <w:r>
              <w:rPr>
                <w:sz w:val="20"/>
              </w:rPr>
              <w:t>] of the plaintiff’s claim [</w:t>
            </w:r>
            <w:r>
              <w:rPr>
                <w:i/>
                <w:sz w:val="20"/>
              </w:rPr>
              <w:t>or</w:t>
            </w:r>
            <w:r>
              <w:rPr>
                <w:sz w:val="20"/>
              </w:rPr>
              <w:t>] the following relief or remedy, namely</w:t>
            </w:r>
          </w:p>
          <w:p>
            <w:pPr>
              <w:pStyle w:val="yTableNAm"/>
              <w:spacing w:before="0"/>
              <w:rPr>
                <w:sz w:val="20"/>
              </w:rPr>
            </w:pPr>
            <w:r>
              <w:rPr>
                <w:sz w:val="20"/>
              </w:rPr>
              <w:t>on the grounds that [</w:t>
            </w:r>
            <w:r>
              <w:rPr>
                <w:i/>
                <w:sz w:val="20"/>
              </w:rPr>
              <w:t>state concisely the grounds of the claim against the third party</w:t>
            </w:r>
            <w:r>
              <w:rPr>
                <w:sz w:val="20"/>
              </w:rPr>
              <w:t>].</w:t>
            </w:r>
          </w:p>
        </w:tc>
      </w:tr>
      <w:tr>
        <w:tc>
          <w:tcPr>
            <w:tcW w:w="925" w:type="dxa"/>
          </w:tcPr>
          <w:p>
            <w:pPr>
              <w:pStyle w:val="yTableNAm"/>
              <w:spacing w:before="60"/>
              <w:rPr>
                <w:sz w:val="14"/>
              </w:rPr>
            </w:pPr>
          </w:p>
          <w:p>
            <w:pPr>
              <w:pStyle w:val="yTableNAm"/>
              <w:spacing w:before="60"/>
              <w:rPr>
                <w:sz w:val="14"/>
              </w:rPr>
            </w:pPr>
            <w:r>
              <w:rPr>
                <w:sz w:val="14"/>
              </w:rPr>
              <w:t>* Fix time in accordance with O. 5 R. 11</w:t>
            </w:r>
          </w:p>
        </w:tc>
        <w:tc>
          <w:tcPr>
            <w:tcW w:w="6298" w:type="dxa"/>
          </w:tcPr>
          <w:p>
            <w:pPr>
              <w:pStyle w:val="yTableNAm"/>
              <w:spacing w:before="60"/>
              <w:rPr>
                <w:sz w:val="20"/>
              </w:rPr>
            </w:pPr>
            <w:r>
              <w:rPr>
                <w:sz w:val="20"/>
              </w:rPr>
              <w:t xml:space="preserve">And take notice that if you wish to dispute the plaintiff’s claim against the defendant, or the defendant’s claim against you, you must cause an appearance to be entered for you within*            days after the service of this notice upon you, otherwise you will be deemed to admit the plaintiff’s claim against the defendant and the defendant’s claim against you and your liability to [indemnify the defendant, </w:t>
            </w:r>
            <w:r>
              <w:rPr>
                <w:i/>
                <w:sz w:val="20"/>
              </w:rPr>
              <w:t>or</w:t>
            </w:r>
            <w:r>
              <w:rPr>
                <w:sz w:val="20"/>
              </w:rPr>
              <w:t xml:space="preserve"> to contribute to the extend claimed, </w:t>
            </w:r>
            <w:r>
              <w:rPr>
                <w:i/>
                <w:sz w:val="20"/>
              </w:rPr>
              <w:t>or</w:t>
            </w:r>
            <w:r>
              <w:rPr>
                <w:sz w:val="20"/>
              </w:rPr>
              <w:t xml:space="preserve"> to</w:t>
            </w:r>
          </w:p>
          <w:p>
            <w:pPr>
              <w:pStyle w:val="yTableNAm"/>
              <w:spacing w:before="0"/>
              <w:rPr>
                <w:sz w:val="20"/>
              </w:rPr>
            </w:pPr>
            <w:r>
              <w:rPr>
                <w:sz w:val="20"/>
              </w:rPr>
              <w:t>(</w:t>
            </w:r>
            <w:r>
              <w:rPr>
                <w:i/>
                <w:sz w:val="20"/>
              </w:rPr>
              <w:t>stating the relief or remedy sought</w:t>
            </w:r>
            <w:r>
              <w:rPr>
                <w:sz w:val="20"/>
              </w:rPr>
              <w:t>)] and will be bound by any judgment or decision given in the action, and the judgment may be enforced against you in accordance with Order 19 of the rules of the Supreme Court.</w:t>
            </w:r>
          </w:p>
          <w:p>
            <w:pPr>
              <w:pStyle w:val="yTableNAm"/>
              <w:spacing w:before="60"/>
              <w:rPr>
                <w:sz w:val="20"/>
              </w:rPr>
            </w:pPr>
            <w:r>
              <w:rPr>
                <w:sz w:val="20"/>
              </w:rPr>
              <w:t>Dated. etc.</w:t>
            </w:r>
          </w:p>
          <w:p>
            <w:pPr>
              <w:pStyle w:val="yTableNAm"/>
              <w:tabs>
                <w:tab w:val="clear" w:pos="567"/>
                <w:tab w:val="left" w:pos="2535"/>
              </w:tabs>
              <w:spacing w:before="60"/>
              <w:rPr>
                <w:sz w:val="20"/>
              </w:rPr>
            </w:pPr>
            <w:r>
              <w:rPr>
                <w:sz w:val="20"/>
              </w:rPr>
              <w:tab/>
              <w:t>(Signed)</w:t>
            </w:r>
          </w:p>
          <w:p>
            <w:pPr>
              <w:pStyle w:val="yTableNAm"/>
              <w:spacing w:before="0"/>
              <w:jc w:val="right"/>
              <w:rPr>
                <w:sz w:val="20"/>
              </w:rPr>
            </w:pPr>
            <w:r>
              <w:rPr>
                <w:sz w:val="20"/>
              </w:rPr>
              <w:t>Solicitor for the defendant.</w:t>
            </w:r>
          </w:p>
          <w:p>
            <w:pPr>
              <w:pStyle w:val="yTableNAm"/>
              <w:spacing w:before="60"/>
              <w:rPr>
                <w:sz w:val="20"/>
              </w:rPr>
            </w:pPr>
            <w:r>
              <w:rPr>
                <w:sz w:val="20"/>
              </w:rPr>
              <w:t>Appearance is to be entered at the Central Office, Supreme Court, Perth.</w:t>
            </w:r>
          </w:p>
        </w:tc>
      </w:tr>
    </w:tbl>
    <w:p>
      <w:pPr>
        <w:pStyle w:val="yFootnotesection"/>
        <w:spacing w:after="120"/>
      </w:pPr>
      <w:r>
        <w:lastRenderedPageBreak/>
        <w:tab/>
        <w:t>[Form 11 amended: Gazette 28 Jun 2011 p. 2557.]</w:t>
      </w:r>
    </w:p>
    <w:p>
      <w:pPr>
        <w:pStyle w:val="yHeading5"/>
        <w:keepNext w:val="0"/>
        <w:keepLines w:val="0"/>
        <w:pageBreakBefore/>
        <w:spacing w:before="0" w:after="120"/>
      </w:pPr>
      <w:bookmarkStart w:id="1598" w:name="_Toc163121822"/>
      <w:r>
        <w:rPr>
          <w:rStyle w:val="CharSClsNo"/>
        </w:rPr>
        <w:lastRenderedPageBreak/>
        <w:t>12</w:t>
      </w:r>
      <w:r>
        <w:t>.</w:t>
      </w:r>
      <w:r>
        <w:rPr>
          <w:b w:val="0"/>
        </w:rPr>
        <w:tab/>
      </w:r>
      <w:r>
        <w:t>Third party notice where question or issue to be determined (O. 19 r. 1)</w:t>
      </w:r>
      <w:bookmarkEnd w:id="1598"/>
    </w:p>
    <w:tbl>
      <w:tblPr>
        <w:tblW w:w="0" w:type="auto"/>
        <w:tblInd w:w="-12" w:type="dxa"/>
        <w:tblLayout w:type="fixed"/>
        <w:tblCellMar>
          <w:left w:w="85" w:type="dxa"/>
          <w:right w:w="85" w:type="dxa"/>
        </w:tblCellMar>
        <w:tblLook w:val="0000" w:firstRow="0" w:lastRow="0" w:firstColumn="0" w:lastColumn="0" w:noHBand="0" w:noVBand="0"/>
      </w:tblPr>
      <w:tblGrid>
        <w:gridCol w:w="937"/>
        <w:gridCol w:w="6237"/>
      </w:tblGrid>
      <w:tr>
        <w:tc>
          <w:tcPr>
            <w:tcW w:w="937" w:type="dxa"/>
          </w:tcPr>
          <w:p>
            <w:pPr>
              <w:pStyle w:val="yTableNAm"/>
            </w:pPr>
          </w:p>
        </w:tc>
        <w:tc>
          <w:tcPr>
            <w:tcW w:w="6237" w:type="dxa"/>
          </w:tcPr>
          <w:p>
            <w:pPr>
              <w:pStyle w:val="yTableNAm"/>
              <w:rPr>
                <w:i/>
                <w:sz w:val="20"/>
              </w:rPr>
            </w:pPr>
            <w:r>
              <w:rPr>
                <w:sz w:val="20"/>
              </w:rPr>
              <w:t>[</w:t>
            </w:r>
            <w:r>
              <w:rPr>
                <w:i/>
                <w:sz w:val="20"/>
              </w:rPr>
              <w:t xml:space="preserve">As in Form No. 11 down to “a copy whereof is served herewith” and proceed: — </w:t>
            </w:r>
            <w:r>
              <w:rPr>
                <w:sz w:val="20"/>
              </w:rPr>
              <w:t>]</w:t>
            </w:r>
          </w:p>
        </w:tc>
      </w:tr>
      <w:tr>
        <w:tc>
          <w:tcPr>
            <w:tcW w:w="937" w:type="dxa"/>
          </w:tcPr>
          <w:p>
            <w:pPr>
              <w:pStyle w:val="yTableNAm"/>
            </w:pPr>
          </w:p>
        </w:tc>
        <w:tc>
          <w:tcPr>
            <w:tcW w:w="6237" w:type="dxa"/>
          </w:tcPr>
          <w:p>
            <w:pPr>
              <w:pStyle w:val="yTableNAm"/>
              <w:rPr>
                <w:sz w:val="20"/>
              </w:rPr>
            </w:pPr>
            <w:r>
              <w:rPr>
                <w:sz w:val="20"/>
              </w:rPr>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tc>
          <w:tcPr>
            <w:tcW w:w="937" w:type="dxa"/>
          </w:tcPr>
          <w:p>
            <w:pPr>
              <w:pStyle w:val="yTableNAm"/>
              <w:rPr>
                <w:sz w:val="14"/>
              </w:rPr>
            </w:pPr>
          </w:p>
          <w:p>
            <w:pPr>
              <w:pStyle w:val="yTableNAm"/>
              <w:rPr>
                <w:sz w:val="14"/>
              </w:rPr>
            </w:pPr>
          </w:p>
          <w:p>
            <w:pPr>
              <w:pStyle w:val="yTableNAm"/>
              <w:rPr>
                <w:sz w:val="14"/>
              </w:rPr>
            </w:pPr>
            <w:r>
              <w:rPr>
                <w:sz w:val="14"/>
              </w:rPr>
              <w:t>*Fix time in accordance with O. 5 R. 11.</w:t>
            </w:r>
          </w:p>
        </w:tc>
        <w:tc>
          <w:tcPr>
            <w:tcW w:w="6237" w:type="dxa"/>
          </w:tcPr>
          <w:p>
            <w:pPr>
              <w:pStyle w:val="yTableNAm"/>
              <w:ind w:right="152"/>
              <w:rPr>
                <w:sz w:val="20"/>
              </w:rPr>
            </w:pPr>
            <w:r>
              <w:rPr>
                <w:sz w:val="20"/>
              </w:rPr>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NAm"/>
              <w:rPr>
                <w:sz w:val="20"/>
              </w:rPr>
            </w:pPr>
            <w:r>
              <w:rPr>
                <w:sz w:val="20"/>
              </w:rPr>
              <w:t>Dated, etc, [</w:t>
            </w:r>
            <w:r>
              <w:rPr>
                <w:i/>
                <w:sz w:val="20"/>
              </w:rPr>
              <w:t>as in Form No. 11</w:t>
            </w:r>
            <w:r>
              <w:rPr>
                <w:sz w:val="20"/>
              </w:rPr>
              <w:t>].</w:t>
            </w:r>
          </w:p>
        </w:tc>
      </w:tr>
    </w:tbl>
    <w:p>
      <w:pPr>
        <w:pStyle w:val="yFootnotesection"/>
      </w:pPr>
      <w:r>
        <w:tab/>
        <w:t>[Form 12 amended: Gazette 9 Nov 1973 p. 4165; 28 Jun 2011 p. 2557.]</w:t>
      </w:r>
    </w:p>
    <w:p>
      <w:pPr>
        <w:pStyle w:val="yEdnotedivision"/>
        <w:spacing w:before="240"/>
        <w:outlineLvl w:val="9"/>
      </w:pPr>
      <w:r>
        <w:t>[Forms 13 and 14 deleted: Gazette 21 Feb 2007 p. 596.]</w:t>
      </w:r>
    </w:p>
    <w:p>
      <w:pPr>
        <w:pStyle w:val="yEdnotedivision"/>
        <w:spacing w:before="240"/>
        <w:outlineLvl w:val="9"/>
      </w:pPr>
      <w:r>
        <w:t>[Form 15 deleted: Gazette 5 Jun 1992 p. 2282.]</w:t>
      </w:r>
    </w:p>
    <w:p>
      <w:pPr>
        <w:pStyle w:val="yEdnotedivision"/>
        <w:spacing w:before="240"/>
        <w:outlineLvl w:val="9"/>
      </w:pPr>
      <w:r>
        <w:t>[Form 16 deleted: Gazette 21 Feb 2007 p. 596.]</w:t>
      </w:r>
    </w:p>
    <w:p>
      <w:pPr>
        <w:pStyle w:val="yHeading5"/>
        <w:keepNext w:val="0"/>
        <w:keepLines w:val="0"/>
        <w:pageBreakBefore/>
        <w:widowControl w:val="0"/>
        <w:spacing w:before="0" w:after="120"/>
      </w:pPr>
      <w:bookmarkStart w:id="1599" w:name="_Toc163121823"/>
      <w:r>
        <w:rPr>
          <w:rStyle w:val="CharSClsNo"/>
        </w:rPr>
        <w:lastRenderedPageBreak/>
        <w:t>17</w:t>
      </w:r>
      <w:r>
        <w:t>.</w:t>
      </w:r>
      <w:r>
        <w:tab/>
        <w:t>List of documents (O. 26 r. 4(1) &amp; 8)</w:t>
      </w:r>
      <w:bookmarkEnd w:id="159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955"/>
        <w:gridCol w:w="1398"/>
        <w:gridCol w:w="1287"/>
      </w:tblGrid>
      <w:tr>
        <w:trPr>
          <w:cantSplit/>
          <w:trHeight w:val="329"/>
        </w:trPr>
        <w:tc>
          <w:tcPr>
            <w:tcW w:w="4395" w:type="dxa"/>
            <w:gridSpan w:val="2"/>
            <w:vMerge w:val="restart"/>
          </w:tcPr>
          <w:p>
            <w:pPr>
              <w:pStyle w:val="yTableNAm"/>
              <w:rPr>
                <w:sz w:val="20"/>
              </w:rPr>
            </w:pPr>
            <w:r>
              <w:rPr>
                <w:sz w:val="20"/>
              </w:rPr>
              <w:t>Supreme Court of Western Australia</w:t>
            </w:r>
          </w:p>
          <w:p>
            <w:pPr>
              <w:pStyle w:val="yTableNAm"/>
              <w:rPr>
                <w:b/>
                <w:iCs/>
                <w:sz w:val="20"/>
              </w:rPr>
            </w:pPr>
            <w:r>
              <w:rPr>
                <w:iCs/>
                <w:sz w:val="20"/>
              </w:rPr>
              <w:t>General Division</w:t>
            </w:r>
          </w:p>
        </w:tc>
        <w:tc>
          <w:tcPr>
            <w:tcW w:w="2685" w:type="dxa"/>
            <w:gridSpan w:val="2"/>
            <w:tcBorders>
              <w:bottom w:val="nil"/>
            </w:tcBorders>
            <w:vAlign w:val="center"/>
          </w:tcPr>
          <w:p>
            <w:pPr>
              <w:pStyle w:val="yTableNAm"/>
              <w:rPr>
                <w:sz w:val="20"/>
              </w:rPr>
            </w:pPr>
            <w:r>
              <w:rPr>
                <w:sz w:val="20"/>
              </w:rPr>
              <w:t>No:</w:t>
            </w:r>
          </w:p>
        </w:tc>
      </w:tr>
      <w:tr>
        <w:trPr>
          <w:cantSplit/>
          <w:trHeight w:val="328"/>
        </w:trPr>
        <w:tc>
          <w:tcPr>
            <w:tcW w:w="4395" w:type="dxa"/>
            <w:gridSpan w:val="2"/>
            <w:vMerge/>
            <w:tcBorders>
              <w:bottom w:val="nil"/>
            </w:tcBorders>
          </w:tcPr>
          <w:p>
            <w:pPr>
              <w:pStyle w:val="yTableNAm"/>
              <w:rPr>
                <w:sz w:val="20"/>
              </w:rPr>
            </w:pPr>
          </w:p>
        </w:tc>
        <w:tc>
          <w:tcPr>
            <w:tcW w:w="2685" w:type="dxa"/>
            <w:gridSpan w:val="2"/>
            <w:tcBorders>
              <w:bottom w:val="nil"/>
            </w:tcBorders>
          </w:tcPr>
          <w:p>
            <w:pPr>
              <w:pStyle w:val="yTableNAm"/>
              <w:rPr>
                <w:b/>
                <w:bCs/>
                <w:sz w:val="20"/>
              </w:rPr>
            </w:pPr>
            <w:r>
              <w:rPr>
                <w:b/>
                <w:bCs/>
                <w:sz w:val="20"/>
              </w:rPr>
              <w:t>List of documents</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2857"/>
              </w:tabs>
              <w:rPr>
                <w:sz w:val="20"/>
              </w:rPr>
            </w:pPr>
            <w:r>
              <w:rPr>
                <w:sz w:val="20"/>
              </w:rPr>
              <w:tab/>
              <w:t>Plaintiff</w:t>
            </w:r>
          </w:p>
          <w:p>
            <w:pPr>
              <w:pStyle w:val="yTableNAm"/>
              <w:tabs>
                <w:tab w:val="clear" w:pos="567"/>
                <w:tab w:val="left" w:pos="2857"/>
              </w:tabs>
              <w:rPr>
                <w:sz w:val="20"/>
              </w:rPr>
            </w:pPr>
            <w:r>
              <w:rPr>
                <w:sz w:val="20"/>
              </w:rPr>
              <w:tab/>
              <w:t>Defendant</w:t>
            </w:r>
          </w:p>
        </w:tc>
      </w:tr>
      <w:tr>
        <w:trPr>
          <w:cantSplit/>
        </w:trPr>
        <w:tc>
          <w:tcPr>
            <w:tcW w:w="1440" w:type="dxa"/>
            <w:tcBorders>
              <w:bottom w:val="nil"/>
            </w:tcBorders>
          </w:tcPr>
          <w:p>
            <w:pPr>
              <w:pStyle w:val="yTableNAm"/>
              <w:rPr>
                <w:sz w:val="20"/>
              </w:rPr>
            </w:pPr>
            <w:r>
              <w:rPr>
                <w:sz w:val="20"/>
              </w:rPr>
              <w:t>To</w:t>
            </w:r>
          </w:p>
        </w:tc>
        <w:tc>
          <w:tcPr>
            <w:tcW w:w="5640" w:type="dxa"/>
            <w:gridSpan w:val="3"/>
            <w:tcBorders>
              <w:bottom w:val="nil"/>
            </w:tcBorders>
          </w:tcPr>
          <w:p>
            <w:pPr>
              <w:pStyle w:val="yTableNAm"/>
              <w:rPr>
                <w:sz w:val="20"/>
              </w:rPr>
            </w:pPr>
            <w:r>
              <w:rPr>
                <w:sz w:val="20"/>
              </w:rPr>
              <w:t>[</w:t>
            </w:r>
            <w:r>
              <w:rPr>
                <w:i/>
                <w:iCs/>
                <w:sz w:val="20"/>
              </w:rPr>
              <w:t>Party</w:t>
            </w:r>
            <w:r>
              <w:rPr>
                <w:sz w:val="20"/>
              </w:rPr>
              <w:t>] and its legal practitioner.</w:t>
            </w:r>
          </w:p>
        </w:tc>
      </w:tr>
      <w:tr>
        <w:trPr>
          <w:cantSplit/>
        </w:trPr>
        <w:tc>
          <w:tcPr>
            <w:tcW w:w="1440" w:type="dxa"/>
            <w:tcBorders>
              <w:bottom w:val="nil"/>
            </w:tcBorders>
          </w:tcPr>
          <w:p>
            <w:pPr>
              <w:pStyle w:val="yTableNAm"/>
              <w:rPr>
                <w:sz w:val="20"/>
              </w:rPr>
            </w:pPr>
            <w:r>
              <w:rPr>
                <w:sz w:val="20"/>
              </w:rPr>
              <w:t>From</w:t>
            </w:r>
          </w:p>
        </w:tc>
        <w:tc>
          <w:tcPr>
            <w:tcW w:w="5640" w:type="dxa"/>
            <w:gridSpan w:val="3"/>
            <w:tcBorders>
              <w:bottom w:val="nil"/>
            </w:tcBorders>
          </w:tcPr>
          <w:p>
            <w:pPr>
              <w:pStyle w:val="yTableNAm"/>
              <w:rPr>
                <w:sz w:val="20"/>
              </w:rPr>
            </w:pPr>
            <w:r>
              <w:rPr>
                <w:sz w:val="20"/>
              </w:rPr>
              <w:t>[</w:t>
            </w:r>
            <w:r>
              <w:rPr>
                <w:i/>
                <w:iCs/>
                <w:sz w:val="20"/>
              </w:rPr>
              <w:t>Party giving discovery</w:t>
            </w:r>
            <w:r>
              <w:rPr>
                <w:sz w:val="20"/>
              </w:rPr>
              <w:t>]</w:t>
            </w:r>
          </w:p>
        </w:tc>
      </w:tr>
      <w:tr>
        <w:trPr>
          <w:cantSplit/>
        </w:trPr>
        <w:tc>
          <w:tcPr>
            <w:tcW w:w="1440" w:type="dxa"/>
            <w:tcBorders>
              <w:bottom w:val="single" w:sz="4" w:space="0" w:color="auto"/>
            </w:tcBorders>
          </w:tcPr>
          <w:p>
            <w:pPr>
              <w:pStyle w:val="yTableNAm"/>
              <w:rPr>
                <w:sz w:val="20"/>
              </w:rPr>
            </w:pPr>
            <w:r>
              <w:rPr>
                <w:sz w:val="20"/>
              </w:rPr>
              <w:t>General</w:t>
            </w:r>
          </w:p>
        </w:tc>
        <w:tc>
          <w:tcPr>
            <w:tcW w:w="5640" w:type="dxa"/>
            <w:gridSpan w:val="3"/>
            <w:tcBorders>
              <w:bottom w:val="single" w:sz="4" w:space="0" w:color="auto"/>
            </w:tcBorders>
          </w:tcPr>
          <w:p>
            <w:pPr>
              <w:pStyle w:val="yTableNAm"/>
              <w:rPr>
                <w:sz w:val="20"/>
              </w:rPr>
            </w:pPr>
            <w:r>
              <w:rPr>
                <w:sz w:val="20"/>
              </w:rPr>
              <w:t xml:space="preserve">This list is served in compliance with the </w:t>
            </w:r>
            <w:r>
              <w:rPr>
                <w:i/>
                <w:iCs/>
                <w:sz w:val="20"/>
              </w:rPr>
              <w:t xml:space="preserve">Rules of the Supreme Court 1971 </w:t>
            </w:r>
            <w:r>
              <w:rPr>
                <w:sz w:val="20"/>
              </w:rPr>
              <w:t>Order 26 rule 1(3) [</w:t>
            </w:r>
            <w:r>
              <w:rPr>
                <w:i/>
                <w:iCs/>
                <w:sz w:val="20"/>
              </w:rPr>
              <w:t xml:space="preserve">or </w:t>
            </w:r>
            <w:r>
              <w:rPr>
                <w:sz w:val="20"/>
              </w:rPr>
              <w:t>the Court’s order dated               20   .]</w:t>
            </w:r>
          </w:p>
        </w:tc>
      </w:tr>
      <w:tr>
        <w:trPr>
          <w:cantSplit/>
        </w:trPr>
        <w:tc>
          <w:tcPr>
            <w:tcW w:w="1440" w:type="dxa"/>
            <w:tcBorders>
              <w:bottom w:val="single" w:sz="4" w:space="0" w:color="auto"/>
            </w:tcBorders>
          </w:tcPr>
          <w:p>
            <w:pPr>
              <w:pStyle w:val="yTableNAm"/>
              <w:rPr>
                <w:sz w:val="20"/>
              </w:rPr>
            </w:pPr>
            <w:r>
              <w:rPr>
                <w:sz w:val="20"/>
              </w:rPr>
              <w:t>Documents in possession</w:t>
            </w:r>
          </w:p>
          <w:p>
            <w:pPr>
              <w:pStyle w:val="yTableNAm"/>
              <w:rPr>
                <w:sz w:val="20"/>
              </w:rPr>
            </w:pPr>
            <w:r>
              <w:rPr>
                <w:sz w:val="20"/>
              </w:rPr>
              <w:t>(Part 1)</w:t>
            </w:r>
          </w:p>
        </w:tc>
        <w:tc>
          <w:tcPr>
            <w:tcW w:w="5640" w:type="dxa"/>
            <w:gridSpan w:val="3"/>
            <w:tcBorders>
              <w:bottom w:val="single" w:sz="4" w:space="0" w:color="auto"/>
            </w:tcBorders>
          </w:tcPr>
          <w:p>
            <w:pPr>
              <w:pStyle w:val="yTableNAm"/>
              <w:rPr>
                <w:sz w:val="20"/>
              </w:rPr>
            </w:pPr>
            <w:r>
              <w:rPr>
                <w:sz w:val="20"/>
              </w:rPr>
              <w:t>Part 1A of this list lists the documents relating to the matters in question in this action that are in the possession, custody or power of the [</w:t>
            </w:r>
            <w:r>
              <w:rPr>
                <w:i/>
                <w:iCs/>
                <w:sz w:val="20"/>
              </w:rPr>
              <w:t>party giving discovery</w:t>
            </w:r>
            <w:r>
              <w:rPr>
                <w:sz w:val="20"/>
              </w:rPr>
              <w:t>].</w:t>
            </w:r>
          </w:p>
          <w:p>
            <w:pPr>
              <w:pStyle w:val="yTableNAm"/>
              <w:rPr>
                <w:sz w:val="20"/>
              </w:rPr>
            </w:pPr>
            <w:r>
              <w:rPr>
                <w:sz w:val="20"/>
              </w:rPr>
              <w:t>Part 1B of this list lists each of those documents listed in Part 1A that the [</w:t>
            </w:r>
            <w:r>
              <w:rPr>
                <w:i/>
                <w:iCs/>
                <w:sz w:val="20"/>
              </w:rPr>
              <w:t>party giving discovery</w:t>
            </w:r>
            <w:r>
              <w:rPr>
                <w:sz w:val="20"/>
              </w:rPr>
              <w:t>] objects to producing and the grounds for objecting.</w:t>
            </w:r>
          </w:p>
        </w:tc>
      </w:tr>
      <w:tr>
        <w:trPr>
          <w:cantSplit/>
        </w:trPr>
        <w:tc>
          <w:tcPr>
            <w:tcW w:w="1440" w:type="dxa"/>
            <w:tcBorders>
              <w:bottom w:val="single" w:sz="4" w:space="0" w:color="auto"/>
            </w:tcBorders>
          </w:tcPr>
          <w:p>
            <w:pPr>
              <w:pStyle w:val="yTableNAm"/>
              <w:rPr>
                <w:sz w:val="20"/>
              </w:rPr>
            </w:pPr>
            <w:r>
              <w:rPr>
                <w:sz w:val="20"/>
              </w:rPr>
              <w:t>Documents no longer in possession</w:t>
            </w:r>
          </w:p>
          <w:p>
            <w:pPr>
              <w:pStyle w:val="yTableNAm"/>
              <w:rPr>
                <w:sz w:val="20"/>
              </w:rPr>
            </w:pPr>
            <w:r>
              <w:rPr>
                <w:sz w:val="20"/>
              </w:rPr>
              <w:t>(Part 2)</w:t>
            </w:r>
          </w:p>
        </w:tc>
        <w:tc>
          <w:tcPr>
            <w:tcW w:w="5640" w:type="dxa"/>
            <w:gridSpan w:val="3"/>
            <w:tcBorders>
              <w:bottom w:val="single" w:sz="4" w:space="0" w:color="auto"/>
            </w:tcBorders>
          </w:tcPr>
          <w:p>
            <w:pPr>
              <w:pStyle w:val="yTableNAm"/>
              <w:rPr>
                <w:sz w:val="20"/>
              </w:rPr>
            </w:pPr>
            <w:r>
              <w:rPr>
                <w:sz w:val="20"/>
              </w:rPr>
              <w:t>Part 2A of this list lists the documents relating to the matters in question in this action that were, but no longer are, in the possession, custody or power of the [</w:t>
            </w:r>
            <w:r>
              <w:rPr>
                <w:i/>
                <w:iCs/>
                <w:sz w:val="20"/>
              </w:rPr>
              <w:t>party giving discovery</w:t>
            </w:r>
            <w:r>
              <w:rPr>
                <w:sz w:val="20"/>
              </w:rPr>
              <w:t>].</w:t>
            </w:r>
          </w:p>
          <w:p>
            <w:pPr>
              <w:pStyle w:val="yTableNAm"/>
              <w:rPr>
                <w:sz w:val="20"/>
              </w:rPr>
            </w:pPr>
            <w:r>
              <w:rPr>
                <w:sz w:val="20"/>
              </w:rPr>
              <w:t>Part 2B of this list, for each document listed in Part 2A, states —</w:t>
            </w:r>
          </w:p>
          <w:p>
            <w:pPr>
              <w:pStyle w:val="yTableNAm"/>
              <w:tabs>
                <w:tab w:val="clear" w:pos="567"/>
                <w:tab w:val="left" w:pos="457"/>
              </w:tabs>
              <w:spacing w:before="80"/>
              <w:ind w:left="459" w:hanging="459"/>
              <w:rPr>
                <w:sz w:val="20"/>
              </w:rPr>
            </w:pPr>
            <w:r>
              <w:rPr>
                <w:sz w:val="20"/>
              </w:rPr>
              <w:t>•</w:t>
            </w:r>
            <w:r>
              <w:rPr>
                <w:sz w:val="20"/>
              </w:rPr>
              <w:tab/>
              <w:t>the date on which it was last in the [</w:t>
            </w:r>
            <w:r>
              <w:rPr>
                <w:i/>
                <w:iCs/>
                <w:sz w:val="20"/>
              </w:rPr>
              <w:t>party giving discovery’s</w:t>
            </w:r>
            <w:r>
              <w:rPr>
                <w:sz w:val="20"/>
              </w:rPr>
              <w:t>] possession, custody or power; and</w:t>
            </w:r>
          </w:p>
          <w:p>
            <w:pPr>
              <w:pStyle w:val="yTableNAm"/>
              <w:tabs>
                <w:tab w:val="clear" w:pos="567"/>
                <w:tab w:val="left" w:pos="457"/>
              </w:tabs>
              <w:spacing w:before="80"/>
              <w:ind w:left="459" w:hanging="459"/>
              <w:rPr>
                <w:sz w:val="20"/>
              </w:rPr>
            </w:pPr>
            <w:r>
              <w:rPr>
                <w:sz w:val="20"/>
              </w:rPr>
              <w:t>•</w:t>
            </w:r>
            <w:r>
              <w:rPr>
                <w:sz w:val="20"/>
              </w:rPr>
              <w:tab/>
              <w:t>what has become of it; and</w:t>
            </w:r>
          </w:p>
          <w:p>
            <w:pPr>
              <w:pStyle w:val="yTableNAm"/>
              <w:tabs>
                <w:tab w:val="clear" w:pos="567"/>
                <w:tab w:val="left" w:pos="457"/>
              </w:tabs>
              <w:spacing w:before="80"/>
              <w:ind w:left="459" w:hanging="459"/>
              <w:rPr>
                <w:sz w:val="20"/>
              </w:rPr>
            </w:pPr>
            <w:r>
              <w:rPr>
                <w:sz w:val="20"/>
              </w:rPr>
              <w:t>•</w:t>
            </w:r>
            <w:r>
              <w:rPr>
                <w:sz w:val="20"/>
              </w:rPr>
              <w:tab/>
              <w:t>who currently has possession or custody of or power over it.</w:t>
            </w:r>
          </w:p>
        </w:tc>
      </w:tr>
      <w:tr>
        <w:trPr>
          <w:cantSplit/>
        </w:trPr>
        <w:tc>
          <w:tcPr>
            <w:tcW w:w="1440" w:type="dxa"/>
            <w:tcBorders>
              <w:bottom w:val="single" w:sz="4" w:space="0" w:color="auto"/>
            </w:tcBorders>
          </w:tcPr>
          <w:p>
            <w:pPr>
              <w:pStyle w:val="yTableNAm"/>
              <w:rPr>
                <w:sz w:val="20"/>
              </w:rPr>
            </w:pPr>
            <w:r>
              <w:rPr>
                <w:sz w:val="20"/>
              </w:rPr>
              <w:t>Declarations</w:t>
            </w:r>
          </w:p>
        </w:tc>
        <w:tc>
          <w:tcPr>
            <w:tcW w:w="5640" w:type="dxa"/>
            <w:gridSpan w:val="3"/>
            <w:tcBorders>
              <w:bottom w:val="single" w:sz="4" w:space="0" w:color="auto"/>
            </w:tcBorders>
          </w:tcPr>
          <w:p>
            <w:pPr>
              <w:pStyle w:val="yTableNAm"/>
              <w:rPr>
                <w:sz w:val="20"/>
              </w:rPr>
            </w:pPr>
            <w:r>
              <w:rPr>
                <w:sz w:val="20"/>
              </w:rPr>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TableNAm"/>
              <w:rPr>
                <w:sz w:val="20"/>
              </w:rPr>
            </w:pPr>
            <w:r>
              <w:rPr>
                <w:sz w:val="20"/>
              </w:rPr>
              <w:t>Neither the [</w:t>
            </w:r>
            <w:r>
              <w:rPr>
                <w:i/>
                <w:iCs/>
                <w:sz w:val="20"/>
              </w:rPr>
              <w:t>party giving discovery</w:t>
            </w:r>
            <w:r>
              <w:rPr>
                <w:sz w:val="20"/>
              </w:rPr>
              <w:t>], nor its legal practitioner, nor any other person on its behalf, has now, or ever had, possession or custody of or power over any document of any description whatever relating to any matter in question in this action, other than the documents listed in Parts 1A and 2A of this list.</w:t>
            </w:r>
          </w:p>
        </w:tc>
      </w:tr>
      <w:tr>
        <w:trPr>
          <w:cantSplit/>
        </w:trPr>
        <w:tc>
          <w:tcPr>
            <w:tcW w:w="1440" w:type="dxa"/>
            <w:tcBorders>
              <w:bottom w:val="single" w:sz="4" w:space="0" w:color="auto"/>
            </w:tcBorders>
          </w:tcPr>
          <w:p>
            <w:pPr>
              <w:pStyle w:val="yTableNAm"/>
              <w:rPr>
                <w:sz w:val="20"/>
                <w:vertAlign w:val="superscript"/>
              </w:rPr>
            </w:pPr>
            <w:r>
              <w:rPr>
                <w:b/>
                <w:bCs/>
                <w:sz w:val="20"/>
              </w:rPr>
              <w:lastRenderedPageBreak/>
              <w:t>Inspection of documents</w:t>
            </w:r>
            <w:r>
              <w:rPr>
                <w:sz w:val="20"/>
                <w:vertAlign w:val="superscript"/>
              </w:rPr>
              <w:t>1</w:t>
            </w:r>
          </w:p>
        </w:tc>
        <w:tc>
          <w:tcPr>
            <w:tcW w:w="5640" w:type="dxa"/>
            <w:gridSpan w:val="3"/>
            <w:tcBorders>
              <w:bottom w:val="single" w:sz="4" w:space="0" w:color="auto"/>
            </w:tcBorders>
          </w:tcPr>
          <w:p>
            <w:pPr>
              <w:pStyle w:val="yTableNAm"/>
              <w:rPr>
                <w:sz w:val="20"/>
              </w:rPr>
            </w:pPr>
            <w:r>
              <w:rPr>
                <w:sz w:val="20"/>
              </w:rPr>
              <w:t>The documents in this list, other than those listed in Parts 1B and 2A, may be inspected at —</w:t>
            </w:r>
          </w:p>
          <w:p>
            <w:pPr>
              <w:pStyle w:val="yTableNAm"/>
              <w:rPr>
                <w:sz w:val="20"/>
              </w:rPr>
            </w:pPr>
            <w:r>
              <w:rPr>
                <w:sz w:val="20"/>
              </w:rPr>
              <w:t>[</w:t>
            </w:r>
            <w:r>
              <w:rPr>
                <w:i/>
                <w:iCs/>
                <w:sz w:val="20"/>
              </w:rPr>
              <w:t>address</w:t>
            </w:r>
            <w:r>
              <w:rPr>
                <w:sz w:val="20"/>
              </w:rPr>
              <w:t>]</w:t>
            </w:r>
          </w:p>
          <w:p>
            <w:pPr>
              <w:pStyle w:val="yTableNAm"/>
              <w:rPr>
                <w:sz w:val="20"/>
              </w:rPr>
            </w:pPr>
            <w:r>
              <w:rPr>
                <w:sz w:val="20"/>
              </w:rPr>
              <w:t>on [</w:t>
            </w:r>
            <w:r>
              <w:rPr>
                <w:i/>
                <w:iCs/>
                <w:sz w:val="20"/>
              </w:rPr>
              <w:t>date and times</w:t>
            </w:r>
            <w:r>
              <w:rPr>
                <w:sz w:val="20"/>
              </w:rPr>
              <w:t>].</w:t>
            </w:r>
          </w:p>
        </w:tc>
      </w:tr>
      <w:tr>
        <w:trPr>
          <w:cantSplit/>
        </w:trPr>
        <w:tc>
          <w:tcPr>
            <w:tcW w:w="1440" w:type="dxa"/>
            <w:tcBorders>
              <w:top w:val="single" w:sz="4" w:space="0" w:color="auto"/>
              <w:bottom w:val="single" w:sz="4" w:space="0" w:color="auto"/>
            </w:tcBorders>
          </w:tcPr>
          <w:p>
            <w:pPr>
              <w:pStyle w:val="yTableNAm"/>
              <w:rPr>
                <w:sz w:val="20"/>
              </w:rPr>
            </w:pPr>
            <w:r>
              <w:rPr>
                <w:sz w:val="20"/>
              </w:rPr>
              <w:t xml:space="preserve">Certificate by party giving discovery or its legal practitioner </w:t>
            </w:r>
            <w:r>
              <w:rPr>
                <w:sz w:val="20"/>
                <w:vertAlign w:val="superscript"/>
              </w:rPr>
              <w:t> 2</w:t>
            </w:r>
          </w:p>
        </w:tc>
        <w:tc>
          <w:tcPr>
            <w:tcW w:w="4353" w:type="dxa"/>
            <w:gridSpan w:val="2"/>
            <w:tcBorders>
              <w:top w:val="single" w:sz="4" w:space="0" w:color="auto"/>
              <w:bottom w:val="single" w:sz="4" w:space="0" w:color="auto"/>
            </w:tcBorders>
          </w:tcPr>
          <w:p>
            <w:pPr>
              <w:pStyle w:val="yTableNAm"/>
              <w:rPr>
                <w:sz w:val="20"/>
              </w:rPr>
            </w:pPr>
            <w:r>
              <w:rPr>
                <w:sz w:val="20"/>
              </w:rPr>
              <w:t>I certify that the statements in this document are true.</w:t>
            </w:r>
          </w:p>
          <w:p>
            <w:pPr>
              <w:pStyle w:val="yTableNAm"/>
              <w:rPr>
                <w:sz w:val="20"/>
              </w:rPr>
            </w:pPr>
          </w:p>
          <w:p>
            <w:pPr>
              <w:pStyle w:val="yTableNAm"/>
              <w:rPr>
                <w:sz w:val="20"/>
              </w:rPr>
            </w:pPr>
            <w:r>
              <w:rPr>
                <w:sz w:val="20"/>
              </w:rPr>
              <w:t>[</w:t>
            </w:r>
            <w:r>
              <w:rPr>
                <w:i/>
                <w:iCs/>
                <w:sz w:val="20"/>
              </w:rPr>
              <w:t>Party</w:t>
            </w:r>
            <w:r>
              <w:rPr>
                <w:sz w:val="20"/>
              </w:rPr>
              <w:t>]/[</w:t>
            </w:r>
            <w:r>
              <w:rPr>
                <w:i/>
                <w:iCs/>
                <w:sz w:val="20"/>
              </w:rPr>
              <w:t xml:space="preserve">Party’s </w:t>
            </w:r>
            <w:r>
              <w:rPr>
                <w:i/>
                <w:sz w:val="20"/>
              </w:rPr>
              <w:t>legal practitioner</w:t>
            </w:r>
            <w:r>
              <w:rPr>
                <w:sz w:val="20"/>
              </w:rPr>
              <w:t>]</w:t>
            </w:r>
          </w:p>
        </w:tc>
        <w:tc>
          <w:tcPr>
            <w:tcW w:w="1287" w:type="dxa"/>
            <w:tcBorders>
              <w:top w:val="single" w:sz="4" w:space="0" w:color="auto"/>
              <w:bottom w:val="single" w:sz="4" w:space="0" w:color="auto"/>
            </w:tcBorders>
          </w:tcPr>
          <w:p>
            <w:pPr>
              <w:pStyle w:val="yTableNAm"/>
              <w:rPr>
                <w:sz w:val="20"/>
              </w:rPr>
            </w:pPr>
            <w:r>
              <w:rPr>
                <w:sz w:val="20"/>
              </w:rPr>
              <w:t>Date:</w:t>
            </w:r>
          </w:p>
        </w:tc>
      </w:tr>
      <w:tr>
        <w:trPr>
          <w:cantSplit/>
        </w:trPr>
        <w:tc>
          <w:tcPr>
            <w:tcW w:w="1440" w:type="dxa"/>
            <w:tcBorders>
              <w:top w:val="single" w:sz="4" w:space="0" w:color="auto"/>
              <w:bottom w:val="single" w:sz="4" w:space="0" w:color="auto"/>
            </w:tcBorders>
          </w:tcPr>
          <w:p>
            <w:pPr>
              <w:pStyle w:val="yTableNAm"/>
              <w:rPr>
                <w:sz w:val="20"/>
              </w:rPr>
            </w:pPr>
            <w:r>
              <w:rPr>
                <w:sz w:val="20"/>
              </w:rPr>
              <w:t>Service details</w:t>
            </w:r>
          </w:p>
        </w:tc>
        <w:tc>
          <w:tcPr>
            <w:tcW w:w="5640" w:type="dxa"/>
            <w:gridSpan w:val="3"/>
            <w:tcBorders>
              <w:top w:val="single" w:sz="4" w:space="0" w:color="auto"/>
              <w:bottom w:val="single" w:sz="4" w:space="0" w:color="auto"/>
            </w:tcBorders>
          </w:tcPr>
          <w:p>
            <w:pPr>
              <w:pStyle w:val="yTableNAm"/>
              <w:rPr>
                <w:sz w:val="20"/>
              </w:rPr>
            </w:pPr>
            <w:r>
              <w:rPr>
                <w:sz w:val="20"/>
              </w:rPr>
              <w:t>This list and its attachments were served on [</w:t>
            </w:r>
            <w:r>
              <w:rPr>
                <w:i/>
                <w:iCs/>
                <w:sz w:val="20"/>
              </w:rPr>
              <w:t>party</w:t>
            </w:r>
            <w:r>
              <w:rPr>
                <w:sz w:val="20"/>
              </w:rPr>
              <w:t>] on [</w:t>
            </w:r>
            <w:r>
              <w:rPr>
                <w:i/>
                <w:iCs/>
                <w:sz w:val="20"/>
              </w:rPr>
              <w:t>date</w:t>
            </w:r>
            <w:r>
              <w:rPr>
                <w:sz w:val="20"/>
              </w:rPr>
              <w:t>] by [</w:t>
            </w:r>
            <w:r>
              <w:rPr>
                <w:i/>
                <w:iCs/>
                <w:sz w:val="20"/>
              </w:rPr>
              <w:t>server</w:t>
            </w:r>
            <w:r>
              <w:rPr>
                <w:sz w:val="20"/>
              </w:rPr>
              <w:t>]</w:t>
            </w:r>
          </w:p>
          <w:p>
            <w:pPr>
              <w:pStyle w:val="yTableNAm"/>
              <w:tabs>
                <w:tab w:val="clear" w:pos="567"/>
                <w:tab w:val="left" w:pos="3457"/>
              </w:tabs>
              <w:rPr>
                <w:sz w:val="20"/>
              </w:rPr>
            </w:pPr>
            <w:r>
              <w:rPr>
                <w:sz w:val="20"/>
              </w:rPr>
              <w:t>Signed:</w:t>
            </w:r>
            <w:r>
              <w:rPr>
                <w:sz w:val="20"/>
              </w:rPr>
              <w:tab/>
              <w:t>Date:</w:t>
            </w:r>
          </w:p>
        </w:tc>
      </w:tr>
    </w:tbl>
    <w:p>
      <w:pPr>
        <w:pStyle w:val="yMiscellaneousBody"/>
        <w:spacing w:before="0"/>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1A</w:t>
            </w:r>
            <w:r>
              <w:rPr>
                <w:b/>
                <w:bCs/>
                <w:sz w:val="20"/>
                <w:vertAlign w:val="superscript"/>
              </w:rPr>
              <w:t>3</w:t>
            </w:r>
          </w:p>
          <w:p>
            <w:pPr>
              <w:pStyle w:val="yTableNAm"/>
              <w:rPr>
                <w:sz w:val="20"/>
              </w:rPr>
            </w:pPr>
            <w:r>
              <w:rPr>
                <w:sz w:val="20"/>
              </w:rPr>
              <w:t>The documents relating to the matters in question in this action that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pPr>
        <w:pStyle w:val="yMiscellaneousBody"/>
        <w:spacing w:before="0"/>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6240"/>
      </w:tblGrid>
      <w:tr>
        <w:trPr>
          <w:cantSplit/>
        </w:trPr>
        <w:tc>
          <w:tcPr>
            <w:tcW w:w="7080" w:type="dxa"/>
            <w:gridSpan w:val="2"/>
            <w:tcBorders>
              <w:bottom w:val="single" w:sz="4" w:space="0" w:color="auto"/>
            </w:tcBorders>
          </w:tcPr>
          <w:p>
            <w:pPr>
              <w:pStyle w:val="yTableNAm"/>
              <w:jc w:val="center"/>
              <w:rPr>
                <w:b/>
                <w:bCs/>
                <w:sz w:val="20"/>
              </w:rPr>
            </w:pPr>
            <w:r>
              <w:rPr>
                <w:b/>
                <w:bCs/>
                <w:sz w:val="20"/>
              </w:rPr>
              <w:t>List of documents — Part 1B</w:t>
            </w:r>
            <w:r>
              <w:rPr>
                <w:b/>
                <w:bCs/>
                <w:sz w:val="20"/>
                <w:vertAlign w:val="superscript"/>
              </w:rPr>
              <w:t>3</w:t>
            </w:r>
          </w:p>
          <w:p>
            <w:pPr>
              <w:pStyle w:val="yTableNAm"/>
              <w:rPr>
                <w:sz w:val="20"/>
              </w:rPr>
            </w:pPr>
            <w:r>
              <w:rPr>
                <w:sz w:val="20"/>
              </w:rPr>
              <w:t>Of the documents listed in Part 1A the [</w:t>
            </w:r>
            <w:r>
              <w:rPr>
                <w:i/>
                <w:iCs/>
                <w:sz w:val="20"/>
              </w:rPr>
              <w:t>party giving discovery</w:t>
            </w:r>
            <w:r>
              <w:rPr>
                <w:sz w:val="20"/>
              </w:rPr>
              <w:t>] objects to producing the following on the following grounds.</w:t>
            </w:r>
          </w:p>
        </w:tc>
      </w:tr>
      <w:tr>
        <w:trPr>
          <w:cantSplit/>
        </w:trPr>
        <w:tc>
          <w:tcPr>
            <w:tcW w:w="840" w:type="dxa"/>
            <w:tcBorders>
              <w:top w:val="single" w:sz="4" w:space="0" w:color="auto"/>
              <w:bottom w:val="single" w:sz="4" w:space="0" w:color="auto"/>
            </w:tcBorders>
          </w:tcPr>
          <w:p>
            <w:pPr>
              <w:pStyle w:val="yTableNAm"/>
              <w:rPr>
                <w:sz w:val="20"/>
              </w:rPr>
            </w:pPr>
            <w:r>
              <w:rPr>
                <w:sz w:val="20"/>
              </w:rPr>
              <w:t>No. in Part 1A</w:t>
            </w:r>
          </w:p>
        </w:tc>
        <w:tc>
          <w:tcPr>
            <w:tcW w:w="6240" w:type="dxa"/>
            <w:tcBorders>
              <w:top w:val="single" w:sz="4" w:space="0" w:color="auto"/>
              <w:bottom w:val="single" w:sz="4" w:space="0" w:color="auto"/>
            </w:tcBorders>
          </w:tcPr>
          <w:p>
            <w:pPr>
              <w:pStyle w:val="yTableNAm"/>
              <w:rPr>
                <w:sz w:val="20"/>
              </w:rPr>
            </w:pPr>
            <w:r>
              <w:rPr>
                <w:sz w:val="20"/>
              </w:rPr>
              <w:t>Grounds for objecting to producing the document</w:t>
            </w:r>
          </w:p>
        </w:tc>
      </w:tr>
      <w:tr>
        <w:trPr>
          <w:cantSplit/>
        </w:trPr>
        <w:tc>
          <w:tcPr>
            <w:tcW w:w="840" w:type="dxa"/>
            <w:tcBorders>
              <w:top w:val="single" w:sz="4" w:space="0" w:color="auto"/>
              <w:bottom w:val="single" w:sz="4" w:space="0" w:color="auto"/>
            </w:tcBorders>
          </w:tcPr>
          <w:p>
            <w:pPr>
              <w:pStyle w:val="yTableNAm"/>
              <w:rPr>
                <w:sz w:val="20"/>
              </w:rPr>
            </w:pPr>
          </w:p>
        </w:tc>
        <w:tc>
          <w:tcPr>
            <w:tcW w:w="6240" w:type="dxa"/>
            <w:tcBorders>
              <w:top w:val="single" w:sz="4" w:space="0" w:color="auto"/>
              <w:bottom w:val="single" w:sz="4" w:space="0" w:color="auto"/>
            </w:tcBorders>
          </w:tcPr>
          <w:p>
            <w:pPr>
              <w:pStyle w:val="yTableNAm"/>
              <w:rPr>
                <w:sz w:val="20"/>
              </w:rPr>
            </w:pPr>
          </w:p>
        </w:tc>
      </w:tr>
    </w:tbl>
    <w:p>
      <w:pPr>
        <w:pStyle w:val="yMiscellaneousBody"/>
        <w:spacing w:before="0"/>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2A</w:t>
            </w:r>
            <w:r>
              <w:rPr>
                <w:b/>
                <w:bCs/>
                <w:sz w:val="20"/>
                <w:vertAlign w:val="superscript"/>
              </w:rPr>
              <w:t>3</w:t>
            </w:r>
          </w:p>
          <w:p>
            <w:pPr>
              <w:pStyle w:val="yTableNAm"/>
              <w:rPr>
                <w:sz w:val="20"/>
              </w:rPr>
            </w:pPr>
            <w:r>
              <w:rPr>
                <w:sz w:val="20"/>
              </w:rPr>
              <w:t>The documents relating to the matters in question in this action that were, but no longer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pPr>
        <w:pStyle w:val="yMiscellaneousBody"/>
        <w:spacing w:before="0"/>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1145"/>
        <w:gridCol w:w="1701"/>
        <w:gridCol w:w="3394"/>
      </w:tblGrid>
      <w:tr>
        <w:trPr>
          <w:cantSplit/>
        </w:trPr>
        <w:tc>
          <w:tcPr>
            <w:tcW w:w="7080" w:type="dxa"/>
            <w:gridSpan w:val="4"/>
            <w:tcBorders>
              <w:bottom w:val="single" w:sz="4" w:space="0" w:color="auto"/>
            </w:tcBorders>
          </w:tcPr>
          <w:p>
            <w:pPr>
              <w:pStyle w:val="yTableNAm"/>
              <w:jc w:val="center"/>
              <w:rPr>
                <w:b/>
                <w:bCs/>
                <w:sz w:val="20"/>
              </w:rPr>
            </w:pPr>
            <w:r>
              <w:rPr>
                <w:b/>
                <w:bCs/>
                <w:sz w:val="20"/>
              </w:rPr>
              <w:lastRenderedPageBreak/>
              <w:t>List of documents — Part 2B</w:t>
            </w:r>
            <w:r>
              <w:rPr>
                <w:b/>
                <w:bCs/>
                <w:sz w:val="20"/>
                <w:vertAlign w:val="superscript"/>
              </w:rPr>
              <w:t>3</w:t>
            </w:r>
          </w:p>
          <w:p>
            <w:pPr>
              <w:pStyle w:val="yTableNAm"/>
              <w:rPr>
                <w:sz w:val="20"/>
              </w:rPr>
            </w:pPr>
            <w:r>
              <w:rPr>
                <w:sz w:val="20"/>
              </w:rPr>
              <w:t>For each document listed in Part 2A, the following states —</w:t>
            </w:r>
          </w:p>
          <w:p>
            <w:pPr>
              <w:pStyle w:val="yTableNAm"/>
              <w:tabs>
                <w:tab w:val="clear" w:pos="567"/>
                <w:tab w:val="left" w:pos="337"/>
              </w:tabs>
              <w:ind w:left="337" w:hanging="337"/>
              <w:rPr>
                <w:sz w:val="20"/>
              </w:rPr>
            </w:pPr>
            <w:r>
              <w:rPr>
                <w:sz w:val="20"/>
              </w:rPr>
              <w:t>•</w:t>
            </w:r>
            <w:r>
              <w:rPr>
                <w:sz w:val="20"/>
              </w:rPr>
              <w:tab/>
              <w:t>the date on which it was last in the possession, custody or power of the [</w:t>
            </w:r>
            <w:r>
              <w:rPr>
                <w:i/>
                <w:iCs/>
                <w:sz w:val="20"/>
              </w:rPr>
              <w:t>party giving discovery</w:t>
            </w:r>
            <w:r>
              <w:rPr>
                <w:sz w:val="20"/>
              </w:rPr>
              <w:t>]; and</w:t>
            </w:r>
          </w:p>
          <w:p>
            <w:pPr>
              <w:pStyle w:val="yTableNAm"/>
              <w:tabs>
                <w:tab w:val="clear" w:pos="567"/>
                <w:tab w:val="left" w:pos="337"/>
              </w:tabs>
              <w:ind w:left="337" w:hanging="337"/>
              <w:rPr>
                <w:sz w:val="20"/>
              </w:rPr>
            </w:pPr>
            <w:r>
              <w:rPr>
                <w:sz w:val="20"/>
              </w:rPr>
              <w:t>•</w:t>
            </w:r>
            <w:r>
              <w:rPr>
                <w:sz w:val="20"/>
              </w:rPr>
              <w:tab/>
              <w:t>what has become of it; and</w:t>
            </w:r>
          </w:p>
          <w:p>
            <w:pPr>
              <w:pStyle w:val="yTableNAm"/>
              <w:tabs>
                <w:tab w:val="clear" w:pos="567"/>
                <w:tab w:val="left" w:pos="337"/>
              </w:tabs>
              <w:ind w:left="337" w:hanging="337"/>
              <w:rPr>
                <w:sz w:val="20"/>
              </w:rPr>
            </w:pPr>
            <w:r>
              <w:rPr>
                <w:sz w:val="20"/>
              </w:rPr>
              <w:t>•</w:t>
            </w:r>
            <w:r>
              <w:rPr>
                <w:sz w:val="20"/>
              </w:rPr>
              <w:tab/>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No. in Part 2A</w:t>
            </w:r>
          </w:p>
        </w:tc>
        <w:tc>
          <w:tcPr>
            <w:tcW w:w="1145" w:type="dxa"/>
            <w:tcBorders>
              <w:top w:val="single" w:sz="4" w:space="0" w:color="auto"/>
              <w:bottom w:val="single" w:sz="4" w:space="0" w:color="auto"/>
            </w:tcBorders>
          </w:tcPr>
          <w:p>
            <w:pPr>
              <w:pStyle w:val="yTableNAm"/>
              <w:rPr>
                <w:sz w:val="20"/>
              </w:rPr>
            </w:pPr>
            <w:r>
              <w:rPr>
                <w:sz w:val="20"/>
              </w:rPr>
              <w:t>Date</w:t>
            </w:r>
          </w:p>
        </w:tc>
        <w:tc>
          <w:tcPr>
            <w:tcW w:w="1701" w:type="dxa"/>
            <w:tcBorders>
              <w:top w:val="single" w:sz="4" w:space="0" w:color="auto"/>
              <w:bottom w:val="single" w:sz="4" w:space="0" w:color="auto"/>
            </w:tcBorders>
          </w:tcPr>
          <w:p>
            <w:pPr>
              <w:pStyle w:val="yTableNAm"/>
              <w:rPr>
                <w:sz w:val="20"/>
              </w:rPr>
            </w:pPr>
            <w:r>
              <w:rPr>
                <w:sz w:val="20"/>
              </w:rPr>
              <w:t>What has become of it</w:t>
            </w:r>
          </w:p>
        </w:tc>
        <w:tc>
          <w:tcPr>
            <w:tcW w:w="3394" w:type="dxa"/>
            <w:tcBorders>
              <w:top w:val="single" w:sz="4" w:space="0" w:color="auto"/>
              <w:bottom w:val="single" w:sz="4" w:space="0" w:color="auto"/>
            </w:tcBorders>
          </w:tcPr>
          <w:p>
            <w:pPr>
              <w:pStyle w:val="yTableNAm"/>
              <w:rPr>
                <w:sz w:val="20"/>
              </w:rPr>
            </w:pPr>
            <w:r>
              <w:rPr>
                <w:sz w:val="20"/>
              </w:rPr>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1.</w:t>
            </w:r>
          </w:p>
        </w:tc>
        <w:tc>
          <w:tcPr>
            <w:tcW w:w="1145" w:type="dxa"/>
            <w:tcBorders>
              <w:top w:val="single" w:sz="4" w:space="0" w:color="auto"/>
              <w:bottom w:val="single" w:sz="4" w:space="0" w:color="auto"/>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tc>
        <w:tc>
          <w:tcPr>
            <w:tcW w:w="3394" w:type="dxa"/>
            <w:tcBorders>
              <w:top w:val="single" w:sz="4" w:space="0" w:color="auto"/>
              <w:bottom w:val="single" w:sz="4" w:space="0" w:color="auto"/>
            </w:tcBorders>
          </w:tcPr>
          <w:p>
            <w:pPr>
              <w:pStyle w:val="yTableNAm"/>
              <w:rPr>
                <w:sz w:val="20"/>
              </w:rPr>
            </w:pPr>
          </w:p>
        </w:tc>
      </w:tr>
    </w:tbl>
    <w:p>
      <w:pPr>
        <w:pStyle w:val="yMiscellaneousBody"/>
        <w:rPr>
          <w:sz w:val="20"/>
        </w:rPr>
      </w:pPr>
      <w:r>
        <w:rPr>
          <w:sz w:val="20"/>
        </w:rPr>
        <w:t>Notes to Form No. 17 —</w:t>
      </w:r>
    </w:p>
    <w:p>
      <w:pPr>
        <w:pStyle w:val="yMiscellaneousBody"/>
        <w:spacing w:before="0"/>
        <w:ind w:left="480" w:hanging="480"/>
        <w:rPr>
          <w:sz w:val="20"/>
        </w:rPr>
      </w:pPr>
      <w:r>
        <w:rPr>
          <w:sz w:val="20"/>
        </w:rPr>
        <w:t>1.</w:t>
      </w:r>
      <w:r>
        <w:rPr>
          <w:sz w:val="20"/>
        </w:rPr>
        <w:tab/>
        <w:t>This notice must comply with O. 26 r. 8.</w:t>
      </w:r>
    </w:p>
    <w:p>
      <w:pPr>
        <w:pStyle w:val="yMiscellaneousBody"/>
        <w:spacing w:before="0"/>
        <w:ind w:left="480" w:hanging="480"/>
        <w:rPr>
          <w:sz w:val="20"/>
        </w:rPr>
      </w:pPr>
      <w:r>
        <w:rPr>
          <w:sz w:val="20"/>
        </w:rPr>
        <w:t>2.</w:t>
      </w:r>
      <w:r>
        <w:rPr>
          <w:sz w:val="20"/>
        </w:rPr>
        <w:tab/>
        <w:t>Do not complete this if this list is being verified by an affidavit.</w:t>
      </w:r>
    </w:p>
    <w:p>
      <w:pPr>
        <w:pStyle w:val="yMiscellaneousBody"/>
        <w:spacing w:before="0"/>
        <w:ind w:left="480" w:hanging="480"/>
        <w:rPr>
          <w:sz w:val="20"/>
        </w:rPr>
      </w:pPr>
      <w:r>
        <w:rPr>
          <w:sz w:val="20"/>
        </w:rPr>
        <w:tab/>
        <w:t>This certificate may be signed by a person listed in O. 26 r. 4(4) or the legal practitioner of the party giving discovery.</w:t>
      </w:r>
    </w:p>
    <w:p>
      <w:pPr>
        <w:pStyle w:val="yMiscellaneousBody"/>
        <w:spacing w:before="0"/>
        <w:ind w:left="480" w:hanging="480"/>
        <w:rPr>
          <w:sz w:val="20"/>
        </w:rPr>
      </w:pPr>
      <w:r>
        <w:rPr>
          <w:sz w:val="20"/>
        </w:rPr>
        <w:t>3.</w:t>
      </w:r>
      <w:r>
        <w:rPr>
          <w:sz w:val="20"/>
        </w:rPr>
        <w:tab/>
        <w:t>This Part must begin on a new sheet of paper and be attached to the main document.</w:t>
      </w:r>
    </w:p>
    <w:p>
      <w:pPr>
        <w:pStyle w:val="yFootnotesection"/>
        <w:rPr>
          <w:sz w:val="18"/>
        </w:rPr>
      </w:pPr>
      <w:r>
        <w:tab/>
        <w:t>[Form 17 inserted: Gazette 28 Jul 2010 p. 3472-5; amended: SL 2022/74 r. 15.]</w:t>
      </w:r>
    </w:p>
    <w:p>
      <w:pPr>
        <w:pStyle w:val="yHeading5"/>
        <w:keepNext w:val="0"/>
        <w:keepLines w:val="0"/>
        <w:pageBreakBefore/>
        <w:spacing w:after="120"/>
      </w:pPr>
      <w:bookmarkStart w:id="1600" w:name="_Toc163121824"/>
      <w:r>
        <w:rPr>
          <w:rStyle w:val="CharSClsNo"/>
        </w:rPr>
        <w:lastRenderedPageBreak/>
        <w:t>18</w:t>
      </w:r>
      <w:r>
        <w:t>.</w:t>
      </w:r>
      <w:r>
        <w:rPr>
          <w:b w:val="0"/>
        </w:rPr>
        <w:tab/>
      </w:r>
      <w:r>
        <w:t>Affidavit verifying list of documents (O. 26 r. 4(3))</w:t>
      </w:r>
      <w:bookmarkEnd w:id="1600"/>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the abovenamed plaintiff (or defendant) A.B., make oath and say as follows: —</w:t>
      </w:r>
    </w:p>
    <w:p>
      <w:pPr>
        <w:pStyle w:val="yMiscellaneousBody"/>
        <w:tabs>
          <w:tab w:val="left" w:pos="360"/>
        </w:tabs>
        <w:spacing w:before="120"/>
        <w:ind w:left="720" w:hanging="720"/>
        <w:rPr>
          <w:sz w:val="20"/>
        </w:rPr>
      </w:pPr>
      <w:r>
        <w:rPr>
          <w:sz w:val="20"/>
        </w:rPr>
        <w:tab/>
        <w:t>1.</w:t>
      </w:r>
      <w:r>
        <w:rPr>
          <w:sz w:val="20"/>
        </w:rPr>
        <w:tab/>
        <w:t>The list of documents produced to me and marked “Attachment A” is the list of the documents relating to the matters in question in this action that are or have been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2.</w:t>
      </w:r>
      <w:r>
        <w:rPr>
          <w:sz w:val="20"/>
        </w:rPr>
        <w:tab/>
        <w:t>The documents listed in Part 1A of Attachment A are the documents relating to the matters in question in this action that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3.</w:t>
      </w:r>
      <w:r>
        <w:rPr>
          <w:sz w:val="20"/>
        </w:rPr>
        <w:tab/>
        <w:t>The [</w:t>
      </w:r>
      <w:r>
        <w:rPr>
          <w:i/>
          <w:iCs/>
          <w:sz w:val="20"/>
        </w:rPr>
        <w:t>party giving discovery</w:t>
      </w:r>
      <w:r>
        <w:rPr>
          <w:sz w:val="20"/>
        </w:rPr>
        <w:t>] objects to producing those of the documents in Part 1A of Attachment A identified in Part 1B on the grounds stated in Part 1B.</w:t>
      </w:r>
    </w:p>
    <w:p>
      <w:pPr>
        <w:pStyle w:val="yMiscellaneousBody"/>
        <w:tabs>
          <w:tab w:val="left" w:pos="360"/>
        </w:tabs>
        <w:spacing w:before="120"/>
        <w:ind w:left="720" w:hanging="720"/>
        <w:rPr>
          <w:sz w:val="20"/>
        </w:rPr>
      </w:pPr>
      <w:r>
        <w:rPr>
          <w:sz w:val="20"/>
        </w:rPr>
        <w:tab/>
        <w:t>4.</w:t>
      </w:r>
      <w:r>
        <w:rPr>
          <w:sz w:val="20"/>
        </w:rPr>
        <w:tab/>
        <w:t>The documents listed in Part 2A of Attachment A are the documents relating to the matters in question in this action that were, but no longer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5.</w:t>
      </w:r>
      <w:r>
        <w:rPr>
          <w:sz w:val="20"/>
        </w:rPr>
        <w:tab/>
        <w:t>The statements in Part 2B of Attachment A about the documents listed in Part 2A are true.</w:t>
      </w:r>
    </w:p>
    <w:p>
      <w:pPr>
        <w:pStyle w:val="yMiscellaneousBody"/>
        <w:tabs>
          <w:tab w:val="left" w:pos="360"/>
        </w:tabs>
        <w:spacing w:before="120"/>
        <w:ind w:left="720" w:hanging="720"/>
        <w:rPr>
          <w:sz w:val="20"/>
        </w:rPr>
      </w:pPr>
      <w:r>
        <w:rPr>
          <w:sz w:val="20"/>
        </w:rPr>
        <w:tab/>
        <w:t>6.</w:t>
      </w:r>
      <w:r>
        <w:rPr>
          <w:sz w:val="20"/>
        </w:rPr>
        <w:tab/>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MiscellaneousBody"/>
        <w:tabs>
          <w:tab w:val="left" w:pos="360"/>
        </w:tabs>
        <w:spacing w:before="120"/>
        <w:ind w:left="720" w:hanging="720"/>
        <w:rPr>
          <w:sz w:val="20"/>
        </w:rPr>
      </w:pPr>
      <w:r>
        <w:rPr>
          <w:sz w:val="20"/>
        </w:rPr>
        <w:tab/>
        <w:t>7.</w:t>
      </w:r>
      <w:r>
        <w:rPr>
          <w:sz w:val="20"/>
        </w:rPr>
        <w:tab/>
        <w:t>To the best of my knowledge, information and belief, neither the [</w:t>
      </w:r>
      <w:r>
        <w:rPr>
          <w:i/>
          <w:iCs/>
          <w:sz w:val="20"/>
        </w:rPr>
        <w:t>party giving discovery</w:t>
      </w:r>
      <w:r>
        <w:rPr>
          <w:sz w:val="20"/>
        </w:rPr>
        <w:t>], nor its legal practitioner, nor any other person on its behalf, has now, or ever had possession, custody or power over any document of any description whatever relating to any matter in question in this action, other than the documents listed in Parts 1A and 2A of Attachment A.</w:t>
      </w:r>
    </w:p>
    <w:p>
      <w:pPr>
        <w:pStyle w:val="yMiscellaneousBody"/>
        <w:spacing w:before="120"/>
        <w:rPr>
          <w:sz w:val="20"/>
        </w:rPr>
      </w:pPr>
      <w:r>
        <w:rPr>
          <w:sz w:val="20"/>
        </w:rPr>
        <w:t>Sworn, etc.</w:t>
      </w:r>
    </w:p>
    <w:p>
      <w:pPr>
        <w:pStyle w:val="yMiscellaneousBody"/>
        <w:spacing w:before="120"/>
        <w:rPr>
          <w:sz w:val="20"/>
        </w:rPr>
      </w:pPr>
      <w:r>
        <w:rPr>
          <w:sz w:val="20"/>
        </w:rPr>
        <w:t>Filed on behalf of the (plaintiff) (</w:t>
      </w:r>
      <w:r>
        <w:rPr>
          <w:i/>
          <w:sz w:val="20"/>
        </w:rPr>
        <w:t>or</w:t>
      </w:r>
      <w:r>
        <w:rPr>
          <w:sz w:val="20"/>
        </w:rPr>
        <w:t xml:space="preserve"> defendant).</w:t>
      </w:r>
    </w:p>
    <w:p>
      <w:pPr>
        <w:pStyle w:val="yFootnotesection"/>
        <w:rPr>
          <w:sz w:val="18"/>
        </w:rPr>
      </w:pPr>
      <w:r>
        <w:tab/>
        <w:t>[Form 18 amended: Gazette 28 Jul 2010 p. 3475-6; 28 Jun 2011 p. 2557; SL 2022/74 r. 15.]</w:t>
      </w:r>
    </w:p>
    <w:p>
      <w:pPr>
        <w:pStyle w:val="yEdnotedivision"/>
        <w:spacing w:after="240"/>
        <w:outlineLvl w:val="9"/>
      </w:pPr>
      <w:r>
        <w:t>[Form 18A deleted: Gazette 28 Jul 2010 p. 3468.]</w:t>
      </w:r>
    </w:p>
    <w:p>
      <w:pPr>
        <w:pStyle w:val="yEdnotedivision"/>
        <w:spacing w:after="240"/>
        <w:outlineLvl w:val="9"/>
      </w:pPr>
      <w:r>
        <w:t>[Forms 19 and 20 deleted: Gazette 16 Aug 2017 p. 4421.]</w:t>
      </w:r>
    </w:p>
    <w:p>
      <w:pPr>
        <w:pStyle w:val="yHeading5"/>
      </w:pPr>
      <w:bookmarkStart w:id="1601" w:name="_Toc163121825"/>
      <w:r>
        <w:rPr>
          <w:rStyle w:val="CharSClsNo"/>
        </w:rPr>
        <w:lastRenderedPageBreak/>
        <w:t>21</w:t>
      </w:r>
      <w:r>
        <w:t>.</w:t>
      </w:r>
      <w:r>
        <w:tab/>
        <w:t>Subpoena to give oral evidence (O. 36B r. 3(1))</w:t>
      </w:r>
      <w:bookmarkEnd w:id="1601"/>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544"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544" w:type="dxa"/>
            <w:gridSpan w:val="2"/>
          </w:tcPr>
          <w:p>
            <w:pPr>
              <w:pStyle w:val="yTableNAm"/>
              <w:keepNext/>
              <w:spacing w:before="0"/>
              <w:rPr>
                <w:b/>
                <w:sz w:val="20"/>
              </w:rPr>
            </w:pPr>
            <w:r>
              <w:rPr>
                <w:b/>
                <w:sz w:val="20"/>
              </w:rPr>
              <w:t>Subpoena to give oral evidence</w:t>
            </w:r>
          </w:p>
        </w:tc>
      </w:tr>
      <w:tr>
        <w:trPr>
          <w:cantSplit/>
        </w:trPr>
        <w:tc>
          <w:tcPr>
            <w:tcW w:w="1418" w:type="dxa"/>
          </w:tcPr>
          <w:p>
            <w:pPr>
              <w:pStyle w:val="yTableNAm"/>
              <w:keepNext/>
              <w:spacing w:before="0"/>
              <w:rPr>
                <w:sz w:val="20"/>
                <w:vertAlign w:val="superscript"/>
              </w:rPr>
            </w:pPr>
            <w:r>
              <w:rPr>
                <w:sz w:val="20"/>
              </w:rPr>
              <w:t>Parties</w:t>
            </w:r>
            <w:r>
              <w:rPr>
                <w:sz w:val="20"/>
                <w:vertAlign w:val="superscript"/>
              </w:rPr>
              <w:t>1</w:t>
            </w:r>
          </w:p>
        </w:tc>
        <w:tc>
          <w:tcPr>
            <w:tcW w:w="5670" w:type="dxa"/>
            <w:gridSpan w:val="3"/>
          </w:tcPr>
          <w:p>
            <w:pPr>
              <w:pStyle w:val="yTableNAm"/>
              <w:keepNext/>
              <w:tabs>
                <w:tab w:val="clear" w:pos="567"/>
                <w:tab w:val="left" w:pos="2897"/>
              </w:tabs>
              <w:spacing w:before="0"/>
              <w:rPr>
                <w:sz w:val="20"/>
              </w:rPr>
            </w:pPr>
            <w:r>
              <w:rPr>
                <w:sz w:val="20"/>
              </w:rPr>
              <w:tab/>
              <w:t>Plaintiff</w:t>
            </w:r>
          </w:p>
          <w:p>
            <w:pPr>
              <w:pStyle w:val="yTableNAm"/>
              <w:keepNext/>
              <w:tabs>
                <w:tab w:val="clear" w:pos="567"/>
                <w:tab w:val="left" w:pos="2897"/>
              </w:tabs>
              <w:spacing w:before="0"/>
              <w:rPr>
                <w:sz w:val="20"/>
              </w:rPr>
            </w:pPr>
            <w:r>
              <w:rPr>
                <w:sz w:val="20"/>
              </w:rPr>
              <w:tab/>
              <w:t>Defendant</w:t>
            </w:r>
          </w:p>
        </w:tc>
      </w:tr>
      <w:tr>
        <w:trPr>
          <w:cantSplit/>
        </w:trPr>
        <w:tc>
          <w:tcPr>
            <w:tcW w:w="1418" w:type="dxa"/>
          </w:tcPr>
          <w:p>
            <w:pPr>
              <w:pStyle w:val="yTableNAm"/>
              <w:keepNext/>
              <w:spacing w:before="0"/>
              <w:rPr>
                <w:sz w:val="20"/>
              </w:rPr>
            </w:pPr>
            <w:r>
              <w:rPr>
                <w:sz w:val="20"/>
              </w:rPr>
              <w:t>To</w:t>
            </w:r>
          </w:p>
        </w:tc>
        <w:tc>
          <w:tcPr>
            <w:tcW w:w="5670" w:type="dxa"/>
            <w:gridSpan w:val="3"/>
          </w:tcPr>
          <w:p>
            <w:pPr>
              <w:pStyle w:val="yTableNAm"/>
              <w:keepNext/>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sz w:val="20"/>
              </w:rPr>
            </w:pPr>
            <w:r>
              <w:rPr>
                <w:b/>
                <w:sz w:val="20"/>
              </w:rPr>
              <w:t xml:space="preserve">You are ordered to attend the Supreme Court to give oral evidence.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8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Pr>
          <w:p>
            <w:pPr>
              <w:pStyle w:val="yTableNAm"/>
              <w:spacing w:before="0"/>
              <w:rPr>
                <w:b/>
                <w:sz w:val="20"/>
              </w:rPr>
            </w:pPr>
            <w:r>
              <w:rPr>
                <w:b/>
                <w:sz w:val="20"/>
              </w:rPr>
              <w:t>Details of subpoena</w:t>
            </w:r>
          </w:p>
        </w:tc>
        <w:tc>
          <w:tcPr>
            <w:tcW w:w="5670" w:type="dxa"/>
            <w:gridSpan w:val="3"/>
          </w:tcPr>
          <w:p>
            <w:pPr>
              <w:pStyle w:val="yTableNAm"/>
              <w:spacing w:before="0"/>
              <w:rPr>
                <w:sz w:val="20"/>
              </w:rPr>
            </w:pPr>
            <w:r>
              <w:rPr>
                <w:sz w:val="20"/>
              </w:rPr>
              <w:t xml:space="preserve">Date, time and place at which you must attend to give oral evidence,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 to day unless excused by the Court or the person authorised to take evidence in this proceeding or until the hearing of the matter is completed.</w:t>
            </w:r>
          </w:p>
        </w:tc>
      </w:tr>
      <w:tr>
        <w:tc>
          <w:tcPr>
            <w:tcW w:w="7088" w:type="dxa"/>
            <w:gridSpan w:val="4"/>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Last day for service</w:t>
            </w:r>
          </w:p>
          <w:p>
            <w:pPr>
              <w:pStyle w:val="yTableNAm"/>
              <w:spacing w:before="0"/>
              <w:rPr>
                <w:sz w:val="20"/>
              </w:rPr>
            </w:pPr>
          </w:p>
        </w:tc>
        <w:tc>
          <w:tcPr>
            <w:tcW w:w="5670" w:type="dxa"/>
            <w:gridSpan w:val="3"/>
          </w:tcPr>
          <w:p>
            <w:pPr>
              <w:pStyle w:val="yTableNAm"/>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rPr>
          <w:cantSplit/>
        </w:trPr>
        <w:tc>
          <w:tcPr>
            <w:tcW w:w="1418" w:type="dxa"/>
          </w:tcPr>
          <w:p>
            <w:pPr>
              <w:pStyle w:val="yTableNAm"/>
              <w:spacing w:before="0"/>
              <w:rPr>
                <w:b/>
                <w:sz w:val="20"/>
              </w:rPr>
            </w:pPr>
            <w:r>
              <w:rPr>
                <w:b/>
                <w:sz w:val="20"/>
              </w:rPr>
              <w:t>Addressee a corporation</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3.</w:t>
            </w:r>
            <w:r>
              <w:rPr>
                <w:sz w:val="20"/>
              </w:rPr>
              <w:tab/>
              <w:t>If the subpoena is addressed to a corporation, the corporation must comply with the subpoena by its appropriate or proper officer.</w:t>
            </w:r>
          </w:p>
        </w:tc>
      </w:tr>
      <w:tr>
        <w:tc>
          <w:tcPr>
            <w:tcW w:w="1418" w:type="dxa"/>
          </w:tcPr>
          <w:p>
            <w:pPr>
              <w:pStyle w:val="yTableNAm"/>
              <w:spacing w:before="0"/>
              <w:rPr>
                <w:b/>
                <w:sz w:val="20"/>
              </w:rPr>
            </w:pPr>
            <w:r>
              <w:rPr>
                <w:b/>
                <w:sz w:val="20"/>
              </w:rPr>
              <w:t>Conduct money</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rPr>
          <w:cantSplit/>
        </w:trPr>
        <w:tc>
          <w:tcPr>
            <w:tcW w:w="1418" w:type="dxa"/>
            <w:shd w:val="clear" w:color="auto" w:fill="auto"/>
          </w:tcPr>
          <w:p>
            <w:pPr>
              <w:pStyle w:val="yTableNAm"/>
              <w:spacing w:before="0"/>
              <w:rPr>
                <w:b/>
                <w:sz w:val="20"/>
              </w:rPr>
            </w:pPr>
            <w:r>
              <w:rPr>
                <w:b/>
                <w:sz w:val="20"/>
              </w:rPr>
              <w:lastRenderedPageBreak/>
              <w:t>Applications in relation to subpoena</w:t>
            </w:r>
          </w:p>
        </w:tc>
        <w:tc>
          <w:tcPr>
            <w:tcW w:w="5670" w:type="dxa"/>
            <w:gridSpan w:val="3"/>
            <w:shd w:val="clear" w:color="auto" w:fill="auto"/>
          </w:tcPr>
          <w:p>
            <w:pPr>
              <w:pStyle w:val="yTableNAm"/>
              <w:spacing w:before="0"/>
              <w:ind w:left="369" w:hanging="369"/>
              <w:rPr>
                <w:sz w:val="20"/>
              </w:rPr>
            </w:pPr>
            <w:r>
              <w:rPr>
                <w:sz w:val="20"/>
              </w:rPr>
              <w:t>5.</w:t>
            </w:r>
            <w:r>
              <w:rPr>
                <w:sz w:val="20"/>
              </w:rPr>
              <w:tab/>
              <w:t>You have the right to apply to the Court for an order setting aside this subpoena or for other relief in respect of it.</w:t>
            </w:r>
          </w:p>
        </w:tc>
      </w:tr>
      <w:tr>
        <w:trPr>
          <w:cantSplit/>
        </w:trPr>
        <w:tc>
          <w:tcPr>
            <w:tcW w:w="1418" w:type="dxa"/>
          </w:tcPr>
          <w:p>
            <w:pPr>
              <w:pStyle w:val="yTableNAm"/>
              <w:spacing w:before="0"/>
              <w:rPr>
                <w:b/>
                <w:sz w:val="20"/>
              </w:rPr>
            </w:pPr>
            <w:r>
              <w:rPr>
                <w:b/>
                <w:sz w:val="20"/>
              </w:rPr>
              <w:t>Loss or expense of compliance</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6.</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rPr>
          <w:cantSplit/>
        </w:trPr>
        <w:tc>
          <w:tcPr>
            <w:tcW w:w="1418" w:type="dxa"/>
          </w:tcPr>
          <w:p>
            <w:pPr>
              <w:pStyle w:val="yTableNAm"/>
              <w:spacing w:before="0"/>
              <w:rPr>
                <w:b/>
                <w:sz w:val="20"/>
              </w:rPr>
            </w:pPr>
            <w:r>
              <w:rPr>
                <w:b/>
                <w:sz w:val="20"/>
              </w:rPr>
              <w:t>Contempt of court—arrest</w:t>
            </w:r>
          </w:p>
        </w:tc>
        <w:tc>
          <w:tcPr>
            <w:tcW w:w="5670" w:type="dxa"/>
            <w:gridSpan w:val="3"/>
          </w:tcPr>
          <w:p>
            <w:pPr>
              <w:pStyle w:val="yTableNAm"/>
              <w:spacing w:before="0"/>
              <w:ind w:left="369" w:hanging="369"/>
              <w:rPr>
                <w:sz w:val="20"/>
              </w:rPr>
            </w:pPr>
            <w:r>
              <w:rPr>
                <w:sz w:val="20"/>
              </w:rPr>
              <w:t>7.</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8.</w:t>
            </w:r>
            <w:r>
              <w:rPr>
                <w:sz w:val="20"/>
              </w:rPr>
              <w:tab/>
              <w:t>Note 7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pPr>
      <w:r>
        <w:t>Footnotes to Form 21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21 inserted: Gazette 24 May 2017 p. 2577</w:t>
      </w:r>
      <w:r>
        <w:noBreakHyphen/>
        <w:t>8.]</w:t>
      </w:r>
    </w:p>
    <w:p>
      <w:pPr>
        <w:pStyle w:val="yHeading5"/>
      </w:pPr>
      <w:bookmarkStart w:id="1602" w:name="_Toc163121826"/>
      <w:r>
        <w:rPr>
          <w:rStyle w:val="CharSClsNo"/>
        </w:rPr>
        <w:t>21A</w:t>
      </w:r>
      <w:r>
        <w:t>.</w:t>
      </w:r>
      <w:r>
        <w:tab/>
        <w:t>Subpoena to produce documents (O. 36B r. 3(1))</w:t>
      </w:r>
      <w:bookmarkEnd w:id="1602"/>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gridSpan w:val="2"/>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spacing w:before="0"/>
              <w:rPr>
                <w:b/>
                <w:sz w:val="20"/>
              </w:rPr>
            </w:pPr>
            <w:r>
              <w:rPr>
                <w:b/>
                <w:sz w:val="20"/>
              </w:rPr>
              <w:t>Subpoena to produce documents</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b/>
                <w:sz w:val="20"/>
              </w:rPr>
            </w:pPr>
            <w:r>
              <w:rPr>
                <w:b/>
                <w:sz w:val="20"/>
              </w:rPr>
              <w:t xml:space="preserve">You are ordered to attend the Supreme Court and produce this subpoena or a copy of it and the documents or things specified in the Schedule of documents.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12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Pr>
          <w:p>
            <w:pPr>
              <w:pStyle w:val="yTableNAm"/>
              <w:keepNext/>
              <w:spacing w:before="0"/>
              <w:rPr>
                <w:b/>
                <w:sz w:val="20"/>
              </w:rPr>
            </w:pPr>
            <w:r>
              <w:rPr>
                <w:b/>
                <w:sz w:val="20"/>
              </w:rPr>
              <w:lastRenderedPageBreak/>
              <w:t>Details of subpoena</w:t>
            </w:r>
          </w:p>
        </w:tc>
        <w:tc>
          <w:tcPr>
            <w:tcW w:w="5670" w:type="dxa"/>
            <w:gridSpan w:val="3"/>
          </w:tcPr>
          <w:p>
            <w:pPr>
              <w:pStyle w:val="yTableNAm"/>
              <w:keepNext/>
              <w:spacing w:before="0"/>
              <w:rPr>
                <w:sz w:val="20"/>
              </w:rPr>
            </w:pPr>
            <w:r>
              <w:rPr>
                <w:sz w:val="20"/>
              </w:rPr>
              <w:t xml:space="preserve">You must comply with this subpoena — </w:t>
            </w:r>
          </w:p>
          <w:p>
            <w:pPr>
              <w:pStyle w:val="yTableNAm"/>
              <w:keepNext/>
              <w:spacing w:before="0"/>
              <w:ind w:left="368" w:hanging="368"/>
              <w:rPr>
                <w:sz w:val="20"/>
              </w:rPr>
            </w:pPr>
            <w:r>
              <w:rPr>
                <w:sz w:val="20"/>
              </w:rPr>
              <w:t>(a)</w:t>
            </w:r>
            <w:r>
              <w:rPr>
                <w:sz w:val="20"/>
              </w:rPr>
              <w:tab/>
              <w:t>by attending the Court and producing this subpoena or a copy of it and the documents or things specified in the Schedule of documents below at the date, time and place specified below; or</w:t>
            </w:r>
          </w:p>
          <w:p>
            <w:pPr>
              <w:pStyle w:val="yTableNAm"/>
              <w:keepNext/>
              <w:spacing w:before="0"/>
              <w:ind w:left="368" w:hanging="368"/>
              <w:rPr>
                <w:sz w:val="20"/>
              </w:rPr>
            </w:pPr>
            <w:r>
              <w:rPr>
                <w:sz w:val="20"/>
              </w:rPr>
              <w:t>(b)</w:t>
            </w:r>
            <w:r>
              <w:rPr>
                <w:sz w:val="20"/>
              </w:rPr>
              <w:tab/>
              <w:t>by delivering or posting this subpoena or a copy of it and the documents or things specified in the Schedule of documents below to the Court at the address below, so that they are received not less than 2 clear days before the date specified below. (</w:t>
            </w:r>
            <w:r>
              <w:rPr>
                <w:i/>
                <w:sz w:val="20"/>
              </w:rPr>
              <w:t>See Notes 5-8</w:t>
            </w:r>
            <w:r>
              <w:rPr>
                <w:sz w:val="20"/>
              </w:rPr>
              <w:t>)</w:t>
            </w:r>
          </w:p>
          <w:p>
            <w:pPr>
              <w:pStyle w:val="yTableNAm"/>
              <w:keepNext/>
              <w:spacing w:before="0"/>
              <w:rPr>
                <w:sz w:val="20"/>
              </w:rPr>
            </w:pPr>
            <w:r>
              <w:rPr>
                <w:sz w:val="20"/>
              </w:rPr>
              <w:t xml:space="preserve">Date, time and place at which you must attend and produce this subpoena or a copy of it and the documents or things, unless you receive a notice of a later date or time from the issuing party, in which case the later date or time is substituted — </w:t>
            </w:r>
          </w:p>
          <w:p>
            <w:pPr>
              <w:pStyle w:val="yTableNAm"/>
              <w:keepNext/>
              <w:spacing w:before="0"/>
              <w:rPr>
                <w:sz w:val="20"/>
              </w:rPr>
            </w:pPr>
            <w:r>
              <w:rPr>
                <w:sz w:val="20"/>
              </w:rPr>
              <w:t>Date:</w:t>
            </w:r>
          </w:p>
          <w:p>
            <w:pPr>
              <w:pStyle w:val="yTableNAm"/>
              <w:keepNext/>
              <w:spacing w:before="0"/>
              <w:rPr>
                <w:sz w:val="20"/>
              </w:rPr>
            </w:pPr>
            <w:r>
              <w:rPr>
                <w:sz w:val="20"/>
              </w:rPr>
              <w:t>Time:</w:t>
            </w:r>
          </w:p>
          <w:p>
            <w:pPr>
              <w:pStyle w:val="yTableNAm"/>
              <w:keepNext/>
              <w:spacing w:before="0"/>
              <w:rPr>
                <w:sz w:val="20"/>
              </w:rPr>
            </w:pPr>
            <w:r>
              <w:rPr>
                <w:sz w:val="20"/>
              </w:rPr>
              <w:t>Place:</w:t>
            </w:r>
          </w:p>
          <w:p>
            <w:pPr>
              <w:pStyle w:val="yTableNAm"/>
              <w:keepNext/>
              <w:spacing w:before="0"/>
              <w:rPr>
                <w:sz w:val="20"/>
              </w:rPr>
            </w:pPr>
            <w:r>
              <w:rPr>
                <w:sz w:val="20"/>
              </w:rPr>
              <w:t>Address to which this subpoena (or copy) and documents or things may be delivered or posted:</w:t>
            </w:r>
          </w:p>
          <w:p>
            <w:pPr>
              <w:pStyle w:val="yTableNAm"/>
              <w:keepNext/>
              <w:spacing w:before="0"/>
              <w:ind w:left="368" w:hanging="368"/>
              <w:rPr>
                <w:sz w:val="20"/>
              </w:rPr>
            </w:pPr>
            <w:r>
              <w:rPr>
                <w:sz w:val="20"/>
              </w:rPr>
              <w:t>*</w:t>
            </w:r>
            <w:r>
              <w:rPr>
                <w:sz w:val="20"/>
              </w:rPr>
              <w:tab/>
              <w:t>Supreme Court of Western Australia</w:t>
            </w:r>
          </w:p>
          <w:p>
            <w:pPr>
              <w:pStyle w:val="yTableNAm"/>
              <w:keepNext/>
              <w:spacing w:before="0"/>
              <w:ind w:left="368"/>
              <w:rPr>
                <w:sz w:val="20"/>
              </w:rPr>
            </w:pPr>
            <w:r>
              <w:rPr>
                <w:sz w:val="20"/>
              </w:rPr>
              <w:t>David Malcolm Justice Centre</w:t>
            </w:r>
          </w:p>
          <w:p>
            <w:pPr>
              <w:pStyle w:val="yTableNAm"/>
              <w:keepNext/>
              <w:spacing w:before="0"/>
              <w:ind w:left="368"/>
              <w:rPr>
                <w:sz w:val="20"/>
              </w:rPr>
            </w:pPr>
            <w:r>
              <w:rPr>
                <w:sz w:val="20"/>
              </w:rPr>
              <w:t>Level 11, 28 Barrack Street</w:t>
            </w:r>
          </w:p>
          <w:p>
            <w:pPr>
              <w:pStyle w:val="yTableNAm"/>
              <w:keepNext/>
              <w:spacing w:before="0"/>
              <w:ind w:left="368"/>
              <w:rPr>
                <w:sz w:val="20"/>
              </w:rPr>
            </w:pPr>
            <w:r>
              <w:rPr>
                <w:sz w:val="20"/>
              </w:rPr>
              <w:t>Perth WA 6000</w:t>
            </w:r>
          </w:p>
          <w:p>
            <w:pPr>
              <w:pStyle w:val="yTableNAm"/>
              <w:keepNext/>
              <w:spacing w:before="0"/>
              <w:ind w:left="368" w:hanging="368"/>
              <w:rPr>
                <w:sz w:val="20"/>
              </w:rPr>
            </w:pPr>
            <w:r>
              <w:rPr>
                <w:sz w:val="20"/>
              </w:rPr>
              <w:t>*</w:t>
            </w:r>
            <w:r>
              <w:rPr>
                <w:sz w:val="20"/>
              </w:rPr>
              <w:tab/>
              <w:t>Supreme Court of Western Australia</w:t>
            </w:r>
          </w:p>
          <w:p>
            <w:pPr>
              <w:pStyle w:val="yTableNAm"/>
              <w:keepNext/>
              <w:spacing w:before="0"/>
              <w:ind w:left="368"/>
              <w:rPr>
                <w:sz w:val="20"/>
              </w:rPr>
            </w:pPr>
            <w:r>
              <w:rPr>
                <w:sz w:val="20"/>
              </w:rPr>
              <w:t>Court of Appeal Office</w:t>
            </w:r>
          </w:p>
          <w:p>
            <w:pPr>
              <w:pStyle w:val="yTableNAm"/>
              <w:keepNext/>
              <w:spacing w:before="0"/>
              <w:ind w:left="368"/>
              <w:rPr>
                <w:sz w:val="20"/>
              </w:rPr>
            </w:pPr>
            <w:r>
              <w:rPr>
                <w:sz w:val="20"/>
              </w:rPr>
              <w:t>Stirling Gardens, Barrack Street</w:t>
            </w:r>
          </w:p>
          <w:p>
            <w:pPr>
              <w:pStyle w:val="yTableNAm"/>
              <w:keepNext/>
              <w:spacing w:before="0"/>
              <w:ind w:left="368"/>
              <w:rPr>
                <w:sz w:val="20"/>
              </w:rPr>
            </w:pPr>
            <w:r>
              <w:rPr>
                <w:sz w:val="20"/>
              </w:rPr>
              <w:t>Perth WA 6000</w:t>
            </w:r>
          </w:p>
        </w:tc>
      </w:tr>
      <w:tr>
        <w:trPr>
          <w:cantSplit/>
        </w:trPr>
        <w:tc>
          <w:tcPr>
            <w:tcW w:w="7088" w:type="dxa"/>
            <w:gridSpan w:val="4"/>
          </w:tcPr>
          <w:p>
            <w:pPr>
              <w:pStyle w:val="yTableNAm"/>
              <w:keepNext/>
              <w:spacing w:before="0"/>
              <w:jc w:val="center"/>
              <w:rPr>
                <w:b/>
                <w:sz w:val="20"/>
              </w:rPr>
            </w:pPr>
            <w:r>
              <w:rPr>
                <w:b/>
                <w:sz w:val="20"/>
              </w:rPr>
              <w:t>Schedule of documents</w:t>
            </w:r>
          </w:p>
        </w:tc>
      </w:tr>
      <w:tr>
        <w:trPr>
          <w:cantSplit/>
        </w:trPr>
        <w:tc>
          <w:tcPr>
            <w:tcW w:w="7088" w:type="dxa"/>
            <w:gridSpan w:val="4"/>
          </w:tcPr>
          <w:p>
            <w:pPr>
              <w:pStyle w:val="yTableNAm"/>
              <w:keepNext/>
              <w:spacing w:before="0"/>
              <w:rPr>
                <w:sz w:val="20"/>
              </w:rPr>
            </w:pPr>
            <w:r>
              <w:rPr>
                <w:sz w:val="20"/>
              </w:rPr>
              <w:t>The documents and things you must produce are as follows:</w:t>
            </w:r>
          </w:p>
          <w:p>
            <w:pPr>
              <w:pStyle w:val="yTableNAm"/>
              <w:keepNext/>
              <w:spacing w:before="0"/>
              <w:rPr>
                <w:i/>
                <w:sz w:val="20"/>
              </w:rPr>
            </w:pPr>
            <w:r>
              <w:rPr>
                <w:sz w:val="20"/>
              </w:rPr>
              <w:t>[</w:t>
            </w:r>
            <w:r>
              <w:rPr>
                <w:i/>
                <w:sz w:val="20"/>
              </w:rPr>
              <w:t>List the documents or things and state whether the original of any document is required. If insufficient space, attach list.</w:t>
            </w:r>
            <w:r>
              <w:rPr>
                <w:sz w:val="20"/>
              </w:rPr>
              <w:t>]</w:t>
            </w:r>
          </w:p>
        </w:tc>
      </w:tr>
      <w:tr>
        <w:trPr>
          <w:cantSplit/>
        </w:trPr>
        <w:tc>
          <w:tcPr>
            <w:tcW w:w="7088" w:type="dxa"/>
            <w:gridSpan w:val="4"/>
          </w:tcPr>
          <w:p>
            <w:pPr>
              <w:pStyle w:val="yTableNAm"/>
              <w:keepNext/>
              <w:spacing w:before="0"/>
              <w:jc w:val="center"/>
              <w:rPr>
                <w:b/>
                <w:sz w:val="20"/>
              </w:rPr>
            </w:pPr>
            <w:r>
              <w:rPr>
                <w:b/>
                <w:sz w:val="20"/>
              </w:rPr>
              <w:t>Notes</w:t>
            </w:r>
          </w:p>
        </w:tc>
      </w:tr>
      <w:tr>
        <w:tc>
          <w:tcPr>
            <w:tcW w:w="1418" w:type="dxa"/>
          </w:tcPr>
          <w:p>
            <w:pPr>
              <w:pStyle w:val="yTableNAm"/>
              <w:keepNext/>
              <w:spacing w:before="0"/>
              <w:rPr>
                <w:b/>
                <w:sz w:val="20"/>
              </w:rPr>
            </w:pPr>
            <w:r>
              <w:rPr>
                <w:b/>
                <w:sz w:val="20"/>
              </w:rPr>
              <w:t>Last day for service</w:t>
            </w:r>
          </w:p>
        </w:tc>
        <w:tc>
          <w:tcPr>
            <w:tcW w:w="5670" w:type="dxa"/>
            <w:gridSpan w:val="3"/>
          </w:tcPr>
          <w:p>
            <w:pPr>
              <w:pStyle w:val="yTableNAm"/>
              <w:keepLines/>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c>
          <w:tcPr>
            <w:tcW w:w="1418" w:type="dxa"/>
          </w:tcPr>
          <w:p>
            <w:pPr>
              <w:pStyle w:val="yTableNAm"/>
              <w:spacing w:before="0"/>
              <w:rPr>
                <w:b/>
                <w:sz w:val="20"/>
              </w:rPr>
            </w:pPr>
            <w:r>
              <w:rPr>
                <w:b/>
                <w:sz w:val="20"/>
              </w:rPr>
              <w:t>Informal service</w:t>
            </w:r>
          </w:p>
        </w:tc>
        <w:tc>
          <w:tcPr>
            <w:tcW w:w="5670" w:type="dxa"/>
            <w:gridSpan w:val="3"/>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gridSpan w:val="3"/>
          </w:tcPr>
          <w:p>
            <w:pPr>
              <w:pStyle w:val="yTableNAm"/>
              <w:spacing w:before="0"/>
              <w:ind w:left="369" w:hanging="369"/>
              <w:rPr>
                <w:sz w:val="20"/>
              </w:rPr>
            </w:pPr>
            <w:r>
              <w:rPr>
                <w:sz w:val="20"/>
              </w:rPr>
              <w:t>3.</w:t>
            </w:r>
            <w:r>
              <w:rPr>
                <w:sz w:val="20"/>
              </w:rPr>
              <w:tab/>
              <w:t>If this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lastRenderedPageBreak/>
              <w:t>Conduct money</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c>
          <w:tcPr>
            <w:tcW w:w="1418" w:type="dxa"/>
          </w:tcPr>
          <w:p>
            <w:pPr>
              <w:pStyle w:val="yTableNAm"/>
              <w:spacing w:before="0"/>
              <w:rPr>
                <w:b/>
                <w:sz w:val="20"/>
              </w:rPr>
            </w:pPr>
            <w:r>
              <w:rPr>
                <w:b/>
                <w:sz w:val="20"/>
              </w:rPr>
              <w:t>Production of subpoena or copy of it and documents or things by delivery or post</w:t>
            </w:r>
          </w:p>
        </w:tc>
        <w:tc>
          <w:tcPr>
            <w:tcW w:w="5670" w:type="dxa"/>
            <w:gridSpan w:val="3"/>
          </w:tcPr>
          <w:p>
            <w:pPr>
              <w:pStyle w:val="yTableNAm"/>
              <w:spacing w:before="0"/>
              <w:ind w:left="369" w:hanging="369"/>
              <w:rPr>
                <w:sz w:val="20"/>
              </w:rPr>
            </w:pPr>
            <w:r>
              <w:rPr>
                <w:sz w:val="20"/>
              </w:rPr>
              <w:t>5.</w:t>
            </w:r>
            <w:r>
              <w:rPr>
                <w:sz w:val="20"/>
              </w:rPr>
              <w:tab/>
              <w:t>Instead of attending the Court and producing this subpoena (or a copy of it) and the documents or things, you may comply with this subpoena by delivering or posting the subpoena (or a copy of it) and the documents or things to the Court at the address specified in the subpoena so that they are received not less than 2 clear days before the date specified in the subpoena for attendance and production, or if you receive notice of a later date or time from the issuing party, before the later date or time.</w:t>
            </w:r>
          </w:p>
        </w:tc>
      </w:tr>
      <w:tr>
        <w:trPr>
          <w:cantSplit/>
        </w:trPr>
        <w:tc>
          <w:tcPr>
            <w:tcW w:w="1418" w:type="dxa"/>
          </w:tcPr>
          <w:p>
            <w:pPr>
              <w:pStyle w:val="yTableNAm"/>
              <w:spacing w:before="0"/>
              <w:rPr>
                <w:b/>
                <w:sz w:val="20"/>
              </w:rPr>
            </w:pPr>
            <w:r>
              <w:rPr>
                <w:b/>
                <w:sz w:val="20"/>
              </w:rPr>
              <w:t>Production of a number of documents or things</w:t>
            </w:r>
          </w:p>
        </w:tc>
        <w:tc>
          <w:tcPr>
            <w:tcW w:w="5670" w:type="dxa"/>
            <w:gridSpan w:val="3"/>
          </w:tcPr>
          <w:p>
            <w:pPr>
              <w:pStyle w:val="yTableNAm"/>
              <w:spacing w:before="0"/>
              <w:ind w:left="369" w:hanging="369"/>
              <w:rPr>
                <w:sz w:val="20"/>
              </w:rPr>
            </w:pPr>
            <w:r>
              <w:rPr>
                <w:sz w:val="20"/>
              </w:rPr>
              <w:t>6.</w:t>
            </w:r>
            <w:r>
              <w:rPr>
                <w:sz w:val="20"/>
              </w:rPr>
              <w:tab/>
              <w:t>If you produce more than one document or thing, you must include with them a list of them.</w:t>
            </w:r>
          </w:p>
        </w:tc>
      </w:tr>
      <w:tr>
        <w:trPr>
          <w:cantSplit/>
        </w:trPr>
        <w:tc>
          <w:tcPr>
            <w:tcW w:w="1418" w:type="dxa"/>
            <w:tcBorders>
              <w:bottom w:val="nil"/>
            </w:tcBorders>
          </w:tcPr>
          <w:p>
            <w:pPr>
              <w:pStyle w:val="yTableNAm"/>
              <w:spacing w:before="0"/>
              <w:rPr>
                <w:b/>
                <w:sz w:val="20"/>
                <w:vertAlign w:val="superscript"/>
              </w:rPr>
            </w:pPr>
            <w:r>
              <w:rPr>
                <w:b/>
                <w:sz w:val="20"/>
              </w:rPr>
              <w:t>Production of copy instead of original</w:t>
            </w:r>
          </w:p>
        </w:tc>
        <w:tc>
          <w:tcPr>
            <w:tcW w:w="5670" w:type="dxa"/>
            <w:gridSpan w:val="3"/>
            <w:tcBorders>
              <w:bottom w:val="nil"/>
            </w:tcBorders>
          </w:tcPr>
          <w:p>
            <w:pPr>
              <w:pStyle w:val="yTableNAm"/>
              <w:spacing w:before="0"/>
              <w:ind w:left="369" w:hanging="369"/>
              <w:rPr>
                <w:sz w:val="20"/>
              </w:rPr>
            </w:pPr>
            <w:r>
              <w:rPr>
                <w:sz w:val="20"/>
              </w:rPr>
              <w:t>7.</w:t>
            </w:r>
            <w:r>
              <w:rPr>
                <w:sz w:val="20"/>
              </w:rPr>
              <w:tab/>
              <w:t>Unless the Schedule of documents says the original of a document listed in the Schedule is required, you may produce a copy of it instead.</w:t>
            </w:r>
          </w:p>
        </w:tc>
      </w:tr>
      <w:tr>
        <w:trPr>
          <w:cantSplit/>
        </w:trPr>
        <w:tc>
          <w:tcPr>
            <w:tcW w:w="1418" w:type="dxa"/>
            <w:tcBorders>
              <w:top w:val="nil"/>
            </w:tcBorders>
          </w:tcPr>
          <w:p>
            <w:pPr>
              <w:pStyle w:val="yTableNAm"/>
              <w:spacing w:before="0"/>
              <w:rPr>
                <w:b/>
                <w:sz w:val="20"/>
              </w:rPr>
            </w:pPr>
          </w:p>
        </w:tc>
        <w:tc>
          <w:tcPr>
            <w:tcW w:w="5670" w:type="dxa"/>
            <w:gridSpan w:val="3"/>
            <w:tcBorders>
              <w:top w:val="nil"/>
            </w:tcBorders>
          </w:tcPr>
          <w:p>
            <w:pPr>
              <w:pStyle w:val="yTableNAm"/>
              <w:spacing w:before="0"/>
              <w:ind w:left="369" w:hanging="369"/>
              <w:rPr>
                <w:sz w:val="20"/>
              </w:rPr>
            </w:pPr>
            <w:r>
              <w:rPr>
                <w:sz w:val="20"/>
              </w:rPr>
              <w:t>8.</w:t>
            </w:r>
            <w:r>
              <w:rPr>
                <w:sz w:val="20"/>
              </w:rPr>
              <w:tab/>
              <w:t xml:space="preserve">The copy of a document may be — </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shd w:val="clear" w:color="auto" w:fill="auto"/>
          </w:tcPr>
          <w:p>
            <w:pPr>
              <w:pStyle w:val="yTableNAm"/>
              <w:spacing w:before="0"/>
              <w:rPr>
                <w:b/>
                <w:sz w:val="20"/>
              </w:rPr>
            </w:pPr>
            <w:r>
              <w:rPr>
                <w:b/>
                <w:sz w:val="20"/>
              </w:rPr>
              <w:t>Applications in relation to subpoena</w:t>
            </w:r>
          </w:p>
        </w:tc>
        <w:tc>
          <w:tcPr>
            <w:tcW w:w="5670" w:type="dxa"/>
            <w:gridSpan w:val="3"/>
            <w:shd w:val="clear" w:color="auto" w:fill="auto"/>
          </w:tcPr>
          <w:p>
            <w:pPr>
              <w:pStyle w:val="yTableNAm"/>
              <w:spacing w:before="0"/>
              <w:ind w:left="369" w:hanging="369"/>
              <w:rPr>
                <w:sz w:val="20"/>
              </w:rPr>
            </w:pPr>
            <w:r>
              <w:rPr>
                <w:sz w:val="20"/>
              </w:rPr>
              <w:t>9.</w:t>
            </w:r>
            <w:r>
              <w:rPr>
                <w:sz w:val="20"/>
              </w:rPr>
              <w:tab/>
              <w:t xml:space="preserve">You have the right to apply (before or after complying with this subpoena) to the Court for an order — </w:t>
            </w:r>
          </w:p>
          <w:p>
            <w:pPr>
              <w:pStyle w:val="yTableNAm"/>
              <w:spacing w:before="0"/>
              <w:ind w:left="794" w:hanging="425"/>
              <w:rPr>
                <w:sz w:val="20"/>
              </w:rPr>
            </w:pPr>
            <w:r>
              <w:rPr>
                <w:sz w:val="20"/>
              </w:rPr>
              <w:t>(a)</w:t>
            </w:r>
            <w:r>
              <w:rPr>
                <w:sz w:val="20"/>
              </w:rPr>
              <w:tab/>
              <w:t>setting aside this subpoena (or a part of it);</w:t>
            </w:r>
          </w:p>
          <w:p>
            <w:pPr>
              <w:pStyle w:val="yTableNAm"/>
              <w:spacing w:before="0"/>
              <w:ind w:left="794" w:hanging="425"/>
              <w:rPr>
                <w:sz w:val="20"/>
              </w:rPr>
            </w:pPr>
            <w:r>
              <w:rPr>
                <w:sz w:val="20"/>
              </w:rPr>
              <w:t>(b)</w:t>
            </w:r>
            <w:r>
              <w:rPr>
                <w:sz w:val="20"/>
              </w:rPr>
              <w:tab/>
              <w:t>giving directions in relation to removing from and returning to the Court, and the inspection, copying and disposal, of any document or thing that you produce or are required to produce by this subpoena;</w:t>
            </w:r>
          </w:p>
          <w:p>
            <w:pPr>
              <w:pStyle w:val="yTableNAm"/>
              <w:spacing w:before="0"/>
              <w:ind w:left="794" w:hanging="425"/>
              <w:rPr>
                <w:sz w:val="20"/>
              </w:rPr>
            </w:pPr>
            <w:r>
              <w:rPr>
                <w:sz w:val="20"/>
              </w:rPr>
              <w:t>(c)</w:t>
            </w:r>
            <w:r>
              <w:rPr>
                <w:sz w:val="20"/>
              </w:rPr>
              <w:tab/>
              <w:t>giving other relief in respect of it.</w:t>
            </w:r>
          </w:p>
          <w:p>
            <w:pPr>
              <w:pStyle w:val="yTableNAm"/>
              <w:spacing w:before="0"/>
              <w:ind w:left="369" w:hanging="369"/>
              <w:rPr>
                <w:sz w:val="20"/>
              </w:rPr>
            </w:pPr>
            <w:r>
              <w:rPr>
                <w:sz w:val="20"/>
              </w:rPr>
              <w:tab/>
              <w:t>Unless the Court has made such an order, a registrar may permit the parties to the proceeding to inspect, copy, or remove and return any document or thing you produce under this subpoena.</w:t>
            </w:r>
          </w:p>
        </w:tc>
      </w:tr>
      <w:tr>
        <w:trPr>
          <w:cantSplit/>
        </w:trPr>
        <w:tc>
          <w:tcPr>
            <w:tcW w:w="1418" w:type="dxa"/>
          </w:tcPr>
          <w:p>
            <w:pPr>
              <w:pStyle w:val="yTableNAm"/>
              <w:spacing w:before="0"/>
              <w:rPr>
                <w:b/>
                <w:sz w:val="20"/>
              </w:rPr>
            </w:pPr>
            <w:r>
              <w:rPr>
                <w:b/>
                <w:sz w:val="20"/>
              </w:rPr>
              <w:lastRenderedPageBreak/>
              <w:t>Loss or expense of compliance</w:t>
            </w:r>
          </w:p>
        </w:tc>
        <w:tc>
          <w:tcPr>
            <w:tcW w:w="5670" w:type="dxa"/>
            <w:gridSpan w:val="3"/>
          </w:tcPr>
          <w:p>
            <w:pPr>
              <w:pStyle w:val="yTableNAm"/>
              <w:spacing w:before="0"/>
              <w:ind w:left="369" w:hanging="369"/>
              <w:rPr>
                <w:sz w:val="20"/>
              </w:rPr>
            </w:pPr>
            <w:r>
              <w:rPr>
                <w:sz w:val="20"/>
              </w:rPr>
              <w:t>10.</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c>
          <w:tcPr>
            <w:tcW w:w="1418" w:type="dxa"/>
          </w:tcPr>
          <w:p>
            <w:pPr>
              <w:pStyle w:val="yTableNAm"/>
              <w:spacing w:before="0"/>
              <w:rPr>
                <w:b/>
                <w:sz w:val="20"/>
              </w:rPr>
            </w:pPr>
            <w:r>
              <w:rPr>
                <w:b/>
                <w:sz w:val="20"/>
              </w:rPr>
              <w:t>Contempt of court—arrest</w:t>
            </w:r>
          </w:p>
        </w:tc>
        <w:tc>
          <w:tcPr>
            <w:tcW w:w="5670" w:type="dxa"/>
            <w:gridSpan w:val="3"/>
          </w:tcPr>
          <w:p>
            <w:pPr>
              <w:pStyle w:val="yTableNAm"/>
              <w:spacing w:before="0"/>
              <w:ind w:left="369" w:hanging="369"/>
              <w:rPr>
                <w:sz w:val="20"/>
              </w:rPr>
            </w:pPr>
            <w:r>
              <w:rPr>
                <w:sz w:val="20"/>
              </w:rPr>
              <w:t>11.</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12.</w:t>
            </w:r>
            <w:r>
              <w:rPr>
                <w:sz w:val="20"/>
              </w:rPr>
              <w:tab/>
              <w:t>Note 11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rPr>
          <w:szCs w:val="18"/>
        </w:rPr>
      </w:pPr>
      <w:r>
        <w:rPr>
          <w:szCs w:val="18"/>
        </w:rPr>
        <w:t>Footnotes to Form 21A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21A inserted: Gazette 24 May 2017 p. 2578</w:t>
      </w:r>
      <w:r>
        <w:noBreakHyphen/>
        <w:t>81.]</w:t>
      </w:r>
    </w:p>
    <w:p>
      <w:pPr>
        <w:pStyle w:val="yHeading5"/>
      </w:pPr>
      <w:bookmarkStart w:id="1603" w:name="_Toc163121827"/>
      <w:r>
        <w:rPr>
          <w:rStyle w:val="CharSClsNo"/>
        </w:rPr>
        <w:t>21B</w:t>
      </w:r>
      <w:r>
        <w:t>.</w:t>
      </w:r>
      <w:r>
        <w:tab/>
        <w:t>Subpoena to give oral evidence and produce documents (O. 36B r. 3(1))</w:t>
      </w:r>
      <w:bookmarkEnd w:id="1603"/>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544"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544" w:type="dxa"/>
            <w:gridSpan w:val="2"/>
          </w:tcPr>
          <w:p>
            <w:pPr>
              <w:pStyle w:val="yTableNAm"/>
              <w:keepNext/>
              <w:spacing w:before="0"/>
              <w:rPr>
                <w:b/>
                <w:sz w:val="20"/>
              </w:rPr>
            </w:pPr>
            <w:r>
              <w:rPr>
                <w:b/>
                <w:sz w:val="20"/>
              </w:rPr>
              <w:t>Subpoena to give oral evidence and produce documents</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b/>
                <w:sz w:val="20"/>
              </w:rPr>
            </w:pPr>
            <w:r>
              <w:rPr>
                <w:b/>
                <w:sz w:val="20"/>
              </w:rPr>
              <w:t xml:space="preserve">You are ordered to attend the Supreme Court to give oral evidence and to produce this subpoena or a copy of it and the documents or things specified in the Schedule of documents.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12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keepNext/>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Borders>
              <w:bottom w:val="nil"/>
            </w:tcBorders>
          </w:tcPr>
          <w:p>
            <w:pPr>
              <w:pStyle w:val="yTableNAm"/>
              <w:keepNext/>
              <w:spacing w:before="0"/>
              <w:rPr>
                <w:b/>
                <w:sz w:val="20"/>
              </w:rPr>
            </w:pPr>
            <w:r>
              <w:rPr>
                <w:b/>
                <w:sz w:val="20"/>
              </w:rPr>
              <w:lastRenderedPageBreak/>
              <w:t>Details of subpoena</w:t>
            </w:r>
          </w:p>
        </w:tc>
        <w:tc>
          <w:tcPr>
            <w:tcW w:w="5670" w:type="dxa"/>
            <w:gridSpan w:val="3"/>
            <w:tcBorders>
              <w:bottom w:val="nil"/>
            </w:tcBorders>
          </w:tcPr>
          <w:p>
            <w:pPr>
              <w:pStyle w:val="yTableNAm"/>
              <w:keepNext/>
              <w:spacing w:before="0"/>
              <w:rPr>
                <w:sz w:val="20"/>
              </w:rPr>
            </w:pPr>
            <w:r>
              <w:rPr>
                <w:sz w:val="20"/>
              </w:rPr>
              <w:t xml:space="preserve">In so far as this subpoena requires you to attend to give oral evidence, you must attend as follows, unless you receive notice of a later date or time from the issuing party, in which case the later date or time is substituted — </w:t>
            </w:r>
          </w:p>
          <w:p>
            <w:pPr>
              <w:pStyle w:val="yTableNAm"/>
              <w:keepNext/>
              <w:spacing w:before="0"/>
              <w:rPr>
                <w:sz w:val="20"/>
              </w:rPr>
            </w:pPr>
            <w:r>
              <w:rPr>
                <w:sz w:val="20"/>
              </w:rPr>
              <w:t>Date:</w:t>
            </w:r>
          </w:p>
          <w:p>
            <w:pPr>
              <w:pStyle w:val="yTableNAm"/>
              <w:keepNext/>
              <w:spacing w:before="0"/>
              <w:rPr>
                <w:sz w:val="20"/>
              </w:rPr>
            </w:pPr>
            <w:r>
              <w:rPr>
                <w:sz w:val="20"/>
              </w:rPr>
              <w:t>Time:</w:t>
            </w:r>
          </w:p>
          <w:p>
            <w:pPr>
              <w:pStyle w:val="yTableNAm"/>
              <w:keepNext/>
              <w:spacing w:before="0"/>
              <w:rPr>
                <w:sz w:val="20"/>
              </w:rPr>
            </w:pPr>
            <w:r>
              <w:rPr>
                <w:sz w:val="20"/>
              </w:rPr>
              <w:t>Place:</w:t>
            </w:r>
          </w:p>
          <w:p>
            <w:pPr>
              <w:pStyle w:val="yTableNAm"/>
              <w:keepNext/>
              <w:spacing w:before="0"/>
              <w:rPr>
                <w:sz w:val="20"/>
              </w:rPr>
            </w:pPr>
            <w:r>
              <w:rPr>
                <w:sz w:val="20"/>
              </w:rPr>
              <w:t>You must continue to attend from day-to-day unless excused by the Court or the person authorised to take evidence in this proceeding or until the hearing of the matter is completed.</w:t>
            </w:r>
          </w:p>
          <w:p>
            <w:pPr>
              <w:pStyle w:val="yTableNAm"/>
              <w:keepNext/>
              <w:spacing w:before="0"/>
              <w:ind w:left="368" w:hanging="368"/>
              <w:rPr>
                <w:sz w:val="20"/>
              </w:rPr>
            </w:pPr>
          </w:p>
        </w:tc>
      </w:tr>
      <w:tr>
        <w:tc>
          <w:tcPr>
            <w:tcW w:w="1418" w:type="dxa"/>
            <w:tcBorders>
              <w:top w:val="nil"/>
              <w:bottom w:val="nil"/>
            </w:tcBorders>
          </w:tcPr>
          <w:p>
            <w:pPr>
              <w:pStyle w:val="yTableNAm"/>
              <w:spacing w:before="0"/>
              <w:rPr>
                <w:b/>
                <w:sz w:val="20"/>
              </w:rPr>
            </w:pPr>
          </w:p>
        </w:tc>
        <w:tc>
          <w:tcPr>
            <w:tcW w:w="5670" w:type="dxa"/>
            <w:gridSpan w:val="3"/>
            <w:tcBorders>
              <w:top w:val="nil"/>
              <w:bottom w:val="nil"/>
            </w:tcBorders>
          </w:tcPr>
          <w:p>
            <w:pPr>
              <w:pStyle w:val="yTableNAm"/>
              <w:rPr>
                <w:sz w:val="20"/>
              </w:rPr>
            </w:pPr>
            <w:r>
              <w:rPr>
                <w:sz w:val="20"/>
              </w:rPr>
              <w:t xml:space="preserve">Insofar as this subpoena requires you to attend to produce the subpoena or a copy of it and documents or things, you must comply with that requirement — </w:t>
            </w:r>
          </w:p>
          <w:p>
            <w:pPr>
              <w:pStyle w:val="yTableNAm"/>
              <w:spacing w:before="0"/>
              <w:ind w:left="368" w:hanging="368"/>
              <w:rPr>
                <w:sz w:val="20"/>
              </w:rPr>
            </w:pPr>
            <w:r>
              <w:rPr>
                <w:sz w:val="20"/>
              </w:rPr>
              <w:t>(a)</w:t>
            </w:r>
            <w:r>
              <w:rPr>
                <w:sz w:val="20"/>
              </w:rPr>
              <w:tab/>
              <w:t>by attending to produce this subpoena or a copy of it and the documents or things specified in the Schedule of documents below at the date, time and place specified for attendance and production; or</w:t>
            </w:r>
          </w:p>
          <w:p>
            <w:pPr>
              <w:pStyle w:val="yTableNAm"/>
              <w:spacing w:before="0"/>
              <w:ind w:left="368" w:hanging="368"/>
              <w:rPr>
                <w:sz w:val="20"/>
              </w:rPr>
            </w:pPr>
            <w:r>
              <w:rPr>
                <w:sz w:val="20"/>
              </w:rPr>
              <w:t>(b)</w:t>
            </w:r>
            <w:r>
              <w:rPr>
                <w:sz w:val="20"/>
              </w:rPr>
              <w:tab/>
              <w:t>by delivering or posting this subpoena or a copy of it and the documents or things specified in the Schedule of documents below to the Court at the address below so that they are received not less than 2 clear days before the date specified for attendance and production. (</w:t>
            </w:r>
            <w:r>
              <w:rPr>
                <w:i/>
                <w:sz w:val="20"/>
              </w:rPr>
              <w:t>See Notes 5–8</w:t>
            </w:r>
            <w:r>
              <w:rPr>
                <w:sz w:val="20"/>
              </w:rPr>
              <w:t>)</w:t>
            </w:r>
          </w:p>
        </w:tc>
      </w:tr>
      <w:tr>
        <w:tc>
          <w:tcPr>
            <w:tcW w:w="1418" w:type="dxa"/>
            <w:tcBorders>
              <w:top w:val="nil"/>
            </w:tcBorders>
          </w:tcPr>
          <w:p>
            <w:pPr>
              <w:pStyle w:val="yTableNAm"/>
              <w:spacing w:before="0"/>
              <w:rPr>
                <w:b/>
                <w:sz w:val="20"/>
              </w:rPr>
            </w:pPr>
          </w:p>
        </w:tc>
        <w:tc>
          <w:tcPr>
            <w:tcW w:w="5670" w:type="dxa"/>
            <w:gridSpan w:val="3"/>
            <w:tcBorders>
              <w:top w:val="nil"/>
            </w:tcBorders>
          </w:tcPr>
          <w:p>
            <w:pPr>
              <w:pStyle w:val="yTableNAm"/>
              <w:spacing w:before="0"/>
              <w:rPr>
                <w:sz w:val="20"/>
              </w:rPr>
            </w:pPr>
            <w:r>
              <w:rPr>
                <w:sz w:val="20"/>
              </w:rPr>
              <w:t xml:space="preserve">Date, time and place at which you must attend to produce the subpoena or a copy of it and the documents or things,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Address to which this subpoena (or copy) and documents or things may be delivered:</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David Malcolm Justice Centre</w:t>
            </w:r>
          </w:p>
          <w:p>
            <w:pPr>
              <w:pStyle w:val="yTableNAm"/>
              <w:spacing w:before="0"/>
              <w:ind w:left="368"/>
              <w:rPr>
                <w:sz w:val="20"/>
              </w:rPr>
            </w:pPr>
            <w:r>
              <w:rPr>
                <w:sz w:val="20"/>
              </w:rPr>
              <w:t>Level 11, 28 Barrack Street</w:t>
            </w:r>
          </w:p>
          <w:p>
            <w:pPr>
              <w:pStyle w:val="yTableNAm"/>
              <w:spacing w:before="0"/>
              <w:ind w:left="368"/>
              <w:rPr>
                <w:sz w:val="20"/>
              </w:rPr>
            </w:pPr>
            <w:r>
              <w:rPr>
                <w:sz w:val="20"/>
              </w:rPr>
              <w:t>Perth WA 6000</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Court of Appeal Office</w:t>
            </w:r>
          </w:p>
          <w:p>
            <w:pPr>
              <w:pStyle w:val="yTableNAm"/>
              <w:spacing w:before="0"/>
              <w:ind w:left="368"/>
              <w:rPr>
                <w:sz w:val="20"/>
              </w:rPr>
            </w:pPr>
            <w:r>
              <w:rPr>
                <w:sz w:val="20"/>
              </w:rPr>
              <w:t>Stirling Gardens, Barrack Street</w:t>
            </w:r>
          </w:p>
          <w:p>
            <w:pPr>
              <w:pStyle w:val="yTableNAm"/>
              <w:spacing w:before="0"/>
              <w:ind w:left="368"/>
              <w:rPr>
                <w:sz w:val="20"/>
              </w:rPr>
            </w:pPr>
            <w:r>
              <w:rPr>
                <w:sz w:val="20"/>
              </w:rPr>
              <w:t>Perth WA 6000</w:t>
            </w:r>
          </w:p>
        </w:tc>
      </w:tr>
    </w:tbl>
    <w:p>
      <w:pPr>
        <w:pStyle w:val="yMiscellaneousBody"/>
        <w:spacing w:before="0"/>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5670"/>
      </w:tblGrid>
      <w:tr>
        <w:trPr>
          <w:cantSplit/>
        </w:trPr>
        <w:tc>
          <w:tcPr>
            <w:tcW w:w="7088" w:type="dxa"/>
            <w:gridSpan w:val="2"/>
          </w:tcPr>
          <w:p>
            <w:pPr>
              <w:pStyle w:val="yTableNAm"/>
              <w:keepNext/>
              <w:keepLines/>
              <w:spacing w:before="0"/>
              <w:jc w:val="center"/>
              <w:rPr>
                <w:b/>
                <w:sz w:val="20"/>
              </w:rPr>
            </w:pPr>
            <w:r>
              <w:rPr>
                <w:b/>
                <w:sz w:val="20"/>
              </w:rPr>
              <w:lastRenderedPageBreak/>
              <w:t>Schedule of documents</w:t>
            </w:r>
          </w:p>
        </w:tc>
      </w:tr>
      <w:tr>
        <w:trPr>
          <w:cantSplit/>
        </w:trPr>
        <w:tc>
          <w:tcPr>
            <w:tcW w:w="7088" w:type="dxa"/>
            <w:gridSpan w:val="2"/>
          </w:tcPr>
          <w:p>
            <w:pPr>
              <w:pStyle w:val="yTableNAm"/>
              <w:spacing w:before="0"/>
              <w:rPr>
                <w:sz w:val="20"/>
              </w:rPr>
            </w:pPr>
            <w:r>
              <w:rPr>
                <w:sz w:val="20"/>
              </w:rPr>
              <w:t>The documents and things you must produce are as follows:</w:t>
            </w:r>
          </w:p>
          <w:p>
            <w:pPr>
              <w:pStyle w:val="yTableNAm"/>
              <w:spacing w:before="0"/>
              <w:rPr>
                <w:i/>
                <w:sz w:val="20"/>
              </w:rPr>
            </w:pPr>
            <w:r>
              <w:rPr>
                <w:i/>
                <w:sz w:val="20"/>
              </w:rPr>
              <w:t>[List the documents or things and whether the original of any document is required. If insufficient space, attach list.]</w:t>
            </w:r>
          </w:p>
        </w:tc>
      </w:tr>
      <w:tr>
        <w:trPr>
          <w:cantSplit/>
        </w:trPr>
        <w:tc>
          <w:tcPr>
            <w:tcW w:w="7088" w:type="dxa"/>
            <w:gridSpan w:val="2"/>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Last day for service</w:t>
            </w:r>
          </w:p>
        </w:tc>
        <w:tc>
          <w:tcPr>
            <w:tcW w:w="5670" w:type="dxa"/>
          </w:tcPr>
          <w:p>
            <w:pPr>
              <w:pStyle w:val="yTableNAm"/>
              <w:keepLines/>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tc>
        <w:tc>
          <w:tcPr>
            <w:tcW w:w="5670" w:type="dxa"/>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tcPr>
          <w:p>
            <w:pPr>
              <w:pStyle w:val="yTableNAm"/>
              <w:spacing w:before="0"/>
              <w:ind w:left="369" w:hanging="369"/>
              <w:rPr>
                <w:sz w:val="20"/>
              </w:rPr>
            </w:pPr>
            <w:r>
              <w:rPr>
                <w:sz w:val="20"/>
              </w:rPr>
              <w:t>3.</w:t>
            </w:r>
            <w:r>
              <w:rPr>
                <w:sz w:val="20"/>
              </w:rPr>
              <w:tab/>
              <w:t>If the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Conduct money</w:t>
            </w:r>
          </w:p>
        </w:tc>
        <w:tc>
          <w:tcPr>
            <w:tcW w:w="5670" w:type="dxa"/>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c>
          <w:tcPr>
            <w:tcW w:w="1418" w:type="dxa"/>
          </w:tcPr>
          <w:p>
            <w:pPr>
              <w:pStyle w:val="yTableNAm"/>
              <w:spacing w:before="0"/>
              <w:rPr>
                <w:b/>
                <w:sz w:val="20"/>
              </w:rPr>
            </w:pPr>
            <w:r>
              <w:rPr>
                <w:b/>
                <w:sz w:val="20"/>
              </w:rPr>
              <w:t>Production of subpoena or copy of it and documents or things by delivery or post</w:t>
            </w:r>
          </w:p>
        </w:tc>
        <w:tc>
          <w:tcPr>
            <w:tcW w:w="5670" w:type="dxa"/>
          </w:tcPr>
          <w:p>
            <w:pPr>
              <w:pStyle w:val="yTableNAm"/>
              <w:spacing w:before="0"/>
              <w:ind w:left="369" w:hanging="369"/>
              <w:rPr>
                <w:sz w:val="20"/>
              </w:rPr>
            </w:pPr>
            <w:r>
              <w:rPr>
                <w:sz w:val="20"/>
              </w:rPr>
              <w:t>5.</w:t>
            </w:r>
            <w:r>
              <w:rPr>
                <w:sz w:val="20"/>
              </w:rPr>
              <w:tab/>
              <w:t>Insofar as this subpoena requires you to attend and produce the subpoena (or a copy of it) and documents or things, you may, instead of attending, comply with that requirement by delivering or posting the subpoena (or a copy of it) and the documents or things to the Court at the address specified in the subpoena so that they are received not less than 2 clear days before the date specified in the subpoena for attendance and production, or if you receive notice of a later date or time from the issuing party, before the later date or time.</w:t>
            </w:r>
          </w:p>
        </w:tc>
      </w:tr>
      <w:tr>
        <w:trPr>
          <w:cantSplit/>
        </w:trPr>
        <w:tc>
          <w:tcPr>
            <w:tcW w:w="1418" w:type="dxa"/>
          </w:tcPr>
          <w:p>
            <w:pPr>
              <w:pStyle w:val="yTableNAm"/>
              <w:spacing w:before="0"/>
              <w:rPr>
                <w:b/>
                <w:sz w:val="20"/>
              </w:rPr>
            </w:pPr>
            <w:r>
              <w:rPr>
                <w:b/>
                <w:sz w:val="20"/>
              </w:rPr>
              <w:t>Production of a number of documents or things</w:t>
            </w:r>
          </w:p>
        </w:tc>
        <w:tc>
          <w:tcPr>
            <w:tcW w:w="5670" w:type="dxa"/>
          </w:tcPr>
          <w:p>
            <w:pPr>
              <w:pStyle w:val="yTableNAm"/>
              <w:spacing w:before="0"/>
              <w:ind w:left="369" w:hanging="369"/>
              <w:rPr>
                <w:sz w:val="20"/>
              </w:rPr>
            </w:pPr>
            <w:r>
              <w:rPr>
                <w:sz w:val="20"/>
              </w:rPr>
              <w:t>6.</w:t>
            </w:r>
            <w:r>
              <w:rPr>
                <w:sz w:val="20"/>
              </w:rPr>
              <w:tab/>
              <w:t>If you produce more than one document or thing, you must include with them a list of them.</w:t>
            </w:r>
          </w:p>
        </w:tc>
      </w:tr>
      <w:tr>
        <w:tc>
          <w:tcPr>
            <w:tcW w:w="1418" w:type="dxa"/>
          </w:tcPr>
          <w:p>
            <w:pPr>
              <w:pStyle w:val="yTableNAm"/>
              <w:spacing w:before="0"/>
              <w:rPr>
                <w:b/>
                <w:sz w:val="20"/>
                <w:vertAlign w:val="superscript"/>
              </w:rPr>
            </w:pPr>
            <w:r>
              <w:rPr>
                <w:b/>
                <w:sz w:val="20"/>
              </w:rPr>
              <w:t>Production of copy instead of original</w:t>
            </w:r>
          </w:p>
        </w:tc>
        <w:tc>
          <w:tcPr>
            <w:tcW w:w="5670" w:type="dxa"/>
          </w:tcPr>
          <w:p>
            <w:pPr>
              <w:pStyle w:val="yTableNAm"/>
              <w:spacing w:before="0"/>
              <w:ind w:left="369" w:hanging="369"/>
              <w:rPr>
                <w:sz w:val="20"/>
              </w:rPr>
            </w:pPr>
            <w:r>
              <w:rPr>
                <w:sz w:val="20"/>
              </w:rPr>
              <w:t>7.</w:t>
            </w:r>
            <w:r>
              <w:rPr>
                <w:sz w:val="20"/>
              </w:rPr>
              <w:tab/>
              <w:t>Unless the Schedule of documents says the original of a document listed in the Schedule is required, you may produce a copy of it instead.</w:t>
            </w:r>
          </w:p>
          <w:p>
            <w:pPr>
              <w:pStyle w:val="yTableNAm"/>
              <w:spacing w:before="0"/>
              <w:ind w:left="369" w:hanging="369"/>
              <w:rPr>
                <w:sz w:val="20"/>
              </w:rPr>
            </w:pPr>
            <w:r>
              <w:rPr>
                <w:sz w:val="20"/>
              </w:rPr>
              <w:t>8.</w:t>
            </w:r>
            <w:r>
              <w:rPr>
                <w:sz w:val="20"/>
              </w:rPr>
              <w:tab/>
              <w:t xml:space="preserve">The copy of a document may be — </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lastRenderedPageBreak/>
              <w:t>.gif – graphics interchange format</w:t>
            </w:r>
          </w:p>
          <w:p>
            <w:pPr>
              <w:pStyle w:val="yTableNAm"/>
              <w:spacing w:before="0"/>
              <w:ind w:left="935" w:hanging="1"/>
              <w:rPr>
                <w:sz w:val="20"/>
              </w:rPr>
            </w:pPr>
            <w:r>
              <w:rPr>
                <w:sz w:val="20"/>
              </w:rPr>
              <w:t>.tif – tagged image format</w:t>
            </w:r>
          </w:p>
        </w:tc>
      </w:tr>
      <w:tr>
        <w:trPr>
          <w:cantSplit/>
        </w:trPr>
        <w:tc>
          <w:tcPr>
            <w:tcW w:w="1418" w:type="dxa"/>
          </w:tcPr>
          <w:p>
            <w:pPr>
              <w:pStyle w:val="yTableNAm"/>
              <w:spacing w:before="0"/>
              <w:rPr>
                <w:b/>
                <w:sz w:val="20"/>
              </w:rPr>
            </w:pPr>
            <w:r>
              <w:rPr>
                <w:b/>
                <w:sz w:val="20"/>
              </w:rPr>
              <w:lastRenderedPageBreak/>
              <w:t>Applications in relation to subpoena</w:t>
            </w:r>
          </w:p>
        </w:tc>
        <w:tc>
          <w:tcPr>
            <w:tcW w:w="5670" w:type="dxa"/>
          </w:tcPr>
          <w:p>
            <w:pPr>
              <w:pStyle w:val="yTableNAm"/>
              <w:spacing w:before="0"/>
              <w:ind w:left="369" w:hanging="369"/>
              <w:rPr>
                <w:sz w:val="20"/>
              </w:rPr>
            </w:pPr>
            <w:r>
              <w:rPr>
                <w:sz w:val="20"/>
              </w:rPr>
              <w:t>9.</w:t>
            </w:r>
            <w:r>
              <w:rPr>
                <w:sz w:val="20"/>
              </w:rPr>
              <w:tab/>
              <w:t xml:space="preserve">You have the right to apply (before or after complying with this subpoena) to the Court for an order — </w:t>
            </w:r>
          </w:p>
          <w:p>
            <w:pPr>
              <w:pStyle w:val="yTableNAm"/>
              <w:spacing w:before="0"/>
              <w:ind w:left="794" w:hanging="425"/>
              <w:rPr>
                <w:sz w:val="20"/>
              </w:rPr>
            </w:pPr>
            <w:r>
              <w:rPr>
                <w:sz w:val="20"/>
              </w:rPr>
              <w:t>(a)</w:t>
            </w:r>
            <w:r>
              <w:rPr>
                <w:sz w:val="20"/>
              </w:rPr>
              <w:tab/>
              <w:t>setting aside this subpoena (or a part of it);</w:t>
            </w:r>
          </w:p>
          <w:p>
            <w:pPr>
              <w:pStyle w:val="yTableNAm"/>
              <w:spacing w:before="0"/>
              <w:ind w:left="794" w:hanging="425"/>
              <w:rPr>
                <w:sz w:val="20"/>
              </w:rPr>
            </w:pPr>
            <w:r>
              <w:rPr>
                <w:sz w:val="20"/>
              </w:rPr>
              <w:t>(b)</w:t>
            </w:r>
            <w:r>
              <w:rPr>
                <w:sz w:val="20"/>
              </w:rPr>
              <w:tab/>
              <w:t>giving directions in relation to removing from and returning to the Court, and the inspection, copying and disposal, of any document or thing that you produce or are required to produce by this subpoena;</w:t>
            </w:r>
          </w:p>
          <w:p>
            <w:pPr>
              <w:pStyle w:val="yTableNAm"/>
              <w:spacing w:before="0"/>
              <w:ind w:left="794" w:hanging="425"/>
              <w:rPr>
                <w:sz w:val="20"/>
              </w:rPr>
            </w:pPr>
            <w:r>
              <w:rPr>
                <w:sz w:val="20"/>
              </w:rPr>
              <w:t>(c)</w:t>
            </w:r>
            <w:r>
              <w:rPr>
                <w:sz w:val="20"/>
              </w:rPr>
              <w:tab/>
              <w:t>giving other relief in respect of it.</w:t>
            </w:r>
          </w:p>
          <w:p>
            <w:pPr>
              <w:pStyle w:val="yTableNAm"/>
              <w:spacing w:before="0"/>
              <w:ind w:left="369" w:hanging="369"/>
              <w:rPr>
                <w:sz w:val="20"/>
              </w:rPr>
            </w:pPr>
            <w:r>
              <w:rPr>
                <w:sz w:val="20"/>
              </w:rPr>
              <w:tab/>
              <w:t>Unless the Court has made such an order, a registrar may permit the parties to the proceeding to inspect, copy, or remove and return any document or thing you produce under this subpoena.</w:t>
            </w:r>
          </w:p>
        </w:tc>
      </w:tr>
      <w:tr>
        <w:trPr>
          <w:cantSplit/>
        </w:trPr>
        <w:tc>
          <w:tcPr>
            <w:tcW w:w="1418" w:type="dxa"/>
          </w:tcPr>
          <w:p>
            <w:pPr>
              <w:pStyle w:val="yTableNAm"/>
              <w:spacing w:before="0"/>
              <w:rPr>
                <w:b/>
                <w:sz w:val="20"/>
              </w:rPr>
            </w:pPr>
            <w:r>
              <w:rPr>
                <w:b/>
                <w:sz w:val="20"/>
              </w:rPr>
              <w:t>Loss or expense of compliance</w:t>
            </w:r>
          </w:p>
        </w:tc>
        <w:tc>
          <w:tcPr>
            <w:tcW w:w="5670" w:type="dxa"/>
          </w:tcPr>
          <w:p>
            <w:pPr>
              <w:pStyle w:val="yTableNAm"/>
              <w:spacing w:before="0"/>
              <w:ind w:left="369" w:hanging="369"/>
              <w:rPr>
                <w:sz w:val="20"/>
              </w:rPr>
            </w:pPr>
            <w:r>
              <w:rPr>
                <w:sz w:val="20"/>
              </w:rPr>
              <w:t>10.</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c>
          <w:tcPr>
            <w:tcW w:w="1418" w:type="dxa"/>
          </w:tcPr>
          <w:p>
            <w:pPr>
              <w:pStyle w:val="yTableNAm"/>
              <w:spacing w:before="0"/>
              <w:rPr>
                <w:b/>
                <w:sz w:val="20"/>
              </w:rPr>
            </w:pPr>
            <w:r>
              <w:rPr>
                <w:b/>
                <w:sz w:val="20"/>
              </w:rPr>
              <w:t>Contempt of court—arrest</w:t>
            </w:r>
          </w:p>
        </w:tc>
        <w:tc>
          <w:tcPr>
            <w:tcW w:w="5670" w:type="dxa"/>
          </w:tcPr>
          <w:p>
            <w:pPr>
              <w:pStyle w:val="yTableNAm"/>
              <w:spacing w:before="0"/>
              <w:ind w:left="369" w:hanging="369"/>
              <w:rPr>
                <w:sz w:val="20"/>
              </w:rPr>
            </w:pPr>
            <w:r>
              <w:rPr>
                <w:sz w:val="20"/>
              </w:rPr>
              <w:t>11.</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12.</w:t>
            </w:r>
            <w:r>
              <w:rPr>
                <w:sz w:val="20"/>
              </w:rPr>
              <w:tab/>
              <w:t>Note 11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rPr>
          <w:szCs w:val="18"/>
        </w:rPr>
      </w:pPr>
      <w:r>
        <w:rPr>
          <w:szCs w:val="18"/>
        </w:rPr>
        <w:t>Footnotes to Form 21B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1 of any party, include the additional parties’ names and types of party in a schedule to the subpoena.</w:t>
      </w:r>
    </w:p>
    <w:p>
      <w:pPr>
        <w:pStyle w:val="yFootnotesection"/>
      </w:pPr>
      <w:r>
        <w:tab/>
        <w:t>[Form 21B inserted: Gazette 24 May 2017 p. 2582</w:t>
      </w:r>
      <w:r>
        <w:noBreakHyphen/>
        <w:t>5.]</w:t>
      </w:r>
    </w:p>
    <w:p>
      <w:pPr>
        <w:pStyle w:val="yEdnotesection"/>
      </w:pPr>
      <w:r>
        <w:t>[Form 22 deleted: Gazette 24 May 2017 p. 2585.]</w:t>
      </w:r>
    </w:p>
    <w:p>
      <w:pPr>
        <w:pStyle w:val="yHeading5"/>
        <w:keepNext w:val="0"/>
        <w:keepLines w:val="0"/>
        <w:pageBreakBefore/>
        <w:widowControl w:val="0"/>
        <w:spacing w:before="0" w:after="120"/>
      </w:pPr>
      <w:bookmarkStart w:id="1604" w:name="_Toc163121828"/>
      <w:r>
        <w:rPr>
          <w:rStyle w:val="CharSClsNo"/>
        </w:rPr>
        <w:lastRenderedPageBreak/>
        <w:t>22A</w:t>
      </w:r>
      <w:r>
        <w:t>.</w:t>
      </w:r>
      <w:r>
        <w:tab/>
        <w:t>Subpoena notice and declaration (O. 36B r. 10(3))</w:t>
      </w:r>
      <w:bookmarkEnd w:id="1604"/>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cantSplit/>
          <w:trHeight w:val="244"/>
        </w:trPr>
        <w:tc>
          <w:tcPr>
            <w:tcW w:w="3969" w:type="dxa"/>
            <w:gridSpan w:val="2"/>
            <w:vMerge w:val="restart"/>
          </w:tcPr>
          <w:p>
            <w:pPr>
              <w:pStyle w:val="yTableNAm"/>
              <w:rPr>
                <w:sz w:val="20"/>
              </w:rPr>
            </w:pPr>
            <w:r>
              <w:rPr>
                <w:sz w:val="20"/>
              </w:rPr>
              <w:t>Supreme Court of Western Australia</w:t>
            </w:r>
          </w:p>
          <w:p>
            <w:pPr>
              <w:pStyle w:val="yTableNAm"/>
              <w:rPr>
                <w:sz w:val="20"/>
              </w:rPr>
            </w:pPr>
            <w:r>
              <w:rPr>
                <w:sz w:val="20"/>
              </w:rPr>
              <w:t>General Division/Court of Appeal</w:t>
            </w:r>
          </w:p>
        </w:tc>
        <w:tc>
          <w:tcPr>
            <w:tcW w:w="3111" w:type="dxa"/>
          </w:tcPr>
          <w:p>
            <w:pPr>
              <w:pStyle w:val="yTableNAm"/>
              <w:rPr>
                <w:sz w:val="20"/>
              </w:rPr>
            </w:pPr>
            <w:r>
              <w:rPr>
                <w:sz w:val="20"/>
              </w:rPr>
              <w:t>No:</w:t>
            </w:r>
          </w:p>
        </w:tc>
      </w:tr>
      <w:tr>
        <w:trPr>
          <w:cantSplit/>
          <w:trHeight w:val="243"/>
        </w:trPr>
        <w:tc>
          <w:tcPr>
            <w:tcW w:w="3969" w:type="dxa"/>
            <w:gridSpan w:val="2"/>
            <w:vMerge/>
          </w:tcPr>
          <w:p>
            <w:pPr>
              <w:pStyle w:val="yTableNAm"/>
              <w:rPr>
                <w:sz w:val="20"/>
              </w:rPr>
            </w:pPr>
          </w:p>
        </w:tc>
        <w:tc>
          <w:tcPr>
            <w:tcW w:w="3111" w:type="dxa"/>
          </w:tcPr>
          <w:p>
            <w:pPr>
              <w:pStyle w:val="yTableNAm"/>
              <w:rPr>
                <w:b/>
                <w:bCs/>
                <w:sz w:val="20"/>
              </w:rPr>
            </w:pPr>
            <w:r>
              <w:rPr>
                <w:b/>
                <w:bCs/>
                <w:sz w:val="20"/>
              </w:rPr>
              <w:t>Subpoena notice and declaration</w:t>
            </w:r>
          </w:p>
        </w:tc>
      </w:tr>
      <w:tr>
        <w:tc>
          <w:tcPr>
            <w:tcW w:w="1200" w:type="dxa"/>
          </w:tcPr>
          <w:p>
            <w:pPr>
              <w:pStyle w:val="yTableNAm"/>
              <w:rPr>
                <w:sz w:val="20"/>
              </w:rPr>
            </w:pPr>
            <w:r>
              <w:rPr>
                <w:sz w:val="20"/>
              </w:rPr>
              <w:t>Parties</w:t>
            </w:r>
          </w:p>
        </w:tc>
        <w:tc>
          <w:tcPr>
            <w:tcW w:w="5880" w:type="dxa"/>
            <w:gridSpan w:val="2"/>
          </w:tcPr>
          <w:p>
            <w:pPr>
              <w:pStyle w:val="yTableNAm"/>
              <w:tabs>
                <w:tab w:val="clear" w:pos="567"/>
                <w:tab w:val="left" w:pos="3118"/>
              </w:tabs>
              <w:rPr>
                <w:sz w:val="20"/>
              </w:rPr>
            </w:pPr>
            <w:r>
              <w:rPr>
                <w:sz w:val="20"/>
              </w:rPr>
              <w:tab/>
              <w:t>Plaintiff</w:t>
            </w:r>
          </w:p>
          <w:p>
            <w:pPr>
              <w:pStyle w:val="yTableNAm"/>
              <w:tabs>
                <w:tab w:val="clear" w:pos="567"/>
                <w:tab w:val="left" w:pos="3118"/>
              </w:tabs>
              <w:rPr>
                <w:sz w:val="20"/>
              </w:rPr>
            </w:pPr>
            <w:r>
              <w:rPr>
                <w:sz w:val="20"/>
              </w:rPr>
              <w:tab/>
              <w:t>Defendant</w:t>
            </w:r>
          </w:p>
        </w:tc>
      </w:tr>
      <w:tr>
        <w:trPr>
          <w:cantSplit/>
        </w:trPr>
        <w:tc>
          <w:tcPr>
            <w:tcW w:w="7080" w:type="dxa"/>
            <w:gridSpan w:val="3"/>
          </w:tcPr>
          <w:p>
            <w:pPr>
              <w:pStyle w:val="yTableNAm"/>
              <w:jc w:val="center"/>
              <w:rPr>
                <w:b/>
                <w:bCs/>
                <w:sz w:val="20"/>
              </w:rPr>
            </w:pPr>
            <w:r>
              <w:rPr>
                <w:b/>
                <w:bCs/>
                <w:sz w:val="20"/>
              </w:rPr>
              <w:t>Notice to addressee</w:t>
            </w:r>
          </w:p>
        </w:tc>
      </w:tr>
      <w:tr>
        <w:trPr>
          <w:cantSplit/>
        </w:trPr>
        <w:tc>
          <w:tcPr>
            <w:tcW w:w="7080" w:type="dxa"/>
            <w:gridSpan w:val="3"/>
          </w:tcPr>
          <w:p>
            <w:pPr>
              <w:pStyle w:val="yTableNAm"/>
              <w:rPr>
                <w:sz w:val="20"/>
              </w:rPr>
            </w:pPr>
            <w:r>
              <w:rPr>
                <w:sz w:val="20"/>
              </w:rPr>
              <w:t xml:space="preserve">The </w:t>
            </w:r>
            <w:r>
              <w:rPr>
                <w:b/>
                <w:bCs/>
                <w:i/>
                <w:iCs/>
                <w:sz w:val="20"/>
              </w:rPr>
              <w:t>addressee</w:t>
            </w:r>
            <w:r>
              <w:rPr>
                <w:sz w:val="20"/>
              </w:rPr>
              <w:t xml:space="preserve"> is the person to whom the subpoena is addressed, and who will be the recipient of the subpoena.</w:t>
            </w:r>
          </w:p>
          <w:p>
            <w:pPr>
              <w:pStyle w:val="yTableNAm"/>
              <w:rPr>
                <w:sz w:val="20"/>
              </w:rPr>
            </w:pPr>
            <w:r>
              <w:rPr>
                <w:sz w:val="20"/>
              </w:rPr>
              <w:t>You may produce copies of any subpoenaed documents, unless the subpoena specifically requires you to produce originals. A copy of a document may be —</w:t>
            </w:r>
          </w:p>
          <w:p>
            <w:pPr>
              <w:pStyle w:val="yTableNAm"/>
              <w:tabs>
                <w:tab w:val="clear" w:pos="567"/>
                <w:tab w:val="left" w:pos="383"/>
                <w:tab w:val="left" w:pos="874"/>
                <w:tab w:val="left" w:pos="1136"/>
              </w:tabs>
              <w:rPr>
                <w:sz w:val="20"/>
              </w:rPr>
            </w:pPr>
            <w:r>
              <w:rPr>
                <w:sz w:val="20"/>
              </w:rPr>
              <w:t>(a)</w:t>
            </w:r>
            <w:r>
              <w:rPr>
                <w:sz w:val="20"/>
              </w:rPr>
              <w:tab/>
              <w:t>a photocopy; or</w:t>
            </w:r>
          </w:p>
          <w:p>
            <w:pPr>
              <w:pStyle w:val="yTableNAm"/>
              <w:tabs>
                <w:tab w:val="clear" w:pos="567"/>
                <w:tab w:val="left" w:pos="383"/>
                <w:tab w:val="left" w:pos="874"/>
                <w:tab w:val="left" w:pos="1136"/>
              </w:tabs>
              <w:ind w:left="386" w:hanging="386"/>
              <w:rPr>
                <w:sz w:val="20"/>
              </w:rPr>
            </w:pPr>
            <w:r>
              <w:rPr>
                <w:sz w:val="20"/>
              </w:rPr>
              <w:t>(b)</w:t>
            </w:r>
            <w:r>
              <w:rPr>
                <w:sz w:val="20"/>
              </w:rPr>
              <w:tab/>
              <w:t xml:space="preserve">in an electronic form on a CD-ROM, DVD or USB device in any of the following electronic formats — </w:t>
            </w:r>
          </w:p>
          <w:p>
            <w:pPr>
              <w:pStyle w:val="yTableNAm"/>
              <w:keepNext/>
              <w:spacing w:before="0"/>
              <w:ind w:left="935" w:hanging="1"/>
              <w:rPr>
                <w:sz w:val="20"/>
              </w:rPr>
            </w:pPr>
            <w:r>
              <w:rPr>
                <w:sz w:val="20"/>
              </w:rPr>
              <w:t>.doc and .docx – Microsoft Word documents</w:t>
            </w:r>
          </w:p>
          <w:p>
            <w:pPr>
              <w:pStyle w:val="yTableNAm"/>
              <w:keepNext/>
              <w:spacing w:before="0"/>
              <w:ind w:left="935" w:hanging="1"/>
              <w:rPr>
                <w:sz w:val="20"/>
              </w:rPr>
            </w:pPr>
            <w:r>
              <w:rPr>
                <w:sz w:val="20"/>
              </w:rPr>
              <w:t>.pdf – Adobe Acrobat documents</w:t>
            </w:r>
          </w:p>
          <w:p>
            <w:pPr>
              <w:pStyle w:val="yTableNAm"/>
              <w:keepNext/>
              <w:spacing w:before="0"/>
              <w:ind w:left="935" w:hanging="1"/>
              <w:rPr>
                <w:sz w:val="20"/>
              </w:rPr>
            </w:pPr>
            <w:r>
              <w:rPr>
                <w:sz w:val="20"/>
              </w:rPr>
              <w:t>.xls and .xlsx – Microsoft Excel spreadsheets</w:t>
            </w:r>
          </w:p>
          <w:p>
            <w:pPr>
              <w:pStyle w:val="yTableNAm"/>
              <w:keepNext/>
              <w:spacing w:before="0"/>
              <w:ind w:left="935" w:hanging="1"/>
              <w:rPr>
                <w:sz w:val="20"/>
              </w:rPr>
            </w:pPr>
            <w:r>
              <w:rPr>
                <w:sz w:val="20"/>
              </w:rPr>
              <w:t>.jpg – image files</w:t>
            </w:r>
          </w:p>
          <w:p>
            <w:pPr>
              <w:pStyle w:val="yTableNAm"/>
              <w:keepNext/>
              <w:spacing w:before="0"/>
              <w:ind w:left="935" w:hanging="1"/>
              <w:rPr>
                <w:sz w:val="20"/>
              </w:rPr>
            </w:pPr>
            <w:r>
              <w:rPr>
                <w:sz w:val="20"/>
              </w:rPr>
              <w:t>.rtf – rich text format</w:t>
            </w:r>
          </w:p>
          <w:p>
            <w:pPr>
              <w:pStyle w:val="yTableNAm"/>
              <w:keepNext/>
              <w:spacing w:before="0"/>
              <w:ind w:left="935" w:hanging="1"/>
              <w:rPr>
                <w:sz w:val="20"/>
              </w:rPr>
            </w:pPr>
            <w:r>
              <w:rPr>
                <w:sz w:val="20"/>
              </w:rPr>
              <w:t>.gif – graphics interchange format</w:t>
            </w:r>
          </w:p>
          <w:p>
            <w:pPr>
              <w:pStyle w:val="yTableNAm"/>
              <w:keepNext/>
              <w:spacing w:before="0"/>
              <w:ind w:left="935" w:hanging="1"/>
              <w:rPr>
                <w:sz w:val="20"/>
              </w:rPr>
            </w:pPr>
            <w:r>
              <w:rPr>
                <w:sz w:val="20"/>
              </w:rPr>
              <w:t>.tif – tagged image format</w:t>
            </w:r>
          </w:p>
          <w:p>
            <w:pPr>
              <w:pStyle w:val="yTableNAm"/>
              <w:rPr>
                <w:b/>
                <w:bCs/>
                <w:sz w:val="20"/>
              </w:rPr>
            </w:pPr>
            <w:r>
              <w:rPr>
                <w:b/>
                <w:bCs/>
                <w:sz w:val="20"/>
              </w:rPr>
              <w:t>You must complete the Declaration below, attach it to the subpoena or a copy of the subpoena and return them with the documents or things you provide to the Court under the subpoena.</w:t>
            </w:r>
          </w:p>
          <w:p>
            <w:pPr>
              <w:pStyle w:val="yTableNAm"/>
              <w:rPr>
                <w:sz w:val="20"/>
              </w:rPr>
            </w:pPr>
            <w:r>
              <w:rPr>
                <w:sz w:val="20"/>
              </w:rPr>
              <w:t>If you declare that all of the materials you produce are copies the registrar may destroy the copies when they are no longer required by the Court.</w:t>
            </w:r>
          </w:p>
          <w:p>
            <w:pPr>
              <w:pStyle w:val="yTableNAm"/>
              <w:rPr>
                <w:b/>
                <w:bCs/>
                <w:sz w:val="20"/>
              </w:rPr>
            </w:pPr>
            <w:r>
              <w:rPr>
                <w:sz w:val="20"/>
              </w:rPr>
              <w:t>If you declare that the material you produce includes any original document the registrar may, when the material is no longer required by the Court, return all of the material to you at the address specified by you in the Declaration below.</w:t>
            </w:r>
          </w:p>
        </w:tc>
      </w:tr>
      <w:tr>
        <w:trPr>
          <w:cantSplit/>
        </w:trPr>
        <w:tc>
          <w:tcPr>
            <w:tcW w:w="7080" w:type="dxa"/>
            <w:gridSpan w:val="3"/>
          </w:tcPr>
          <w:p>
            <w:pPr>
              <w:pStyle w:val="yTableNAm"/>
              <w:keepNext/>
              <w:widowControl w:val="0"/>
              <w:jc w:val="center"/>
              <w:rPr>
                <w:rFonts w:ascii="Arial" w:hAnsi="Arial"/>
                <w:b/>
                <w:bCs/>
                <w:sz w:val="20"/>
              </w:rPr>
            </w:pPr>
            <w:r>
              <w:rPr>
                <w:sz w:val="24"/>
              </w:rPr>
              <w:br w:type="page"/>
            </w:r>
            <w:r>
              <w:rPr>
                <w:b/>
                <w:bCs/>
                <w:sz w:val="20"/>
              </w:rPr>
              <w:t>Declaration by addressee (subpoena recipient)</w:t>
            </w:r>
          </w:p>
        </w:tc>
      </w:tr>
      <w:tr>
        <w:trPr>
          <w:trHeight w:val="1183"/>
        </w:trPr>
        <w:tc>
          <w:tcPr>
            <w:tcW w:w="7080" w:type="dxa"/>
            <w:gridSpan w:val="3"/>
          </w:tcPr>
          <w:p>
            <w:pPr>
              <w:pStyle w:val="yTableNAm"/>
              <w:widowControl w:val="0"/>
              <w:rPr>
                <w:rFonts w:ascii="Arial" w:hAnsi="Arial"/>
                <w:sz w:val="20"/>
              </w:rPr>
            </w:pPr>
            <w:r>
              <w:rPr>
                <w:sz w:val="20"/>
              </w:rPr>
              <w:t>[</w:t>
            </w:r>
            <w:r>
              <w:rPr>
                <w:i/>
                <w:iCs/>
                <w:sz w:val="20"/>
              </w:rPr>
              <w:t>Tick the relevant option below, (provide your address as appropriate), sign and date</w:t>
            </w:r>
            <w:r>
              <w:rPr>
                <w:sz w:val="20"/>
              </w:rPr>
              <w:t>]</w:t>
            </w:r>
          </w:p>
          <w:p>
            <w:pPr>
              <w:pStyle w:val="yTableNAm"/>
              <w:widowControl w:val="0"/>
              <w:tabs>
                <w:tab w:val="left" w:pos="623"/>
              </w:tabs>
              <w:ind w:left="623" w:hanging="623"/>
              <w:rPr>
                <w:sz w:val="20"/>
              </w:rPr>
            </w:pPr>
            <w:r>
              <w:rPr>
                <w:sz w:val="20"/>
              </w:rPr>
              <w:sym w:font="Monotype Sorts" w:char="F070"/>
            </w:r>
            <w:r>
              <w:rPr>
                <w:sz w:val="20"/>
              </w:rPr>
              <w:tab/>
            </w:r>
            <w:r>
              <w:rPr>
                <w:b/>
                <w:bCs/>
                <w:sz w:val="20"/>
              </w:rPr>
              <w:t xml:space="preserve">All </w:t>
            </w:r>
            <w:r>
              <w:rPr>
                <w:sz w:val="20"/>
              </w:rPr>
              <w:t>of the material I am providing to the Court in compliance with the attached subpoena is copies of documents. I acknowledge that the Court may destroy the copies once they are no longer required, without further notice to me.</w:t>
            </w:r>
          </w:p>
        </w:tc>
      </w:tr>
      <w:tr>
        <w:trPr>
          <w:cantSplit/>
          <w:trHeight w:val="2074"/>
        </w:trPr>
        <w:tc>
          <w:tcPr>
            <w:tcW w:w="7080" w:type="dxa"/>
            <w:gridSpan w:val="3"/>
          </w:tcPr>
          <w:p>
            <w:pPr>
              <w:pStyle w:val="yTableNAm"/>
              <w:widowControl w:val="0"/>
              <w:tabs>
                <w:tab w:val="clear" w:pos="567"/>
                <w:tab w:val="left" w:pos="623"/>
              </w:tabs>
              <w:ind w:left="623" w:hanging="623"/>
              <w:rPr>
                <w:sz w:val="20"/>
              </w:rPr>
            </w:pPr>
            <w:r>
              <w:rPr>
                <w:sz w:val="20"/>
              </w:rPr>
              <w:lastRenderedPageBreak/>
              <w:sym w:font="Monotype Sorts" w:char="F070"/>
            </w:r>
            <w:r>
              <w:rPr>
                <w:sz w:val="20"/>
              </w:rPr>
              <w:tab/>
            </w:r>
            <w:r>
              <w:rPr>
                <w:b/>
                <w:bCs/>
                <w:sz w:val="20"/>
              </w:rPr>
              <w:t xml:space="preserve">Some or all </w:t>
            </w:r>
            <w:r>
              <w:rPr>
                <w:sz w:val="20"/>
              </w:rPr>
              <w:t xml:space="preserve">of the material I am providing to the Court in compliance with the attached subpoena is an </w:t>
            </w:r>
            <w:r>
              <w:rPr>
                <w:b/>
                <w:bCs/>
                <w:sz w:val="20"/>
              </w:rPr>
              <w:t xml:space="preserve">original </w:t>
            </w:r>
            <w:r>
              <w:rPr>
                <w:sz w:val="20"/>
              </w:rPr>
              <w:t>document. Once the material is no longer required, all of the material may be returned to me at the following address —</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w:t>
            </w:r>
          </w:p>
          <w:p>
            <w:pPr>
              <w:pStyle w:val="yTableNAm"/>
              <w:widowControl w:val="0"/>
              <w:rPr>
                <w:sz w:val="20"/>
              </w:rPr>
            </w:pPr>
            <w:r>
              <w:rPr>
                <w:sz w:val="20"/>
              </w:rPr>
              <w:t>[</w:t>
            </w:r>
            <w:r>
              <w:rPr>
                <w:i/>
                <w:iCs/>
                <w:sz w:val="20"/>
              </w:rPr>
              <w:t>Signature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Name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Date</w:t>
            </w:r>
            <w:r>
              <w:rPr>
                <w:sz w:val="20"/>
              </w:rPr>
              <w:t>]</w:t>
            </w:r>
          </w:p>
        </w:tc>
      </w:tr>
    </w:tbl>
    <w:p>
      <w:pPr>
        <w:pStyle w:val="yFootnotesection"/>
        <w:keepLines w:val="0"/>
      </w:pPr>
      <w:r>
        <w:tab/>
        <w:t>[Form 22A inserted: Gazette 28 Jul 2010 p. 3480-1; amended: Gazette 24 May 2017 p. 2586; 16 Aug 2017 p. 4421.]</w:t>
      </w:r>
    </w:p>
    <w:p>
      <w:pPr>
        <w:pStyle w:val="yEdnotedivision"/>
        <w:outlineLvl w:val="9"/>
      </w:pPr>
      <w:r>
        <w:t>[Form 22B deleted: Gazette 21 Feb 2007 p. 546.]</w:t>
      </w:r>
    </w:p>
    <w:p>
      <w:pPr>
        <w:pStyle w:val="yHeading5"/>
      </w:pPr>
      <w:bookmarkStart w:id="1605" w:name="_Toc163121829"/>
      <w:r>
        <w:rPr>
          <w:rStyle w:val="CharSClsNo"/>
        </w:rPr>
        <w:t>23</w:t>
      </w:r>
      <w:r>
        <w:t>.</w:t>
      </w:r>
      <w:r>
        <w:tab/>
        <w:t>Subpoena to give evidence to WA Supreme Court (to be served in NZ) (O. 39A r. 2A)</w:t>
      </w:r>
      <w:bookmarkEnd w:id="1605"/>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686"/>
      </w:tblGrid>
      <w:tr>
        <w:trPr>
          <w:cantSplit/>
          <w:trHeight w:val="194"/>
        </w:trPr>
        <w:tc>
          <w:tcPr>
            <w:tcW w:w="3402" w:type="dxa"/>
            <w:gridSpan w:val="2"/>
            <w:vMerge w:val="restart"/>
          </w:tcPr>
          <w:p>
            <w:pPr>
              <w:pStyle w:val="yTableNAm"/>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tcPr>
          <w:p>
            <w:pPr>
              <w:pStyle w:val="yTableNAm"/>
              <w:keepNext/>
              <w:spacing w:before="0"/>
              <w:rPr>
                <w:sz w:val="20"/>
              </w:rPr>
            </w:pPr>
            <w:r>
              <w:rPr>
                <w:sz w:val="20"/>
              </w:rPr>
              <w:t>No.:</w:t>
            </w:r>
          </w:p>
        </w:tc>
      </w:tr>
      <w:tr>
        <w:trPr>
          <w:cantSplit/>
          <w:trHeight w:val="194"/>
        </w:trPr>
        <w:tc>
          <w:tcPr>
            <w:tcW w:w="3402" w:type="dxa"/>
            <w:gridSpan w:val="2"/>
            <w:vMerge/>
          </w:tcPr>
          <w:p>
            <w:pPr>
              <w:pStyle w:val="yTableNAm"/>
              <w:spacing w:before="0"/>
              <w:rPr>
                <w:sz w:val="20"/>
              </w:rPr>
            </w:pPr>
          </w:p>
        </w:tc>
        <w:tc>
          <w:tcPr>
            <w:tcW w:w="3686" w:type="dxa"/>
          </w:tcPr>
          <w:p>
            <w:pPr>
              <w:pStyle w:val="yTableNAm"/>
              <w:spacing w:before="0"/>
              <w:rPr>
                <w:b/>
                <w:sz w:val="20"/>
              </w:rPr>
            </w:pPr>
            <w:r>
              <w:rPr>
                <w:b/>
                <w:sz w:val="20"/>
              </w:rPr>
              <w:t>Notice attached to subpoena to give evidence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670" w:type="dxa"/>
            <w:gridSpan w:val="2"/>
          </w:tcPr>
          <w:p>
            <w:pPr>
              <w:pStyle w:val="yTableNAm"/>
              <w:spacing w:before="0"/>
              <w:jc w:val="center"/>
              <w:rPr>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attend to give evidence to the Supreme Court of Western Australia. The subpoena has been issued by that court.</w:t>
            </w:r>
          </w:p>
          <w:p>
            <w:pPr>
              <w:pStyle w:val="yTableNAm"/>
              <w:spacing w:before="0"/>
              <w:rPr>
                <w:sz w:val="20"/>
              </w:rPr>
            </w:pP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lastRenderedPageBreak/>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keepNext/>
              <w:spacing w:before="0"/>
              <w:rPr>
                <w:b/>
                <w:sz w:val="20"/>
              </w:rPr>
            </w:pPr>
            <w:r>
              <w:rPr>
                <w:b/>
                <w:sz w:val="20"/>
              </w:rPr>
              <w:lastRenderedPageBreak/>
              <w:t>Your rights</w:t>
            </w:r>
          </w:p>
        </w:tc>
        <w:tc>
          <w:tcPr>
            <w:tcW w:w="5670" w:type="dxa"/>
            <w:gridSpan w:val="2"/>
          </w:tcPr>
          <w:p>
            <w:pPr>
              <w:pStyle w:val="yTableNAm"/>
              <w:keepNext/>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keepNext/>
              <w:keepLines/>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keepNext/>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that you be paid the additional amount you incurred.</w:t>
            </w:r>
          </w:p>
          <w:p>
            <w:pPr>
              <w:pStyle w:val="yTableNAm"/>
              <w:keepNext/>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keepNext/>
              <w:spacing w:before="0"/>
              <w:ind w:left="369" w:hanging="369"/>
              <w:rPr>
                <w:sz w:val="20"/>
              </w:rPr>
            </w:pPr>
            <w:r>
              <w:rPr>
                <w:sz w:val="20"/>
              </w:rPr>
              <w:t>5.</w:t>
            </w:r>
            <w:r>
              <w:rPr>
                <w:sz w:val="20"/>
              </w:rPr>
              <w:tab/>
              <w:t>An application can be made and determined without you having to go to Australia, or to retain Australian lawyers. All the necessary arrangements can be made in New Zealand.</w:t>
            </w:r>
          </w:p>
          <w:p>
            <w:pPr>
              <w:pStyle w:val="yTableNAm"/>
              <w:keepNext/>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 xml:space="preserve">Your obligations  </w:t>
            </w:r>
          </w:p>
        </w:tc>
        <w:tc>
          <w:tcPr>
            <w:tcW w:w="5670" w:type="dxa"/>
            <w:gridSpan w:val="2"/>
          </w:tcPr>
          <w:p>
            <w:pPr>
              <w:pStyle w:val="yTableNAm"/>
              <w:spacing w:before="0"/>
              <w:ind w:left="369" w:hanging="369"/>
              <w:rPr>
                <w:sz w:val="20"/>
              </w:rPr>
            </w:pPr>
            <w:r>
              <w:rPr>
                <w:sz w:val="20"/>
              </w:rPr>
              <w:t>6.</w:t>
            </w:r>
            <w:r>
              <w:rPr>
                <w:sz w:val="20"/>
              </w:rPr>
              <w:tab/>
              <w:t xml:space="preserve">Unless the subpoena is set aside, you must comply with it if — </w:t>
            </w:r>
          </w:p>
          <w:p>
            <w:pPr>
              <w:pStyle w:val="yTableNAm"/>
              <w:spacing w:before="0"/>
              <w:ind w:left="793" w:hanging="368"/>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3" w:hanging="368"/>
              <w:rPr>
                <w:sz w:val="20"/>
              </w:rPr>
            </w:pPr>
            <w:r>
              <w:rPr>
                <w:sz w:val="20"/>
              </w:rPr>
              <w:tab/>
            </w:r>
            <w:r>
              <w:rPr>
                <w:sz w:val="20"/>
              </w:rPr>
              <w:tab/>
              <w:t>and</w:t>
            </w:r>
          </w:p>
          <w:p>
            <w:pPr>
              <w:pStyle w:val="yTableNAm"/>
              <w:spacing w:before="0"/>
              <w:ind w:left="793" w:hanging="368"/>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3" w:hanging="368"/>
              <w:rPr>
                <w:sz w:val="20"/>
              </w:rPr>
            </w:pPr>
            <w:r>
              <w:rPr>
                <w:sz w:val="20"/>
              </w:rPr>
              <w:t>(c)</w:t>
            </w:r>
            <w:r>
              <w:rPr>
                <w:sz w:val="20"/>
              </w:rPr>
              <w:tab/>
              <w:t>the subpoena was served on you before or on the date specified in the order as the last day on which the subpoena may be served; and</w:t>
            </w:r>
          </w:p>
          <w:p>
            <w:pPr>
              <w:pStyle w:val="yTableNAm"/>
              <w:keepNext/>
              <w:spacing w:before="0"/>
              <w:ind w:left="793" w:hanging="368"/>
              <w:rPr>
                <w:sz w:val="20"/>
              </w:rPr>
            </w:pPr>
            <w:r>
              <w:rPr>
                <w:sz w:val="20"/>
              </w:rPr>
              <w:t>(d)</w:t>
            </w:r>
            <w:r>
              <w:rPr>
                <w:sz w:val="20"/>
              </w:rPr>
              <w:tab/>
              <w:t>service of the subpoena complied with any other conditions specified in the order; and</w:t>
            </w:r>
          </w:p>
          <w:p>
            <w:pPr>
              <w:pStyle w:val="yTableNAm"/>
              <w:spacing w:before="0"/>
              <w:ind w:left="793" w:hanging="368"/>
              <w:rPr>
                <w:sz w:val="20"/>
              </w:rPr>
            </w:pPr>
            <w:r>
              <w:rPr>
                <w:sz w:val="20"/>
              </w:rPr>
              <w:t>(e)</w:t>
            </w:r>
            <w:r>
              <w:rPr>
                <w:sz w:val="20"/>
              </w:rPr>
              <w:tab/>
              <w:t>you are over the age of 18 years.</w:t>
            </w:r>
          </w:p>
        </w:tc>
      </w:tr>
      <w:tr>
        <w:trPr>
          <w:cantSplit/>
        </w:trPr>
        <w:tc>
          <w:tcPr>
            <w:tcW w:w="1418" w:type="dxa"/>
          </w:tcPr>
          <w:p>
            <w:pPr>
              <w:pStyle w:val="yTableNAm"/>
              <w:spacing w:before="0"/>
              <w:rPr>
                <w:b/>
                <w:sz w:val="20"/>
              </w:rPr>
            </w:pPr>
            <w:r>
              <w:rPr>
                <w:b/>
                <w:sz w:val="20"/>
              </w:rPr>
              <w:lastRenderedPageBreak/>
              <w:t>Failure to comply with subpoena</w:t>
            </w:r>
          </w:p>
        </w:tc>
        <w:tc>
          <w:tcPr>
            <w:tcW w:w="5670" w:type="dxa"/>
            <w:gridSpan w:val="2"/>
          </w:tcPr>
          <w:p>
            <w:pPr>
              <w:pStyle w:val="yTableNAm"/>
              <w:spacing w:before="0"/>
              <w:ind w:left="369" w:hanging="369"/>
              <w:rPr>
                <w:sz w:val="20"/>
              </w:rPr>
            </w:pPr>
            <w:r>
              <w:rPr>
                <w:sz w:val="20"/>
              </w:rPr>
              <w:t>7.</w:t>
            </w:r>
            <w:r>
              <w:rPr>
                <w:sz w:val="20"/>
              </w:rPr>
              <w:tab/>
              <w:t>If you do not comply with the subpoena you may be arrested and taken before the High Court of New Zealand. Unless the High Court is satisfied that failure to comply should be excused, a fine not exceeding NZ$10 000 may be imposed.</w:t>
            </w:r>
          </w:p>
        </w:tc>
      </w:tr>
      <w:tr>
        <w:tc>
          <w:tcPr>
            <w:tcW w:w="1418" w:type="dxa"/>
          </w:tcPr>
          <w:p>
            <w:pPr>
              <w:pStyle w:val="yTableNAm"/>
              <w:spacing w:before="0"/>
              <w:rPr>
                <w:b/>
                <w:sz w:val="20"/>
              </w:rPr>
            </w:pPr>
            <w:r>
              <w:rPr>
                <w:b/>
                <w:sz w:val="20"/>
              </w:rPr>
              <w:t>Grounds for setting aside a subpoena</w:t>
            </w:r>
          </w:p>
        </w:tc>
        <w:tc>
          <w:tcPr>
            <w:tcW w:w="5670" w:type="dxa"/>
            <w:gridSpan w:val="2"/>
          </w:tcPr>
          <w:p>
            <w:pPr>
              <w:pStyle w:val="yTableNAm"/>
              <w:spacing w:before="0"/>
              <w:ind w:left="369" w:hanging="369"/>
              <w:rPr>
                <w:sz w:val="20"/>
              </w:rPr>
            </w:pPr>
            <w:r>
              <w:rPr>
                <w:sz w:val="20"/>
              </w:rPr>
              <w:t>8.</w:t>
            </w:r>
            <w:r>
              <w:rPr>
                <w:sz w:val="20"/>
              </w:rPr>
              <w:tab/>
              <w:t xml:space="preserve">The Supreme Court must set aside the subpoena if the subpoena requires you to attend at a place in Australia and —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 xml:space="preserve">you are liable to imposition of a penalty in civil proceedings in Australia (other than proceedings under the </w:t>
            </w:r>
            <w:r>
              <w:rPr>
                <w:i/>
                <w:sz w:val="20"/>
              </w:rPr>
              <w:t xml:space="preserve">Competition and Consumer Act 2010 </w:t>
            </w:r>
            <w:r>
              <w:rPr>
                <w:sz w:val="20"/>
              </w:rPr>
              <w:t>(Commonwealth)); or</w:t>
            </w:r>
          </w:p>
          <w:p>
            <w:pPr>
              <w:pStyle w:val="yTableNAm"/>
              <w:spacing w:before="0"/>
              <w:ind w:left="794" w:hanging="425"/>
              <w:rPr>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p>
            <w:pPr>
              <w:pStyle w:val="yTableNAm"/>
              <w:spacing w:before="0"/>
              <w:ind w:left="369" w:hanging="369"/>
              <w:rPr>
                <w:sz w:val="20"/>
              </w:rPr>
            </w:pPr>
            <w:r>
              <w:rPr>
                <w:sz w:val="20"/>
              </w:rPr>
              <w:t>9.</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the evidence you would give in the proceedings can be obtained satisfactorily by other means without significantly greater expense;</w:t>
            </w:r>
          </w:p>
          <w:p>
            <w:pPr>
              <w:pStyle w:val="yTableNAm"/>
              <w:spacing w:before="0"/>
              <w:ind w:left="794" w:hanging="425"/>
              <w:rPr>
                <w:sz w:val="20"/>
              </w:rPr>
            </w:pPr>
            <w:r>
              <w:rPr>
                <w:sz w:val="20"/>
              </w:rPr>
              <w:t>(b)</w:t>
            </w:r>
            <w:r>
              <w:rPr>
                <w:sz w:val="20"/>
              </w:rPr>
              <w:tab/>
              <w:t>compliance with the subpoena would cause you hardship or serious inconvenience.</w:t>
            </w:r>
          </w:p>
          <w:p>
            <w:pPr>
              <w:pStyle w:val="yTableNAm"/>
              <w:spacing w:before="0"/>
              <w:rPr>
                <w:b/>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 xml:space="preserve">Procedure for applying to set aside a subpoena </w:t>
            </w:r>
          </w:p>
        </w:tc>
        <w:tc>
          <w:tcPr>
            <w:tcW w:w="5670" w:type="dxa"/>
            <w:gridSpan w:val="2"/>
          </w:tcPr>
          <w:p>
            <w:pPr>
              <w:pStyle w:val="yTableNAm"/>
              <w:spacing w:before="0"/>
              <w:ind w:left="369" w:hanging="369"/>
              <w:rPr>
                <w:sz w:val="20"/>
              </w:rPr>
            </w:pPr>
            <w:r>
              <w:rPr>
                <w:sz w:val="20"/>
              </w:rPr>
              <w:t>10.</w:t>
            </w:r>
            <w:r>
              <w:rPr>
                <w:sz w:val="20"/>
              </w:rPr>
              <w:tab/>
              <w:t>Application must be made to the Supreme Court of Western Australia.</w:t>
            </w:r>
          </w:p>
          <w:p>
            <w:pPr>
              <w:pStyle w:val="yTableNAm"/>
              <w:spacing w:before="0"/>
              <w:ind w:left="369" w:hanging="369"/>
              <w:rPr>
                <w:sz w:val="20"/>
              </w:rPr>
            </w:pPr>
            <w:r>
              <w:rPr>
                <w:sz w:val="20"/>
              </w:rPr>
              <w:t>11.</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12.</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13.</w:t>
            </w:r>
            <w:r>
              <w:rPr>
                <w:sz w:val="20"/>
              </w:rPr>
              <w:tab/>
              <w:t>A registrar of the Supreme Court will arrange for service of your application and of any affidavit you file with your application.</w:t>
            </w:r>
          </w:p>
          <w:p>
            <w:pPr>
              <w:pStyle w:val="yTableNAm"/>
              <w:spacing w:before="0"/>
              <w:ind w:left="369" w:hanging="369"/>
              <w:rPr>
                <w:sz w:val="20"/>
              </w:rPr>
            </w:pPr>
            <w:r>
              <w:rPr>
                <w:sz w:val="20"/>
              </w:rPr>
              <w:lastRenderedPageBreak/>
              <w:t>14.</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15.</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16.</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rPr>
          <w:sz w:val="20"/>
        </w:rPr>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gridSpan w:val="2"/>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spacing w:before="0"/>
              <w:rPr>
                <w:b/>
                <w:sz w:val="20"/>
              </w:rPr>
            </w:pPr>
            <w:r>
              <w:rPr>
                <w:b/>
                <w:sz w:val="20"/>
              </w:rPr>
              <w:t>Subpoena to give evidence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sz w:val="20"/>
              </w:rPr>
            </w:pPr>
            <w:r>
              <w:rPr>
                <w:b/>
                <w:sz w:val="20"/>
              </w:rPr>
              <w:t xml:space="preserve">You are ordered to attend the Supreme Court of Western Australia to give evidence. </w:t>
            </w:r>
            <w:r>
              <w:rPr>
                <w:sz w:val="20"/>
              </w:rPr>
              <w:t>See details below.</w:t>
            </w:r>
          </w:p>
          <w:p>
            <w:pPr>
              <w:pStyle w:val="yTableNAm"/>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spacing w:before="0"/>
              <w:rPr>
                <w:sz w:val="20"/>
              </w:rPr>
            </w:pPr>
            <w:r>
              <w:rPr>
                <w:sz w:val="20"/>
              </w:rPr>
              <w:t>Please read Notes 1 to 7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2]</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keepNext/>
              <w:spacing w:before="0"/>
              <w:rPr>
                <w:sz w:val="20"/>
              </w:rPr>
            </w:pPr>
            <w:r>
              <w:rPr>
                <w:sz w:val="20"/>
              </w:rPr>
              <w:t>Issuing details</w:t>
            </w:r>
          </w:p>
        </w:tc>
        <w:tc>
          <w:tcPr>
            <w:tcW w:w="5670" w:type="dxa"/>
            <w:gridSpan w:val="3"/>
          </w:tcPr>
          <w:p>
            <w:pPr>
              <w:pStyle w:val="yTableNAm"/>
              <w:keepNext/>
              <w:spacing w:before="0"/>
              <w:rPr>
                <w:sz w:val="20"/>
              </w:rPr>
            </w:pPr>
            <w:r>
              <w:rPr>
                <w:sz w:val="20"/>
              </w:rPr>
              <w:t>Issued at the request of: [</w:t>
            </w:r>
            <w:r>
              <w:rPr>
                <w:i/>
                <w:sz w:val="20"/>
              </w:rPr>
              <w:t>Name of party</w:t>
            </w:r>
            <w:r>
              <w:rPr>
                <w:sz w:val="20"/>
              </w:rPr>
              <w:t>]</w:t>
            </w:r>
          </w:p>
          <w:p>
            <w:pPr>
              <w:pStyle w:val="yTableNAm"/>
              <w:keepNext/>
              <w:spacing w:before="0"/>
              <w:rPr>
                <w:sz w:val="20"/>
              </w:rPr>
            </w:pPr>
            <w:r>
              <w:rPr>
                <w:sz w:val="20"/>
              </w:rPr>
              <w:t>Address for service: [</w:t>
            </w:r>
            <w:r>
              <w:rPr>
                <w:i/>
                <w:sz w:val="20"/>
              </w:rPr>
              <w:t>see Order 71A rule 3</w:t>
            </w:r>
            <w:r>
              <w:rPr>
                <w:sz w:val="20"/>
              </w:rPr>
              <w:t>]</w:t>
            </w:r>
          </w:p>
          <w:p>
            <w:pPr>
              <w:pStyle w:val="yTableNAm"/>
              <w:keepNext/>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rPr>
          <w:cantSplit/>
        </w:trPr>
        <w:tc>
          <w:tcPr>
            <w:tcW w:w="1418" w:type="dxa"/>
          </w:tcPr>
          <w:p>
            <w:pPr>
              <w:pStyle w:val="yTableNAm"/>
              <w:spacing w:before="0"/>
            </w:pPr>
            <w:r>
              <w:rPr>
                <w:b/>
                <w:sz w:val="20"/>
              </w:rPr>
              <w:lastRenderedPageBreak/>
              <w:t>Details of subpoena</w:t>
            </w:r>
          </w:p>
        </w:tc>
        <w:tc>
          <w:tcPr>
            <w:tcW w:w="5670" w:type="dxa"/>
            <w:gridSpan w:val="3"/>
          </w:tcPr>
          <w:p>
            <w:pPr>
              <w:pStyle w:val="yTableNAm"/>
              <w:spacing w:before="0"/>
              <w:rPr>
                <w:sz w:val="20"/>
              </w:rPr>
            </w:pPr>
            <w:r>
              <w:rPr>
                <w:sz w:val="20"/>
              </w:rPr>
              <w:t xml:space="preserve">Date, time and place at which you must attend the Supreme Court of Western Australia to give evidence,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day-to-day unless excused by the Court or the person authorised to take evidence in this proceeding or until the hearing of the matter is completed.</w:t>
            </w:r>
          </w:p>
        </w:tc>
      </w:tr>
      <w:tr>
        <w:trPr>
          <w:cantSplit/>
        </w:trPr>
        <w:tc>
          <w:tcPr>
            <w:tcW w:w="7088" w:type="dxa"/>
            <w:gridSpan w:val="4"/>
          </w:tcPr>
          <w:p>
            <w:pPr>
              <w:pStyle w:val="yTableNAm"/>
              <w:keepNext/>
              <w:spacing w:before="0"/>
              <w:jc w:val="center"/>
              <w:rPr>
                <w:b/>
                <w:sz w:val="20"/>
              </w:rPr>
            </w:pPr>
            <w:r>
              <w:rPr>
                <w:b/>
                <w:sz w:val="20"/>
              </w:rPr>
              <w:t>Notes</w:t>
            </w:r>
          </w:p>
        </w:tc>
      </w:tr>
      <w:tr>
        <w:tc>
          <w:tcPr>
            <w:tcW w:w="1418" w:type="dxa"/>
          </w:tcPr>
          <w:p>
            <w:pPr>
              <w:pStyle w:val="yTableNAm"/>
              <w:keepNext/>
              <w:spacing w:before="0"/>
              <w:rPr>
                <w:b/>
                <w:sz w:val="20"/>
              </w:rPr>
            </w:pPr>
            <w:r>
              <w:rPr>
                <w:b/>
                <w:sz w:val="20"/>
              </w:rPr>
              <w:t>Leave to serve subpoena</w:t>
            </w:r>
          </w:p>
        </w:tc>
        <w:tc>
          <w:tcPr>
            <w:tcW w:w="5670" w:type="dxa"/>
            <w:gridSpan w:val="3"/>
          </w:tcPr>
          <w:p>
            <w:pPr>
              <w:pStyle w:val="yTableNAm"/>
              <w:spacing w:before="0"/>
              <w:ind w:left="369" w:hanging="369"/>
              <w:rPr>
                <w:sz w:val="20"/>
              </w:rPr>
            </w:pPr>
            <w:r>
              <w:rPr>
                <w:sz w:val="20"/>
              </w:rPr>
              <w:t>1.</w:t>
            </w:r>
            <w:r>
              <w:rPr>
                <w:sz w:val="20"/>
              </w:rPr>
              <w:tab/>
              <w:t xml:space="preserve">You need not comply with this subpoena unless it is accompanied by — </w:t>
            </w:r>
          </w:p>
          <w:p>
            <w:pPr>
              <w:pStyle w:val="yTableNAm"/>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spacing w:before="0"/>
              <w:ind w:left="794" w:hanging="425"/>
              <w:rPr>
                <w:sz w:val="20"/>
              </w:rPr>
            </w:pPr>
            <w:r>
              <w:rPr>
                <w:sz w:val="20"/>
              </w:rPr>
              <w:t>(b)</w:t>
            </w:r>
            <w:r>
              <w:rPr>
                <w:sz w:val="20"/>
              </w:rPr>
              <w:tab/>
              <w:t xml:space="preserve">a notice in the prescribed form that — </w:t>
            </w:r>
          </w:p>
          <w:p>
            <w:pPr>
              <w:pStyle w:val="yTableNAm"/>
              <w:spacing w:before="0"/>
              <w:ind w:left="1218" w:hanging="425"/>
              <w:rPr>
                <w:sz w:val="20"/>
              </w:rPr>
            </w:pPr>
            <w:r>
              <w:rPr>
                <w:sz w:val="20"/>
              </w:rPr>
              <w:t>(i)</w:t>
            </w:r>
            <w:r>
              <w:rPr>
                <w:sz w:val="20"/>
              </w:rPr>
              <w:tab/>
              <w:t>sets out your rights and obligations in relation to the subpoena; and</w:t>
            </w:r>
          </w:p>
          <w:p>
            <w:pPr>
              <w:pStyle w:val="yTableNAm"/>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spacing w:before="0"/>
              <w:rPr>
                <w:b/>
                <w:sz w:val="20"/>
              </w:rPr>
            </w:pPr>
            <w:r>
              <w:rPr>
                <w:b/>
                <w:sz w:val="20"/>
              </w:rPr>
              <w:t>Last day for service</w:t>
            </w:r>
          </w:p>
        </w:tc>
        <w:tc>
          <w:tcPr>
            <w:tcW w:w="5670" w:type="dxa"/>
            <w:gridSpan w:val="3"/>
          </w:tcPr>
          <w:p>
            <w:pPr>
              <w:pStyle w:val="yTableNAm"/>
              <w:keepLines/>
              <w:widowControl w:val="0"/>
              <w:spacing w:before="0"/>
              <w:ind w:left="369" w:hanging="369"/>
              <w:rPr>
                <w:sz w:val="20"/>
              </w:rPr>
            </w:pPr>
            <w:r>
              <w:rPr>
                <w:sz w:val="20"/>
              </w:rPr>
              <w:t>2.</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tc>
        <w:tc>
          <w:tcPr>
            <w:tcW w:w="5670" w:type="dxa"/>
            <w:gridSpan w:val="3"/>
          </w:tcPr>
          <w:p>
            <w:pPr>
              <w:pStyle w:val="yTableNAm"/>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gridSpan w:val="3"/>
          </w:tcPr>
          <w:p>
            <w:pPr>
              <w:pStyle w:val="yTableNAm"/>
              <w:spacing w:before="0"/>
              <w:ind w:left="369" w:hanging="369"/>
              <w:rPr>
                <w:sz w:val="20"/>
              </w:rPr>
            </w:pPr>
            <w:r>
              <w:rPr>
                <w:sz w:val="20"/>
              </w:rPr>
              <w:t>4.</w:t>
            </w:r>
            <w:r>
              <w:rPr>
                <w:sz w:val="20"/>
              </w:rPr>
              <w:tab/>
              <w:t>If the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Loss or expense of compliance</w:t>
            </w:r>
          </w:p>
        </w:tc>
        <w:tc>
          <w:tcPr>
            <w:tcW w:w="5670" w:type="dxa"/>
            <w:gridSpan w:val="3"/>
          </w:tcPr>
          <w:p>
            <w:pPr>
              <w:pStyle w:val="yTableNAm"/>
              <w:spacing w:before="0"/>
              <w:ind w:left="369" w:hanging="369"/>
              <w:rPr>
                <w:sz w:val="20"/>
              </w:rPr>
            </w:pPr>
            <w:r>
              <w:rPr>
                <w:sz w:val="20"/>
              </w:rPr>
              <w:t>5.</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the subpoena.</w:t>
            </w:r>
          </w:p>
        </w:tc>
      </w:tr>
      <w:tr>
        <w:trPr>
          <w:cantSplit/>
        </w:trPr>
        <w:tc>
          <w:tcPr>
            <w:tcW w:w="1418" w:type="dxa"/>
          </w:tcPr>
          <w:p>
            <w:pPr>
              <w:pStyle w:val="yTableNAm"/>
              <w:spacing w:before="0"/>
              <w:rPr>
                <w:b/>
                <w:sz w:val="20"/>
              </w:rPr>
            </w:pPr>
            <w:r>
              <w:rPr>
                <w:b/>
                <w:sz w:val="20"/>
              </w:rPr>
              <w:t xml:space="preserve">Contempt of court—arrest </w:t>
            </w:r>
          </w:p>
        </w:tc>
        <w:tc>
          <w:tcPr>
            <w:tcW w:w="5670" w:type="dxa"/>
            <w:gridSpan w:val="3"/>
          </w:tcPr>
          <w:p>
            <w:pPr>
              <w:pStyle w:val="yTableNAm"/>
              <w:spacing w:before="0"/>
              <w:ind w:left="369" w:hanging="369"/>
              <w:rPr>
                <w:sz w:val="20"/>
              </w:rPr>
            </w:pPr>
            <w:r>
              <w:rPr>
                <w:sz w:val="20"/>
              </w:rPr>
              <w:t>6.</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spacing w:before="0"/>
              <w:ind w:left="369" w:hanging="369"/>
              <w:rPr>
                <w:sz w:val="20"/>
              </w:rPr>
            </w:pPr>
            <w:r>
              <w:rPr>
                <w:sz w:val="20"/>
              </w:rPr>
              <w:t>7.</w:t>
            </w:r>
            <w:r>
              <w:rPr>
                <w:sz w:val="20"/>
              </w:rPr>
              <w:tab/>
              <w:t>Note 6 is without prejudice to any other power to enforce compliance with a subpoena.</w:t>
            </w:r>
          </w:p>
        </w:tc>
      </w:tr>
    </w:tbl>
    <w:p>
      <w:pPr>
        <w:pStyle w:val="PermNoteHeading"/>
        <w:tabs>
          <w:tab w:val="left" w:pos="567"/>
          <w:tab w:val="left" w:pos="1276"/>
        </w:tabs>
        <w:rPr>
          <w:szCs w:val="18"/>
        </w:rPr>
      </w:pPr>
      <w:r>
        <w:rPr>
          <w:szCs w:val="18"/>
        </w:rPr>
        <w:t>Footnotes to Form 23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lastRenderedPageBreak/>
        <w:t>1.</w:t>
      </w:r>
      <w:r>
        <w:tab/>
        <w:t>If there is more than one of any party, include the additional parties’ names and types of party in a schedule to the subpoena.</w:t>
      </w:r>
    </w:p>
    <w:p>
      <w:pPr>
        <w:pStyle w:val="yFootnotesection"/>
      </w:pPr>
      <w:r>
        <w:tab/>
        <w:t>[Form 23 inserted: Gazette 24 May 2017 p. 2586</w:t>
      </w:r>
      <w:r>
        <w:noBreakHyphen/>
        <w:t>91; amended: Gazette 27 Feb 2018 p. 622.]</w:t>
      </w:r>
    </w:p>
    <w:p>
      <w:pPr>
        <w:pStyle w:val="yHeading5"/>
      </w:pPr>
      <w:bookmarkStart w:id="1606" w:name="_Toc163121830"/>
      <w:r>
        <w:rPr>
          <w:rStyle w:val="CharSClsNo"/>
        </w:rPr>
        <w:t>23A</w:t>
      </w:r>
      <w:r>
        <w:t>.</w:t>
      </w:r>
      <w:r>
        <w:tab/>
        <w:t>Subpoena to produce documents to WA Supreme Court (to be served in NZ) (O. 39A r. 2A)</w:t>
      </w:r>
      <w:bookmarkEnd w:id="1606"/>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3544"/>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tcPr>
          <w:p>
            <w:pPr>
              <w:pStyle w:val="yTableNAm"/>
              <w:spacing w:before="0"/>
              <w:rPr>
                <w:b/>
                <w:sz w:val="20"/>
              </w:rPr>
            </w:pPr>
            <w:r>
              <w:rPr>
                <w:b/>
                <w:sz w:val="20"/>
              </w:rPr>
              <w:t>Notice attached to subpoena to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670" w:type="dxa"/>
            <w:gridSpan w:val="2"/>
          </w:tcPr>
          <w:p>
            <w:pPr>
              <w:pStyle w:val="yTableNAm"/>
              <w:spacing w:before="0"/>
              <w:jc w:val="center"/>
              <w:rPr>
                <w:i/>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produce documents to the Supreme Court of Western Australia. The subpoena has been issued by that court.</w:t>
            </w: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spacing w:before="0"/>
              <w:rPr>
                <w:b/>
                <w:sz w:val="20"/>
              </w:rPr>
            </w:pPr>
            <w:r>
              <w:rPr>
                <w:b/>
                <w:sz w:val="20"/>
              </w:rPr>
              <w:t>Your rights</w:t>
            </w:r>
          </w:p>
        </w:tc>
        <w:tc>
          <w:tcPr>
            <w:tcW w:w="5670" w:type="dxa"/>
            <w:gridSpan w:val="2"/>
          </w:tcPr>
          <w:p>
            <w:pPr>
              <w:pStyle w:val="yTableNAm"/>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of Western Australia that you be paid the additional amount you incurred.</w:t>
            </w:r>
          </w:p>
          <w:p>
            <w:pPr>
              <w:pStyle w:val="yTableNAm"/>
              <w:spacing w:before="0"/>
              <w:ind w:left="369" w:hanging="369"/>
              <w:rPr>
                <w:sz w:val="20"/>
              </w:rPr>
            </w:pPr>
            <w:r>
              <w:rPr>
                <w:sz w:val="20"/>
              </w:rPr>
              <w:lastRenderedPageBreak/>
              <w:t>4.</w:t>
            </w:r>
            <w:r>
              <w:rPr>
                <w:sz w:val="20"/>
              </w:rPr>
              <w:tab/>
              <w:t>You may apply to the Supreme Court to have the subpoena wholly or partly set aside. If you wish to apply to have the subpoena set aside you should get legal advice as soon as possible.</w:t>
            </w:r>
          </w:p>
          <w:p>
            <w:pPr>
              <w:pStyle w:val="yTableNAm"/>
              <w:spacing w:before="0"/>
              <w:ind w:left="369" w:hanging="369"/>
              <w:rPr>
                <w:sz w:val="20"/>
              </w:rPr>
            </w:pPr>
            <w:r>
              <w:rPr>
                <w:sz w:val="20"/>
              </w:rPr>
              <w:t>5.</w:t>
            </w:r>
            <w:r>
              <w:rPr>
                <w:sz w:val="20"/>
              </w:rPr>
              <w:tab/>
              <w:t>An application can be made and determined without you having to go to Australia, or to retain Australian lawyers. All the necessary arrangements can be made in New Zealand.</w:t>
            </w:r>
          </w:p>
          <w:p>
            <w:pPr>
              <w:pStyle w:val="yTableNAm"/>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lastRenderedPageBreak/>
              <w:t>Your obligations</w:t>
            </w:r>
          </w:p>
        </w:tc>
        <w:tc>
          <w:tcPr>
            <w:tcW w:w="5670" w:type="dxa"/>
            <w:gridSpan w:val="2"/>
          </w:tcPr>
          <w:p>
            <w:pPr>
              <w:pStyle w:val="yTableNAm"/>
              <w:spacing w:before="0"/>
              <w:ind w:left="369" w:hanging="369"/>
              <w:rPr>
                <w:sz w:val="20"/>
              </w:rPr>
            </w:pPr>
            <w:r>
              <w:rPr>
                <w:sz w:val="20"/>
              </w:rPr>
              <w:t>6.</w:t>
            </w:r>
            <w:r>
              <w:rPr>
                <w:sz w:val="20"/>
              </w:rPr>
              <w:tab/>
              <w:t xml:space="preserve">Unless the subpoena is set aside, you must comply with it if — </w:t>
            </w:r>
          </w:p>
          <w:p>
            <w:pPr>
              <w:pStyle w:val="yTableNAm"/>
              <w:spacing w:before="0"/>
              <w:ind w:left="794" w:hanging="425"/>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4" w:hanging="425"/>
              <w:rPr>
                <w:sz w:val="20"/>
              </w:rPr>
            </w:pPr>
            <w:r>
              <w:rPr>
                <w:sz w:val="20"/>
              </w:rPr>
              <w:tab/>
            </w:r>
            <w:r>
              <w:rPr>
                <w:sz w:val="20"/>
              </w:rPr>
              <w:tab/>
              <w:t>and</w:t>
            </w:r>
          </w:p>
          <w:p>
            <w:pPr>
              <w:pStyle w:val="yTableNAm"/>
              <w:spacing w:before="0"/>
              <w:ind w:left="794" w:hanging="425"/>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4" w:hanging="425"/>
              <w:rPr>
                <w:sz w:val="20"/>
              </w:rPr>
            </w:pPr>
            <w:r>
              <w:rPr>
                <w:sz w:val="20"/>
              </w:rPr>
              <w:t>(c)</w:t>
            </w:r>
            <w:r>
              <w:rPr>
                <w:sz w:val="20"/>
              </w:rPr>
              <w:tab/>
              <w:t>the subpoena was served on you before or on the date specified in the order as the last day on which the subpoena may be served; and</w:t>
            </w:r>
          </w:p>
          <w:p>
            <w:pPr>
              <w:pStyle w:val="yTableNAm"/>
              <w:spacing w:before="0"/>
              <w:ind w:left="794" w:hanging="425"/>
              <w:rPr>
                <w:sz w:val="20"/>
              </w:rPr>
            </w:pPr>
            <w:r>
              <w:rPr>
                <w:sz w:val="20"/>
              </w:rPr>
              <w:t>(d)</w:t>
            </w:r>
            <w:r>
              <w:rPr>
                <w:sz w:val="20"/>
              </w:rPr>
              <w:tab/>
              <w:t>service of the subpoena complied with any other conditions specified in the order; and</w:t>
            </w:r>
          </w:p>
          <w:p>
            <w:pPr>
              <w:pStyle w:val="yTableNAm"/>
              <w:spacing w:before="0"/>
              <w:ind w:left="794" w:hanging="425"/>
              <w:rPr>
                <w:sz w:val="20"/>
              </w:rPr>
            </w:pPr>
            <w:r>
              <w:rPr>
                <w:sz w:val="20"/>
              </w:rPr>
              <w:t>(e)</w:t>
            </w:r>
            <w:r>
              <w:rPr>
                <w:sz w:val="20"/>
              </w:rPr>
              <w:tab/>
              <w:t>you are over the age of 18 years.</w:t>
            </w:r>
          </w:p>
          <w:p>
            <w:pPr>
              <w:pStyle w:val="yTableNAm"/>
              <w:spacing w:before="0"/>
              <w:ind w:left="369" w:hanging="369"/>
              <w:rPr>
                <w:sz w:val="20"/>
              </w:rPr>
            </w:pPr>
            <w:r>
              <w:rPr>
                <w:sz w:val="20"/>
              </w:rPr>
              <w:t>7.</w:t>
            </w:r>
            <w:r>
              <w:rPr>
                <w:sz w:val="20"/>
              </w:rPr>
              <w:tab/>
              <w:t xml:space="preserve">The subpoena must specify the date on which you must attend the Supreme Court and produce the documents or things. But instead of attending you may comply with the subpoena by delivering or posting the subpoena (or a copy of it) and the documents or things to either — </w:t>
            </w:r>
          </w:p>
          <w:p>
            <w:pPr>
              <w:pStyle w:val="yTableNAm"/>
              <w:spacing w:before="0"/>
              <w:ind w:left="794" w:hanging="425"/>
              <w:rPr>
                <w:sz w:val="20"/>
              </w:rPr>
            </w:pPr>
            <w:r>
              <w:rPr>
                <w:sz w:val="20"/>
              </w:rPr>
              <w:t>(a)</w:t>
            </w:r>
            <w:r>
              <w:rPr>
                <w:sz w:val="20"/>
              </w:rPr>
              <w:tab/>
              <w:t>the Supreme Court so that they are received not less than 2 clear days before that date; or</w:t>
            </w:r>
          </w:p>
          <w:p>
            <w:pPr>
              <w:pStyle w:val="yTableNAm"/>
              <w:spacing w:before="0"/>
              <w:ind w:left="794" w:hanging="425"/>
              <w:rPr>
                <w:sz w:val="20"/>
              </w:rPr>
            </w:pPr>
            <w:r>
              <w:rPr>
                <w:sz w:val="20"/>
              </w:rPr>
              <w:t>(b)</w:t>
            </w:r>
            <w:r>
              <w:rPr>
                <w:sz w:val="20"/>
              </w:rPr>
              <w:tab/>
              <w:t>the High Court of New Zealand so that they are received at least 10 days before that date.</w:t>
            </w:r>
          </w:p>
          <w:p>
            <w:pPr>
              <w:pStyle w:val="yTableNAm"/>
              <w:spacing w:before="0"/>
              <w:ind w:left="368" w:firstLine="1"/>
              <w:rPr>
                <w:sz w:val="20"/>
              </w:rPr>
            </w:pPr>
            <w:r>
              <w:rPr>
                <w:sz w:val="20"/>
              </w:rPr>
              <w:t>If you deliver or post them to the High Court of New Zealand you will be required to pay the cost of sending them to the Supreme Court. You will be able to pay that cost out of the money given to you to meet your reasonable expenses of complying with the subpoena.</w:t>
            </w:r>
          </w:p>
        </w:tc>
      </w:tr>
      <w:tr>
        <w:trPr>
          <w:cantSplit/>
        </w:trPr>
        <w:tc>
          <w:tcPr>
            <w:tcW w:w="1418" w:type="dxa"/>
            <w:tcBorders>
              <w:bottom w:val="single" w:sz="4" w:space="0" w:color="auto"/>
            </w:tcBorders>
          </w:tcPr>
          <w:p>
            <w:pPr>
              <w:pStyle w:val="yTableNAm"/>
              <w:spacing w:before="0"/>
              <w:rPr>
                <w:b/>
                <w:sz w:val="20"/>
              </w:rPr>
            </w:pPr>
            <w:r>
              <w:rPr>
                <w:b/>
                <w:sz w:val="20"/>
              </w:rPr>
              <w:lastRenderedPageBreak/>
              <w:t>Failure to comply with subpoena</w:t>
            </w:r>
          </w:p>
        </w:tc>
        <w:tc>
          <w:tcPr>
            <w:tcW w:w="5670" w:type="dxa"/>
            <w:gridSpan w:val="2"/>
            <w:tcBorders>
              <w:bottom w:val="single" w:sz="4" w:space="0" w:color="auto"/>
            </w:tcBorders>
          </w:tcPr>
          <w:p>
            <w:pPr>
              <w:pStyle w:val="yTableNAm"/>
              <w:spacing w:before="0"/>
              <w:ind w:left="369" w:hanging="369"/>
              <w:rPr>
                <w:sz w:val="20"/>
              </w:rPr>
            </w:pPr>
            <w:r>
              <w:rPr>
                <w:sz w:val="20"/>
              </w:rPr>
              <w:t>8.</w:t>
            </w:r>
            <w:r>
              <w:rPr>
                <w:sz w:val="20"/>
              </w:rPr>
              <w:tab/>
              <w:t>If you do not comply with this subpoena you may be arrested and taken before the High Court of New Zealand. Unless the High Court is satisfied that failure to comply should be excused, a fine not exceeding NZ$10 000 may be imposed.</w:t>
            </w:r>
          </w:p>
        </w:tc>
      </w:tr>
      <w:tr>
        <w:tc>
          <w:tcPr>
            <w:tcW w:w="1418" w:type="dxa"/>
            <w:tcBorders>
              <w:bottom w:val="nil"/>
            </w:tcBorders>
          </w:tcPr>
          <w:p>
            <w:pPr>
              <w:pStyle w:val="yTableNAm"/>
              <w:spacing w:before="0"/>
              <w:rPr>
                <w:b/>
                <w:sz w:val="20"/>
              </w:rPr>
            </w:pPr>
            <w:r>
              <w:rPr>
                <w:b/>
                <w:sz w:val="20"/>
              </w:rPr>
              <w:t>Grounds for setting aside a subpoena</w:t>
            </w:r>
          </w:p>
        </w:tc>
        <w:tc>
          <w:tcPr>
            <w:tcW w:w="5670" w:type="dxa"/>
            <w:gridSpan w:val="2"/>
            <w:tcBorders>
              <w:bottom w:val="nil"/>
            </w:tcBorders>
          </w:tcPr>
          <w:p>
            <w:pPr>
              <w:pStyle w:val="yTableNAm"/>
              <w:spacing w:before="0"/>
              <w:ind w:left="369" w:hanging="369"/>
              <w:rPr>
                <w:sz w:val="20"/>
              </w:rPr>
            </w:pPr>
            <w:r>
              <w:rPr>
                <w:sz w:val="20"/>
              </w:rPr>
              <w:t>9.</w:t>
            </w:r>
            <w:r>
              <w:rPr>
                <w:sz w:val="20"/>
              </w:rPr>
              <w:tab/>
              <w:t>The Supreme Court must set aside the subpoena if the subpoena requires you to attend at a place in Australia and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you are liable to imposition of a penalty in civil proceedings in Australia (other than proceedings under the</w:t>
            </w:r>
            <w:r>
              <w:rPr>
                <w:i/>
                <w:sz w:val="20"/>
              </w:rPr>
              <w:t xml:space="preserve"> Competition and Consumer Act 2010 </w:t>
            </w:r>
            <w:r>
              <w:rPr>
                <w:sz w:val="20"/>
              </w:rPr>
              <w:t>(Commonwealth)); or</w:t>
            </w:r>
          </w:p>
          <w:p>
            <w:pPr>
              <w:pStyle w:val="yTableNAm"/>
              <w:spacing w:before="0"/>
              <w:ind w:left="794" w:hanging="425"/>
              <w:rPr>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tc>
      </w:tr>
      <w:tr>
        <w:tc>
          <w:tcPr>
            <w:tcW w:w="1418" w:type="dxa"/>
            <w:tcBorders>
              <w:top w:val="nil"/>
            </w:tcBorders>
          </w:tcPr>
          <w:p>
            <w:pPr>
              <w:pStyle w:val="yTableNAm"/>
              <w:spacing w:before="0"/>
              <w:rPr>
                <w:b/>
                <w:sz w:val="20"/>
              </w:rPr>
            </w:pPr>
          </w:p>
        </w:tc>
        <w:tc>
          <w:tcPr>
            <w:tcW w:w="5670" w:type="dxa"/>
            <w:gridSpan w:val="2"/>
            <w:tcBorders>
              <w:top w:val="nil"/>
            </w:tcBorders>
          </w:tcPr>
          <w:p>
            <w:pPr>
              <w:pStyle w:val="yTableNAm"/>
              <w:spacing w:before="0"/>
              <w:ind w:left="369" w:hanging="369"/>
              <w:rPr>
                <w:sz w:val="20"/>
              </w:rPr>
            </w:pPr>
            <w:r>
              <w:rPr>
                <w:sz w:val="20"/>
              </w:rPr>
              <w:t>10.</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compliance with the subpoena would cause you hardship or serious inconvenience;</w:t>
            </w:r>
          </w:p>
          <w:p>
            <w:pPr>
              <w:pStyle w:val="yTableNAm"/>
              <w:spacing w:before="0"/>
              <w:ind w:left="794" w:hanging="425"/>
              <w:rPr>
                <w:sz w:val="20"/>
              </w:rPr>
            </w:pPr>
            <w:r>
              <w:rPr>
                <w:sz w:val="20"/>
              </w:rPr>
              <w:t>(b)</w:t>
            </w:r>
            <w:r>
              <w:rPr>
                <w:sz w:val="20"/>
              </w:rPr>
              <w:tab/>
              <w:t xml:space="preserve">that, in respect of a document or thing that the subpoena requires you to produce — </w:t>
            </w:r>
          </w:p>
          <w:p>
            <w:pPr>
              <w:pStyle w:val="yTableNAm"/>
              <w:spacing w:before="0"/>
              <w:ind w:left="1218" w:hanging="425"/>
              <w:rPr>
                <w:sz w:val="20"/>
              </w:rPr>
            </w:pPr>
            <w:r>
              <w:rPr>
                <w:sz w:val="20"/>
              </w:rPr>
              <w:t>(i)</w:t>
            </w:r>
            <w:r>
              <w:rPr>
                <w:sz w:val="20"/>
              </w:rPr>
              <w:tab/>
              <w:t>the document or thing should not be taken out of New Zealand; and</w:t>
            </w:r>
          </w:p>
          <w:p>
            <w:pPr>
              <w:pStyle w:val="yTableNAm"/>
              <w:spacing w:before="0"/>
              <w:ind w:left="1218" w:hanging="425"/>
              <w:rPr>
                <w:sz w:val="20"/>
              </w:rPr>
            </w:pPr>
            <w:r>
              <w:rPr>
                <w:sz w:val="20"/>
              </w:rPr>
              <w:t>(ii)</w:t>
            </w:r>
            <w:r>
              <w:rPr>
                <w:sz w:val="20"/>
              </w:rPr>
              <w:tab/>
              <w:t>satisfactory evidence of the contents of the document or satisfactory evidence of the thing can be given by other means.</w:t>
            </w:r>
          </w:p>
          <w:p>
            <w:pPr>
              <w:pStyle w:val="yTableNAm"/>
              <w:spacing w:before="0"/>
              <w:ind w:left="369" w:hanging="369"/>
              <w:rPr>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Procedure for applying to set aside a subpoena</w:t>
            </w:r>
          </w:p>
        </w:tc>
        <w:tc>
          <w:tcPr>
            <w:tcW w:w="5670" w:type="dxa"/>
            <w:gridSpan w:val="2"/>
          </w:tcPr>
          <w:p>
            <w:pPr>
              <w:pStyle w:val="yTableNAm"/>
              <w:spacing w:before="0"/>
              <w:ind w:left="369" w:hanging="369"/>
              <w:rPr>
                <w:sz w:val="20"/>
              </w:rPr>
            </w:pPr>
            <w:r>
              <w:rPr>
                <w:sz w:val="20"/>
              </w:rPr>
              <w:t>11.</w:t>
            </w:r>
            <w:r>
              <w:rPr>
                <w:sz w:val="20"/>
              </w:rPr>
              <w:tab/>
              <w:t>Application must be made to the Supreme Court of Western Australia.</w:t>
            </w:r>
          </w:p>
          <w:p>
            <w:pPr>
              <w:pStyle w:val="yTableNAm"/>
              <w:spacing w:before="0"/>
              <w:ind w:left="369" w:hanging="369"/>
              <w:rPr>
                <w:sz w:val="20"/>
              </w:rPr>
            </w:pPr>
            <w:r>
              <w:rPr>
                <w:sz w:val="20"/>
              </w:rPr>
              <w:t>12.</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13.</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lastRenderedPageBreak/>
              <w:t>14.</w:t>
            </w:r>
            <w:r>
              <w:rPr>
                <w:sz w:val="20"/>
              </w:rPr>
              <w:tab/>
              <w:t>A registrar of the Supreme Court will arrange for service of your application and of any affidavit you file with your application.</w:t>
            </w:r>
          </w:p>
          <w:p>
            <w:pPr>
              <w:pStyle w:val="yTableNAm"/>
              <w:spacing w:before="0"/>
              <w:ind w:left="369" w:hanging="369"/>
              <w:rPr>
                <w:sz w:val="20"/>
              </w:rPr>
            </w:pPr>
            <w:r>
              <w:rPr>
                <w:sz w:val="20"/>
              </w:rPr>
              <w:t>15.</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16.</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17.</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tabs>
                <w:tab w:val="clear" w:pos="567"/>
              </w:tabs>
              <w:spacing w:before="0"/>
              <w:rPr>
                <w:sz w:val="20"/>
              </w:rPr>
            </w:pPr>
            <w:r>
              <w:rPr>
                <w:sz w:val="20"/>
              </w:rPr>
              <w:t>*General Division/Court of Appeal</w:t>
            </w:r>
          </w:p>
        </w:tc>
        <w:tc>
          <w:tcPr>
            <w:tcW w:w="3544" w:type="dxa"/>
            <w:gridSpan w:val="2"/>
          </w:tcPr>
          <w:p>
            <w:pPr>
              <w:pStyle w:val="yTableNAm"/>
              <w:keepNext/>
              <w:tabs>
                <w:tab w:val="clear" w:pos="567"/>
              </w:tabs>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tabs>
                <w:tab w:val="clear" w:pos="567"/>
              </w:tabs>
              <w:spacing w:before="0"/>
              <w:rPr>
                <w:b/>
                <w:sz w:val="20"/>
              </w:rPr>
            </w:pPr>
            <w:r>
              <w:rPr>
                <w:b/>
                <w:sz w:val="20"/>
              </w:rPr>
              <w:t>Subpoena to produce documents to the Supreme Court of Western Australia (to be served in New Zealand)</w:t>
            </w:r>
          </w:p>
        </w:tc>
      </w:tr>
      <w:tr>
        <w:trPr>
          <w:cantSplit/>
        </w:trPr>
        <w:tc>
          <w:tcPr>
            <w:tcW w:w="1418" w:type="dxa"/>
          </w:tcPr>
          <w:p>
            <w:pPr>
              <w:pStyle w:val="yTableNAm"/>
              <w:tabs>
                <w:tab w:val="clear" w:pos="567"/>
              </w:tabs>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tabs>
                <w:tab w:val="clear" w:pos="567"/>
              </w:tabs>
              <w:spacing w:before="0"/>
              <w:rPr>
                <w:sz w:val="20"/>
              </w:rPr>
            </w:pPr>
            <w:r>
              <w:rPr>
                <w:sz w:val="20"/>
              </w:rPr>
              <w:t>To</w:t>
            </w:r>
          </w:p>
        </w:tc>
        <w:tc>
          <w:tcPr>
            <w:tcW w:w="5670" w:type="dxa"/>
            <w:gridSpan w:val="3"/>
          </w:tcPr>
          <w:p>
            <w:pPr>
              <w:pStyle w:val="yTableNAm"/>
              <w:tabs>
                <w:tab w:val="clear" w:pos="567"/>
              </w:tabs>
              <w:spacing w:before="0"/>
              <w:rPr>
                <w:sz w:val="20"/>
              </w:rPr>
            </w:pPr>
            <w:r>
              <w:rPr>
                <w:sz w:val="20"/>
              </w:rPr>
              <w:t>[</w:t>
            </w:r>
            <w:r>
              <w:rPr>
                <w:i/>
                <w:sz w:val="20"/>
              </w:rPr>
              <w:t>Name and address</w:t>
            </w:r>
            <w:r>
              <w:rPr>
                <w:sz w:val="20"/>
              </w:rPr>
              <w:t>]</w:t>
            </w:r>
          </w:p>
        </w:tc>
      </w:tr>
      <w:tr>
        <w:trPr>
          <w:cantSplit/>
        </w:trPr>
        <w:tc>
          <w:tcPr>
            <w:tcW w:w="1418" w:type="dxa"/>
          </w:tcPr>
          <w:p>
            <w:pPr>
              <w:pStyle w:val="yTableNAm"/>
              <w:tabs>
                <w:tab w:val="clear" w:pos="567"/>
              </w:tabs>
              <w:spacing w:before="0"/>
              <w:rPr>
                <w:b/>
                <w:sz w:val="20"/>
              </w:rPr>
            </w:pPr>
            <w:r>
              <w:rPr>
                <w:b/>
                <w:sz w:val="20"/>
              </w:rPr>
              <w:t>Order</w:t>
            </w:r>
          </w:p>
        </w:tc>
        <w:tc>
          <w:tcPr>
            <w:tcW w:w="5670" w:type="dxa"/>
            <w:gridSpan w:val="3"/>
          </w:tcPr>
          <w:p>
            <w:pPr>
              <w:pStyle w:val="yTableNAm"/>
              <w:tabs>
                <w:tab w:val="clear" w:pos="567"/>
              </w:tabs>
              <w:spacing w:before="0"/>
              <w:rPr>
                <w:b/>
                <w:sz w:val="20"/>
              </w:rPr>
            </w:pPr>
            <w:r>
              <w:rPr>
                <w:b/>
                <w:sz w:val="20"/>
              </w:rPr>
              <w:t xml:space="preserve">You are ordered to attend the Supreme Court of Western Australia and produce this subpoena or a copy of it and the documents or things specified in the Schedule of documents. </w:t>
            </w:r>
            <w:r>
              <w:rPr>
                <w:sz w:val="20"/>
              </w:rPr>
              <w:t>See details below.</w:t>
            </w:r>
          </w:p>
          <w:p>
            <w:pPr>
              <w:pStyle w:val="yTableNAm"/>
              <w:tabs>
                <w:tab w:val="clear" w:pos="567"/>
              </w:tabs>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tabs>
                <w:tab w:val="clear" w:pos="567"/>
              </w:tabs>
              <w:spacing w:before="0"/>
              <w:rPr>
                <w:sz w:val="20"/>
              </w:rPr>
            </w:pPr>
            <w:r>
              <w:rPr>
                <w:sz w:val="20"/>
              </w:rPr>
              <w:t>Please read Notes 1 to 16 at the end of this subpoena.</w:t>
            </w:r>
          </w:p>
        </w:tc>
      </w:tr>
      <w:tr>
        <w:trPr>
          <w:cantSplit/>
        </w:trPr>
        <w:tc>
          <w:tcPr>
            <w:tcW w:w="1418" w:type="dxa"/>
          </w:tcPr>
          <w:p>
            <w:pPr>
              <w:pStyle w:val="yTableNAm"/>
              <w:tabs>
                <w:tab w:val="clear" w:pos="567"/>
              </w:tabs>
              <w:spacing w:before="0"/>
              <w:rPr>
                <w:sz w:val="20"/>
              </w:rPr>
            </w:pPr>
            <w:r>
              <w:rPr>
                <w:sz w:val="20"/>
              </w:rPr>
              <w:t>Last date for service</w:t>
            </w:r>
            <w:r>
              <w:rPr>
                <w:sz w:val="20"/>
              </w:rPr>
              <w:br/>
            </w:r>
            <w:r>
              <w:rPr>
                <w:sz w:val="18"/>
              </w:rPr>
              <w:t>[see Note 2]</w:t>
            </w:r>
            <w:r>
              <w:rPr>
                <w:sz w:val="20"/>
              </w:rPr>
              <w:t xml:space="preserve"> </w:t>
            </w:r>
          </w:p>
        </w:tc>
        <w:tc>
          <w:tcPr>
            <w:tcW w:w="5670" w:type="dxa"/>
            <w:gridSpan w:val="3"/>
          </w:tcPr>
          <w:p>
            <w:pPr>
              <w:pStyle w:val="yTableNAm"/>
              <w:tabs>
                <w:tab w:val="clear" w:pos="567"/>
              </w:tabs>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tabs>
                <w:tab w:val="clear" w:pos="567"/>
              </w:tabs>
              <w:spacing w:before="0"/>
              <w:rPr>
                <w:sz w:val="20"/>
              </w:rPr>
            </w:pPr>
            <w:r>
              <w:rPr>
                <w:sz w:val="20"/>
              </w:rPr>
              <w:t>Issuing details</w:t>
            </w:r>
          </w:p>
        </w:tc>
        <w:tc>
          <w:tcPr>
            <w:tcW w:w="5670" w:type="dxa"/>
            <w:gridSpan w:val="3"/>
          </w:tcPr>
          <w:p>
            <w:pPr>
              <w:pStyle w:val="yTableNAm"/>
              <w:tabs>
                <w:tab w:val="clear" w:pos="567"/>
              </w:tabs>
              <w:spacing w:before="0"/>
              <w:rPr>
                <w:sz w:val="20"/>
              </w:rPr>
            </w:pPr>
            <w:r>
              <w:rPr>
                <w:sz w:val="20"/>
              </w:rPr>
              <w:t>Issued at the request of: [</w:t>
            </w:r>
            <w:r>
              <w:rPr>
                <w:i/>
                <w:sz w:val="20"/>
              </w:rPr>
              <w:t>Name of party</w:t>
            </w:r>
            <w:r>
              <w:rPr>
                <w:sz w:val="20"/>
              </w:rPr>
              <w:t>]</w:t>
            </w:r>
          </w:p>
          <w:p>
            <w:pPr>
              <w:pStyle w:val="yTableNAm"/>
              <w:tabs>
                <w:tab w:val="clear" w:pos="567"/>
              </w:tabs>
              <w:spacing w:before="0"/>
              <w:rPr>
                <w:sz w:val="20"/>
              </w:rPr>
            </w:pPr>
            <w:r>
              <w:rPr>
                <w:sz w:val="20"/>
              </w:rPr>
              <w:t>Address for service: [</w:t>
            </w:r>
            <w:r>
              <w:rPr>
                <w:i/>
                <w:sz w:val="20"/>
              </w:rPr>
              <w:t>see Order 71A rule 3</w:t>
            </w:r>
            <w:r>
              <w:rPr>
                <w:sz w:val="20"/>
              </w:rPr>
              <w:t>]</w:t>
            </w:r>
          </w:p>
          <w:p>
            <w:pPr>
              <w:pStyle w:val="yTableNAm"/>
              <w:tabs>
                <w:tab w:val="clear" w:pos="567"/>
              </w:tabs>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tabs>
                <w:tab w:val="clear" w:pos="567"/>
              </w:tabs>
              <w:spacing w:before="0"/>
              <w:rPr>
                <w:sz w:val="20"/>
              </w:rPr>
            </w:pPr>
            <w:r>
              <w:rPr>
                <w:sz w:val="20"/>
              </w:rPr>
              <w:t>Date of issue:</w:t>
            </w:r>
          </w:p>
        </w:tc>
        <w:tc>
          <w:tcPr>
            <w:tcW w:w="3023" w:type="dxa"/>
          </w:tcPr>
          <w:p>
            <w:pPr>
              <w:pStyle w:val="yTableNAm"/>
              <w:tabs>
                <w:tab w:val="clear" w:pos="567"/>
              </w:tabs>
              <w:spacing w:before="0"/>
              <w:rPr>
                <w:sz w:val="20"/>
              </w:rPr>
            </w:pPr>
            <w:r>
              <w:rPr>
                <w:sz w:val="20"/>
              </w:rPr>
              <w:t>[</w:t>
            </w:r>
            <w:r>
              <w:rPr>
                <w:i/>
                <w:sz w:val="20"/>
              </w:rPr>
              <w:t>Seal or stamp of the Court</w:t>
            </w:r>
            <w:r>
              <w:rPr>
                <w:sz w:val="20"/>
              </w:rPr>
              <w:t>]</w:t>
            </w:r>
          </w:p>
        </w:tc>
      </w:tr>
      <w:tr>
        <w:tc>
          <w:tcPr>
            <w:tcW w:w="1418" w:type="dxa"/>
          </w:tcPr>
          <w:p>
            <w:pPr>
              <w:pStyle w:val="yTableNAm"/>
              <w:tabs>
                <w:tab w:val="clear" w:pos="567"/>
              </w:tabs>
              <w:spacing w:before="0"/>
              <w:rPr>
                <w:b/>
                <w:sz w:val="20"/>
              </w:rPr>
            </w:pPr>
            <w:r>
              <w:rPr>
                <w:b/>
                <w:sz w:val="20"/>
              </w:rPr>
              <w:t>Details of subpoena</w:t>
            </w:r>
          </w:p>
          <w:p>
            <w:pPr>
              <w:pStyle w:val="yTableNAm"/>
              <w:tabs>
                <w:tab w:val="clear" w:pos="567"/>
              </w:tabs>
              <w:spacing w:before="0"/>
            </w:pPr>
            <w:r>
              <w:rPr>
                <w:sz w:val="18"/>
                <w:szCs w:val="18"/>
              </w:rPr>
              <w:t>[See Notes 5–13]</w:t>
            </w:r>
            <w:r>
              <w:rPr>
                <w:b/>
                <w:sz w:val="20"/>
              </w:rPr>
              <w:t xml:space="preserve"> </w:t>
            </w:r>
          </w:p>
        </w:tc>
        <w:tc>
          <w:tcPr>
            <w:tcW w:w="5670" w:type="dxa"/>
            <w:gridSpan w:val="3"/>
          </w:tcPr>
          <w:p>
            <w:pPr>
              <w:pStyle w:val="yTableNAm"/>
              <w:spacing w:before="0"/>
              <w:rPr>
                <w:sz w:val="20"/>
              </w:rPr>
            </w:pPr>
            <w:r>
              <w:rPr>
                <w:sz w:val="20"/>
              </w:rPr>
              <w:t xml:space="preserve">You must comply with this subpoena — </w:t>
            </w:r>
          </w:p>
          <w:p>
            <w:pPr>
              <w:pStyle w:val="yTableNAm"/>
              <w:tabs>
                <w:tab w:val="clear" w:pos="567"/>
              </w:tabs>
              <w:spacing w:before="0"/>
              <w:ind w:left="368" w:hanging="368"/>
              <w:rPr>
                <w:sz w:val="20"/>
              </w:rPr>
            </w:pPr>
            <w:r>
              <w:rPr>
                <w:sz w:val="20"/>
              </w:rPr>
              <w:t>(a)</w:t>
            </w:r>
            <w:r>
              <w:rPr>
                <w:sz w:val="20"/>
              </w:rPr>
              <w:tab/>
              <w:t>by attending the Supreme Court and producing this subpoena or a copy of it and the documents or things specified in the Schedule of documents below at the date, time and place specified for attendance and production; or</w:t>
            </w:r>
          </w:p>
          <w:p>
            <w:pPr>
              <w:pStyle w:val="yTableNAm"/>
              <w:tabs>
                <w:tab w:val="clear" w:pos="567"/>
              </w:tabs>
              <w:spacing w:before="0"/>
              <w:ind w:left="368" w:hanging="368"/>
              <w:rPr>
                <w:sz w:val="20"/>
              </w:rPr>
            </w:pPr>
            <w:r>
              <w:rPr>
                <w:sz w:val="20"/>
              </w:rPr>
              <w:lastRenderedPageBreak/>
              <w:t>(b)</w:t>
            </w:r>
            <w:r>
              <w:rPr>
                <w:sz w:val="20"/>
              </w:rPr>
              <w:tab/>
              <w:t xml:space="preserve">by delivering or posting this subpoena or a copy of it and the documents or things specified in the Schedule of documents below to — </w:t>
            </w:r>
          </w:p>
          <w:p>
            <w:pPr>
              <w:pStyle w:val="yTableNAm"/>
              <w:tabs>
                <w:tab w:val="clear" w:pos="567"/>
              </w:tabs>
              <w:spacing w:before="0"/>
              <w:ind w:left="794" w:hanging="368"/>
              <w:rPr>
                <w:sz w:val="20"/>
              </w:rPr>
            </w:pPr>
            <w:r>
              <w:rPr>
                <w:sz w:val="20"/>
              </w:rPr>
              <w:t>(i)</w:t>
            </w:r>
            <w:r>
              <w:rPr>
                <w:sz w:val="20"/>
              </w:rPr>
              <w:tab/>
              <w:t>the Supreme Court at the address specified below so that they are received not less than 2 clear days before the date specified in the subpoena for attendance and production; or</w:t>
            </w:r>
          </w:p>
          <w:p>
            <w:pPr>
              <w:pStyle w:val="yTableNAm"/>
              <w:tabs>
                <w:tab w:val="clear" w:pos="567"/>
              </w:tabs>
              <w:spacing w:before="0"/>
              <w:ind w:left="794" w:hanging="368"/>
              <w:rPr>
                <w:sz w:val="20"/>
              </w:rPr>
            </w:pPr>
            <w:r>
              <w:rPr>
                <w:sz w:val="20"/>
              </w:rPr>
              <w:t>(ii)</w:t>
            </w:r>
            <w:r>
              <w:rPr>
                <w:sz w:val="20"/>
              </w:rPr>
              <w:tab/>
              <w:t>the Registrar of the High Court of New Zealand at the address specified below, or if more than one address is so specified, at any one of those addresses, so that they are received not less than 10 clear days before the date specified in the subpoena for attendance and production.</w:t>
            </w:r>
          </w:p>
          <w:p>
            <w:pPr>
              <w:pStyle w:val="yTableNAm"/>
              <w:tabs>
                <w:tab w:val="clear" w:pos="567"/>
              </w:tabs>
              <w:spacing w:before="0"/>
              <w:rPr>
                <w:sz w:val="20"/>
              </w:rPr>
            </w:pPr>
            <w:r>
              <w:rPr>
                <w:sz w:val="20"/>
              </w:rPr>
              <w:t xml:space="preserve">Date, time and place at which you must attend to produce the subpoena or a copy of it and documents or things — </w:t>
            </w:r>
          </w:p>
          <w:p>
            <w:pPr>
              <w:pStyle w:val="yTableNAm"/>
              <w:tabs>
                <w:tab w:val="clear" w:pos="567"/>
              </w:tabs>
              <w:spacing w:before="0"/>
              <w:rPr>
                <w:sz w:val="20"/>
              </w:rPr>
            </w:pPr>
            <w:r>
              <w:rPr>
                <w:sz w:val="20"/>
              </w:rPr>
              <w:t>Date:</w:t>
            </w:r>
          </w:p>
          <w:p>
            <w:pPr>
              <w:pStyle w:val="yTableNAm"/>
              <w:tabs>
                <w:tab w:val="clear" w:pos="567"/>
              </w:tabs>
              <w:spacing w:before="0"/>
              <w:rPr>
                <w:sz w:val="20"/>
              </w:rPr>
            </w:pPr>
            <w:r>
              <w:rPr>
                <w:sz w:val="20"/>
              </w:rPr>
              <w:t>Time:</w:t>
            </w:r>
          </w:p>
          <w:p>
            <w:pPr>
              <w:pStyle w:val="yTableNAm"/>
              <w:tabs>
                <w:tab w:val="clear" w:pos="567"/>
              </w:tabs>
              <w:spacing w:before="0"/>
              <w:rPr>
                <w:sz w:val="20"/>
              </w:rPr>
            </w:pPr>
            <w:r>
              <w:rPr>
                <w:sz w:val="20"/>
              </w:rPr>
              <w:t>Place:</w:t>
            </w:r>
          </w:p>
          <w:p>
            <w:pPr>
              <w:pStyle w:val="yTableNAm"/>
              <w:tabs>
                <w:tab w:val="clear" w:pos="567"/>
              </w:tabs>
              <w:spacing w:before="0"/>
              <w:rPr>
                <w:sz w:val="20"/>
              </w:rPr>
            </w:pPr>
            <w:r>
              <w:rPr>
                <w:sz w:val="20"/>
              </w:rPr>
              <w:t>Address to which the subpoena (or copy) and documents or things may be delivered:</w:t>
            </w:r>
          </w:p>
          <w:p>
            <w:pPr>
              <w:pStyle w:val="yTableNAm"/>
              <w:tabs>
                <w:tab w:val="clear" w:pos="567"/>
              </w:tabs>
              <w:spacing w:before="0"/>
              <w:ind w:left="368" w:hanging="368"/>
              <w:rPr>
                <w:sz w:val="20"/>
              </w:rPr>
            </w:pPr>
            <w:r>
              <w:rPr>
                <w:sz w:val="20"/>
              </w:rPr>
              <w:t>*</w:t>
            </w:r>
            <w:r>
              <w:rPr>
                <w:sz w:val="20"/>
              </w:rPr>
              <w:tab/>
              <w:t>Supreme Court of Western Australia</w:t>
            </w:r>
          </w:p>
          <w:p>
            <w:pPr>
              <w:pStyle w:val="yTableNAm"/>
              <w:tabs>
                <w:tab w:val="clear" w:pos="567"/>
              </w:tabs>
              <w:spacing w:before="0"/>
              <w:ind w:left="368"/>
              <w:rPr>
                <w:sz w:val="20"/>
              </w:rPr>
            </w:pPr>
            <w:r>
              <w:rPr>
                <w:sz w:val="20"/>
              </w:rPr>
              <w:t>David Malcolm Justice Centre</w:t>
            </w:r>
          </w:p>
          <w:p>
            <w:pPr>
              <w:pStyle w:val="yTableNAm"/>
              <w:tabs>
                <w:tab w:val="clear" w:pos="567"/>
              </w:tabs>
              <w:spacing w:before="0"/>
              <w:ind w:left="368"/>
              <w:rPr>
                <w:sz w:val="20"/>
              </w:rPr>
            </w:pPr>
            <w:r>
              <w:rPr>
                <w:sz w:val="20"/>
              </w:rPr>
              <w:t>Level 11, 28 Barrack Street</w:t>
            </w:r>
          </w:p>
          <w:p>
            <w:pPr>
              <w:pStyle w:val="yTableNAm"/>
              <w:tabs>
                <w:tab w:val="clear" w:pos="567"/>
              </w:tabs>
              <w:spacing w:before="0"/>
              <w:ind w:left="368"/>
              <w:rPr>
                <w:sz w:val="20"/>
              </w:rPr>
            </w:pPr>
            <w:r>
              <w:rPr>
                <w:sz w:val="20"/>
              </w:rPr>
              <w:t>Perth WA 6000</w:t>
            </w:r>
          </w:p>
          <w:p>
            <w:pPr>
              <w:pStyle w:val="yTableNAm"/>
              <w:tabs>
                <w:tab w:val="clear" w:pos="567"/>
              </w:tabs>
              <w:spacing w:before="0"/>
              <w:ind w:left="368" w:hanging="368"/>
              <w:rPr>
                <w:sz w:val="20"/>
              </w:rPr>
            </w:pPr>
            <w:r>
              <w:rPr>
                <w:sz w:val="20"/>
              </w:rPr>
              <w:t>*</w:t>
            </w:r>
            <w:r>
              <w:rPr>
                <w:sz w:val="20"/>
              </w:rPr>
              <w:tab/>
              <w:t>Supreme Court of Western Australia</w:t>
            </w:r>
          </w:p>
          <w:p>
            <w:pPr>
              <w:pStyle w:val="yTableNAm"/>
              <w:tabs>
                <w:tab w:val="clear" w:pos="567"/>
              </w:tabs>
              <w:spacing w:before="0"/>
              <w:ind w:left="368"/>
              <w:rPr>
                <w:sz w:val="20"/>
              </w:rPr>
            </w:pPr>
            <w:r>
              <w:rPr>
                <w:sz w:val="20"/>
              </w:rPr>
              <w:t>Court of Appeal</w:t>
            </w:r>
          </w:p>
          <w:p>
            <w:pPr>
              <w:pStyle w:val="yTableNAm"/>
              <w:tabs>
                <w:tab w:val="clear" w:pos="567"/>
              </w:tabs>
              <w:spacing w:before="0"/>
              <w:ind w:left="368"/>
              <w:rPr>
                <w:sz w:val="20"/>
              </w:rPr>
            </w:pPr>
            <w:r>
              <w:rPr>
                <w:sz w:val="20"/>
              </w:rPr>
              <w:t>Stirling Gardens, Barrack Street</w:t>
            </w:r>
          </w:p>
          <w:p>
            <w:pPr>
              <w:pStyle w:val="yTableNAm"/>
              <w:tabs>
                <w:tab w:val="clear" w:pos="567"/>
              </w:tabs>
              <w:spacing w:before="0"/>
              <w:ind w:left="368"/>
              <w:rPr>
                <w:sz w:val="20"/>
              </w:rPr>
            </w:pPr>
            <w:r>
              <w:rPr>
                <w:sz w:val="20"/>
              </w:rPr>
              <w:t>Perth WA 6000</w:t>
            </w:r>
          </w:p>
          <w:p>
            <w:pPr>
              <w:pStyle w:val="yTableNAm"/>
              <w:tabs>
                <w:tab w:val="clear" w:pos="567"/>
              </w:tabs>
              <w:spacing w:before="0"/>
              <w:rPr>
                <w:sz w:val="20"/>
              </w:rPr>
            </w:pPr>
            <w:r>
              <w:rPr>
                <w:sz w:val="20"/>
              </w:rPr>
              <w:t>Address(es) of the High Court of New Zealand to which the subpoena (or copy) and documents or things may be delivered or posted:</w:t>
            </w:r>
          </w:p>
          <w:p>
            <w:pPr>
              <w:pStyle w:val="yTableNAm"/>
              <w:tabs>
                <w:tab w:val="clear" w:pos="567"/>
              </w:tabs>
              <w:spacing w:before="0"/>
              <w:ind w:left="369"/>
              <w:rPr>
                <w:sz w:val="20"/>
              </w:rPr>
            </w:pPr>
            <w:r>
              <w:rPr>
                <w:sz w:val="20"/>
              </w:rPr>
              <w:t>[</w:t>
            </w:r>
            <w:r>
              <w:rPr>
                <w:i/>
                <w:sz w:val="20"/>
              </w:rPr>
              <w:t>Address(es)</w:t>
            </w:r>
            <w:r>
              <w:rPr>
                <w:sz w:val="20"/>
              </w:rPr>
              <w:t>]</w:t>
            </w:r>
          </w:p>
        </w:tc>
      </w:tr>
      <w:tr>
        <w:tc>
          <w:tcPr>
            <w:tcW w:w="7088" w:type="dxa"/>
            <w:gridSpan w:val="4"/>
          </w:tcPr>
          <w:p>
            <w:pPr>
              <w:pStyle w:val="yTableNAm"/>
              <w:keepNext/>
              <w:tabs>
                <w:tab w:val="clear" w:pos="567"/>
              </w:tabs>
              <w:spacing w:before="0"/>
              <w:jc w:val="center"/>
              <w:rPr>
                <w:b/>
                <w:sz w:val="20"/>
              </w:rPr>
            </w:pPr>
            <w:r>
              <w:rPr>
                <w:b/>
                <w:sz w:val="20"/>
              </w:rPr>
              <w:lastRenderedPageBreak/>
              <w:t>Schedule of documents</w:t>
            </w:r>
          </w:p>
        </w:tc>
      </w:tr>
      <w:tr>
        <w:tc>
          <w:tcPr>
            <w:tcW w:w="7088" w:type="dxa"/>
            <w:gridSpan w:val="4"/>
          </w:tcPr>
          <w:p>
            <w:pPr>
              <w:pStyle w:val="yTableNAm"/>
              <w:keepNext/>
              <w:tabs>
                <w:tab w:val="clear" w:pos="567"/>
              </w:tabs>
              <w:spacing w:before="0"/>
              <w:rPr>
                <w:sz w:val="20"/>
              </w:rPr>
            </w:pPr>
            <w:r>
              <w:rPr>
                <w:sz w:val="20"/>
              </w:rPr>
              <w:t>The documents and things you must produce are as follows:</w:t>
            </w:r>
          </w:p>
          <w:p>
            <w:pPr>
              <w:pStyle w:val="yTableNAm"/>
              <w:tabs>
                <w:tab w:val="clear" w:pos="567"/>
              </w:tabs>
              <w:spacing w:before="0"/>
              <w:rPr>
                <w:i/>
                <w:sz w:val="20"/>
              </w:rPr>
            </w:pPr>
            <w:r>
              <w:rPr>
                <w:sz w:val="20"/>
              </w:rPr>
              <w:t>[</w:t>
            </w:r>
            <w:r>
              <w:rPr>
                <w:i/>
                <w:sz w:val="20"/>
              </w:rPr>
              <w:t>List the documents or things and whether the original of any document is required. If insufficient space, attach list.</w:t>
            </w:r>
            <w:r>
              <w:rPr>
                <w:sz w:val="20"/>
              </w:rPr>
              <w:t>]</w:t>
            </w:r>
          </w:p>
        </w:tc>
      </w:tr>
      <w:tr>
        <w:trPr>
          <w:cantSplit/>
        </w:trPr>
        <w:tc>
          <w:tcPr>
            <w:tcW w:w="7088" w:type="dxa"/>
            <w:gridSpan w:val="4"/>
          </w:tcPr>
          <w:p>
            <w:pPr>
              <w:pStyle w:val="yTableNAm"/>
              <w:keepNext/>
              <w:tabs>
                <w:tab w:val="clear" w:pos="567"/>
              </w:tabs>
              <w:spacing w:before="0"/>
              <w:jc w:val="center"/>
              <w:rPr>
                <w:b/>
                <w:sz w:val="20"/>
              </w:rPr>
            </w:pPr>
            <w:r>
              <w:rPr>
                <w:b/>
                <w:sz w:val="20"/>
              </w:rPr>
              <w:t>Notes</w:t>
            </w:r>
          </w:p>
        </w:tc>
      </w:tr>
      <w:tr>
        <w:tc>
          <w:tcPr>
            <w:tcW w:w="1418" w:type="dxa"/>
          </w:tcPr>
          <w:p>
            <w:pPr>
              <w:pStyle w:val="yTableNAm"/>
              <w:keepNext/>
              <w:tabs>
                <w:tab w:val="clear" w:pos="567"/>
              </w:tabs>
              <w:spacing w:before="0"/>
              <w:rPr>
                <w:b/>
                <w:sz w:val="20"/>
              </w:rPr>
            </w:pPr>
            <w:r>
              <w:rPr>
                <w:b/>
                <w:sz w:val="20"/>
              </w:rPr>
              <w:t>Leave to serve subpoena</w:t>
            </w:r>
          </w:p>
        </w:tc>
        <w:tc>
          <w:tcPr>
            <w:tcW w:w="5670" w:type="dxa"/>
            <w:gridSpan w:val="3"/>
          </w:tcPr>
          <w:p>
            <w:pPr>
              <w:pStyle w:val="yTableNAm"/>
              <w:tabs>
                <w:tab w:val="clear" w:pos="567"/>
              </w:tabs>
              <w:spacing w:before="0"/>
              <w:ind w:left="369" w:hanging="369"/>
              <w:rPr>
                <w:sz w:val="20"/>
              </w:rPr>
            </w:pPr>
            <w:r>
              <w:rPr>
                <w:sz w:val="20"/>
              </w:rPr>
              <w:t>1.</w:t>
            </w:r>
            <w:r>
              <w:rPr>
                <w:sz w:val="20"/>
              </w:rPr>
              <w:tab/>
              <w:t xml:space="preserve">You need not comply with this subpoena unless it is accompanied by — </w:t>
            </w:r>
          </w:p>
          <w:p>
            <w:pPr>
              <w:pStyle w:val="yTableNAm"/>
              <w:tabs>
                <w:tab w:val="clear" w:pos="567"/>
              </w:tabs>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tabs>
                <w:tab w:val="clear" w:pos="567"/>
              </w:tabs>
              <w:spacing w:before="0"/>
              <w:ind w:left="794" w:hanging="425"/>
              <w:rPr>
                <w:sz w:val="20"/>
              </w:rPr>
            </w:pPr>
            <w:r>
              <w:rPr>
                <w:sz w:val="20"/>
              </w:rPr>
              <w:t>(b)</w:t>
            </w:r>
            <w:r>
              <w:rPr>
                <w:sz w:val="20"/>
              </w:rPr>
              <w:tab/>
              <w:t xml:space="preserve">a notice in the prescribed form that — </w:t>
            </w:r>
          </w:p>
          <w:p>
            <w:pPr>
              <w:pStyle w:val="yTableNAm"/>
              <w:tabs>
                <w:tab w:val="clear" w:pos="567"/>
              </w:tabs>
              <w:spacing w:before="0"/>
              <w:ind w:left="1218" w:hanging="425"/>
              <w:rPr>
                <w:sz w:val="20"/>
              </w:rPr>
            </w:pPr>
            <w:r>
              <w:rPr>
                <w:sz w:val="20"/>
              </w:rPr>
              <w:t>(i)</w:t>
            </w:r>
            <w:r>
              <w:rPr>
                <w:sz w:val="20"/>
              </w:rPr>
              <w:tab/>
              <w:t>sets out your rights and obligations in relation to the subpoena; and</w:t>
            </w:r>
          </w:p>
          <w:p>
            <w:pPr>
              <w:pStyle w:val="yTableNAm"/>
              <w:tabs>
                <w:tab w:val="clear" w:pos="567"/>
              </w:tabs>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tabs>
                <w:tab w:val="clear" w:pos="567"/>
              </w:tabs>
              <w:spacing w:before="0"/>
              <w:rPr>
                <w:b/>
                <w:sz w:val="20"/>
              </w:rPr>
            </w:pPr>
            <w:r>
              <w:rPr>
                <w:b/>
                <w:sz w:val="20"/>
              </w:rPr>
              <w:t>Last day for service</w:t>
            </w:r>
          </w:p>
        </w:tc>
        <w:tc>
          <w:tcPr>
            <w:tcW w:w="5670" w:type="dxa"/>
            <w:gridSpan w:val="3"/>
          </w:tcPr>
          <w:p>
            <w:pPr>
              <w:pStyle w:val="yTableNAm"/>
              <w:keepLines/>
              <w:widowControl w:val="0"/>
              <w:tabs>
                <w:tab w:val="clear" w:pos="567"/>
              </w:tabs>
              <w:spacing w:before="0"/>
              <w:ind w:left="369" w:hanging="369"/>
              <w:rPr>
                <w:sz w:val="20"/>
              </w:rPr>
            </w:pPr>
            <w:r>
              <w:rPr>
                <w:sz w:val="20"/>
              </w:rPr>
              <w:t>2.</w:t>
            </w:r>
            <w:r>
              <w:rPr>
                <w:sz w:val="20"/>
              </w:rPr>
              <w:tab/>
              <w:t>You need not comply with this subpoena unless it is served on you on or before the date specified in it as the last date for service of the subpoena.</w:t>
            </w:r>
          </w:p>
        </w:tc>
      </w:tr>
      <w:tr>
        <w:tc>
          <w:tcPr>
            <w:tcW w:w="1418" w:type="dxa"/>
          </w:tcPr>
          <w:p>
            <w:pPr>
              <w:pStyle w:val="yTableNAm"/>
              <w:tabs>
                <w:tab w:val="clear" w:pos="567"/>
              </w:tabs>
              <w:spacing w:before="0"/>
              <w:rPr>
                <w:b/>
                <w:sz w:val="20"/>
              </w:rPr>
            </w:pPr>
            <w:r>
              <w:rPr>
                <w:b/>
                <w:sz w:val="20"/>
              </w:rPr>
              <w:t>Informal service</w:t>
            </w:r>
          </w:p>
        </w:tc>
        <w:tc>
          <w:tcPr>
            <w:tcW w:w="5670" w:type="dxa"/>
            <w:gridSpan w:val="3"/>
          </w:tcPr>
          <w:p>
            <w:pPr>
              <w:pStyle w:val="yTableNAm"/>
              <w:tabs>
                <w:tab w:val="clear" w:pos="567"/>
              </w:tabs>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rPr>
          <w:cantSplit/>
        </w:trPr>
        <w:tc>
          <w:tcPr>
            <w:tcW w:w="1418" w:type="dxa"/>
          </w:tcPr>
          <w:p>
            <w:pPr>
              <w:pStyle w:val="yTableNAm"/>
              <w:tabs>
                <w:tab w:val="clear" w:pos="567"/>
              </w:tabs>
              <w:spacing w:before="0"/>
              <w:rPr>
                <w:b/>
                <w:sz w:val="20"/>
              </w:rPr>
            </w:pPr>
            <w:r>
              <w:rPr>
                <w:b/>
                <w:sz w:val="20"/>
              </w:rPr>
              <w:t>Addressee a corporation</w:t>
            </w:r>
          </w:p>
        </w:tc>
        <w:tc>
          <w:tcPr>
            <w:tcW w:w="5670" w:type="dxa"/>
            <w:gridSpan w:val="3"/>
          </w:tcPr>
          <w:p>
            <w:pPr>
              <w:pStyle w:val="yTableNAm"/>
              <w:tabs>
                <w:tab w:val="clear" w:pos="567"/>
              </w:tabs>
              <w:spacing w:before="0"/>
              <w:ind w:left="369" w:hanging="369"/>
              <w:rPr>
                <w:sz w:val="20"/>
              </w:rPr>
            </w:pPr>
            <w:r>
              <w:rPr>
                <w:sz w:val="20"/>
              </w:rPr>
              <w:t>4.</w:t>
            </w:r>
            <w:r>
              <w:rPr>
                <w:sz w:val="20"/>
              </w:rPr>
              <w:tab/>
              <w:t>If the subpoena is addressed to a corporation, the corporation must comply with the subpoena by its appropriate or proper officer.</w:t>
            </w:r>
          </w:p>
        </w:tc>
      </w:tr>
      <w:tr>
        <w:tc>
          <w:tcPr>
            <w:tcW w:w="1418" w:type="dxa"/>
          </w:tcPr>
          <w:p>
            <w:pPr>
              <w:pStyle w:val="yTableNAm"/>
              <w:tabs>
                <w:tab w:val="clear" w:pos="567"/>
              </w:tabs>
              <w:spacing w:before="0"/>
              <w:rPr>
                <w:b/>
                <w:sz w:val="20"/>
              </w:rPr>
            </w:pPr>
            <w:r>
              <w:rPr>
                <w:b/>
                <w:sz w:val="20"/>
              </w:rPr>
              <w:t>Production of subpoena or copy of it and documents or things by delivery or post</w:t>
            </w:r>
          </w:p>
        </w:tc>
        <w:tc>
          <w:tcPr>
            <w:tcW w:w="5670" w:type="dxa"/>
            <w:gridSpan w:val="3"/>
          </w:tcPr>
          <w:p>
            <w:pPr>
              <w:pStyle w:val="yTableNAm"/>
              <w:tabs>
                <w:tab w:val="clear" w:pos="567"/>
              </w:tabs>
              <w:spacing w:before="0"/>
              <w:ind w:left="369" w:hanging="369"/>
              <w:rPr>
                <w:sz w:val="20"/>
              </w:rPr>
            </w:pPr>
            <w:r>
              <w:rPr>
                <w:sz w:val="20"/>
              </w:rPr>
              <w:t>5.</w:t>
            </w:r>
            <w:r>
              <w:rPr>
                <w:sz w:val="20"/>
              </w:rPr>
              <w:tab/>
              <w:t xml:space="preserve">Instead of attending the Supreme Court and producing this subpoena or a copy of it and the document or thing, you may comply with this subpoena by delivering or posting the subpoena or a copy of it and the document or thing to — </w:t>
            </w:r>
          </w:p>
          <w:p>
            <w:pPr>
              <w:pStyle w:val="yTableNAm"/>
              <w:tabs>
                <w:tab w:val="clear" w:pos="567"/>
              </w:tabs>
              <w:spacing w:before="0"/>
              <w:ind w:left="794" w:hanging="425"/>
              <w:rPr>
                <w:sz w:val="20"/>
              </w:rPr>
            </w:pPr>
            <w:r>
              <w:rPr>
                <w:sz w:val="20"/>
              </w:rPr>
              <w:t>(a)</w:t>
            </w:r>
            <w:r>
              <w:rPr>
                <w:sz w:val="20"/>
              </w:rPr>
              <w:tab/>
              <w:t>the Supreme Court at the address specified in the subpoena, so that they are received not less than 2 clear days before the date specified in the subpoena for attendance and production; or</w:t>
            </w:r>
          </w:p>
          <w:p>
            <w:pPr>
              <w:pStyle w:val="yTableNAm"/>
              <w:tabs>
                <w:tab w:val="clear" w:pos="567"/>
              </w:tabs>
              <w:spacing w:before="0"/>
              <w:ind w:left="794" w:hanging="425"/>
              <w:rPr>
                <w:sz w:val="20"/>
              </w:rPr>
            </w:pPr>
            <w:r>
              <w:rPr>
                <w:sz w:val="20"/>
              </w:rPr>
              <w:t>(b)</w:t>
            </w:r>
            <w:r>
              <w:rPr>
                <w:sz w:val="20"/>
              </w:rPr>
              <w:tab/>
              <w:t>the Registrar of the High Court of New Zealand at the address specified in the subpoena for the purpose, or if more than one address is specified, at any of those addresses, so that they are received not less than 10 clear days before the date specified in the subpoena for attendance and production.</w:t>
            </w:r>
          </w:p>
          <w:p>
            <w:pPr>
              <w:pStyle w:val="yTableNAm"/>
              <w:tabs>
                <w:tab w:val="clear" w:pos="567"/>
              </w:tabs>
              <w:spacing w:before="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include a written notice to the Supreme Court of your objection and of the grounds of your objection.</w:t>
            </w:r>
          </w:p>
          <w:p>
            <w:pPr>
              <w:pStyle w:val="yTableNAm"/>
              <w:tabs>
                <w:tab w:val="clear" w:pos="567"/>
              </w:tabs>
              <w:spacing w:before="0"/>
              <w:ind w:left="369" w:hanging="369"/>
              <w:rPr>
                <w:sz w:val="20"/>
              </w:rPr>
            </w:pPr>
            <w:r>
              <w:rPr>
                <w:sz w:val="20"/>
              </w:rPr>
              <w:lastRenderedPageBreak/>
              <w:t>7.</w:t>
            </w:r>
            <w:r>
              <w:rPr>
                <w:sz w:val="20"/>
              </w:rPr>
              <w:tab/>
              <w:t>Unless the Supreme Court otherwise orders, if you do not object to a document or thing produced by you in response to the subpoena being inspected by any party to the proceeding, a registrar of the Supreme Court may permit the parties to the proceeding to inspect the document or thing.</w:t>
            </w:r>
          </w:p>
        </w:tc>
      </w:tr>
      <w:tr>
        <w:tc>
          <w:tcPr>
            <w:tcW w:w="1418" w:type="dxa"/>
            <w:shd w:val="clear" w:color="auto" w:fill="auto"/>
          </w:tcPr>
          <w:p>
            <w:pPr>
              <w:pStyle w:val="yTableNAm"/>
              <w:tabs>
                <w:tab w:val="clear" w:pos="567"/>
              </w:tabs>
              <w:spacing w:before="0"/>
              <w:rPr>
                <w:b/>
                <w:sz w:val="20"/>
              </w:rPr>
            </w:pPr>
            <w:r>
              <w:rPr>
                <w:b/>
                <w:sz w:val="20"/>
              </w:rPr>
              <w:lastRenderedPageBreak/>
              <w:t>Production of a number of documents or things</w:t>
            </w:r>
          </w:p>
        </w:tc>
        <w:tc>
          <w:tcPr>
            <w:tcW w:w="5670" w:type="dxa"/>
            <w:gridSpan w:val="3"/>
            <w:shd w:val="clear" w:color="auto" w:fill="auto"/>
          </w:tcPr>
          <w:p>
            <w:pPr>
              <w:pStyle w:val="yTableNAm"/>
              <w:tabs>
                <w:tab w:val="clear" w:pos="567"/>
              </w:tabs>
              <w:spacing w:before="0"/>
              <w:ind w:left="369" w:hanging="369"/>
              <w:rPr>
                <w:sz w:val="20"/>
              </w:rPr>
            </w:pPr>
            <w:r>
              <w:rPr>
                <w:sz w:val="20"/>
              </w:rPr>
              <w:t>8.</w:t>
            </w:r>
            <w:r>
              <w:rPr>
                <w:sz w:val="20"/>
              </w:rPr>
              <w:tab/>
              <w:t>If you produce more than one document or thing, you must include with them a list of them.</w:t>
            </w:r>
          </w:p>
        </w:tc>
      </w:tr>
      <w:tr>
        <w:tc>
          <w:tcPr>
            <w:tcW w:w="1418" w:type="dxa"/>
          </w:tcPr>
          <w:p>
            <w:pPr>
              <w:pStyle w:val="yTableNAm"/>
              <w:tabs>
                <w:tab w:val="clear" w:pos="567"/>
              </w:tabs>
              <w:spacing w:before="0"/>
              <w:rPr>
                <w:b/>
                <w:sz w:val="20"/>
              </w:rPr>
            </w:pPr>
            <w:r>
              <w:rPr>
                <w:b/>
                <w:sz w:val="20"/>
              </w:rPr>
              <w:t>Production of copy instead of original</w:t>
            </w:r>
          </w:p>
        </w:tc>
        <w:tc>
          <w:tcPr>
            <w:tcW w:w="5670" w:type="dxa"/>
            <w:gridSpan w:val="3"/>
          </w:tcPr>
          <w:p>
            <w:pPr>
              <w:pStyle w:val="yTableNAm"/>
              <w:tabs>
                <w:tab w:val="clear" w:pos="567"/>
              </w:tabs>
              <w:spacing w:before="0"/>
              <w:ind w:left="369" w:hanging="369"/>
              <w:rPr>
                <w:sz w:val="20"/>
              </w:rPr>
            </w:pPr>
            <w:r>
              <w:rPr>
                <w:sz w:val="20"/>
              </w:rPr>
              <w:t>9.</w:t>
            </w:r>
            <w:r>
              <w:rPr>
                <w:sz w:val="20"/>
              </w:rPr>
              <w:tab/>
              <w:t>Unless the Schedule of documents says the original of a document listed in the Schedule is required, you may produce a copy of it instead.</w:t>
            </w:r>
          </w:p>
          <w:p>
            <w:pPr>
              <w:pStyle w:val="yTableNAm"/>
              <w:tabs>
                <w:tab w:val="clear" w:pos="567"/>
              </w:tabs>
              <w:spacing w:before="0"/>
              <w:ind w:left="369" w:hanging="369"/>
              <w:rPr>
                <w:sz w:val="20"/>
              </w:rPr>
            </w:pPr>
            <w:r>
              <w:rPr>
                <w:sz w:val="20"/>
              </w:rPr>
              <w:t>10.</w:t>
            </w:r>
            <w:r>
              <w:rPr>
                <w:sz w:val="20"/>
              </w:rPr>
              <w:tab/>
              <w:t xml:space="preserve">The copy of a document may be — </w:t>
            </w:r>
          </w:p>
          <w:p>
            <w:pPr>
              <w:pStyle w:val="yTableNAm"/>
              <w:tabs>
                <w:tab w:val="clear" w:pos="567"/>
              </w:tabs>
              <w:spacing w:before="0"/>
              <w:ind w:left="794" w:hanging="425"/>
              <w:rPr>
                <w:sz w:val="20"/>
              </w:rPr>
            </w:pPr>
            <w:r>
              <w:rPr>
                <w:sz w:val="20"/>
              </w:rPr>
              <w:t>(a)</w:t>
            </w:r>
            <w:r>
              <w:rPr>
                <w:sz w:val="20"/>
              </w:rPr>
              <w:tab/>
              <w:t>a photocopy; or</w:t>
            </w:r>
          </w:p>
          <w:p>
            <w:pPr>
              <w:pStyle w:val="yTableNAm"/>
              <w:tabs>
                <w:tab w:val="clear" w:pos="567"/>
              </w:tabs>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tabs>
                <w:tab w:val="clear" w:pos="567"/>
              </w:tabs>
              <w:spacing w:before="0"/>
              <w:ind w:left="935" w:hanging="1"/>
              <w:rPr>
                <w:sz w:val="20"/>
              </w:rPr>
            </w:pPr>
            <w:r>
              <w:rPr>
                <w:sz w:val="20"/>
              </w:rPr>
              <w:t>.doc and .docx – Microsoft Word documents</w:t>
            </w:r>
          </w:p>
          <w:p>
            <w:pPr>
              <w:pStyle w:val="yTableNAm"/>
              <w:tabs>
                <w:tab w:val="clear" w:pos="567"/>
              </w:tabs>
              <w:spacing w:before="0"/>
              <w:ind w:left="935" w:hanging="1"/>
              <w:rPr>
                <w:sz w:val="20"/>
              </w:rPr>
            </w:pPr>
            <w:r>
              <w:rPr>
                <w:sz w:val="20"/>
              </w:rPr>
              <w:t>.pdf – Adobe Acrobat documents</w:t>
            </w:r>
          </w:p>
          <w:p>
            <w:pPr>
              <w:pStyle w:val="yTableNAm"/>
              <w:tabs>
                <w:tab w:val="clear" w:pos="567"/>
              </w:tabs>
              <w:spacing w:before="0"/>
              <w:ind w:left="935" w:hanging="1"/>
              <w:rPr>
                <w:sz w:val="20"/>
              </w:rPr>
            </w:pPr>
            <w:r>
              <w:rPr>
                <w:sz w:val="20"/>
              </w:rPr>
              <w:t>.xls and .xlsx – Microsoft Excel spreadsheets</w:t>
            </w:r>
          </w:p>
          <w:p>
            <w:pPr>
              <w:pStyle w:val="yTableNAm"/>
              <w:tabs>
                <w:tab w:val="clear" w:pos="567"/>
              </w:tabs>
              <w:spacing w:before="0"/>
              <w:ind w:left="935" w:hanging="1"/>
              <w:rPr>
                <w:sz w:val="20"/>
              </w:rPr>
            </w:pPr>
            <w:r>
              <w:rPr>
                <w:sz w:val="20"/>
              </w:rPr>
              <w:t>.jpg – image files</w:t>
            </w:r>
          </w:p>
          <w:p>
            <w:pPr>
              <w:pStyle w:val="yTableNAm"/>
              <w:tabs>
                <w:tab w:val="clear" w:pos="567"/>
              </w:tabs>
              <w:spacing w:before="0"/>
              <w:ind w:left="935" w:hanging="1"/>
              <w:rPr>
                <w:sz w:val="20"/>
              </w:rPr>
            </w:pPr>
            <w:r>
              <w:rPr>
                <w:sz w:val="20"/>
              </w:rPr>
              <w:t>.rtf – rich text format</w:t>
            </w:r>
          </w:p>
          <w:p>
            <w:pPr>
              <w:pStyle w:val="yTableNAm"/>
              <w:tabs>
                <w:tab w:val="clear" w:pos="567"/>
              </w:tabs>
              <w:spacing w:before="0"/>
              <w:ind w:left="935" w:hanging="1"/>
              <w:rPr>
                <w:sz w:val="20"/>
              </w:rPr>
            </w:pPr>
            <w:r>
              <w:rPr>
                <w:sz w:val="20"/>
              </w:rPr>
              <w:t>.gif – graphics interchange format</w:t>
            </w:r>
          </w:p>
          <w:p>
            <w:pPr>
              <w:pStyle w:val="yTableNAm"/>
              <w:tabs>
                <w:tab w:val="clear" w:pos="567"/>
              </w:tabs>
              <w:spacing w:before="0"/>
              <w:ind w:left="935" w:hanging="1"/>
              <w:rPr>
                <w:sz w:val="20"/>
              </w:rPr>
            </w:pPr>
            <w:r>
              <w:rPr>
                <w:sz w:val="20"/>
              </w:rPr>
              <w:t>.tif – tagged image format</w:t>
            </w:r>
          </w:p>
        </w:tc>
      </w:tr>
      <w:tr>
        <w:trPr>
          <w:cantSplit/>
        </w:trPr>
        <w:tc>
          <w:tcPr>
            <w:tcW w:w="1418" w:type="dxa"/>
          </w:tcPr>
          <w:p>
            <w:pPr>
              <w:pStyle w:val="yTableNAm"/>
              <w:tabs>
                <w:tab w:val="clear" w:pos="567"/>
              </w:tabs>
              <w:spacing w:before="0"/>
              <w:rPr>
                <w:b/>
                <w:sz w:val="20"/>
              </w:rPr>
            </w:pPr>
            <w:r>
              <w:rPr>
                <w:b/>
                <w:sz w:val="20"/>
              </w:rPr>
              <w:t>Return or destruction of documents or copies</w:t>
            </w:r>
          </w:p>
        </w:tc>
        <w:tc>
          <w:tcPr>
            <w:tcW w:w="5670" w:type="dxa"/>
            <w:gridSpan w:val="3"/>
          </w:tcPr>
          <w:p>
            <w:pPr>
              <w:pStyle w:val="yTableNAm"/>
              <w:tabs>
                <w:tab w:val="clear" w:pos="567"/>
              </w:tabs>
              <w:spacing w:before="0"/>
              <w:ind w:left="369" w:hanging="369"/>
              <w:rPr>
                <w:sz w:val="20"/>
              </w:rPr>
            </w:pPr>
            <w:r>
              <w:rPr>
                <w:sz w:val="20"/>
              </w:rPr>
              <w:t>11.</w:t>
            </w:r>
            <w:r>
              <w:rPr>
                <w:sz w:val="20"/>
              </w:rPr>
              <w:tab/>
              <w:t>You may, at the time of production, include a written notice to the Supreme Court that any document or copy of a document produced need not be returned and may be destroyed.</w:t>
            </w:r>
          </w:p>
          <w:p>
            <w:pPr>
              <w:pStyle w:val="yTableNAm"/>
              <w:tabs>
                <w:tab w:val="clear" w:pos="567"/>
              </w:tabs>
              <w:spacing w:before="0"/>
              <w:ind w:left="369" w:hanging="369"/>
              <w:rPr>
                <w:sz w:val="20"/>
              </w:rPr>
            </w:pPr>
            <w:r>
              <w:rPr>
                <w:sz w:val="20"/>
              </w:rPr>
              <w:t>12.</w:t>
            </w:r>
            <w:r>
              <w:rPr>
                <w:sz w:val="20"/>
              </w:rPr>
              <w:tab/>
              <w:t>If you have so informed the Court, a registrar of the Supreme Court may destroy the document or copy instead of returning it to you.</w:t>
            </w:r>
          </w:p>
        </w:tc>
      </w:tr>
      <w:tr>
        <w:tc>
          <w:tcPr>
            <w:tcW w:w="1418" w:type="dxa"/>
          </w:tcPr>
          <w:p>
            <w:pPr>
              <w:pStyle w:val="yTableNAm"/>
              <w:tabs>
                <w:tab w:val="clear" w:pos="567"/>
              </w:tabs>
              <w:spacing w:before="0"/>
              <w:rPr>
                <w:b/>
                <w:sz w:val="20"/>
              </w:rPr>
            </w:pPr>
            <w:r>
              <w:rPr>
                <w:b/>
                <w:sz w:val="20"/>
              </w:rPr>
              <w:t>Applications in relation to subpoena</w:t>
            </w:r>
          </w:p>
        </w:tc>
        <w:tc>
          <w:tcPr>
            <w:tcW w:w="5670" w:type="dxa"/>
            <w:gridSpan w:val="3"/>
          </w:tcPr>
          <w:p>
            <w:pPr>
              <w:pStyle w:val="yTableNAm"/>
              <w:tabs>
                <w:tab w:val="clear" w:pos="567"/>
              </w:tabs>
              <w:spacing w:before="0"/>
              <w:ind w:left="369" w:hanging="369"/>
              <w:rPr>
                <w:sz w:val="20"/>
              </w:rPr>
            </w:pPr>
            <w:r>
              <w:rPr>
                <w:sz w:val="20"/>
              </w:rPr>
              <w:t>13.</w:t>
            </w:r>
            <w:r>
              <w:rPr>
                <w:sz w:val="20"/>
              </w:rPr>
              <w:tab/>
              <w:t>You have the right to apply to the Supreme Court for an order with respect to any claim for privilege, public interest immunity or confidentiality in relation to any document or thing the subject of this subpoena.</w:t>
            </w:r>
          </w:p>
        </w:tc>
      </w:tr>
      <w:tr>
        <w:trPr>
          <w:cantSplit/>
        </w:trPr>
        <w:tc>
          <w:tcPr>
            <w:tcW w:w="1418" w:type="dxa"/>
          </w:tcPr>
          <w:p>
            <w:pPr>
              <w:pStyle w:val="yTableNAm"/>
              <w:tabs>
                <w:tab w:val="clear" w:pos="567"/>
              </w:tabs>
              <w:spacing w:before="0"/>
              <w:rPr>
                <w:b/>
                <w:sz w:val="20"/>
              </w:rPr>
            </w:pPr>
            <w:r>
              <w:rPr>
                <w:b/>
                <w:sz w:val="20"/>
              </w:rPr>
              <w:t>Loss or expense of compliance</w:t>
            </w:r>
          </w:p>
        </w:tc>
        <w:tc>
          <w:tcPr>
            <w:tcW w:w="5670" w:type="dxa"/>
            <w:gridSpan w:val="3"/>
          </w:tcPr>
          <w:p>
            <w:pPr>
              <w:pStyle w:val="yTableNAm"/>
              <w:tabs>
                <w:tab w:val="clear" w:pos="567"/>
              </w:tabs>
              <w:spacing w:before="0"/>
              <w:ind w:left="369" w:hanging="369"/>
              <w:rPr>
                <w:sz w:val="20"/>
              </w:rPr>
            </w:pPr>
            <w:r>
              <w:rPr>
                <w:sz w:val="20"/>
              </w:rPr>
              <w:t>14.</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the subpoena.</w:t>
            </w:r>
          </w:p>
        </w:tc>
      </w:tr>
      <w:tr>
        <w:tc>
          <w:tcPr>
            <w:tcW w:w="1418" w:type="dxa"/>
          </w:tcPr>
          <w:p>
            <w:pPr>
              <w:pStyle w:val="yTableNAm"/>
              <w:tabs>
                <w:tab w:val="clear" w:pos="567"/>
              </w:tabs>
              <w:spacing w:before="0"/>
              <w:rPr>
                <w:b/>
                <w:sz w:val="20"/>
              </w:rPr>
            </w:pPr>
            <w:r>
              <w:rPr>
                <w:b/>
                <w:sz w:val="20"/>
              </w:rPr>
              <w:t xml:space="preserve">Contempt of court—arrest </w:t>
            </w:r>
          </w:p>
        </w:tc>
        <w:tc>
          <w:tcPr>
            <w:tcW w:w="5670" w:type="dxa"/>
            <w:gridSpan w:val="3"/>
          </w:tcPr>
          <w:p>
            <w:pPr>
              <w:pStyle w:val="yTableNAm"/>
              <w:tabs>
                <w:tab w:val="clear" w:pos="567"/>
              </w:tabs>
              <w:spacing w:before="0"/>
              <w:ind w:left="369" w:hanging="369"/>
              <w:rPr>
                <w:sz w:val="20"/>
              </w:rPr>
            </w:pPr>
            <w:r>
              <w:rPr>
                <w:sz w:val="20"/>
              </w:rPr>
              <w:t>15.</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tabs>
                <w:tab w:val="clear" w:pos="567"/>
              </w:tabs>
              <w:spacing w:before="0"/>
              <w:ind w:left="369" w:hanging="369"/>
              <w:rPr>
                <w:sz w:val="20"/>
              </w:rPr>
            </w:pPr>
            <w:r>
              <w:rPr>
                <w:sz w:val="20"/>
              </w:rPr>
              <w:t>16.</w:t>
            </w:r>
            <w:r>
              <w:rPr>
                <w:sz w:val="20"/>
              </w:rPr>
              <w:tab/>
              <w:t>Note 15 is without prejudice to any other power to enforce compliance with a subpoena.</w:t>
            </w:r>
          </w:p>
        </w:tc>
      </w:tr>
    </w:tbl>
    <w:p>
      <w:pPr>
        <w:pStyle w:val="PermNoteHeading"/>
        <w:tabs>
          <w:tab w:val="left" w:pos="567"/>
          <w:tab w:val="left" w:pos="1276"/>
        </w:tabs>
      </w:pPr>
      <w:r>
        <w:lastRenderedPageBreak/>
        <w:t>Footnotes to Form 23A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keepLines w:val="0"/>
      </w:pPr>
      <w:r>
        <w:tab/>
        <w:t>[Form 23A inserted: Gazette 24 May 2017 p. 2591</w:t>
      </w:r>
      <w:r>
        <w:noBreakHyphen/>
        <w:t>8; amended: Gazette 27 Feb 2018 p. 622.]</w:t>
      </w:r>
    </w:p>
    <w:p>
      <w:pPr>
        <w:pStyle w:val="yHeading5"/>
      </w:pPr>
      <w:bookmarkStart w:id="1607" w:name="_Toc163121831"/>
      <w:r>
        <w:rPr>
          <w:rStyle w:val="CharSClsNo"/>
        </w:rPr>
        <w:t>23B</w:t>
      </w:r>
      <w:r>
        <w:t>.</w:t>
      </w:r>
      <w:r>
        <w:tab/>
        <w:t>Subpoena to give evidence and produce documents to WA Supreme Court (to be served in NZ) (O. 39A r. 2A)</w:t>
      </w:r>
      <w:bookmarkEnd w:id="1607"/>
    </w:p>
    <w:tbl>
      <w:tblPr>
        <w:tblW w:w="723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3686"/>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686" w:type="dxa"/>
          </w:tcPr>
          <w:p>
            <w:pPr>
              <w:pStyle w:val="yTableNAm"/>
              <w:keepNext/>
              <w:spacing w:before="0"/>
              <w:rPr>
                <w:b/>
                <w:sz w:val="20"/>
              </w:rPr>
            </w:pPr>
            <w:r>
              <w:rPr>
                <w:b/>
                <w:sz w:val="20"/>
              </w:rPr>
              <w:t>Notice attached to subpoena to give evidence and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812"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812" w:type="dxa"/>
            <w:gridSpan w:val="2"/>
          </w:tcPr>
          <w:p>
            <w:pPr>
              <w:pStyle w:val="yTableNAm"/>
              <w:spacing w:before="0"/>
              <w:jc w:val="center"/>
              <w:rPr>
                <w:i/>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attend the Supreme Court of Western Australia to give evidence and produce documents. The subpoena has been issued by that court.</w:t>
            </w: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spacing w:before="0"/>
              <w:rPr>
                <w:b/>
                <w:sz w:val="20"/>
              </w:rPr>
            </w:pPr>
            <w:r>
              <w:rPr>
                <w:b/>
                <w:sz w:val="20"/>
              </w:rPr>
              <w:t>Your rights</w:t>
            </w:r>
          </w:p>
        </w:tc>
        <w:tc>
          <w:tcPr>
            <w:tcW w:w="5812" w:type="dxa"/>
            <w:gridSpan w:val="2"/>
          </w:tcPr>
          <w:p>
            <w:pPr>
              <w:pStyle w:val="yTableNAm"/>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that you be paid the additional amount you incurred.</w:t>
            </w:r>
          </w:p>
          <w:p>
            <w:pPr>
              <w:pStyle w:val="yTableNAm"/>
              <w:spacing w:before="0"/>
              <w:ind w:left="369" w:hanging="369"/>
              <w:rPr>
                <w:sz w:val="20"/>
              </w:rPr>
            </w:pPr>
            <w:r>
              <w:rPr>
                <w:sz w:val="20"/>
              </w:rPr>
              <w:lastRenderedPageBreak/>
              <w:t>4.</w:t>
            </w:r>
            <w:r>
              <w:rPr>
                <w:sz w:val="20"/>
              </w:rPr>
              <w:tab/>
              <w:t>You may apply to the Supreme Court to have the subpoena wholly or partly set aside. If you wish to apply to have the subpoena set aside you should get legal advice as soon as possible.</w:t>
            </w:r>
          </w:p>
          <w:p>
            <w:pPr>
              <w:pStyle w:val="yTableNAm"/>
              <w:spacing w:before="0"/>
              <w:ind w:left="369" w:hanging="369"/>
              <w:rPr>
                <w:sz w:val="20"/>
              </w:rPr>
            </w:pPr>
            <w:r>
              <w:rPr>
                <w:sz w:val="20"/>
              </w:rPr>
              <w:t>5.</w:t>
            </w:r>
            <w:r>
              <w:rPr>
                <w:sz w:val="20"/>
              </w:rPr>
              <w:tab/>
              <w:t>An application can be made and determined by the Supreme Court without you having to go to Australia, or to retain Australian lawyers. All the necessary arrangements can be made in New Zealand.</w:t>
            </w:r>
          </w:p>
          <w:p>
            <w:pPr>
              <w:pStyle w:val="yTableNAm"/>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lastRenderedPageBreak/>
              <w:t xml:space="preserve">Your obligations  </w:t>
            </w:r>
          </w:p>
        </w:tc>
        <w:tc>
          <w:tcPr>
            <w:tcW w:w="5812" w:type="dxa"/>
            <w:gridSpan w:val="2"/>
          </w:tcPr>
          <w:p>
            <w:pPr>
              <w:pStyle w:val="yTableNAm"/>
              <w:spacing w:before="0"/>
              <w:ind w:left="369" w:hanging="369"/>
              <w:rPr>
                <w:sz w:val="20"/>
              </w:rPr>
            </w:pPr>
            <w:r>
              <w:rPr>
                <w:sz w:val="20"/>
              </w:rPr>
              <w:t>6.</w:t>
            </w:r>
            <w:r>
              <w:rPr>
                <w:sz w:val="20"/>
              </w:rPr>
              <w:tab/>
              <w:t xml:space="preserve">Unless the subpoena is set aside, you must comply with the attached subpoena if — </w:t>
            </w:r>
          </w:p>
          <w:p>
            <w:pPr>
              <w:pStyle w:val="yTableNAm"/>
              <w:spacing w:before="0"/>
              <w:ind w:left="794" w:hanging="425"/>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4" w:hanging="425"/>
              <w:rPr>
                <w:sz w:val="20"/>
              </w:rPr>
            </w:pPr>
            <w:r>
              <w:rPr>
                <w:sz w:val="20"/>
              </w:rPr>
              <w:tab/>
            </w:r>
            <w:r>
              <w:rPr>
                <w:sz w:val="20"/>
              </w:rPr>
              <w:tab/>
              <w:t>and</w:t>
            </w:r>
          </w:p>
          <w:p>
            <w:pPr>
              <w:pStyle w:val="yTableNAm"/>
              <w:spacing w:before="0"/>
              <w:ind w:left="794" w:hanging="425"/>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4" w:hanging="425"/>
              <w:rPr>
                <w:sz w:val="20"/>
              </w:rPr>
            </w:pPr>
            <w:r>
              <w:rPr>
                <w:sz w:val="20"/>
              </w:rPr>
              <w:t>(c)</w:t>
            </w:r>
            <w:r>
              <w:rPr>
                <w:sz w:val="20"/>
              </w:rPr>
              <w:tab/>
              <w:t>the subpoena was served on you before or on the date specified in the order as the last day on which the subpoena may be served; and</w:t>
            </w:r>
          </w:p>
          <w:p>
            <w:pPr>
              <w:pStyle w:val="yTableNAm"/>
              <w:spacing w:before="0"/>
              <w:ind w:left="794" w:hanging="425"/>
              <w:rPr>
                <w:sz w:val="20"/>
              </w:rPr>
            </w:pPr>
            <w:r>
              <w:rPr>
                <w:sz w:val="20"/>
              </w:rPr>
              <w:t>(d)</w:t>
            </w:r>
            <w:r>
              <w:rPr>
                <w:sz w:val="20"/>
              </w:rPr>
              <w:tab/>
              <w:t>service of the subpoena complied with any other conditions specified in the order; and</w:t>
            </w:r>
          </w:p>
          <w:p>
            <w:pPr>
              <w:pStyle w:val="yTableNAm"/>
              <w:spacing w:before="0"/>
              <w:ind w:left="794" w:hanging="425"/>
              <w:rPr>
                <w:sz w:val="20"/>
              </w:rPr>
            </w:pPr>
            <w:r>
              <w:rPr>
                <w:sz w:val="20"/>
              </w:rPr>
              <w:t>(e)</w:t>
            </w:r>
            <w:r>
              <w:rPr>
                <w:sz w:val="20"/>
              </w:rPr>
              <w:tab/>
              <w:t>you are over the age of 18 years.</w:t>
            </w:r>
          </w:p>
          <w:p>
            <w:pPr>
              <w:pStyle w:val="yTableNAm"/>
              <w:spacing w:before="0"/>
              <w:ind w:left="369" w:hanging="369"/>
              <w:rPr>
                <w:sz w:val="20"/>
              </w:rPr>
            </w:pPr>
            <w:r>
              <w:rPr>
                <w:sz w:val="20"/>
              </w:rPr>
              <w:t>7.</w:t>
            </w:r>
            <w:r>
              <w:rPr>
                <w:sz w:val="20"/>
              </w:rPr>
              <w:tab/>
              <w:t xml:space="preserve">In so far as the subpoena requires you to produce documents or things to the Supreme Court, it must specify the date on which you must attend the Court and produce the documents or things. But instead of attending you may comply with that requirement by delivering or posting the subpoena (or a copy of it) and the documents or things to either — </w:t>
            </w:r>
          </w:p>
          <w:p>
            <w:pPr>
              <w:pStyle w:val="yTableNAm"/>
              <w:spacing w:before="0"/>
              <w:ind w:left="794" w:hanging="425"/>
              <w:rPr>
                <w:sz w:val="20"/>
              </w:rPr>
            </w:pPr>
            <w:r>
              <w:rPr>
                <w:sz w:val="20"/>
              </w:rPr>
              <w:t>(a)</w:t>
            </w:r>
            <w:r>
              <w:rPr>
                <w:sz w:val="20"/>
              </w:rPr>
              <w:tab/>
              <w:t>the Supreme Court so that they are received not less than 2 clear days before that date; or</w:t>
            </w:r>
          </w:p>
          <w:p>
            <w:pPr>
              <w:pStyle w:val="yTableNAm"/>
              <w:spacing w:before="0"/>
              <w:ind w:left="794" w:hanging="425"/>
              <w:rPr>
                <w:sz w:val="20"/>
              </w:rPr>
            </w:pPr>
            <w:r>
              <w:rPr>
                <w:sz w:val="20"/>
              </w:rPr>
              <w:t>(b)</w:t>
            </w:r>
            <w:r>
              <w:rPr>
                <w:sz w:val="20"/>
              </w:rPr>
              <w:tab/>
              <w:t>the High Court of New Zealand so that they are received at least 10 days before that date.</w:t>
            </w:r>
          </w:p>
          <w:p>
            <w:pPr>
              <w:pStyle w:val="yTableNAm"/>
              <w:spacing w:before="0"/>
              <w:ind w:left="369" w:hanging="369"/>
              <w:rPr>
                <w:sz w:val="20"/>
              </w:rPr>
            </w:pPr>
            <w:r>
              <w:rPr>
                <w:sz w:val="20"/>
              </w:rPr>
              <w:tab/>
              <w:t xml:space="preserve">If you deliver or post them to the High Court of New Zealand you will be required to pay the cost of sending them to the Supreme Court. You will be able to pay that cost out of the money given to </w:t>
            </w:r>
            <w:r>
              <w:rPr>
                <w:sz w:val="20"/>
              </w:rPr>
              <w:lastRenderedPageBreak/>
              <w:t>you to meet your reasonable expenses of complying with the subpoena.</w:t>
            </w:r>
          </w:p>
        </w:tc>
      </w:tr>
      <w:tr>
        <w:trPr>
          <w:cantSplit/>
        </w:trPr>
        <w:tc>
          <w:tcPr>
            <w:tcW w:w="1418" w:type="dxa"/>
            <w:tcBorders>
              <w:bottom w:val="single" w:sz="4" w:space="0" w:color="auto"/>
            </w:tcBorders>
          </w:tcPr>
          <w:p>
            <w:pPr>
              <w:pStyle w:val="yTableNAm"/>
              <w:spacing w:before="0"/>
              <w:rPr>
                <w:b/>
                <w:sz w:val="20"/>
              </w:rPr>
            </w:pPr>
            <w:r>
              <w:rPr>
                <w:b/>
                <w:sz w:val="20"/>
              </w:rPr>
              <w:lastRenderedPageBreak/>
              <w:t>Failure to comply with subpoena</w:t>
            </w:r>
          </w:p>
        </w:tc>
        <w:tc>
          <w:tcPr>
            <w:tcW w:w="5812" w:type="dxa"/>
            <w:gridSpan w:val="2"/>
            <w:tcBorders>
              <w:bottom w:val="single" w:sz="4" w:space="0" w:color="auto"/>
            </w:tcBorders>
          </w:tcPr>
          <w:p>
            <w:pPr>
              <w:pStyle w:val="yTableNAm"/>
              <w:spacing w:before="0"/>
              <w:ind w:left="369" w:hanging="369"/>
              <w:rPr>
                <w:sz w:val="20"/>
              </w:rPr>
            </w:pPr>
            <w:r>
              <w:rPr>
                <w:sz w:val="20"/>
              </w:rPr>
              <w:t>8.</w:t>
            </w:r>
            <w:r>
              <w:rPr>
                <w:sz w:val="20"/>
              </w:rPr>
              <w:tab/>
              <w:t>If you do not comply with this subpoena you may be arrested and taken before the High Court of New Zealand. Unless the High Court is satisfied that failure to comply should be excused, a fine not exceeding NZ$10 000 may be imposed.</w:t>
            </w:r>
          </w:p>
        </w:tc>
      </w:tr>
      <w:tr>
        <w:trPr>
          <w:cantSplit/>
        </w:trPr>
        <w:tc>
          <w:tcPr>
            <w:tcW w:w="1418" w:type="dxa"/>
            <w:tcBorders>
              <w:bottom w:val="nil"/>
            </w:tcBorders>
          </w:tcPr>
          <w:p>
            <w:pPr>
              <w:pStyle w:val="yTableNAm"/>
              <w:spacing w:before="0"/>
              <w:rPr>
                <w:b/>
                <w:sz w:val="20"/>
              </w:rPr>
            </w:pPr>
            <w:r>
              <w:rPr>
                <w:b/>
                <w:sz w:val="20"/>
              </w:rPr>
              <w:t>Grounds for setting aside a subpoena</w:t>
            </w:r>
          </w:p>
        </w:tc>
        <w:tc>
          <w:tcPr>
            <w:tcW w:w="5812" w:type="dxa"/>
            <w:gridSpan w:val="2"/>
            <w:tcBorders>
              <w:bottom w:val="nil"/>
            </w:tcBorders>
          </w:tcPr>
          <w:p>
            <w:pPr>
              <w:pStyle w:val="yTableNAm"/>
              <w:spacing w:before="0"/>
              <w:ind w:left="369" w:hanging="369"/>
              <w:rPr>
                <w:sz w:val="20"/>
              </w:rPr>
            </w:pPr>
            <w:r>
              <w:rPr>
                <w:sz w:val="20"/>
              </w:rPr>
              <w:t>9.</w:t>
            </w:r>
            <w:r>
              <w:rPr>
                <w:sz w:val="20"/>
              </w:rPr>
              <w:tab/>
              <w:t xml:space="preserve">The Supreme Court must set aside the subpoena if the subpoena requires you to attend at a place in Australia and —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you are liable to imposition of a penalty in civil proceedings in Australia (other than proceedings under the</w:t>
            </w:r>
            <w:r>
              <w:rPr>
                <w:i/>
                <w:sz w:val="20"/>
              </w:rPr>
              <w:t xml:space="preserve"> Competition and Consumer Act 2010 </w:t>
            </w:r>
            <w:r>
              <w:rPr>
                <w:sz w:val="20"/>
              </w:rPr>
              <w:t>(Commonwealth)); or</w:t>
            </w:r>
          </w:p>
          <w:p>
            <w:pPr>
              <w:pStyle w:val="yTableNAm"/>
              <w:spacing w:before="0"/>
              <w:ind w:left="794" w:hanging="425"/>
              <w:rPr>
                <w:b/>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tc>
      </w:tr>
      <w:tr>
        <w:trPr>
          <w:cantSplit/>
        </w:trPr>
        <w:tc>
          <w:tcPr>
            <w:tcW w:w="1418" w:type="dxa"/>
            <w:tcBorders>
              <w:top w:val="nil"/>
              <w:bottom w:val="nil"/>
            </w:tcBorders>
          </w:tcPr>
          <w:p>
            <w:pPr>
              <w:pStyle w:val="yTableNAm"/>
              <w:spacing w:before="0"/>
              <w:rPr>
                <w:b/>
                <w:sz w:val="20"/>
              </w:rPr>
            </w:pPr>
          </w:p>
        </w:tc>
        <w:tc>
          <w:tcPr>
            <w:tcW w:w="5812" w:type="dxa"/>
            <w:gridSpan w:val="2"/>
            <w:tcBorders>
              <w:top w:val="nil"/>
              <w:bottom w:val="nil"/>
            </w:tcBorders>
          </w:tcPr>
          <w:p>
            <w:pPr>
              <w:pStyle w:val="yTableNAm"/>
              <w:spacing w:before="0"/>
              <w:ind w:left="369" w:hanging="369"/>
              <w:rPr>
                <w:sz w:val="20"/>
              </w:rPr>
            </w:pPr>
            <w:r>
              <w:rPr>
                <w:sz w:val="20"/>
              </w:rPr>
              <w:t>10.</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the evidence you would give in the proceedings can be obtained satisfactorily by other means without significantly greater expense;</w:t>
            </w:r>
          </w:p>
          <w:p>
            <w:pPr>
              <w:pStyle w:val="yTableNAm"/>
              <w:spacing w:before="0"/>
              <w:ind w:left="794" w:hanging="425"/>
              <w:rPr>
                <w:sz w:val="20"/>
              </w:rPr>
            </w:pPr>
            <w:r>
              <w:rPr>
                <w:sz w:val="20"/>
              </w:rPr>
              <w:t>(b)</w:t>
            </w:r>
            <w:r>
              <w:rPr>
                <w:sz w:val="20"/>
              </w:rPr>
              <w:tab/>
              <w:t>compliance with the subpoena would cause you hardship or serious inconvenience;</w:t>
            </w:r>
          </w:p>
          <w:p>
            <w:pPr>
              <w:pStyle w:val="yTableNAm"/>
              <w:spacing w:before="0"/>
              <w:ind w:left="794" w:hanging="425"/>
              <w:rPr>
                <w:sz w:val="20"/>
              </w:rPr>
            </w:pPr>
            <w:r>
              <w:rPr>
                <w:sz w:val="20"/>
              </w:rPr>
              <w:t>(c)</w:t>
            </w:r>
            <w:r>
              <w:rPr>
                <w:sz w:val="20"/>
              </w:rPr>
              <w:tab/>
              <w:t xml:space="preserve">insofar as the subpoena requires you to produce a document or thing, that — </w:t>
            </w:r>
          </w:p>
          <w:p>
            <w:pPr>
              <w:pStyle w:val="yTableNAm"/>
              <w:spacing w:before="0"/>
              <w:ind w:left="1218" w:hanging="425"/>
              <w:rPr>
                <w:sz w:val="20"/>
              </w:rPr>
            </w:pPr>
            <w:r>
              <w:rPr>
                <w:sz w:val="20"/>
              </w:rPr>
              <w:t>(i)</w:t>
            </w:r>
            <w:r>
              <w:rPr>
                <w:sz w:val="20"/>
              </w:rPr>
              <w:tab/>
              <w:t>the document or thing should not be taken out of New Zealand; and</w:t>
            </w:r>
          </w:p>
          <w:p>
            <w:pPr>
              <w:pStyle w:val="yTableNAm"/>
              <w:spacing w:before="0"/>
              <w:ind w:left="1218" w:hanging="425"/>
              <w:rPr>
                <w:sz w:val="20"/>
              </w:rPr>
            </w:pPr>
            <w:r>
              <w:rPr>
                <w:sz w:val="20"/>
              </w:rPr>
              <w:t>(ii)</w:t>
            </w:r>
            <w:r>
              <w:rPr>
                <w:sz w:val="20"/>
              </w:rPr>
              <w:tab/>
              <w:t>satisfactory evidence of the contents of the document or satisfactory evidence of the thing can be given by other means.</w:t>
            </w:r>
          </w:p>
        </w:tc>
      </w:tr>
      <w:tr>
        <w:trPr>
          <w:cantSplit/>
        </w:trPr>
        <w:tc>
          <w:tcPr>
            <w:tcW w:w="1418" w:type="dxa"/>
            <w:tcBorders>
              <w:top w:val="nil"/>
            </w:tcBorders>
          </w:tcPr>
          <w:p>
            <w:pPr>
              <w:pStyle w:val="yTableNAm"/>
              <w:spacing w:before="0"/>
              <w:rPr>
                <w:b/>
                <w:sz w:val="20"/>
              </w:rPr>
            </w:pPr>
          </w:p>
        </w:tc>
        <w:tc>
          <w:tcPr>
            <w:tcW w:w="5812" w:type="dxa"/>
            <w:gridSpan w:val="2"/>
            <w:tcBorders>
              <w:top w:val="nil"/>
            </w:tcBorders>
          </w:tcPr>
          <w:p>
            <w:pPr>
              <w:pStyle w:val="yTableNAm"/>
              <w:spacing w:before="0"/>
              <w:ind w:left="1218" w:hanging="425"/>
              <w:rPr>
                <w:sz w:val="20"/>
              </w:rPr>
            </w:pPr>
          </w:p>
          <w:p>
            <w:pPr>
              <w:pStyle w:val="yTableNAm"/>
              <w:spacing w:before="0"/>
              <w:ind w:left="369" w:hanging="369"/>
              <w:rPr>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 xml:space="preserve">Procedure for applying to set </w:t>
            </w:r>
            <w:r>
              <w:rPr>
                <w:b/>
                <w:sz w:val="20"/>
              </w:rPr>
              <w:lastRenderedPageBreak/>
              <w:t>aside a subpoena</w:t>
            </w:r>
          </w:p>
        </w:tc>
        <w:tc>
          <w:tcPr>
            <w:tcW w:w="5812" w:type="dxa"/>
            <w:gridSpan w:val="2"/>
          </w:tcPr>
          <w:p>
            <w:pPr>
              <w:pStyle w:val="yTableNAm"/>
              <w:spacing w:before="0"/>
              <w:ind w:left="369" w:hanging="369"/>
              <w:rPr>
                <w:sz w:val="20"/>
              </w:rPr>
            </w:pPr>
            <w:r>
              <w:rPr>
                <w:sz w:val="20"/>
              </w:rPr>
              <w:lastRenderedPageBreak/>
              <w:t>11.</w:t>
            </w:r>
            <w:r>
              <w:rPr>
                <w:sz w:val="20"/>
              </w:rPr>
              <w:tab/>
              <w:t>Application must be made to the Supreme Court of Western Australia.</w:t>
            </w:r>
          </w:p>
          <w:p>
            <w:pPr>
              <w:pStyle w:val="yTableNAm"/>
              <w:spacing w:before="0"/>
              <w:ind w:left="369" w:hanging="369"/>
              <w:rPr>
                <w:sz w:val="20"/>
              </w:rPr>
            </w:pPr>
            <w:r>
              <w:rPr>
                <w:sz w:val="20"/>
              </w:rPr>
              <w:lastRenderedPageBreak/>
              <w:t>12.</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13.</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14.</w:t>
            </w:r>
            <w:r>
              <w:rPr>
                <w:sz w:val="20"/>
              </w:rPr>
              <w:tab/>
              <w:t>A registrar of the Supreme Court will arrange for service of your application and of any affidavit you file with your application.</w:t>
            </w:r>
          </w:p>
          <w:p>
            <w:pPr>
              <w:pStyle w:val="yTableNAm"/>
              <w:spacing w:before="0"/>
              <w:ind w:left="369" w:hanging="369"/>
              <w:rPr>
                <w:sz w:val="20"/>
              </w:rPr>
            </w:pPr>
            <w:r>
              <w:rPr>
                <w:sz w:val="20"/>
              </w:rPr>
              <w:t>15.</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16.</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17.</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rPr>
          <w:sz w:val="20"/>
        </w:rPr>
      </w:pPr>
    </w:p>
    <w:tbl>
      <w:tblPr>
        <w:tblW w:w="723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165"/>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686" w:type="dxa"/>
            <w:gridSpan w:val="2"/>
          </w:tcPr>
          <w:p>
            <w:pPr>
              <w:pStyle w:val="yTableNAm"/>
              <w:spacing w:before="0"/>
              <w:rPr>
                <w:b/>
                <w:sz w:val="20"/>
              </w:rPr>
            </w:pPr>
            <w:r>
              <w:rPr>
                <w:b/>
                <w:sz w:val="20"/>
              </w:rPr>
              <w:t>Subpoena to give evidence and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812"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812" w:type="dxa"/>
            <w:gridSpan w:val="3"/>
          </w:tcPr>
          <w:p>
            <w:pPr>
              <w:pStyle w:val="yTableNAm"/>
              <w:spacing w:before="0"/>
              <w:rPr>
                <w:sz w:val="20"/>
              </w:rPr>
            </w:pPr>
            <w:r>
              <w:rPr>
                <w:sz w:val="20"/>
              </w:rPr>
              <w:t>[</w:t>
            </w:r>
            <w:r>
              <w:rPr>
                <w:i/>
                <w:sz w:val="20"/>
              </w:rPr>
              <w:t>Name and address</w:t>
            </w:r>
            <w:r>
              <w:rPr>
                <w:sz w:val="20"/>
              </w:rPr>
              <w:t>]</w:t>
            </w:r>
          </w:p>
        </w:tc>
      </w:tr>
      <w:tr>
        <w:tc>
          <w:tcPr>
            <w:tcW w:w="1418" w:type="dxa"/>
          </w:tcPr>
          <w:p>
            <w:pPr>
              <w:pStyle w:val="yTableNAm"/>
              <w:spacing w:before="0"/>
              <w:rPr>
                <w:b/>
                <w:sz w:val="20"/>
              </w:rPr>
            </w:pPr>
            <w:r>
              <w:rPr>
                <w:b/>
                <w:sz w:val="20"/>
              </w:rPr>
              <w:t>Order</w:t>
            </w:r>
          </w:p>
        </w:tc>
        <w:tc>
          <w:tcPr>
            <w:tcW w:w="5812" w:type="dxa"/>
            <w:gridSpan w:val="3"/>
          </w:tcPr>
          <w:p>
            <w:pPr>
              <w:pStyle w:val="yTableNAm"/>
              <w:spacing w:before="0"/>
              <w:rPr>
                <w:b/>
                <w:sz w:val="20"/>
              </w:rPr>
            </w:pPr>
            <w:r>
              <w:rPr>
                <w:b/>
                <w:sz w:val="20"/>
              </w:rPr>
              <w:t xml:space="preserve">You are ordered to attend the Supreme Court of Western Australia to give evidence and to produce this subpoena or a copy of it and the documents or things specified in the Schedule of documents. </w:t>
            </w:r>
            <w:r>
              <w:rPr>
                <w:sz w:val="20"/>
              </w:rPr>
              <w:t>See details below.</w:t>
            </w:r>
          </w:p>
          <w:p>
            <w:pPr>
              <w:pStyle w:val="yTableNAm"/>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spacing w:before="0"/>
              <w:rPr>
                <w:sz w:val="20"/>
              </w:rPr>
            </w:pPr>
            <w:r>
              <w:rPr>
                <w:sz w:val="20"/>
              </w:rPr>
              <w:t>Please read Notes 1 to 16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2]</w:t>
            </w:r>
            <w:r>
              <w:rPr>
                <w:sz w:val="20"/>
              </w:rPr>
              <w:t xml:space="preserve"> </w:t>
            </w:r>
          </w:p>
        </w:tc>
        <w:tc>
          <w:tcPr>
            <w:tcW w:w="5812"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812"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165" w:type="dxa"/>
          </w:tcPr>
          <w:p>
            <w:pPr>
              <w:pStyle w:val="yTableNAm"/>
              <w:spacing w:before="0"/>
              <w:rPr>
                <w:sz w:val="20"/>
              </w:rPr>
            </w:pPr>
            <w:r>
              <w:rPr>
                <w:sz w:val="20"/>
              </w:rPr>
              <w:t>[</w:t>
            </w:r>
            <w:r>
              <w:rPr>
                <w:i/>
                <w:sz w:val="20"/>
              </w:rPr>
              <w:t>Seal or stamp of the Court</w:t>
            </w:r>
            <w:r>
              <w:rPr>
                <w:sz w:val="20"/>
              </w:rPr>
              <w:t>]</w:t>
            </w:r>
          </w:p>
        </w:tc>
      </w:tr>
      <w:tr>
        <w:trPr>
          <w:cantSplit/>
        </w:trPr>
        <w:tc>
          <w:tcPr>
            <w:tcW w:w="1418" w:type="dxa"/>
          </w:tcPr>
          <w:p>
            <w:pPr>
              <w:pStyle w:val="yTableNAm"/>
              <w:spacing w:before="0"/>
              <w:rPr>
                <w:b/>
                <w:sz w:val="20"/>
              </w:rPr>
            </w:pPr>
            <w:r>
              <w:rPr>
                <w:b/>
                <w:sz w:val="20"/>
              </w:rPr>
              <w:t>Details of subpoena to give evidence</w:t>
            </w:r>
          </w:p>
        </w:tc>
        <w:tc>
          <w:tcPr>
            <w:tcW w:w="5812" w:type="dxa"/>
            <w:gridSpan w:val="3"/>
          </w:tcPr>
          <w:p>
            <w:pPr>
              <w:pStyle w:val="yTableNAm"/>
              <w:spacing w:before="0"/>
              <w:rPr>
                <w:sz w:val="20"/>
              </w:rPr>
            </w:pPr>
            <w:r>
              <w:rPr>
                <w:sz w:val="20"/>
              </w:rPr>
              <w:t xml:space="preserve">Insofar as this subpoena requires you to attend the Supreme Court of Western Australia to give evidence, you must attend as follows, unless you receive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day-to-day unless excused by the Court or the person authorised to take evidence in this proceeding or until the hearing of the matter is completed.</w:t>
            </w:r>
          </w:p>
        </w:tc>
      </w:tr>
      <w:tr>
        <w:tc>
          <w:tcPr>
            <w:tcW w:w="1418" w:type="dxa"/>
          </w:tcPr>
          <w:p>
            <w:pPr>
              <w:pStyle w:val="yTableNAm"/>
              <w:spacing w:before="0"/>
              <w:rPr>
                <w:b/>
                <w:sz w:val="20"/>
              </w:rPr>
            </w:pPr>
            <w:r>
              <w:rPr>
                <w:b/>
                <w:sz w:val="20"/>
              </w:rPr>
              <w:t>Details of subpoena to produce documents</w:t>
            </w:r>
          </w:p>
          <w:p>
            <w:pPr>
              <w:pStyle w:val="yTableNAm"/>
              <w:spacing w:before="0"/>
            </w:pPr>
            <w:r>
              <w:rPr>
                <w:sz w:val="18"/>
                <w:szCs w:val="18"/>
              </w:rPr>
              <w:t>[See Notes 5–13]</w:t>
            </w:r>
          </w:p>
        </w:tc>
        <w:tc>
          <w:tcPr>
            <w:tcW w:w="5812" w:type="dxa"/>
            <w:gridSpan w:val="3"/>
          </w:tcPr>
          <w:p>
            <w:pPr>
              <w:pStyle w:val="yTableNAm"/>
              <w:spacing w:before="0"/>
              <w:rPr>
                <w:sz w:val="20"/>
              </w:rPr>
            </w:pPr>
            <w:r>
              <w:rPr>
                <w:sz w:val="20"/>
              </w:rPr>
              <w:t xml:space="preserve">Insofar as this subpoena requires you to attend the Supreme Court of Western Australia to produce the subpoena or a copy of it and documents or things, you must comply with that requirement — </w:t>
            </w:r>
          </w:p>
          <w:p>
            <w:pPr>
              <w:pStyle w:val="yTableNAm"/>
              <w:spacing w:before="0"/>
              <w:ind w:left="368" w:hanging="368"/>
              <w:rPr>
                <w:sz w:val="20"/>
              </w:rPr>
            </w:pPr>
            <w:r>
              <w:rPr>
                <w:sz w:val="20"/>
              </w:rPr>
              <w:t>(a)</w:t>
            </w:r>
            <w:r>
              <w:rPr>
                <w:sz w:val="20"/>
              </w:rPr>
              <w:tab/>
              <w:t>by attending at the Supreme Court to produce this subpoena or a copy of it and the documents or things specified in the Schedule of documents below at the date, time and place specified below for attendance and production; or</w:t>
            </w:r>
          </w:p>
          <w:p>
            <w:pPr>
              <w:pStyle w:val="yTableNAm"/>
              <w:spacing w:before="0"/>
              <w:ind w:left="368" w:hanging="368"/>
              <w:rPr>
                <w:sz w:val="20"/>
              </w:rPr>
            </w:pPr>
            <w:r>
              <w:rPr>
                <w:sz w:val="20"/>
              </w:rPr>
              <w:t>(b)</w:t>
            </w:r>
            <w:r>
              <w:rPr>
                <w:sz w:val="20"/>
              </w:rPr>
              <w:tab/>
              <w:t xml:space="preserve">by delivering or posting this subpoena or a copy of it and the documents or things specified in the Schedule of documents below to — </w:t>
            </w:r>
          </w:p>
          <w:p>
            <w:pPr>
              <w:pStyle w:val="yTableNAm"/>
              <w:spacing w:before="0"/>
              <w:ind w:left="794" w:hanging="368"/>
              <w:rPr>
                <w:sz w:val="20"/>
              </w:rPr>
            </w:pPr>
            <w:r>
              <w:rPr>
                <w:sz w:val="20"/>
              </w:rPr>
              <w:t>(i)</w:t>
            </w:r>
            <w:r>
              <w:rPr>
                <w:sz w:val="20"/>
              </w:rPr>
              <w:tab/>
              <w:t>the Supreme Court at the address specified below so that they are received not less than 2 clear days before the date specified below for attendance and production; or</w:t>
            </w:r>
          </w:p>
          <w:p>
            <w:pPr>
              <w:pStyle w:val="yTableNAm"/>
              <w:spacing w:before="0"/>
              <w:ind w:left="794" w:hanging="368"/>
              <w:rPr>
                <w:sz w:val="20"/>
              </w:rPr>
            </w:pPr>
            <w:r>
              <w:rPr>
                <w:sz w:val="20"/>
              </w:rPr>
              <w:t>(ii)</w:t>
            </w:r>
            <w:r>
              <w:rPr>
                <w:sz w:val="20"/>
              </w:rPr>
              <w:tab/>
              <w:t>the Registrar of the High Court of New Zealand at the address specified below, or if more than one address is so specified, at any one of those addresses, so that they are received not less than 10 clear days before the date specified below for attendance and production.</w:t>
            </w:r>
          </w:p>
          <w:p>
            <w:pPr>
              <w:pStyle w:val="yTableNAm"/>
              <w:spacing w:before="0"/>
              <w:rPr>
                <w:sz w:val="20"/>
              </w:rPr>
            </w:pPr>
            <w:r>
              <w:rPr>
                <w:sz w:val="20"/>
              </w:rPr>
              <w:t xml:space="preserve">Date, time and place at which you must attend and produce the subpoena or a copy of it and documents or things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p>
          <w:p>
            <w:pPr>
              <w:pStyle w:val="yTableNAm"/>
              <w:spacing w:before="0"/>
              <w:rPr>
                <w:sz w:val="20"/>
              </w:rPr>
            </w:pPr>
            <w:r>
              <w:rPr>
                <w:sz w:val="20"/>
              </w:rPr>
              <w:t>Address of the Supreme Court to which the subpoena (or copy) and documents or things may be delivered or posted:</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David Malcolm Justice Centre</w:t>
            </w:r>
          </w:p>
          <w:p>
            <w:pPr>
              <w:pStyle w:val="yTableNAm"/>
              <w:spacing w:before="0"/>
              <w:ind w:left="368"/>
              <w:rPr>
                <w:sz w:val="20"/>
              </w:rPr>
            </w:pPr>
            <w:r>
              <w:rPr>
                <w:sz w:val="20"/>
              </w:rPr>
              <w:t>Level 11, 28 Barrack Street</w:t>
            </w:r>
          </w:p>
          <w:p>
            <w:pPr>
              <w:pStyle w:val="yTableNAm"/>
              <w:spacing w:before="0"/>
              <w:ind w:left="368"/>
              <w:rPr>
                <w:sz w:val="20"/>
              </w:rPr>
            </w:pPr>
            <w:r>
              <w:rPr>
                <w:sz w:val="20"/>
              </w:rPr>
              <w:t>Perth WA 6000</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Court of Appeal</w:t>
            </w:r>
          </w:p>
          <w:p>
            <w:pPr>
              <w:pStyle w:val="yTableNAm"/>
              <w:spacing w:before="0"/>
              <w:ind w:left="368"/>
              <w:rPr>
                <w:sz w:val="20"/>
              </w:rPr>
            </w:pPr>
            <w:r>
              <w:rPr>
                <w:sz w:val="20"/>
              </w:rPr>
              <w:lastRenderedPageBreak/>
              <w:t>Stirling Gardens, Barrack Street</w:t>
            </w:r>
          </w:p>
          <w:p>
            <w:pPr>
              <w:pStyle w:val="yTableNAm"/>
              <w:spacing w:before="0"/>
              <w:ind w:left="368"/>
              <w:rPr>
                <w:sz w:val="20"/>
              </w:rPr>
            </w:pPr>
            <w:r>
              <w:rPr>
                <w:sz w:val="20"/>
              </w:rPr>
              <w:t>Perth WA 6000</w:t>
            </w:r>
          </w:p>
          <w:p>
            <w:pPr>
              <w:pStyle w:val="yTableNAm"/>
              <w:keepLines/>
              <w:spacing w:before="0"/>
              <w:rPr>
                <w:sz w:val="20"/>
              </w:rPr>
            </w:pPr>
            <w:r>
              <w:rPr>
                <w:sz w:val="20"/>
              </w:rPr>
              <w:t>Address(es) of the High Court of New Zealand to which the subpoena (or copy) and documents or things may be delivered or posted:</w:t>
            </w:r>
          </w:p>
          <w:p>
            <w:pPr>
              <w:pStyle w:val="yTableNAm"/>
              <w:keepLines/>
              <w:spacing w:before="0"/>
              <w:ind w:left="368"/>
              <w:rPr>
                <w:sz w:val="20"/>
              </w:rPr>
            </w:pPr>
            <w:r>
              <w:rPr>
                <w:sz w:val="20"/>
              </w:rPr>
              <w:t>[</w:t>
            </w:r>
            <w:r>
              <w:rPr>
                <w:i/>
                <w:sz w:val="20"/>
              </w:rPr>
              <w:t>Address(es)</w:t>
            </w:r>
            <w:r>
              <w:rPr>
                <w:sz w:val="20"/>
              </w:rPr>
              <w:t>]</w:t>
            </w:r>
          </w:p>
        </w:tc>
      </w:tr>
      <w:tr>
        <w:tc>
          <w:tcPr>
            <w:tcW w:w="7230" w:type="dxa"/>
            <w:gridSpan w:val="4"/>
          </w:tcPr>
          <w:p>
            <w:pPr>
              <w:pStyle w:val="yTableNAm"/>
              <w:keepNext/>
              <w:spacing w:before="0"/>
              <w:jc w:val="center"/>
              <w:rPr>
                <w:b/>
                <w:sz w:val="20"/>
              </w:rPr>
            </w:pPr>
            <w:r>
              <w:rPr>
                <w:b/>
                <w:sz w:val="20"/>
              </w:rPr>
              <w:lastRenderedPageBreak/>
              <w:t>Schedule of documents</w:t>
            </w:r>
          </w:p>
        </w:tc>
      </w:tr>
      <w:tr>
        <w:tc>
          <w:tcPr>
            <w:tcW w:w="7230" w:type="dxa"/>
            <w:gridSpan w:val="4"/>
          </w:tcPr>
          <w:p>
            <w:pPr>
              <w:pStyle w:val="yTableNAm"/>
              <w:keepNext/>
              <w:spacing w:before="0"/>
              <w:rPr>
                <w:sz w:val="20"/>
              </w:rPr>
            </w:pPr>
            <w:r>
              <w:rPr>
                <w:sz w:val="20"/>
              </w:rPr>
              <w:t xml:space="preserve">The documents and things you must produce are as follows — </w:t>
            </w:r>
          </w:p>
          <w:p>
            <w:pPr>
              <w:pStyle w:val="yTableNAm"/>
              <w:spacing w:before="0"/>
              <w:rPr>
                <w:sz w:val="20"/>
              </w:rPr>
            </w:pPr>
            <w:r>
              <w:rPr>
                <w:sz w:val="20"/>
              </w:rPr>
              <w:t>[</w:t>
            </w:r>
            <w:r>
              <w:rPr>
                <w:i/>
                <w:sz w:val="20"/>
              </w:rPr>
              <w:t>List the documents or things and whether the original of any document is required. If insufficient space, attach list.</w:t>
            </w:r>
            <w:r>
              <w:rPr>
                <w:sz w:val="20"/>
              </w:rPr>
              <w:t>]</w:t>
            </w:r>
          </w:p>
        </w:tc>
      </w:tr>
      <w:tr>
        <w:tc>
          <w:tcPr>
            <w:tcW w:w="7230" w:type="dxa"/>
            <w:gridSpan w:val="4"/>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Leave to serve subpoena</w:t>
            </w:r>
          </w:p>
        </w:tc>
        <w:tc>
          <w:tcPr>
            <w:tcW w:w="5812" w:type="dxa"/>
            <w:gridSpan w:val="3"/>
          </w:tcPr>
          <w:p>
            <w:pPr>
              <w:pStyle w:val="yTableNAm"/>
              <w:spacing w:before="0"/>
              <w:ind w:left="369" w:hanging="369"/>
              <w:rPr>
                <w:sz w:val="20"/>
              </w:rPr>
            </w:pPr>
            <w:r>
              <w:rPr>
                <w:sz w:val="20"/>
              </w:rPr>
              <w:t>1.</w:t>
            </w:r>
            <w:r>
              <w:rPr>
                <w:sz w:val="20"/>
              </w:rPr>
              <w:tab/>
              <w:t xml:space="preserve">You need not comply with this subpoena unless it is accompanied by — </w:t>
            </w:r>
          </w:p>
          <w:p>
            <w:pPr>
              <w:pStyle w:val="yTableNAm"/>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spacing w:before="0"/>
              <w:ind w:left="794" w:hanging="425"/>
              <w:rPr>
                <w:sz w:val="20"/>
              </w:rPr>
            </w:pPr>
            <w:r>
              <w:rPr>
                <w:sz w:val="20"/>
              </w:rPr>
              <w:t>(b)</w:t>
            </w:r>
            <w:r>
              <w:rPr>
                <w:sz w:val="20"/>
              </w:rPr>
              <w:tab/>
              <w:t xml:space="preserve">a notice in the prescribed form that — </w:t>
            </w:r>
          </w:p>
          <w:p>
            <w:pPr>
              <w:pStyle w:val="yTableNAm"/>
              <w:spacing w:before="0"/>
              <w:ind w:left="1218" w:hanging="425"/>
              <w:rPr>
                <w:sz w:val="20"/>
              </w:rPr>
            </w:pPr>
            <w:r>
              <w:rPr>
                <w:sz w:val="20"/>
              </w:rPr>
              <w:t>(i)</w:t>
            </w:r>
            <w:r>
              <w:rPr>
                <w:sz w:val="20"/>
              </w:rPr>
              <w:tab/>
              <w:t>sets out your rights and obligations in relation to the subpoena; and</w:t>
            </w:r>
          </w:p>
          <w:p>
            <w:pPr>
              <w:pStyle w:val="yTableNAm"/>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spacing w:before="0"/>
              <w:rPr>
                <w:b/>
                <w:sz w:val="20"/>
              </w:rPr>
            </w:pPr>
            <w:r>
              <w:rPr>
                <w:b/>
                <w:sz w:val="20"/>
              </w:rPr>
              <w:t>Last day for service</w:t>
            </w:r>
          </w:p>
        </w:tc>
        <w:tc>
          <w:tcPr>
            <w:tcW w:w="5812" w:type="dxa"/>
            <w:gridSpan w:val="3"/>
          </w:tcPr>
          <w:p>
            <w:pPr>
              <w:pStyle w:val="yTableNAm"/>
              <w:keepNext/>
              <w:keepLines/>
              <w:widowControl w:val="0"/>
              <w:spacing w:before="0"/>
              <w:ind w:left="369" w:hanging="369"/>
              <w:rPr>
                <w:sz w:val="20"/>
              </w:rPr>
            </w:pPr>
            <w:r>
              <w:rPr>
                <w:sz w:val="20"/>
              </w:rPr>
              <w:t>2.</w:t>
            </w:r>
            <w:r>
              <w:rPr>
                <w:sz w:val="20"/>
              </w:rPr>
              <w:tab/>
              <w:t>You need not comply with this subpoena unless it is served on you on or before the date specified in it as the last date for service of this subpoena.</w:t>
            </w:r>
          </w:p>
        </w:tc>
      </w:tr>
      <w:tr>
        <w:tc>
          <w:tcPr>
            <w:tcW w:w="1418" w:type="dxa"/>
          </w:tcPr>
          <w:p>
            <w:pPr>
              <w:pStyle w:val="yTableNAm"/>
              <w:keepNext/>
              <w:spacing w:before="0"/>
              <w:rPr>
                <w:b/>
                <w:sz w:val="20"/>
              </w:rPr>
            </w:pPr>
            <w:r>
              <w:rPr>
                <w:b/>
                <w:sz w:val="20"/>
              </w:rPr>
              <w:t>Informal service</w:t>
            </w:r>
          </w:p>
        </w:tc>
        <w:tc>
          <w:tcPr>
            <w:tcW w:w="5812" w:type="dxa"/>
            <w:gridSpan w:val="3"/>
          </w:tcPr>
          <w:p>
            <w:pPr>
              <w:pStyle w:val="yTableNAm"/>
              <w:keepNext/>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812" w:type="dxa"/>
            <w:gridSpan w:val="3"/>
          </w:tcPr>
          <w:p>
            <w:pPr>
              <w:pStyle w:val="yTableNAm"/>
              <w:spacing w:before="0"/>
              <w:ind w:left="369" w:hanging="369"/>
              <w:rPr>
                <w:sz w:val="20"/>
              </w:rPr>
            </w:pPr>
            <w:r>
              <w:rPr>
                <w:sz w:val="20"/>
              </w:rPr>
              <w:t>4.</w:t>
            </w:r>
            <w:r>
              <w:rPr>
                <w:sz w:val="20"/>
              </w:rPr>
              <w:tab/>
              <w:t>If this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lastRenderedPageBreak/>
              <w:t>Production of subpoena or copy of it and documents or things by delivery or post</w:t>
            </w:r>
          </w:p>
        </w:tc>
        <w:tc>
          <w:tcPr>
            <w:tcW w:w="5812" w:type="dxa"/>
            <w:gridSpan w:val="3"/>
          </w:tcPr>
          <w:p>
            <w:pPr>
              <w:pStyle w:val="yTableNAm"/>
              <w:spacing w:before="0"/>
              <w:ind w:left="369" w:hanging="369"/>
              <w:rPr>
                <w:sz w:val="20"/>
              </w:rPr>
            </w:pPr>
            <w:r>
              <w:rPr>
                <w:sz w:val="20"/>
              </w:rPr>
              <w:t>5.</w:t>
            </w:r>
            <w:r>
              <w:rPr>
                <w:sz w:val="20"/>
              </w:rPr>
              <w:tab/>
              <w:t xml:space="preserve">Insofar as this subpoena requires you to attend and produce this subpoena or a copy of it and a document or thing, you may, instead of attending to produce the subpoena or a copy of it and the document or thing, comply with that requirement by delivering or posting the subpoena or a copy of it and the document or thing to — </w:t>
            </w:r>
          </w:p>
          <w:p>
            <w:pPr>
              <w:pStyle w:val="yTableNAm"/>
              <w:spacing w:before="0"/>
              <w:ind w:left="794" w:hanging="425"/>
              <w:rPr>
                <w:sz w:val="20"/>
              </w:rPr>
            </w:pPr>
            <w:r>
              <w:rPr>
                <w:sz w:val="20"/>
              </w:rPr>
              <w:t>(a)</w:t>
            </w:r>
            <w:r>
              <w:rPr>
                <w:sz w:val="20"/>
              </w:rPr>
              <w:tab/>
              <w:t>the Supreme Court at the address specified in the subpoena so that they are received not less than 2 clear days before the date specified in the subpoena for attendance and production; or</w:t>
            </w:r>
          </w:p>
          <w:p>
            <w:pPr>
              <w:pStyle w:val="yTableNAm"/>
              <w:spacing w:before="0"/>
              <w:ind w:left="794" w:hanging="425"/>
              <w:rPr>
                <w:sz w:val="20"/>
              </w:rPr>
            </w:pPr>
            <w:r>
              <w:rPr>
                <w:sz w:val="20"/>
              </w:rPr>
              <w:t>(b)</w:t>
            </w:r>
            <w:r>
              <w:rPr>
                <w:sz w:val="20"/>
              </w:rPr>
              <w:tab/>
              <w:t>the Registrar of the High Court of New Zealand at the address specified in the subpoena for the purpose, or if more than one address is specified, at any of those addresses, so that they are received not less than 10 clear days before the date specified in the subpoena for attendance and production.</w:t>
            </w:r>
          </w:p>
          <w:p>
            <w:pPr>
              <w:pStyle w:val="yTableNAm"/>
              <w:spacing w:before="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include a written notice to the Supreme Court of your objection and of the grounds of your objection.</w:t>
            </w:r>
          </w:p>
          <w:p>
            <w:pPr>
              <w:pStyle w:val="yTableNAm"/>
              <w:spacing w:before="0"/>
              <w:ind w:left="369" w:hanging="369"/>
              <w:rPr>
                <w:sz w:val="20"/>
              </w:rPr>
            </w:pPr>
            <w:r>
              <w:rPr>
                <w:sz w:val="20"/>
              </w:rPr>
              <w:t>7.</w:t>
            </w:r>
            <w:r>
              <w:rPr>
                <w:sz w:val="20"/>
              </w:rPr>
              <w:tab/>
              <w:t>Unless the Supreme Court otherwise orders, if you do not object to a document or thing produced by you in response to the subpoena being inspected by any party to the proceeding, a registrar of the Supreme Court may permit the parties to the proceeding to inspect the document or thing.</w:t>
            </w:r>
          </w:p>
        </w:tc>
      </w:tr>
      <w:tr>
        <w:tc>
          <w:tcPr>
            <w:tcW w:w="1418" w:type="dxa"/>
            <w:shd w:val="clear" w:color="auto" w:fill="auto"/>
          </w:tcPr>
          <w:p>
            <w:pPr>
              <w:pStyle w:val="yTableNAm"/>
              <w:spacing w:before="0"/>
              <w:rPr>
                <w:b/>
                <w:sz w:val="20"/>
              </w:rPr>
            </w:pPr>
            <w:r>
              <w:rPr>
                <w:b/>
                <w:sz w:val="20"/>
              </w:rPr>
              <w:t>Production of a number of documents or things</w:t>
            </w:r>
          </w:p>
        </w:tc>
        <w:tc>
          <w:tcPr>
            <w:tcW w:w="5812" w:type="dxa"/>
            <w:gridSpan w:val="3"/>
            <w:shd w:val="clear" w:color="auto" w:fill="auto"/>
          </w:tcPr>
          <w:p>
            <w:pPr>
              <w:pStyle w:val="yTableNAm"/>
              <w:spacing w:before="0"/>
              <w:ind w:left="369" w:hanging="369"/>
              <w:rPr>
                <w:sz w:val="20"/>
              </w:rPr>
            </w:pPr>
            <w:r>
              <w:rPr>
                <w:sz w:val="20"/>
              </w:rPr>
              <w:t>8.</w:t>
            </w:r>
            <w:r>
              <w:rPr>
                <w:sz w:val="20"/>
              </w:rPr>
              <w:tab/>
              <w:t>If you produce more than one document or thing, you must include with them a list of them.</w:t>
            </w:r>
          </w:p>
        </w:tc>
      </w:tr>
      <w:tr>
        <w:tc>
          <w:tcPr>
            <w:tcW w:w="1418" w:type="dxa"/>
          </w:tcPr>
          <w:p>
            <w:pPr>
              <w:pStyle w:val="yTableNAm"/>
              <w:spacing w:before="0"/>
              <w:rPr>
                <w:b/>
                <w:sz w:val="20"/>
              </w:rPr>
            </w:pPr>
            <w:r>
              <w:rPr>
                <w:b/>
                <w:sz w:val="20"/>
              </w:rPr>
              <w:t>Production of copy instead of original</w:t>
            </w:r>
          </w:p>
        </w:tc>
        <w:tc>
          <w:tcPr>
            <w:tcW w:w="5812" w:type="dxa"/>
            <w:gridSpan w:val="3"/>
          </w:tcPr>
          <w:p>
            <w:pPr>
              <w:pStyle w:val="yTableNAm"/>
              <w:spacing w:before="0"/>
              <w:ind w:left="369" w:hanging="369"/>
              <w:rPr>
                <w:sz w:val="20"/>
              </w:rPr>
            </w:pPr>
            <w:r>
              <w:rPr>
                <w:sz w:val="20"/>
              </w:rPr>
              <w:t>9.</w:t>
            </w:r>
            <w:r>
              <w:rPr>
                <w:sz w:val="20"/>
              </w:rPr>
              <w:tab/>
              <w:t>Unless the Schedule of documents says the original of a document listed in the Schedule is required, you may produce a copy of it instead.</w:t>
            </w:r>
          </w:p>
          <w:p>
            <w:pPr>
              <w:pStyle w:val="yTableNAm"/>
              <w:spacing w:before="0"/>
              <w:ind w:left="369" w:hanging="369"/>
              <w:rPr>
                <w:sz w:val="20"/>
              </w:rPr>
            </w:pPr>
            <w:r>
              <w:rPr>
                <w:sz w:val="20"/>
              </w:rPr>
              <w:t>10.</w:t>
            </w:r>
            <w:r>
              <w:rPr>
                <w:sz w:val="20"/>
              </w:rPr>
              <w:tab/>
              <w:t>The copy of a document may be:</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tcPr>
          <w:p>
            <w:pPr>
              <w:pStyle w:val="yTableNAm"/>
              <w:spacing w:before="0"/>
              <w:rPr>
                <w:b/>
                <w:sz w:val="20"/>
              </w:rPr>
            </w:pPr>
            <w:r>
              <w:rPr>
                <w:b/>
                <w:sz w:val="20"/>
              </w:rPr>
              <w:lastRenderedPageBreak/>
              <w:t>Return or destruction of documents or copies</w:t>
            </w:r>
          </w:p>
        </w:tc>
        <w:tc>
          <w:tcPr>
            <w:tcW w:w="5812" w:type="dxa"/>
            <w:gridSpan w:val="3"/>
          </w:tcPr>
          <w:p>
            <w:pPr>
              <w:pStyle w:val="yTableNAm"/>
              <w:spacing w:before="0"/>
              <w:ind w:left="369" w:hanging="369"/>
              <w:rPr>
                <w:sz w:val="20"/>
              </w:rPr>
            </w:pPr>
            <w:r>
              <w:rPr>
                <w:sz w:val="20"/>
              </w:rPr>
              <w:t>11.</w:t>
            </w:r>
            <w:r>
              <w:rPr>
                <w:sz w:val="20"/>
              </w:rPr>
              <w:tab/>
              <w:t>You may, at the time of production, include a written notice to the Supreme Court that any document or copy of a document produced need not be returned and may be destroyed.</w:t>
            </w:r>
          </w:p>
          <w:p>
            <w:pPr>
              <w:pStyle w:val="yTableNAm"/>
              <w:spacing w:before="0"/>
              <w:ind w:left="369" w:hanging="369"/>
              <w:rPr>
                <w:sz w:val="20"/>
              </w:rPr>
            </w:pPr>
            <w:r>
              <w:rPr>
                <w:sz w:val="20"/>
              </w:rPr>
              <w:t>12.</w:t>
            </w:r>
            <w:r>
              <w:rPr>
                <w:sz w:val="20"/>
              </w:rPr>
              <w:tab/>
              <w:t>If you have so notified the Court, a registrar of the Supreme Court may destroy the document or copy instead of returning it to you.</w:t>
            </w:r>
          </w:p>
        </w:tc>
      </w:tr>
      <w:tr>
        <w:tc>
          <w:tcPr>
            <w:tcW w:w="1418" w:type="dxa"/>
          </w:tcPr>
          <w:p>
            <w:pPr>
              <w:pStyle w:val="yTableNAm"/>
              <w:spacing w:before="0"/>
              <w:rPr>
                <w:b/>
                <w:sz w:val="20"/>
              </w:rPr>
            </w:pPr>
            <w:r>
              <w:rPr>
                <w:b/>
                <w:sz w:val="20"/>
              </w:rPr>
              <w:t>Applications in relation to subpoena</w:t>
            </w:r>
          </w:p>
        </w:tc>
        <w:tc>
          <w:tcPr>
            <w:tcW w:w="5812" w:type="dxa"/>
            <w:gridSpan w:val="3"/>
          </w:tcPr>
          <w:p>
            <w:pPr>
              <w:pStyle w:val="yTableNAm"/>
              <w:spacing w:before="0"/>
              <w:ind w:left="369" w:hanging="369"/>
              <w:rPr>
                <w:sz w:val="20"/>
              </w:rPr>
            </w:pPr>
            <w:r>
              <w:rPr>
                <w:sz w:val="20"/>
              </w:rPr>
              <w:t>13.</w:t>
            </w:r>
            <w:r>
              <w:rPr>
                <w:sz w:val="20"/>
              </w:rPr>
              <w:tab/>
              <w:t>You have the right to apply to the Supreme Court for an order with respect to any claim for privilege, public interest immunity or confidentiality in relation to any document or thing the subject of this subpoena.</w:t>
            </w:r>
          </w:p>
        </w:tc>
      </w:tr>
      <w:tr>
        <w:trPr>
          <w:cantSplit/>
        </w:trPr>
        <w:tc>
          <w:tcPr>
            <w:tcW w:w="1418" w:type="dxa"/>
          </w:tcPr>
          <w:p>
            <w:pPr>
              <w:pStyle w:val="yTableNAm"/>
              <w:spacing w:before="0"/>
              <w:rPr>
                <w:b/>
                <w:sz w:val="20"/>
              </w:rPr>
            </w:pPr>
            <w:r>
              <w:rPr>
                <w:b/>
                <w:sz w:val="20"/>
              </w:rPr>
              <w:t>Loss or expense of compliance</w:t>
            </w:r>
          </w:p>
        </w:tc>
        <w:tc>
          <w:tcPr>
            <w:tcW w:w="5812" w:type="dxa"/>
            <w:gridSpan w:val="3"/>
          </w:tcPr>
          <w:p>
            <w:pPr>
              <w:pStyle w:val="yTableNAm"/>
              <w:spacing w:before="0"/>
              <w:ind w:left="369" w:hanging="369"/>
              <w:rPr>
                <w:sz w:val="20"/>
              </w:rPr>
            </w:pPr>
            <w:r>
              <w:rPr>
                <w:sz w:val="20"/>
              </w:rPr>
              <w:t>14.</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this subpoena.</w:t>
            </w:r>
          </w:p>
        </w:tc>
      </w:tr>
      <w:tr>
        <w:trPr>
          <w:cantSplit/>
        </w:trPr>
        <w:tc>
          <w:tcPr>
            <w:tcW w:w="1418" w:type="dxa"/>
          </w:tcPr>
          <w:p>
            <w:pPr>
              <w:pStyle w:val="yTableNAm"/>
              <w:spacing w:before="0"/>
              <w:rPr>
                <w:b/>
                <w:sz w:val="20"/>
              </w:rPr>
            </w:pPr>
            <w:r>
              <w:rPr>
                <w:b/>
                <w:sz w:val="20"/>
              </w:rPr>
              <w:t xml:space="preserve">Contempt of court—arrest  </w:t>
            </w:r>
          </w:p>
        </w:tc>
        <w:tc>
          <w:tcPr>
            <w:tcW w:w="5812" w:type="dxa"/>
            <w:gridSpan w:val="3"/>
          </w:tcPr>
          <w:p>
            <w:pPr>
              <w:pStyle w:val="yTableNAm"/>
              <w:spacing w:before="0"/>
              <w:ind w:left="369" w:hanging="369"/>
              <w:rPr>
                <w:sz w:val="20"/>
              </w:rPr>
            </w:pPr>
            <w:r>
              <w:rPr>
                <w:sz w:val="20"/>
              </w:rPr>
              <w:t>15.</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spacing w:before="0"/>
              <w:ind w:left="369" w:hanging="369"/>
              <w:rPr>
                <w:sz w:val="20"/>
              </w:rPr>
            </w:pPr>
            <w:r>
              <w:rPr>
                <w:sz w:val="20"/>
              </w:rPr>
              <w:t>16.</w:t>
            </w:r>
            <w:r>
              <w:rPr>
                <w:sz w:val="20"/>
              </w:rPr>
              <w:tab/>
              <w:t>Note 15 is without prejudice to any other power to enforce compliance with a subpoena.</w:t>
            </w:r>
          </w:p>
        </w:tc>
      </w:tr>
    </w:tbl>
    <w:p>
      <w:pPr>
        <w:pStyle w:val="PermNoteHeading"/>
        <w:tabs>
          <w:tab w:val="left" w:pos="567"/>
          <w:tab w:val="left" w:pos="1276"/>
        </w:tabs>
        <w:rPr>
          <w:szCs w:val="18"/>
        </w:rPr>
      </w:pPr>
      <w:r>
        <w:rPr>
          <w:szCs w:val="18"/>
        </w:rPr>
        <w:t>Footnotes to Form 23B —</w:t>
      </w:r>
    </w:p>
    <w:p>
      <w:pPr>
        <w:pStyle w:val="PermNotePara"/>
        <w:tabs>
          <w:tab w:val="clear" w:pos="1843"/>
          <w:tab w:val="left" w:pos="567"/>
        </w:tabs>
        <w:rPr>
          <w:szCs w:val="18"/>
        </w:rPr>
      </w:pPr>
      <w:r>
        <w:rPr>
          <w:szCs w:val="18"/>
        </w:rPr>
        <w:t>*</w:t>
      </w:r>
      <w:r>
        <w:rPr>
          <w:szCs w:val="18"/>
        </w:rPr>
        <w:tab/>
        <w:t>Delete the inapplicable.</w:t>
      </w:r>
    </w:p>
    <w:p>
      <w:pPr>
        <w:pStyle w:val="PermNotePara"/>
        <w:tabs>
          <w:tab w:val="clear" w:pos="1843"/>
          <w:tab w:val="left" w:pos="567"/>
        </w:tabs>
        <w:ind w:left="567" w:hanging="567"/>
        <w:rPr>
          <w:szCs w:val="18"/>
        </w:rPr>
      </w:pPr>
      <w:r>
        <w:rPr>
          <w:szCs w:val="18"/>
        </w:rPr>
        <w:t>1.</w:t>
      </w:r>
      <w:r>
        <w:rPr>
          <w:szCs w:val="18"/>
        </w:rPr>
        <w:tab/>
        <w:t>If there is more than one of any party, include the additional parties’ names and types of party in a schedule to the subpoena.</w:t>
      </w:r>
    </w:p>
    <w:p>
      <w:pPr>
        <w:pStyle w:val="yFootnotesection"/>
      </w:pPr>
      <w:r>
        <w:tab/>
        <w:t>[Form 23B inserted: Gazette 24 May 2017 p. 2599</w:t>
      </w:r>
      <w:r>
        <w:noBreakHyphen/>
        <w:t>606; amended: Gazette 27 Feb 2018 p. 622</w:t>
      </w:r>
      <w:r>
        <w:noBreakHyphen/>
        <w:t>3.]</w:t>
      </w:r>
    </w:p>
    <w:p>
      <w:pPr>
        <w:pStyle w:val="yEdnotedivision"/>
        <w:outlineLvl w:val="9"/>
      </w:pPr>
      <w:r>
        <w:t>[Form 24 deleted: Gazette 21 Feb 2007 p. 546.]</w:t>
      </w:r>
    </w:p>
    <w:p>
      <w:pPr>
        <w:pStyle w:val="yHeading5"/>
        <w:keepNext w:val="0"/>
        <w:keepLines w:val="0"/>
        <w:pageBreakBefore/>
        <w:widowControl w:val="0"/>
        <w:spacing w:before="0" w:after="120"/>
      </w:pPr>
      <w:bookmarkStart w:id="1608" w:name="_Toc163121832"/>
      <w:r>
        <w:rPr>
          <w:rStyle w:val="CharSClsNo"/>
        </w:rPr>
        <w:lastRenderedPageBreak/>
        <w:t>25</w:t>
      </w:r>
      <w:r>
        <w:t>.</w:t>
      </w:r>
      <w:r>
        <w:rPr>
          <w:b w:val="0"/>
        </w:rPr>
        <w:tab/>
      </w:r>
      <w:r>
        <w:t>Order for examination of witness before trial (O. 38 r. 1)</w:t>
      </w:r>
      <w:bookmarkEnd w:id="1608"/>
    </w:p>
    <w:p>
      <w:pPr>
        <w:pStyle w:val="yMiscellaneousBody"/>
        <w:spacing w:before="120" w:after="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Before</w:t>
      </w:r>
      <w:r>
        <w:rPr>
          <w:sz w:val="20"/>
        </w:rPr>
        <w:br/>
        <w:t>in chambers.</w:t>
      </w:r>
    </w:p>
    <w:p>
      <w:pPr>
        <w:pStyle w:val="yMiscellaneousBody"/>
        <w:spacing w:before="120"/>
        <w:rPr>
          <w:sz w:val="20"/>
        </w:rPr>
      </w:pPr>
      <w:r>
        <w:rPr>
          <w:sz w:val="20"/>
        </w:rPr>
        <w:t>On hearing [the solicitors on both sides] and on reading the affidavit of</w:t>
      </w:r>
      <w:r>
        <w:rPr>
          <w:sz w:val="20"/>
        </w:rPr>
        <w:br/>
        <w:t xml:space="preserve">                                   filed herein the                           day of                             20       ,</w:t>
      </w:r>
    </w:p>
    <w:p>
      <w:pPr>
        <w:pStyle w:val="yMiscellaneousBody"/>
        <w:spacing w:before="120"/>
        <w:rPr>
          <w:sz w:val="20"/>
        </w:rPr>
      </w:pPr>
      <w:r>
        <w:rPr>
          <w:sz w:val="20"/>
        </w:rPr>
        <w:t>It is ordered that E.F. of                                 a witness on behalf of the</w:t>
      </w:r>
      <w:r>
        <w:rPr>
          <w:sz w:val="20"/>
        </w:rPr>
        <w:b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w:t>
      </w:r>
      <w:r>
        <w:rPr>
          <w:sz w:val="20"/>
        </w:rPr>
        <w:br/>
        <w:t xml:space="preserve">              days notice in writing of the time and place where the examination is to take place.</w:t>
      </w:r>
    </w:p>
    <w:p>
      <w:pPr>
        <w:pStyle w:val="yMiscellaneousBody"/>
        <w:spacing w:before="120"/>
        <w:rPr>
          <w:sz w:val="20"/>
        </w:rPr>
      </w:pPr>
      <w:r>
        <w:rPr>
          <w:sz w:val="20"/>
        </w:rPr>
        <w:t xml:space="preserve">And it is further ordered that the depositions taken at the examination be filed, and that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pPr>
        <w:pStyle w:val="yMiscellaneousBody"/>
        <w:spacing w:before="120"/>
        <w:rPr>
          <w:sz w:val="20"/>
        </w:rPr>
      </w:pPr>
      <w:r>
        <w:rPr>
          <w:sz w:val="20"/>
        </w:rPr>
        <w:t>Dated the           day of                           20     .</w:t>
      </w:r>
    </w:p>
    <w:p>
      <w:pPr>
        <w:pStyle w:val="yFootnotesection"/>
      </w:pPr>
      <w:r>
        <w:tab/>
        <w:t>[Form 25 amended: Gazette 9 Nov 1973 p. 4165; 30 Nov 1984 p. 3954; 28 Jun 2011 p. 2558; 27 Feb 2018 p. 623.]</w:t>
      </w:r>
    </w:p>
    <w:p>
      <w:pPr>
        <w:pStyle w:val="yHeading5"/>
        <w:keepNext w:val="0"/>
        <w:keepLines w:val="0"/>
        <w:pageBreakBefore/>
        <w:widowControl w:val="0"/>
        <w:spacing w:before="0" w:after="120"/>
      </w:pPr>
      <w:bookmarkStart w:id="1609" w:name="_Toc163121833"/>
      <w:r>
        <w:rPr>
          <w:rStyle w:val="CharSClsNo"/>
        </w:rPr>
        <w:lastRenderedPageBreak/>
        <w:t>26</w:t>
      </w:r>
      <w:r>
        <w:t>.</w:t>
      </w:r>
      <w:r>
        <w:rPr>
          <w:b w:val="0"/>
        </w:rPr>
        <w:tab/>
      </w:r>
      <w:r>
        <w:rPr>
          <w:i/>
        </w:rPr>
        <w:t xml:space="preserve">Evidence Act 1906 </w:t>
      </w:r>
      <w:r>
        <w:t>s. 110 or 111, order under (O. 38A r. 5)</w:t>
      </w:r>
      <w:bookmarkEnd w:id="1609"/>
    </w:p>
    <w:p>
      <w:pPr>
        <w:pStyle w:val="yMiscellaneousBody"/>
        <w:spacing w:before="120"/>
        <w:rPr>
          <w:sz w:val="20"/>
        </w:rPr>
      </w:pPr>
      <w:r>
        <w:rPr>
          <w:sz w:val="20"/>
        </w:rPr>
        <w:t>[HEADING]</w:t>
      </w:r>
    </w:p>
    <w:p>
      <w:pPr>
        <w:pStyle w:val="yMiscellaneousBody"/>
        <w:spacing w:before="120"/>
        <w:rPr>
          <w:sz w:val="20"/>
        </w:rPr>
      </w:pPr>
      <w:r>
        <w:rPr>
          <w:sz w:val="20"/>
        </w:rPr>
        <w:t>On the application of ..................................................., and after reading the affidavit of ....................................... dated ................................. and hearing .....................................,</w:t>
      </w:r>
    </w:p>
    <w:p>
      <w:pPr>
        <w:pStyle w:val="yMiscellaneousBody"/>
        <w:spacing w:before="120"/>
        <w:rPr>
          <w:sz w:val="20"/>
        </w:rPr>
      </w:pPr>
      <w:r>
        <w:rPr>
          <w:sz w:val="20"/>
        </w:rPr>
        <w:t>IT IS ORDERED THAT —</w:t>
      </w:r>
    </w:p>
    <w:p>
      <w:pPr>
        <w:pStyle w:val="yMiscellaneousBody"/>
        <w:spacing w:before="120"/>
        <w:ind w:left="480" w:hanging="480"/>
        <w:rPr>
          <w:sz w:val="20"/>
        </w:rPr>
      </w:pPr>
      <w:r>
        <w:rPr>
          <w:sz w:val="20"/>
        </w:rPr>
        <w:t>1.</w:t>
      </w:r>
      <w:r>
        <w:rPr>
          <w:sz w:val="20"/>
        </w:rPr>
        <w:tab/>
        <w:t>AB (“the examiner”) is hereby appointed to examine CD (“the witness”) on oath or affirmation.</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commission shall be issued to AB (“the examiner”) for the examination of CD (“the witness”) on oath or affirmation.</w:t>
      </w:r>
    </w:p>
    <w:p>
      <w:pPr>
        <w:pStyle w:val="yMiscellaneousBody"/>
        <w:spacing w:before="120"/>
        <w:ind w:left="480" w:hanging="480"/>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 days before the appointed time.</w:t>
      </w:r>
    </w:p>
    <w:p>
      <w:pPr>
        <w:pStyle w:val="yMiscellaneousBody"/>
        <w:spacing w:before="120"/>
        <w:ind w:left="480" w:hanging="480"/>
        <w:rPr>
          <w:sz w:val="20"/>
        </w:rPr>
      </w:pPr>
      <w:r>
        <w:rPr>
          <w:sz w:val="20"/>
        </w:rPr>
        <w:t>3.</w:t>
      </w:r>
      <w:r>
        <w:rPr>
          <w:sz w:val="20"/>
        </w:rPr>
        <w:tab/>
        <w:t>The examiner may invite but must not exercise any powers to compel the witness to attend and to produce documents.</w:t>
      </w:r>
    </w:p>
    <w:p>
      <w:pPr>
        <w:pStyle w:val="yMiscellaneousBody"/>
        <w:spacing w:before="120"/>
        <w:ind w:left="480" w:hanging="480"/>
        <w:rPr>
          <w:sz w:val="20"/>
        </w:rPr>
      </w:pPr>
      <w:r>
        <w:rPr>
          <w:sz w:val="20"/>
        </w:rPr>
        <w:t>4.</w:t>
      </w:r>
      <w:r>
        <w:rPr>
          <w:sz w:val="20"/>
        </w:rPr>
        <w:tab/>
        <w:t>The examination must be in the following manner —</w:t>
      </w:r>
    </w:p>
    <w:p>
      <w:pPr>
        <w:pStyle w:val="yMiscellaneousBody"/>
        <w:spacing w:before="120"/>
        <w:ind w:left="480" w:hanging="480"/>
        <w:rPr>
          <w:sz w:val="20"/>
        </w:rPr>
      </w:pPr>
      <w:r>
        <w:rPr>
          <w:sz w:val="20"/>
        </w:rPr>
        <w:tab/>
        <w:t>(set out the manner of the examination either specifically or by reference to the rules)</w:t>
      </w:r>
    </w:p>
    <w:p>
      <w:pPr>
        <w:pStyle w:val="yMiscellaneousBody"/>
        <w:spacing w:before="120"/>
        <w:ind w:left="480" w:hanging="480"/>
        <w:rPr>
          <w:sz w:val="20"/>
        </w:rPr>
      </w:pPr>
      <w:r>
        <w:rPr>
          <w:sz w:val="20"/>
        </w:rPr>
        <w:t>5.</w:t>
      </w:r>
      <w:r>
        <w:rPr>
          <w:sz w:val="20"/>
        </w:rPr>
        <w:tab/>
        <w:t xml:space="preserve">The examiner shall — </w:t>
      </w:r>
    </w:p>
    <w:p>
      <w:pPr>
        <w:pStyle w:val="yMiscellaneousBody"/>
        <w:tabs>
          <w:tab w:val="left" w:pos="480"/>
        </w:tabs>
        <w:spacing w:before="60"/>
        <w:ind w:left="958" w:hanging="958"/>
        <w:rPr>
          <w:sz w:val="20"/>
        </w:rPr>
      </w:pPr>
      <w:r>
        <w:rPr>
          <w:sz w:val="20"/>
        </w:rPr>
        <w:tab/>
        <w:t>(a)</w:t>
      </w:r>
      <w:r>
        <w:rPr>
          <w:sz w:val="20"/>
        </w:rPr>
        <w:tab/>
        <w:t>put the evidence of the witness into writing; and</w:t>
      </w:r>
    </w:p>
    <w:p>
      <w:pPr>
        <w:pStyle w:val="yMiscellaneousBody"/>
        <w:tabs>
          <w:tab w:val="left" w:pos="480"/>
        </w:tabs>
        <w:spacing w:before="60"/>
        <w:ind w:left="958" w:hanging="958"/>
        <w:rPr>
          <w:sz w:val="20"/>
        </w:rPr>
      </w:pPr>
      <w:r>
        <w:rPr>
          <w:sz w:val="20"/>
        </w:rPr>
        <w:tab/>
        <w:t>(b)</w:t>
      </w:r>
      <w:r>
        <w:rPr>
          <w:sz w:val="20"/>
        </w:rPr>
        <w:tab/>
        <w:t>appropriately mark for identification any document produced by the witness; and</w:t>
      </w:r>
    </w:p>
    <w:p>
      <w:pPr>
        <w:pStyle w:val="yMiscellaneousBody"/>
        <w:tabs>
          <w:tab w:val="left" w:pos="480"/>
        </w:tabs>
        <w:spacing w:before="60"/>
        <w:ind w:left="958" w:hanging="958"/>
        <w:rPr>
          <w:sz w:val="20"/>
        </w:rPr>
      </w:pPr>
      <w:r>
        <w:rPr>
          <w:sz w:val="20"/>
        </w:rPr>
        <w:tab/>
        <w:t>(c)</w:t>
      </w:r>
      <w:r>
        <w:rPr>
          <w:sz w:val="20"/>
        </w:rPr>
        <w:tab/>
        <w:t>certify the written evidence as being the evidence of the witness; and</w:t>
      </w:r>
    </w:p>
    <w:p>
      <w:pPr>
        <w:pStyle w:val="yMiscellaneousBody"/>
        <w:tabs>
          <w:tab w:val="left" w:pos="480"/>
        </w:tabs>
        <w:spacing w:before="60"/>
        <w:ind w:left="958" w:hanging="958"/>
        <w:rPr>
          <w:sz w:val="20"/>
        </w:rPr>
      </w:pPr>
      <w:r>
        <w:rPr>
          <w:sz w:val="20"/>
        </w:rPr>
        <w:tab/>
        <w:t>(d)</w:t>
      </w:r>
      <w:r>
        <w:rPr>
          <w:sz w:val="20"/>
        </w:rPr>
        <w:tab/>
        <w:t>send the written evidence and any document produced by registered or certified post to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Supreme Court of Western Australia</w:t>
      </w:r>
    </w:p>
    <w:p>
      <w:pPr>
        <w:pStyle w:val="yMiscellaneousBody"/>
        <w:spacing w:before="0"/>
        <w:ind w:left="1440"/>
        <w:rPr>
          <w:sz w:val="20"/>
        </w:rPr>
      </w:pPr>
      <w:r>
        <w:rPr>
          <w:sz w:val="20"/>
        </w:rPr>
        <w:t>PERTH</w:t>
      </w:r>
    </w:p>
    <w:p>
      <w:pPr>
        <w:pStyle w:val="yMiscellaneousBody"/>
        <w:spacing w:before="0"/>
        <w:ind w:left="1440"/>
        <w:rPr>
          <w:sz w:val="20"/>
        </w:rPr>
      </w:pPr>
      <w:r>
        <w:rPr>
          <w:sz w:val="20"/>
        </w:rPr>
        <w:t>Western Australia 6000</w:t>
      </w:r>
    </w:p>
    <w:p>
      <w:pPr>
        <w:pStyle w:val="yMiscellaneousBody"/>
        <w:spacing w:before="120"/>
        <w:ind w:left="480" w:hanging="480"/>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lastRenderedPageBreak/>
        <w:t>7.</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8.</w:t>
      </w:r>
      <w:r>
        <w:rPr>
          <w:sz w:val="20"/>
        </w:rPr>
        <w:tab/>
        <w:t>The costs of and incidental to the application for this order and to the examination shall be costs in the cause.</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letter of request shall be issued to (name of judicial authority in a place outside the State) to take, or to cause to be taken, the evidence of CD (“the witness”).</w:t>
      </w:r>
    </w:p>
    <w:p>
      <w:pPr>
        <w:pStyle w:val="yMiscellaneousBody"/>
        <w:spacing w:before="120"/>
        <w:ind w:left="480" w:hanging="480"/>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4.</w:t>
      </w:r>
      <w:r>
        <w:rPr>
          <w:sz w:val="20"/>
        </w:rPr>
        <w:tab/>
        <w:t>The costs of and incidental to the application for this order and to the issue of the letter of request shall be costs in the cause.</w:t>
      </w:r>
    </w:p>
    <w:p>
      <w:pPr>
        <w:pStyle w:val="yMiscellaneousBody"/>
        <w:tabs>
          <w:tab w:val="right" w:pos="7080"/>
        </w:tabs>
        <w:spacing w:before="120"/>
        <w:rPr>
          <w:sz w:val="20"/>
        </w:rPr>
      </w:pPr>
      <w:r>
        <w:rPr>
          <w:sz w:val="20"/>
        </w:rPr>
        <w:t>Dated:</w:t>
      </w:r>
      <w:r>
        <w:rPr>
          <w:sz w:val="20"/>
        </w:rPr>
        <w:tab/>
        <w:t>BY THE COURT</w:t>
      </w:r>
    </w:p>
    <w:p>
      <w:pPr>
        <w:pStyle w:val="yMiscellaneousBody"/>
        <w:tabs>
          <w:tab w:val="right" w:pos="7080"/>
        </w:tabs>
        <w:spacing w:before="120"/>
        <w:rPr>
          <w:sz w:val="20"/>
        </w:rPr>
      </w:pPr>
      <w:r>
        <w:rPr>
          <w:sz w:val="20"/>
        </w:rPr>
        <w:t>[L.S.]</w:t>
      </w:r>
      <w:r>
        <w:rPr>
          <w:sz w:val="20"/>
        </w:rPr>
        <w:tab/>
        <w:t>Registrar.</w:t>
      </w:r>
    </w:p>
    <w:p>
      <w:pPr>
        <w:pStyle w:val="yFootnotesection"/>
      </w:pPr>
      <w:r>
        <w:tab/>
        <w:t>[Form 26 inserted: Gazette 8 Feb 1991 p. 584</w:t>
      </w:r>
      <w:r>
        <w:noBreakHyphen/>
        <w:t>5; amended: Gazette 28 Jun 2011 p. 2558.]</w:t>
      </w:r>
    </w:p>
    <w:p>
      <w:pPr>
        <w:pStyle w:val="yEdnotedivision"/>
        <w:outlineLvl w:val="9"/>
      </w:pPr>
      <w:r>
        <w:t>[Form 27 deleted: Gazette 8 Feb 1991 p. 585.]</w:t>
      </w:r>
    </w:p>
    <w:p>
      <w:pPr>
        <w:pStyle w:val="yHeading5"/>
        <w:keepNext w:val="0"/>
        <w:keepLines w:val="0"/>
        <w:pageBreakBefore/>
        <w:widowControl w:val="0"/>
        <w:spacing w:before="0" w:after="120"/>
      </w:pPr>
      <w:bookmarkStart w:id="1610" w:name="_Toc163121834"/>
      <w:r>
        <w:rPr>
          <w:rStyle w:val="CharSClsNo"/>
        </w:rPr>
        <w:lastRenderedPageBreak/>
        <w:t>28</w:t>
      </w:r>
      <w:r>
        <w:t>.</w:t>
      </w:r>
      <w:r>
        <w:rPr>
          <w:b w:val="0"/>
        </w:rPr>
        <w:tab/>
      </w:r>
      <w:r>
        <w:t>Letter of request (O. 38A r. 3(4))</w:t>
      </w:r>
      <w:bookmarkEnd w:id="1610"/>
    </w:p>
    <w:p>
      <w:pPr>
        <w:pStyle w:val="yMiscellaneousBody"/>
        <w:spacing w:before="240"/>
        <w:rPr>
          <w:sz w:val="20"/>
        </w:rPr>
      </w:pPr>
      <w:r>
        <w:rPr>
          <w:sz w:val="20"/>
        </w:rPr>
        <w:t>TO: (name of judicial authority in place outside the State)</w:t>
      </w:r>
    </w:p>
    <w:p>
      <w:pPr>
        <w:pStyle w:val="yMiscellaneousBody"/>
        <w:spacing w:before="120"/>
        <w:rPr>
          <w:sz w:val="20"/>
        </w:rPr>
      </w:pPr>
      <w:r>
        <w:rPr>
          <w:sz w:val="20"/>
        </w:rPr>
        <w:t>I, .................................................................. Principal Registrar of the Supreme Court of Western Australia, respectfully request your assistance/the assistance of your court with regard to the following matters.</w:t>
      </w:r>
    </w:p>
    <w:p>
      <w:pPr>
        <w:pStyle w:val="yMiscellaneousBody"/>
        <w:spacing w:before="120"/>
        <w:ind w:left="480" w:hanging="480"/>
        <w:rPr>
          <w:sz w:val="20"/>
        </w:rPr>
      </w:pPr>
      <w:r>
        <w:rPr>
          <w:sz w:val="20"/>
        </w:rPr>
        <w:t>1.</w:t>
      </w:r>
      <w:r>
        <w:rPr>
          <w:sz w:val="20"/>
        </w:rPr>
        <w:tab/>
        <w:t>There are before the Supreme Court of Western Australia/before (name of inferior court in W.A.) civil/criminal proceedings entitled as follows —</w:t>
      </w:r>
    </w:p>
    <w:p>
      <w:pPr>
        <w:pStyle w:val="yMiscellaneousBody"/>
        <w:spacing w:before="120"/>
        <w:ind w:left="840" w:hanging="480"/>
        <w:rPr>
          <w:sz w:val="20"/>
        </w:rPr>
      </w:pPr>
      <w:r>
        <w:rPr>
          <w:sz w:val="20"/>
        </w:rPr>
        <w:tab/>
        <w:t>(set out full title and action no.) between — (name parties, their descriptions — plaintiff etc. — and their addresses).</w:t>
      </w:r>
    </w:p>
    <w:p>
      <w:pPr>
        <w:pStyle w:val="yMiscellaneousBody"/>
        <w:spacing w:before="120"/>
        <w:ind w:left="480" w:hanging="480"/>
        <w:rPr>
          <w:sz w:val="20"/>
        </w:rPr>
      </w:pPr>
      <w:r>
        <w:rPr>
          <w:sz w:val="20"/>
        </w:rPr>
        <w:t>2.</w:t>
      </w:r>
      <w:r>
        <w:rPr>
          <w:sz w:val="20"/>
        </w:rPr>
        <w:tab/>
        <w:t>The names and addresses of the representatives or agents of the parties are as follows —</w:t>
      </w:r>
    </w:p>
    <w:p>
      <w:pPr>
        <w:pStyle w:val="yMiscellaneousBody"/>
        <w:spacing w:before="120"/>
        <w:ind w:left="840" w:hanging="480"/>
        <w:rPr>
          <w:sz w:val="20"/>
        </w:rPr>
      </w:pPr>
      <w:r>
        <w:rPr>
          <w:sz w:val="20"/>
        </w:rPr>
        <w:tab/>
        <w:t>(set out names and addresses.)</w:t>
      </w:r>
    </w:p>
    <w:p>
      <w:pPr>
        <w:pStyle w:val="yMiscellaneousBody"/>
        <w:spacing w:before="120"/>
        <w:ind w:left="480" w:hanging="480"/>
        <w:rPr>
          <w:sz w:val="20"/>
        </w:rPr>
      </w:pPr>
      <w:r>
        <w:rPr>
          <w:sz w:val="20"/>
        </w:rPr>
        <w:t>3.</w:t>
      </w:r>
      <w:r>
        <w:rPr>
          <w:sz w:val="20"/>
        </w:rPr>
        <w:tab/>
        <w:t>The proceedings concern —</w:t>
      </w:r>
    </w:p>
    <w:p>
      <w:pPr>
        <w:pStyle w:val="yMiscellaneousBody"/>
        <w:spacing w:before="120"/>
        <w:ind w:left="840" w:hanging="480"/>
        <w:rPr>
          <w:sz w:val="20"/>
        </w:rPr>
      </w:pPr>
      <w:r>
        <w:rPr>
          <w:sz w:val="20"/>
        </w:rPr>
        <w:tab/>
        <w:t>(set out —</w:t>
      </w:r>
    </w:p>
    <w:p>
      <w:pPr>
        <w:pStyle w:val="yMiscellaneousBody"/>
        <w:tabs>
          <w:tab w:val="left" w:pos="1200"/>
        </w:tabs>
        <w:spacing w:before="120"/>
        <w:ind w:left="1680" w:hanging="1680"/>
        <w:rPr>
          <w:sz w:val="20"/>
        </w:rPr>
      </w:pPr>
      <w:r>
        <w:rPr>
          <w:sz w:val="20"/>
        </w:rPr>
        <w:tab/>
        <w:t>(a)</w:t>
      </w:r>
      <w:r>
        <w:rPr>
          <w:sz w:val="20"/>
        </w:rPr>
        <w:tab/>
        <w:t>the nature of the proceedings; and</w:t>
      </w:r>
    </w:p>
    <w:p>
      <w:pPr>
        <w:pStyle w:val="yMiscellaneousBody"/>
        <w:tabs>
          <w:tab w:val="left" w:pos="1200"/>
        </w:tabs>
        <w:spacing w:before="120"/>
        <w:ind w:left="1680" w:hanging="1680"/>
        <w:rPr>
          <w:sz w:val="20"/>
        </w:rPr>
      </w:pPr>
      <w:r>
        <w:rPr>
          <w:sz w:val="20"/>
        </w:rPr>
        <w:tab/>
        <w:t>(b)</w:t>
      </w:r>
      <w:r>
        <w:rPr>
          <w:sz w:val="20"/>
        </w:rPr>
        <w:tab/>
        <w:t>the relief sought (if applicable); and</w:t>
      </w:r>
    </w:p>
    <w:p>
      <w:pPr>
        <w:pStyle w:val="yMiscellaneousBody"/>
        <w:tabs>
          <w:tab w:val="left" w:pos="1200"/>
        </w:tabs>
        <w:spacing w:before="120"/>
        <w:ind w:left="1680" w:hanging="1680"/>
        <w:rPr>
          <w:sz w:val="20"/>
        </w:rPr>
      </w:pPr>
      <w:r>
        <w:rPr>
          <w:sz w:val="20"/>
        </w:rPr>
        <w:tab/>
        <w:t>(c)</w:t>
      </w:r>
      <w:r>
        <w:rPr>
          <w:sz w:val="20"/>
        </w:rPr>
        <w:tab/>
        <w:t>a summary of the facts.)</w:t>
      </w:r>
    </w:p>
    <w:p>
      <w:pPr>
        <w:pStyle w:val="yMiscellaneousBody"/>
        <w:spacing w:before="120"/>
        <w:ind w:left="480" w:hanging="480"/>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MiscellaneousBody"/>
        <w:spacing w:before="120"/>
        <w:ind w:left="480" w:hanging="480"/>
        <w:rPr>
          <w:sz w:val="20"/>
        </w:rPr>
      </w:pPr>
      <w:r>
        <w:rPr>
          <w:sz w:val="20"/>
        </w:rPr>
        <w:t>5.</w:t>
      </w:r>
      <w:r>
        <w:rPr>
          <w:sz w:val="20"/>
        </w:rPr>
        <w:tab/>
        <w:t>I respectfully request that the evidence be taken in the following manner —</w:t>
      </w:r>
    </w:p>
    <w:p>
      <w:pPr>
        <w:pStyle w:val="yMiscellaneousBody"/>
        <w:spacing w:before="120"/>
        <w:ind w:left="840" w:hanging="480"/>
        <w:rPr>
          <w:sz w:val="20"/>
        </w:rPr>
      </w:pPr>
      <w:r>
        <w:rPr>
          <w:sz w:val="20"/>
        </w:rPr>
        <w:tab/>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p>
      <w:pPr>
        <w:pStyle w:val="yMiscellaneousBody"/>
        <w:spacing w:before="120"/>
        <w:ind w:left="480" w:hanging="480"/>
        <w:rPr>
          <w:sz w:val="20"/>
        </w:rPr>
      </w:pPr>
      <w:r>
        <w:rPr>
          <w:sz w:val="20"/>
        </w:rPr>
        <w:t>6.</w:t>
      </w:r>
      <w:r>
        <w:rPr>
          <w:sz w:val="20"/>
        </w:rPr>
        <w:tab/>
        <w:t>I request you to inform me or the representatives or agents of the parties of the date when and the place where the evidence is to be taken.</w:t>
      </w:r>
    </w:p>
    <w:p>
      <w:pPr>
        <w:pStyle w:val="yMiscellaneousBody"/>
        <w:spacing w:before="120"/>
        <w:ind w:left="480" w:hanging="480"/>
        <w:rPr>
          <w:sz w:val="20"/>
        </w:rPr>
      </w:pPr>
      <w:r>
        <w:rPr>
          <w:sz w:val="20"/>
        </w:rPr>
        <w:t>7.</w:t>
      </w:r>
      <w:r>
        <w:rPr>
          <w:sz w:val="20"/>
        </w:rPr>
        <w:tab/>
        <w:t>Finally, I request that —</w:t>
      </w:r>
    </w:p>
    <w:p>
      <w:pPr>
        <w:pStyle w:val="yMiscellaneousBody"/>
        <w:tabs>
          <w:tab w:val="left" w:pos="480"/>
        </w:tabs>
        <w:spacing w:before="60"/>
        <w:ind w:left="958" w:hanging="958"/>
        <w:rPr>
          <w:sz w:val="20"/>
        </w:rPr>
      </w:pPr>
      <w:r>
        <w:rPr>
          <w:sz w:val="20"/>
        </w:rPr>
        <w:tab/>
        <w:t>(a)</w:t>
      </w:r>
      <w:r>
        <w:rPr>
          <w:sz w:val="20"/>
        </w:rPr>
        <w:tab/>
        <w:t>the evidence of the person(s) mentioned in paragraph 4 above me put into writing; and</w:t>
      </w:r>
    </w:p>
    <w:p>
      <w:pPr>
        <w:pStyle w:val="yMiscellaneousBody"/>
        <w:tabs>
          <w:tab w:val="left" w:pos="480"/>
        </w:tabs>
        <w:spacing w:before="60"/>
        <w:ind w:left="958" w:hanging="958"/>
        <w:rPr>
          <w:sz w:val="20"/>
        </w:rPr>
      </w:pPr>
      <w:r>
        <w:rPr>
          <w:sz w:val="20"/>
        </w:rPr>
        <w:tab/>
        <w:t>(b)</w:t>
      </w:r>
      <w:r>
        <w:rPr>
          <w:sz w:val="20"/>
        </w:rPr>
        <w:tab/>
        <w:t>any document produced by the person(s) be appropriately marked for identification; and</w:t>
      </w:r>
    </w:p>
    <w:p>
      <w:pPr>
        <w:pStyle w:val="yMiscellaneousBody"/>
        <w:tabs>
          <w:tab w:val="left" w:pos="480"/>
        </w:tabs>
        <w:spacing w:before="60"/>
        <w:ind w:left="958" w:hanging="958"/>
        <w:rPr>
          <w:sz w:val="20"/>
        </w:rPr>
      </w:pPr>
      <w:r>
        <w:rPr>
          <w:sz w:val="20"/>
        </w:rPr>
        <w:lastRenderedPageBreak/>
        <w:tab/>
        <w:t>(c)</w:t>
      </w:r>
      <w:r>
        <w:rPr>
          <w:sz w:val="20"/>
        </w:rPr>
        <w:tab/>
        <w:t>the written evidence and any document produced be authenticated with the seal of your court or in such other way as is in accordance with your procedure; and</w:t>
      </w:r>
    </w:p>
    <w:p>
      <w:pPr>
        <w:pStyle w:val="yMiscellaneousBody"/>
        <w:tabs>
          <w:tab w:val="left" w:pos="480"/>
        </w:tabs>
        <w:spacing w:before="60"/>
        <w:ind w:left="958" w:hanging="958"/>
        <w:rPr>
          <w:sz w:val="20"/>
        </w:rPr>
      </w:pPr>
      <w:r>
        <w:rPr>
          <w:sz w:val="20"/>
        </w:rPr>
        <w:tab/>
        <w:t>(d)</w:t>
      </w:r>
      <w:r>
        <w:rPr>
          <w:sz w:val="20"/>
        </w:rPr>
        <w:tab/>
        <w:t>you send the written evidence and any document produced to me by registered or certified post at the following address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Supreme Court of Western Australia</w:t>
      </w:r>
    </w:p>
    <w:p>
      <w:pPr>
        <w:pStyle w:val="yMiscellaneousBody"/>
        <w:spacing w:before="0"/>
        <w:ind w:left="1440"/>
        <w:rPr>
          <w:sz w:val="20"/>
        </w:rPr>
      </w:pPr>
      <w:r>
        <w:rPr>
          <w:sz w:val="20"/>
        </w:rPr>
        <w:t>PERTH</w:t>
      </w:r>
    </w:p>
    <w:p>
      <w:pPr>
        <w:pStyle w:val="yMiscellaneousBody"/>
        <w:spacing w:before="0"/>
        <w:ind w:left="1440"/>
        <w:rPr>
          <w:sz w:val="20"/>
        </w:rPr>
      </w:pPr>
      <w:r>
        <w:rPr>
          <w:sz w:val="20"/>
        </w:rPr>
        <w:t>Western Australia 6000</w:t>
      </w:r>
    </w:p>
    <w:p>
      <w:pPr>
        <w:pStyle w:val="yMiscellaneousBody"/>
        <w:spacing w:before="120"/>
        <w:rPr>
          <w:sz w:val="20"/>
        </w:rPr>
      </w:pPr>
      <w:r>
        <w:rPr>
          <w:sz w:val="20"/>
        </w:rPr>
        <w:t>Dated:</w:t>
      </w:r>
    </w:p>
    <w:p>
      <w:pPr>
        <w:pStyle w:val="yMiscellaneousBody"/>
        <w:tabs>
          <w:tab w:val="right" w:pos="7080"/>
        </w:tabs>
        <w:spacing w:before="120"/>
        <w:rPr>
          <w:sz w:val="20"/>
        </w:rPr>
      </w:pPr>
      <w:r>
        <w:rPr>
          <w:sz w:val="20"/>
        </w:rPr>
        <w:t>[L.S.]</w:t>
      </w:r>
      <w:r>
        <w:rPr>
          <w:sz w:val="20"/>
        </w:rPr>
        <w:tab/>
        <w:t>Principal Registrar</w:t>
      </w:r>
    </w:p>
    <w:p>
      <w:pPr>
        <w:pStyle w:val="yFootnotesection"/>
      </w:pPr>
      <w:r>
        <w:tab/>
        <w:t>[Form 28 inserted: Gazette 8 Feb 1991 p. 585; amended: Gazette 28 Jun 2011 p. 2558.]</w:t>
      </w:r>
    </w:p>
    <w:p>
      <w:pPr>
        <w:pStyle w:val="yHeading5"/>
        <w:spacing w:before="480" w:after="120"/>
      </w:pPr>
      <w:bookmarkStart w:id="1611" w:name="_Toc163121835"/>
      <w:r>
        <w:rPr>
          <w:rStyle w:val="CharSClsNo"/>
        </w:rPr>
        <w:t>29</w:t>
      </w:r>
      <w:r>
        <w:t>.</w:t>
      </w:r>
      <w:r>
        <w:rPr>
          <w:b w:val="0"/>
        </w:rPr>
        <w:tab/>
      </w:r>
      <w:r>
        <w:t>Undertaking as to costs of letter of request (O. 38A r. 5)</w:t>
      </w:r>
      <w:bookmarkEnd w:id="1611"/>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MiscellaneousBody"/>
        <w:spacing w:before="120"/>
        <w:rPr>
          <w:sz w:val="20"/>
        </w:rPr>
      </w:pPr>
      <w:r>
        <w:rPr>
          <w:sz w:val="20"/>
        </w:rPr>
        <w:t xml:space="preserve">                                                    , Plaintiff’s agent, of</w:t>
      </w:r>
    </w:p>
    <w:p>
      <w:pPr>
        <w:pStyle w:val="yMiscellaneousBody"/>
        <w:spacing w:before="120"/>
        <w:rPr>
          <w:sz w:val="20"/>
        </w:rPr>
      </w:pPr>
      <w:r>
        <w:rPr>
          <w:sz w:val="20"/>
        </w:rPr>
        <w:t xml:space="preserve">                                                    , Defendant’s agent, of</w:t>
      </w:r>
    </w:p>
    <w:p>
      <w:pPr>
        <w:pStyle w:val="yMiscellaneousBody"/>
        <w:spacing w:before="120"/>
        <w:rPr>
          <w:sz w:val="20"/>
        </w:rPr>
      </w:pPr>
      <w:r>
        <w:rPr>
          <w:sz w:val="20"/>
        </w:rPr>
        <w:t>Dated the                       day of                                     , 20     .</w:t>
      </w:r>
    </w:p>
    <w:p>
      <w:pPr>
        <w:pStyle w:val="yMiscellaneousBody"/>
        <w:spacing w:before="120"/>
        <w:ind w:left="3840"/>
        <w:rPr>
          <w:sz w:val="20"/>
        </w:rPr>
      </w:pPr>
      <w:r>
        <w:rPr>
          <w:sz w:val="20"/>
        </w:rPr>
        <w:t>Solicitor for</w:t>
      </w:r>
    </w:p>
    <w:p>
      <w:pPr>
        <w:pStyle w:val="yFootnotesection"/>
      </w:pPr>
      <w:r>
        <w:tab/>
        <w:t>[Form 29 amended: Gazette 19 Apr 2005 p. 1300; 28 Jun 2011 p. 2558.]</w:t>
      </w:r>
    </w:p>
    <w:p>
      <w:pPr>
        <w:pStyle w:val="yHeading5"/>
        <w:keepLines w:val="0"/>
        <w:pageBreakBefore/>
        <w:spacing w:before="0" w:after="120"/>
      </w:pPr>
      <w:bookmarkStart w:id="1612" w:name="_Toc163121836"/>
      <w:r>
        <w:rPr>
          <w:rStyle w:val="CharSClsNo"/>
        </w:rPr>
        <w:lastRenderedPageBreak/>
        <w:t>30</w:t>
      </w:r>
      <w:r>
        <w:t>.</w:t>
      </w:r>
      <w:r>
        <w:rPr>
          <w:b w:val="0"/>
        </w:rPr>
        <w:tab/>
      </w:r>
      <w:r>
        <w:rPr>
          <w:i/>
        </w:rPr>
        <w:t xml:space="preserve">Evidence Act 1906 </w:t>
      </w:r>
      <w:r>
        <w:t>s. 117, order under (O. 39 r. 3)</w:t>
      </w:r>
      <w:bookmarkEnd w:id="1612"/>
    </w:p>
    <w:p>
      <w:pPr>
        <w:pStyle w:val="yMiscellaneousBody"/>
        <w:spacing w:before="120"/>
        <w:jc w:val="center"/>
        <w:rPr>
          <w:b/>
          <w:bCs/>
          <w:sz w:val="20"/>
        </w:rPr>
      </w:pPr>
      <w:r>
        <w:rPr>
          <w:b/>
          <w:bCs/>
          <w:sz w:val="20"/>
        </w:rPr>
        <w:t>IN THE SUPREME COURT OF WESTERN AUSTRALIA</w:t>
      </w:r>
    </w:p>
    <w:p>
      <w:pPr>
        <w:pStyle w:val="yMiscellaneousBody"/>
        <w:spacing w:before="80"/>
        <w:jc w:val="right"/>
        <w:rPr>
          <w:sz w:val="20"/>
        </w:rPr>
      </w:pPr>
      <w:r>
        <w:rPr>
          <w:sz w:val="20"/>
        </w:rPr>
        <w:t>No .............. of 20 .......</w:t>
      </w:r>
    </w:p>
    <w:p>
      <w:pPr>
        <w:pStyle w:val="yMiscellaneousBody"/>
        <w:spacing w:before="80"/>
        <w:rPr>
          <w:sz w:val="20"/>
        </w:rPr>
      </w:pPr>
      <w:r>
        <w:rPr>
          <w:sz w:val="20"/>
        </w:rPr>
        <w:t xml:space="preserve">IN THE MATTER of the </w:t>
      </w:r>
      <w:r>
        <w:rPr>
          <w:i/>
          <w:sz w:val="20"/>
        </w:rPr>
        <w:t>Evidence Act 1906</w:t>
      </w:r>
      <w:r>
        <w:rPr>
          <w:sz w:val="20"/>
        </w:rPr>
        <w:t>, s. 117, and a (civil/commercial/criminal) proceeding now pending before (requesting court) intituled as follows —</w:t>
      </w:r>
    </w:p>
    <w:p>
      <w:pPr>
        <w:pStyle w:val="yMiscellaneousBody"/>
        <w:spacing w:before="80"/>
        <w:rPr>
          <w:sz w:val="20"/>
        </w:rPr>
      </w:pPr>
      <w:r>
        <w:rPr>
          <w:sz w:val="20"/>
        </w:rPr>
        <w:t>BETWEEN:</w:t>
      </w:r>
    </w:p>
    <w:p>
      <w:pPr>
        <w:pStyle w:val="yMiscellaneousBody"/>
        <w:spacing w:before="80"/>
        <w:rPr>
          <w:sz w:val="20"/>
        </w:rPr>
      </w:pPr>
      <w:r>
        <w:rPr>
          <w:sz w:val="20"/>
        </w:rPr>
        <w:t>AB</w:t>
      </w:r>
    </w:p>
    <w:p>
      <w:pPr>
        <w:pStyle w:val="yMiscellaneousBody"/>
        <w:spacing w:before="80"/>
        <w:jc w:val="right"/>
        <w:rPr>
          <w:sz w:val="20"/>
        </w:rPr>
      </w:pPr>
      <w:r>
        <w:rPr>
          <w:sz w:val="20"/>
        </w:rPr>
        <w:t>Plaintiff,</w:t>
      </w:r>
    </w:p>
    <w:p>
      <w:pPr>
        <w:pStyle w:val="yMiscellaneousBody"/>
        <w:spacing w:before="80"/>
        <w:rPr>
          <w:sz w:val="20"/>
        </w:rPr>
      </w:pPr>
      <w:r>
        <w:rPr>
          <w:sz w:val="20"/>
        </w:rPr>
        <w:noBreakHyphen/>
        <w:t>and</w:t>
      </w:r>
      <w:r>
        <w:rPr>
          <w:sz w:val="20"/>
        </w:rPr>
        <w:noBreakHyphen/>
      </w:r>
    </w:p>
    <w:p>
      <w:pPr>
        <w:pStyle w:val="yMiscellaneousBody"/>
        <w:spacing w:before="80"/>
        <w:rPr>
          <w:sz w:val="20"/>
        </w:rPr>
      </w:pPr>
      <w:r>
        <w:rPr>
          <w:sz w:val="20"/>
        </w:rPr>
        <w:t>CD</w:t>
      </w:r>
    </w:p>
    <w:p>
      <w:pPr>
        <w:pStyle w:val="yMiscellaneousBody"/>
        <w:spacing w:before="80"/>
        <w:jc w:val="right"/>
        <w:rPr>
          <w:sz w:val="20"/>
        </w:rPr>
      </w:pPr>
      <w:r>
        <w:rPr>
          <w:sz w:val="20"/>
        </w:rPr>
        <w:t>Defendant.</w:t>
      </w:r>
    </w:p>
    <w:p>
      <w:pPr>
        <w:pStyle w:val="yMiscellaneousBody"/>
        <w:pBdr>
          <w:top w:val="single" w:sz="4" w:space="1" w:color="auto"/>
          <w:bottom w:val="single" w:sz="4" w:space="1" w:color="auto"/>
        </w:pBdr>
        <w:spacing w:before="80"/>
        <w:ind w:left="1800" w:right="1816"/>
        <w:jc w:val="center"/>
        <w:rPr>
          <w:sz w:val="20"/>
        </w:rPr>
      </w:pPr>
      <w:r>
        <w:rPr>
          <w:sz w:val="20"/>
        </w:rPr>
        <w:t>ORDER FOR OBTAINING EVIDENCE</w:t>
      </w:r>
    </w:p>
    <w:p>
      <w:pPr>
        <w:pStyle w:val="yMiscellaneousBody"/>
        <w:spacing w:before="80"/>
        <w:rPr>
          <w:sz w:val="20"/>
        </w:rPr>
      </w:pPr>
      <w:r>
        <w:rPr>
          <w:sz w:val="20"/>
        </w:rPr>
        <w:t>[HERE SET OUT FORMALITIES REQUIRED BY PRACTICE DIRECTIONS]</w:t>
      </w:r>
    </w:p>
    <w:p>
      <w:pPr>
        <w:pStyle w:val="yMiscellaneousBody"/>
        <w:spacing w:before="80"/>
        <w:rPr>
          <w:sz w:val="20"/>
        </w:rPr>
      </w:pPr>
      <w:r>
        <w:rPr>
          <w:sz w:val="20"/>
        </w:rPr>
        <w:t>On the application of ................................................. and after reading the affidavit (if any) of ....................................... dated ............................... and the request of (requesting court), and hearing .........................................and being satisfied —</w:t>
      </w:r>
    </w:p>
    <w:p>
      <w:pPr>
        <w:pStyle w:val="yMiscellaneousBody"/>
        <w:spacing w:before="80"/>
        <w:ind w:left="480" w:hanging="480"/>
        <w:rPr>
          <w:sz w:val="20"/>
        </w:rPr>
      </w:pPr>
      <w:r>
        <w:rPr>
          <w:sz w:val="20"/>
        </w:rPr>
        <w:t>(a)</w:t>
      </w:r>
      <w:r>
        <w:rPr>
          <w:sz w:val="20"/>
        </w:rPr>
        <w:tab/>
        <w:t>that the application is made in pursuance of a request by (the requesting court) exercising jurisdiction in (place outside W.A.); and</w:t>
      </w:r>
    </w:p>
    <w:p>
      <w:pPr>
        <w:pStyle w:val="yMiscellaneousBody"/>
        <w:spacing w:before="80"/>
        <w:ind w:left="480" w:hanging="480"/>
        <w:rPr>
          <w:sz w:val="20"/>
        </w:rPr>
      </w:pPr>
      <w:r>
        <w:rPr>
          <w:sz w:val="20"/>
        </w:rPr>
        <w:t>(b)</w:t>
      </w:r>
      <w:r>
        <w:rPr>
          <w:sz w:val="20"/>
        </w:rPr>
        <w:tab/>
        <w:t>that the evidence to which the application relates is to be obtained for the purposes of proceedings (which have been instituted before that court) or (whose institution before that court is contemplated),</w:t>
      </w:r>
    </w:p>
    <w:p>
      <w:pPr>
        <w:pStyle w:val="yMiscellaneousBody"/>
        <w:spacing w:before="80"/>
        <w:rPr>
          <w:sz w:val="20"/>
        </w:rPr>
      </w:pPr>
      <w:r>
        <w:rPr>
          <w:sz w:val="20"/>
        </w:rPr>
        <w:t>IT IS ORDERED THAT —</w:t>
      </w:r>
    </w:p>
    <w:p>
      <w:pPr>
        <w:pStyle w:val="yMiscellaneousBody"/>
        <w:spacing w:before="80"/>
        <w:ind w:left="480" w:hanging="480"/>
        <w:rPr>
          <w:sz w:val="20"/>
        </w:rPr>
      </w:pPr>
      <w:r>
        <w:rPr>
          <w:sz w:val="20"/>
        </w:rPr>
        <w:t>1.</w:t>
      </w:r>
      <w:r>
        <w:rPr>
          <w:sz w:val="20"/>
        </w:rPr>
        <w:tab/>
        <w:t>(If applicable) (name of examiner or person who is to obtain the evidence) is hereby appointed to — (set out function).</w:t>
      </w:r>
    </w:p>
    <w:p>
      <w:pPr>
        <w:pStyle w:val="yMiscellaneousBody"/>
        <w:spacing w:before="80"/>
        <w:ind w:left="480" w:hanging="480"/>
        <w:rPr>
          <w:sz w:val="20"/>
        </w:rPr>
      </w:pPr>
      <w:r>
        <w:rPr>
          <w:sz w:val="20"/>
        </w:rPr>
        <w:t>2.</w:t>
      </w:r>
      <w:r>
        <w:rPr>
          <w:sz w:val="20"/>
        </w:rPr>
        <w:tab/>
        <w:t>(name of examiner or person who is to obtain the evidence) must —</w:t>
      </w:r>
    </w:p>
    <w:p>
      <w:pPr>
        <w:pStyle w:val="yMiscellaneousBody"/>
        <w:spacing w:before="80"/>
        <w:ind w:left="960" w:hanging="480"/>
        <w:rPr>
          <w:sz w:val="20"/>
        </w:rPr>
      </w:pPr>
      <w:r>
        <w:rPr>
          <w:sz w:val="20"/>
        </w:rPr>
        <w:t>(a)</w:t>
      </w:r>
      <w:r>
        <w:rPr>
          <w:sz w:val="20"/>
        </w:rPr>
        <w:tab/>
        <w:t>(set out the matters required — such as the manner of the examination, the manner of transmitting the evidence when taken or the person to whom the evidence is to be transmitted.)</w:t>
      </w:r>
    </w:p>
    <w:p>
      <w:pPr>
        <w:pStyle w:val="yMiscellaneousBody"/>
        <w:spacing w:before="80"/>
        <w:ind w:left="480" w:hanging="480"/>
        <w:rPr>
          <w:sz w:val="20"/>
        </w:rPr>
      </w:pPr>
      <w:r>
        <w:rPr>
          <w:sz w:val="20"/>
        </w:rPr>
        <w:t>3.</w:t>
      </w:r>
      <w:r>
        <w:rPr>
          <w:sz w:val="20"/>
        </w:rPr>
        <w:tab/>
        <w:t>(name of witness to be examined or person from whom evidence is to be obtained) must —</w:t>
      </w:r>
    </w:p>
    <w:p>
      <w:pPr>
        <w:pStyle w:val="yMiscellaneousBody"/>
        <w:spacing w:before="80"/>
        <w:ind w:left="960" w:hanging="480"/>
        <w:rPr>
          <w:sz w:val="20"/>
        </w:rPr>
      </w:pPr>
      <w:r>
        <w:rPr>
          <w:sz w:val="20"/>
        </w:rPr>
        <w:t>(a)</w:t>
      </w:r>
      <w:r>
        <w:rPr>
          <w:sz w:val="20"/>
        </w:rPr>
        <w:tab/>
        <w:t xml:space="preserve">(set out the matters required of the witness or person from whom the evidence is to be obtained — see </w:t>
      </w:r>
      <w:r>
        <w:rPr>
          <w:i/>
          <w:sz w:val="20"/>
        </w:rPr>
        <w:t>Evidence Act 1906</w:t>
      </w:r>
      <w:r>
        <w:rPr>
          <w:sz w:val="20"/>
        </w:rPr>
        <w:t>, s. 117(3)).</w:t>
      </w:r>
    </w:p>
    <w:p>
      <w:pPr>
        <w:pStyle w:val="yMiscellaneousBody"/>
        <w:tabs>
          <w:tab w:val="left" w:pos="5520"/>
        </w:tabs>
        <w:spacing w:before="120"/>
        <w:rPr>
          <w:sz w:val="20"/>
        </w:rPr>
      </w:pPr>
      <w:r>
        <w:rPr>
          <w:sz w:val="20"/>
        </w:rPr>
        <w:t>Dated:</w:t>
      </w:r>
      <w:r>
        <w:rPr>
          <w:sz w:val="20"/>
        </w:rPr>
        <w:tab/>
        <w:t>BY THE COURT</w:t>
      </w:r>
    </w:p>
    <w:p>
      <w:pPr>
        <w:pStyle w:val="yMiscellaneousBody"/>
        <w:tabs>
          <w:tab w:val="left" w:pos="5880"/>
        </w:tabs>
        <w:spacing w:before="0"/>
        <w:rPr>
          <w:sz w:val="20"/>
        </w:rPr>
      </w:pPr>
      <w:r>
        <w:rPr>
          <w:sz w:val="20"/>
        </w:rPr>
        <w:t>[L.S.]</w:t>
      </w:r>
      <w:r>
        <w:rPr>
          <w:sz w:val="20"/>
        </w:rPr>
        <w:tab/>
        <w:t>Registrar.</w:t>
      </w:r>
    </w:p>
    <w:p>
      <w:pPr>
        <w:pStyle w:val="yFootnotesection"/>
      </w:pPr>
      <w:r>
        <w:lastRenderedPageBreak/>
        <w:tab/>
        <w:t>[Form 30 inserted: Gazette 8 Feb 1991 p. 587</w:t>
      </w:r>
      <w:r>
        <w:noBreakHyphen/>
        <w:t>8; amended: Gazette 28 Jun 2011 p. 2558.]</w:t>
      </w:r>
    </w:p>
    <w:p>
      <w:pPr>
        <w:pStyle w:val="yHeading5"/>
      </w:pPr>
      <w:bookmarkStart w:id="1613" w:name="_Toc163121837"/>
      <w:r>
        <w:rPr>
          <w:rStyle w:val="CharSClsNo"/>
        </w:rPr>
        <w:t>31</w:t>
      </w:r>
      <w:r>
        <w:t>.</w:t>
      </w:r>
      <w:r>
        <w:rPr>
          <w:b w:val="0"/>
        </w:rPr>
        <w:tab/>
      </w:r>
      <w:r>
        <w:t>Certificate (O. 39 r. 5(2))</w:t>
      </w:r>
      <w:bookmarkEnd w:id="1613"/>
    </w:p>
    <w:p>
      <w:pPr>
        <w:pStyle w:val="yMiscellaneousBody"/>
        <w:spacing w:before="120"/>
        <w:rPr>
          <w:sz w:val="20"/>
        </w:rPr>
      </w:pPr>
      <w:r>
        <w:rPr>
          <w:sz w:val="20"/>
        </w:rPr>
        <w:t>I, ..................................................., Principal Registrar of the Supreme Court of Western Australia, hereby certify that the attached documents are —</w:t>
      </w:r>
    </w:p>
    <w:p>
      <w:pPr>
        <w:pStyle w:val="yMiscellaneousBody"/>
        <w:spacing w:before="120"/>
        <w:ind w:left="840" w:hanging="480"/>
        <w:rPr>
          <w:sz w:val="20"/>
        </w:rPr>
      </w:pPr>
      <w:r>
        <w:rPr>
          <w:sz w:val="20"/>
        </w:rPr>
        <w:t>(a)</w:t>
      </w:r>
      <w:r>
        <w:rPr>
          <w:sz w:val="20"/>
        </w:rPr>
        <w:tab/>
        <w:t>a request of (requesting court);</w:t>
      </w:r>
    </w:p>
    <w:p>
      <w:pPr>
        <w:pStyle w:val="yMiscellaneousBody"/>
        <w:spacing w:before="120"/>
        <w:ind w:left="840" w:hanging="480"/>
        <w:rPr>
          <w:sz w:val="20"/>
        </w:rPr>
      </w:pPr>
      <w:r>
        <w:rPr>
          <w:sz w:val="20"/>
        </w:rPr>
        <w:t>(b)</w:t>
      </w:r>
      <w:r>
        <w:rPr>
          <w:sz w:val="20"/>
        </w:rPr>
        <w:tab/>
        <w:t>the order of the Supreme Court of Western Australia dated (date) made for the purpose of giving effect to the request;</w:t>
      </w:r>
    </w:p>
    <w:p>
      <w:pPr>
        <w:pStyle w:val="yMiscellaneousBody"/>
        <w:spacing w:before="120"/>
        <w:ind w:left="840" w:hanging="480"/>
        <w:rPr>
          <w:sz w:val="20"/>
        </w:rPr>
      </w:pPr>
      <w:r>
        <w:rPr>
          <w:sz w:val="20"/>
        </w:rPr>
        <w:t>(c)</w:t>
      </w:r>
      <w:r>
        <w:rPr>
          <w:sz w:val="20"/>
        </w:rPr>
        <w:tab/>
        <w:t>the deposition (or as the case may be) taken by the examiner pursuant to the order;</w:t>
      </w:r>
    </w:p>
    <w:p>
      <w:pPr>
        <w:pStyle w:val="yMiscellaneousBody"/>
        <w:spacing w:before="120"/>
        <w:ind w:left="840" w:hanging="480"/>
        <w:rPr>
          <w:sz w:val="20"/>
        </w:rPr>
      </w:pPr>
      <w:r>
        <w:rPr>
          <w:sz w:val="20"/>
        </w:rPr>
        <w:t>(d)</w:t>
      </w:r>
      <w:r>
        <w:rPr>
          <w:sz w:val="20"/>
        </w:rPr>
        <w:tab/>
        <w:t>(if applicable) the examiner’s statement setting out the witness’s claim to be exempt from giving evidence;</w:t>
      </w:r>
    </w:p>
    <w:p>
      <w:pPr>
        <w:pStyle w:val="yMiscellaneousBody"/>
        <w:spacing w:before="120"/>
        <w:ind w:left="840" w:hanging="480"/>
        <w:rPr>
          <w:sz w:val="20"/>
        </w:rPr>
      </w:pPr>
      <w:r>
        <w:rPr>
          <w:sz w:val="20"/>
        </w:rPr>
        <w:t>(e)</w:t>
      </w:r>
      <w:r>
        <w:rPr>
          <w:sz w:val="20"/>
        </w:rPr>
        <w:tab/>
        <w:t>(if applicable) this Court’s request that the witness’s claim be determined.</w:t>
      </w:r>
    </w:p>
    <w:p>
      <w:pPr>
        <w:pStyle w:val="yMiscellaneousBody"/>
        <w:spacing w:before="120"/>
        <w:rPr>
          <w:sz w:val="20"/>
        </w:rPr>
      </w:pPr>
      <w:r>
        <w:rPr>
          <w:sz w:val="20"/>
        </w:rPr>
        <w:t>Dated:</w:t>
      </w:r>
    </w:p>
    <w:p>
      <w:pPr>
        <w:pStyle w:val="yMiscellaneousBody"/>
        <w:tabs>
          <w:tab w:val="left" w:pos="5400"/>
        </w:tabs>
        <w:spacing w:before="120"/>
        <w:rPr>
          <w:sz w:val="20"/>
        </w:rPr>
      </w:pPr>
      <w:r>
        <w:rPr>
          <w:sz w:val="20"/>
        </w:rPr>
        <w:t xml:space="preserve">[L.S.] </w:t>
      </w:r>
      <w:r>
        <w:rPr>
          <w:sz w:val="20"/>
        </w:rPr>
        <w:tab/>
        <w:t>Principal Registrar.</w:t>
      </w:r>
    </w:p>
    <w:p>
      <w:pPr>
        <w:pStyle w:val="yFootnotesection"/>
      </w:pPr>
      <w:r>
        <w:tab/>
        <w:t>[Form 31 inserted: Gazette 8 Feb 1991 p. 588; amended: Gazette 28 Jun 2011 p. 2558.]</w:t>
      </w:r>
    </w:p>
    <w:p>
      <w:pPr>
        <w:pStyle w:val="yHeading5"/>
        <w:spacing w:before="480" w:after="120"/>
      </w:pPr>
      <w:bookmarkStart w:id="1614" w:name="_Toc163121838"/>
      <w:r>
        <w:rPr>
          <w:rStyle w:val="CharSClsNo"/>
        </w:rPr>
        <w:t>31A</w:t>
      </w:r>
      <w:r>
        <w:t>.</w:t>
      </w:r>
      <w:r>
        <w:rPr>
          <w:b w:val="0"/>
        </w:rPr>
        <w:tab/>
      </w:r>
      <w:r>
        <w:t>Application for subpoena to be set aside (O. 39A r. 4(1))</w:t>
      </w:r>
      <w:bookmarkEnd w:id="1614"/>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tabs>
          <w:tab w:val="left" w:pos="600"/>
        </w:tabs>
        <w:spacing w:before="120"/>
        <w:ind w:left="600" w:hanging="60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35, the applicant seeks an order that the subpoena [</w:t>
      </w:r>
      <w:r>
        <w:rPr>
          <w:i/>
          <w:sz w:val="20"/>
        </w:rPr>
        <w:t>identify subpoena</w:t>
      </w:r>
      <w:r>
        <w:rPr>
          <w:sz w:val="20"/>
        </w:rPr>
        <w:t>] be set aside on the grounds appearing in the accompanying affidavit.</w:t>
      </w:r>
    </w:p>
    <w:p>
      <w:pPr>
        <w:pStyle w:val="yMiscellaneousBody"/>
        <w:tabs>
          <w:tab w:val="left" w:pos="600"/>
        </w:tabs>
        <w:spacing w:before="120"/>
        <w:ind w:left="600" w:hanging="600"/>
        <w:rPr>
          <w:sz w:val="20"/>
        </w:rPr>
      </w:pPr>
      <w:r>
        <w:rPr>
          <w:sz w:val="20"/>
        </w:rPr>
        <w:t>2.</w:t>
      </w:r>
      <w:r>
        <w:rPr>
          <w:sz w:val="20"/>
        </w:rPr>
        <w:tab/>
        <w:t>The applicant requests the Court’s directions as to the manner in which this application is to be determined.</w:t>
      </w:r>
    </w:p>
    <w:p>
      <w:pPr>
        <w:pStyle w:val="yMiscellaneousBody"/>
        <w:tabs>
          <w:tab w:val="left" w:pos="600"/>
        </w:tabs>
        <w:spacing w:before="120"/>
        <w:ind w:left="600" w:hanging="600"/>
        <w:rPr>
          <w:sz w:val="20"/>
        </w:rPr>
      </w:pPr>
      <w:r>
        <w:rPr>
          <w:sz w:val="20"/>
        </w:rPr>
        <w:t>3.*</w:t>
      </w:r>
      <w:r>
        <w:rPr>
          <w:sz w:val="20"/>
        </w:rPr>
        <w:tab/>
        <w:t>The applicant requests that any hearing of this application be held by audio link or audiovisual link.</w:t>
      </w:r>
    </w:p>
    <w:p>
      <w:pPr>
        <w:pStyle w:val="yMiscellaneousBody"/>
        <w:spacing w:before="120"/>
        <w:rPr>
          <w:sz w:val="20"/>
        </w:rPr>
      </w:pPr>
      <w:r>
        <w:rPr>
          <w:sz w:val="20"/>
        </w:rPr>
        <w:t>Dated:</w:t>
      </w:r>
    </w:p>
    <w:p>
      <w:pPr>
        <w:pStyle w:val="yMiscellaneousBody"/>
        <w:spacing w:before="120"/>
        <w:jc w:val="right"/>
        <w:rPr>
          <w:i/>
          <w:sz w:val="20"/>
        </w:rPr>
      </w:pPr>
      <w:r>
        <w:rPr>
          <w:i/>
          <w:sz w:val="20"/>
        </w:rPr>
        <w:t>[Signature of applicant</w:t>
      </w:r>
    </w:p>
    <w:p>
      <w:pPr>
        <w:pStyle w:val="yMiscellaneousBody"/>
        <w:spacing w:before="0"/>
        <w:jc w:val="right"/>
        <w:rPr>
          <w:i/>
          <w:sz w:val="20"/>
        </w:rPr>
      </w:pPr>
      <w:r>
        <w:rPr>
          <w:i/>
          <w:sz w:val="20"/>
        </w:rPr>
        <w:t>or applicant’s solicitor]</w:t>
      </w:r>
    </w:p>
    <w:p>
      <w:pPr>
        <w:pStyle w:val="yMiscellaneousBody"/>
        <w:spacing w:before="0"/>
        <w:jc w:val="right"/>
        <w:rPr>
          <w:i/>
          <w:sz w:val="20"/>
        </w:rPr>
      </w:pPr>
    </w:p>
    <w:p>
      <w:pPr>
        <w:pStyle w:val="yMiscellaneousBody"/>
        <w:rPr>
          <w:i/>
          <w:sz w:val="20"/>
        </w:rPr>
      </w:pPr>
      <w:r>
        <w:rPr>
          <w:i/>
          <w:sz w:val="20"/>
        </w:rPr>
        <w:t>[Applicant’s address for service and telephone number.]*[Delete if not required]</w:t>
      </w:r>
    </w:p>
    <w:p>
      <w:pPr>
        <w:pStyle w:val="yFootnotesection"/>
      </w:pPr>
      <w:r>
        <w:lastRenderedPageBreak/>
        <w:tab/>
        <w:t>[Form 31A inserted: Gazette 16 Jul 1999 p. 3198</w:t>
      </w:r>
      <w:r>
        <w:noBreakHyphen/>
        <w:t>9; amended: Gazette 28 Jun 2011 p. 2558; 3 Aug 2012 p. 3754.]</w:t>
      </w:r>
    </w:p>
    <w:p>
      <w:pPr>
        <w:pStyle w:val="yHeading5"/>
      </w:pPr>
      <w:bookmarkStart w:id="1615" w:name="_Toc163121839"/>
      <w:r>
        <w:rPr>
          <w:rStyle w:val="CharSClsNo"/>
        </w:rPr>
        <w:t>31B</w:t>
      </w:r>
      <w:r>
        <w:rPr>
          <w:szCs w:val="22"/>
        </w:rPr>
        <w:t>.</w:t>
      </w:r>
      <w:r>
        <w:rPr>
          <w:szCs w:val="22"/>
        </w:rPr>
        <w:tab/>
        <w:t>Request for application to be determined with hearing (O. 39A r. 4(8))</w:t>
      </w:r>
      <w:bookmarkEnd w:id="1615"/>
    </w:p>
    <w:p>
      <w:pPr>
        <w:pStyle w:val="yMiscellaneousBody"/>
        <w:jc w:val="center"/>
      </w:pPr>
      <w:r>
        <w:rPr>
          <w:iCs/>
          <w:sz w:val="20"/>
        </w:rPr>
        <w:t>(</w:t>
      </w:r>
      <w:r>
        <w:rPr>
          <w:i/>
          <w:iCs/>
          <w:sz w:val="20"/>
        </w:rPr>
        <w:t>Heading as in order for leave to issue subpoena</w:t>
      </w:r>
      <w:r>
        <w:rPr>
          <w:iCs/>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36(5), the [</w:t>
      </w:r>
      <w:r>
        <w:rPr>
          <w:i/>
          <w:sz w:val="20"/>
        </w:rPr>
        <w:t>identify person</w:t>
      </w:r>
      <w:r>
        <w:rPr>
          <w:sz w:val="20"/>
        </w:rPr>
        <w:t>] requests that the application to set aside the subpoena [</w:t>
      </w:r>
      <w:r>
        <w:rPr>
          <w:i/>
          <w:sz w:val="20"/>
        </w:rPr>
        <w:t>identify subpoena</w:t>
      </w:r>
      <w:r>
        <w:rPr>
          <w:sz w:val="20"/>
        </w:rPr>
        <w:t>] be determined with a hearing.</w:t>
      </w:r>
    </w:p>
    <w:p>
      <w:pPr>
        <w:pStyle w:val="yMiscellaneousBody"/>
        <w:spacing w:before="120"/>
        <w:rPr>
          <w:sz w:val="20"/>
        </w:rPr>
      </w:pPr>
      <w:r>
        <w:rPr>
          <w:sz w:val="20"/>
        </w:rPr>
        <w:t>Dated:</w:t>
      </w:r>
    </w:p>
    <w:p>
      <w:pPr>
        <w:pStyle w:val="yMiscellaneousBody"/>
        <w:spacing w:before="120"/>
        <w:jc w:val="right"/>
        <w:rPr>
          <w:sz w:val="20"/>
        </w:rPr>
      </w:pPr>
      <w:r>
        <w:rPr>
          <w:sz w:val="20"/>
        </w:rPr>
        <w:t>[</w:t>
      </w:r>
      <w:r>
        <w:rPr>
          <w:i/>
          <w:sz w:val="20"/>
        </w:rPr>
        <w:t>Signature of applicant</w:t>
      </w:r>
      <w:r>
        <w:rPr>
          <w:i/>
          <w:sz w:val="20"/>
        </w:rPr>
        <w:br/>
        <w:t>or applicant’s solicitor</w:t>
      </w:r>
      <w:r>
        <w:rPr>
          <w:sz w:val="20"/>
        </w:rPr>
        <w:t>]</w:t>
      </w:r>
    </w:p>
    <w:p>
      <w:pPr>
        <w:pStyle w:val="yFootnotesection"/>
      </w:pPr>
      <w:r>
        <w:tab/>
        <w:t>[Form 31B inserted: Gazette 3 Aug 2012 p. 3754.]</w:t>
      </w:r>
    </w:p>
    <w:p>
      <w:pPr>
        <w:pStyle w:val="yHeading5"/>
        <w:spacing w:before="360"/>
      </w:pPr>
      <w:bookmarkStart w:id="1616" w:name="_Toc163121840"/>
      <w:r>
        <w:rPr>
          <w:rStyle w:val="CharSClsNo"/>
        </w:rPr>
        <w:t>31C</w:t>
      </w:r>
      <w:r>
        <w:t>.</w:t>
      </w:r>
      <w:r>
        <w:tab/>
        <w:t>Request to appear remotely in hearing to set aside subpoena (O. 39A r. 4(9))</w:t>
      </w:r>
      <w:bookmarkEnd w:id="1616"/>
    </w:p>
    <w:p>
      <w:pPr>
        <w:pStyle w:val="yMiscellaneousBody"/>
        <w:jc w:val="center"/>
      </w:pPr>
      <w:r>
        <w:rPr>
          <w:sz w:val="20"/>
        </w:rPr>
        <w:t>(</w:t>
      </w:r>
      <w:r>
        <w:rPr>
          <w:i/>
          <w:sz w:val="20"/>
        </w:rPr>
        <w:t>Heading as in order for leave to issue subpoena</w:t>
      </w:r>
      <w:r>
        <w:rPr>
          <w:sz w:val="20"/>
        </w:rPr>
        <w:t>)</w:t>
      </w:r>
    </w:p>
    <w:p>
      <w:pPr>
        <w:pStyle w:val="yMiscellaneousBody"/>
        <w:spacing w:before="120"/>
        <w:ind w:left="720" w:hanging="72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36(6)(b), the [</w:t>
      </w:r>
      <w:r>
        <w:rPr>
          <w:i/>
          <w:sz w:val="20"/>
        </w:rPr>
        <w:t>identify person</w:t>
      </w:r>
      <w:r>
        <w:rPr>
          <w:sz w:val="20"/>
        </w:rPr>
        <w:t>] requests to appear remotely in the hearing of the application to set aside the subpoena [</w:t>
      </w:r>
      <w:r>
        <w:rPr>
          <w:i/>
          <w:sz w:val="20"/>
        </w:rPr>
        <w:t>identify subpoena</w:t>
      </w:r>
      <w:r>
        <w:rPr>
          <w:sz w:val="20"/>
        </w:rPr>
        <w:t>].</w:t>
      </w:r>
    </w:p>
    <w:p>
      <w:pPr>
        <w:pStyle w:val="yMiscellaneousBody"/>
        <w:spacing w:before="120"/>
        <w:ind w:left="720" w:hanging="720"/>
        <w:rPr>
          <w:sz w:val="20"/>
        </w:rPr>
      </w:pPr>
      <w:r>
        <w:rPr>
          <w:sz w:val="20"/>
        </w:rPr>
        <w:t>2.</w:t>
      </w:r>
      <w:r>
        <w:rPr>
          <w:sz w:val="20"/>
        </w:rPr>
        <w:tab/>
        <w:t xml:space="preserve">The applicant was [served/purportedly served*] with the subpoena in New Zealand under the </w:t>
      </w:r>
      <w:r>
        <w:rPr>
          <w:i/>
          <w:sz w:val="20"/>
        </w:rPr>
        <w:t>Trans</w:t>
      </w:r>
      <w:r>
        <w:rPr>
          <w:i/>
          <w:sz w:val="20"/>
        </w:rPr>
        <w:noBreakHyphen/>
        <w:t>Tasman Proceedings Act 2010</w:t>
      </w:r>
      <w:r>
        <w:rPr>
          <w:sz w:val="20"/>
        </w:rPr>
        <w:t xml:space="preserve"> (Commonwealth) Part 5 Division 2.</w:t>
      </w:r>
    </w:p>
    <w:p>
      <w:pPr>
        <w:pStyle w:val="yMiscellaneousBody"/>
        <w:spacing w:before="120"/>
        <w:ind w:left="720" w:hanging="720"/>
        <w:rPr>
          <w:sz w:val="20"/>
        </w:rPr>
      </w:pPr>
      <w:r>
        <w:rPr>
          <w:sz w:val="20"/>
        </w:rPr>
        <w:t>3.</w:t>
      </w:r>
      <w:r>
        <w:rPr>
          <w:sz w:val="20"/>
        </w:rPr>
        <w:tab/>
        <w:t>A remote appearance medium is, or can reasonably be made, available for the hearing.</w:t>
      </w:r>
    </w:p>
    <w:p>
      <w:pPr>
        <w:pStyle w:val="yMiscellaneousBody"/>
        <w:spacing w:before="120"/>
        <w:rPr>
          <w:sz w:val="20"/>
        </w:rPr>
      </w:pPr>
      <w:r>
        <w:rPr>
          <w:sz w:val="20"/>
        </w:rPr>
        <w:t>4.</w:t>
      </w:r>
      <w:r>
        <w:rPr>
          <w:sz w:val="20"/>
        </w:rPr>
        <w:tab/>
        <w:t>The remote appearance can be made from [</w:t>
      </w:r>
      <w:r>
        <w:rPr>
          <w:i/>
          <w:sz w:val="20"/>
        </w:rPr>
        <w:t>place in New Zealand</w:t>
      </w:r>
      <w:r>
        <w:rPr>
          <w:sz w:val="20"/>
        </w:rPr>
        <w:t>].</w:t>
      </w:r>
    </w:p>
    <w:p>
      <w:pPr>
        <w:pStyle w:val="yMiscellaneousBody"/>
        <w:spacing w:before="120"/>
        <w:ind w:left="720" w:hanging="720"/>
        <w:rPr>
          <w:sz w:val="20"/>
        </w:rPr>
      </w:pPr>
      <w:r>
        <w:rPr>
          <w:sz w:val="20"/>
        </w:rPr>
        <w:t>5.</w:t>
      </w:r>
      <w:r>
        <w:rPr>
          <w:sz w:val="20"/>
        </w:rPr>
        <w:tab/>
        <w:t>The [audio link/audiovisual link*] facilities are available at [</w:t>
      </w:r>
      <w:r>
        <w:rPr>
          <w:i/>
          <w:sz w:val="20"/>
        </w:rPr>
        <w:t>courtroom or other place in New Zealand where remote appearance is to be made</w:t>
      </w:r>
      <w:r>
        <w:rPr>
          <w:sz w:val="20"/>
        </w:rPr>
        <w:t>].</w:t>
      </w:r>
    </w:p>
    <w:p>
      <w:pPr>
        <w:pStyle w:val="yMiscellaneousBody"/>
        <w:spacing w:before="120"/>
        <w:ind w:left="720" w:hanging="720"/>
        <w:rPr>
          <w:sz w:val="20"/>
        </w:rPr>
      </w:pPr>
      <w:r>
        <w:rPr>
          <w:sz w:val="20"/>
        </w:rPr>
        <w:t>6.</w:t>
      </w:r>
      <w:r>
        <w:rPr>
          <w:sz w:val="20"/>
        </w:rPr>
        <w:tab/>
        <w:t>I estimate the remote appearance will take [</w:t>
      </w:r>
      <w:r>
        <w:rPr>
          <w:i/>
          <w:sz w:val="20"/>
        </w:rPr>
        <w:t>amount of time for remote appearance</w:t>
      </w:r>
      <w:r>
        <w:rPr>
          <w:sz w:val="20"/>
        </w:rPr>
        <w:t>].</w:t>
      </w:r>
    </w:p>
    <w:p>
      <w:pPr>
        <w:pStyle w:val="yMiscellaneousBody"/>
        <w:spacing w:before="120"/>
        <w:rPr>
          <w:sz w:val="20"/>
        </w:rPr>
      </w:pPr>
      <w:r>
        <w:rPr>
          <w:sz w:val="20"/>
        </w:rPr>
        <w:t>*[</w:t>
      </w:r>
      <w:r>
        <w:rPr>
          <w:i/>
          <w:sz w:val="20"/>
        </w:rPr>
        <w:t>Select one</w:t>
      </w:r>
      <w:r>
        <w:rPr>
          <w:sz w:val="20"/>
        </w:rPr>
        <w:t>]</w:t>
      </w:r>
    </w:p>
    <w:p>
      <w:pPr>
        <w:pStyle w:val="yMiscellaneousBody"/>
        <w:spacing w:before="120"/>
        <w:rPr>
          <w:sz w:val="20"/>
        </w:rPr>
      </w:pPr>
      <w:r>
        <w:rPr>
          <w:sz w:val="20"/>
        </w:rPr>
        <w:t>Dated:</w:t>
      </w:r>
    </w:p>
    <w:p>
      <w:pPr>
        <w:pStyle w:val="yMiscellaneousBody"/>
        <w:spacing w:before="80"/>
        <w:jc w:val="right"/>
        <w:rPr>
          <w:sz w:val="20"/>
        </w:rPr>
      </w:pPr>
      <w:r>
        <w:t>[</w:t>
      </w:r>
      <w:r>
        <w:rPr>
          <w:i/>
          <w:sz w:val="20"/>
        </w:rPr>
        <w:t>Signature of applicant</w:t>
      </w:r>
      <w:r>
        <w:rPr>
          <w:i/>
          <w:sz w:val="20"/>
        </w:rPr>
        <w:br/>
        <w:t>or applicant’s solicitor</w:t>
      </w:r>
      <w:r>
        <w:rPr>
          <w:sz w:val="20"/>
        </w:rPr>
        <w:t>]</w:t>
      </w:r>
    </w:p>
    <w:p>
      <w:pPr>
        <w:pStyle w:val="yFootnotesection"/>
      </w:pPr>
      <w:r>
        <w:lastRenderedPageBreak/>
        <w:tab/>
        <w:t>[Form 31C inserted: Gazette 3 Aug 2012 p. 3755.]</w:t>
      </w:r>
    </w:p>
    <w:p>
      <w:pPr>
        <w:pStyle w:val="yHeading5"/>
      </w:pPr>
      <w:bookmarkStart w:id="1617" w:name="_Toc163121841"/>
      <w:r>
        <w:rPr>
          <w:rStyle w:val="CharSClsNo"/>
        </w:rPr>
        <w:t>31D</w:t>
      </w:r>
      <w:r>
        <w:t>.</w:t>
      </w:r>
      <w:r>
        <w:tab/>
        <w:t>Certificate of non</w:t>
      </w:r>
      <w:r>
        <w:noBreakHyphen/>
        <w:t>compliance with subpoena (O. 39A r. 5)</w:t>
      </w:r>
      <w:bookmarkEnd w:id="1617"/>
    </w:p>
    <w:p>
      <w:pPr>
        <w:pStyle w:val="yMiscellaneousBody"/>
      </w:pPr>
      <w:r>
        <w:rPr>
          <w:sz w:val="20"/>
        </w:rPr>
        <w:t>To:</w:t>
      </w:r>
      <w:r>
        <w:rPr>
          <w:sz w:val="20"/>
        </w:rPr>
        <w:tab/>
        <w:t>The High Court of New Zealand</w:t>
      </w:r>
    </w:p>
    <w:p>
      <w:pPr>
        <w:pStyle w:val="yMiscellaneousBody"/>
        <w:rPr>
          <w:sz w:val="20"/>
        </w:rPr>
      </w:pPr>
      <w:r>
        <w:tab/>
      </w:r>
      <w:r>
        <w:rPr>
          <w:sz w:val="20"/>
        </w:rPr>
        <w:t>[</w:t>
      </w:r>
      <w:r>
        <w:rPr>
          <w:i/>
          <w:sz w:val="20"/>
        </w:rPr>
        <w:t>Address</w:t>
      </w:r>
      <w:r>
        <w:rPr>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38, the [</w:t>
      </w:r>
      <w:r>
        <w:rPr>
          <w:i/>
          <w:sz w:val="20"/>
        </w:rPr>
        <w:t>issuing</w:t>
      </w:r>
      <w:r>
        <w:rPr>
          <w:sz w:val="20"/>
        </w:rPr>
        <w:t xml:space="preserve"> </w:t>
      </w:r>
      <w:r>
        <w:rPr>
          <w:i/>
          <w:sz w:val="20"/>
        </w:rPr>
        <w:t>Australian court</w:t>
      </w:r>
      <w:r>
        <w:rPr>
          <w:sz w:val="20"/>
        </w:rPr>
        <w:t xml:space="preserve">] certifies as follows — </w:t>
      </w:r>
    </w:p>
    <w:p>
      <w:pPr>
        <w:pStyle w:val="yMiscellaneousBody"/>
        <w:ind w:left="720" w:hanging="720"/>
        <w:rPr>
          <w:sz w:val="20"/>
        </w:rPr>
      </w:pPr>
      <w:r>
        <w:rPr>
          <w:sz w:val="20"/>
        </w:rPr>
        <w:t>1.</w:t>
      </w:r>
      <w:r>
        <w:rPr>
          <w:sz w:val="20"/>
        </w:rPr>
        <w:tab/>
        <w:t>On [</w:t>
      </w:r>
      <w:r>
        <w:rPr>
          <w:i/>
          <w:sz w:val="20"/>
        </w:rPr>
        <w:t>date</w:t>
      </w:r>
      <w:r>
        <w:rPr>
          <w:sz w:val="20"/>
        </w:rPr>
        <w:t xml:space="preserve">] under the </w:t>
      </w:r>
      <w:r>
        <w:rPr>
          <w:i/>
          <w:sz w:val="20"/>
        </w:rPr>
        <w:t>Trans</w:t>
      </w:r>
      <w:r>
        <w:rPr>
          <w:i/>
          <w:sz w:val="20"/>
        </w:rPr>
        <w:noBreakHyphen/>
        <w:t>Tasman Proceedings Act 2010</w:t>
      </w:r>
      <w:r>
        <w:rPr>
          <w:sz w:val="20"/>
        </w:rPr>
        <w:t xml:space="preserve"> (Commonwealth) section 31, the [</w:t>
      </w:r>
      <w:r>
        <w:rPr>
          <w:i/>
          <w:sz w:val="20"/>
        </w:rPr>
        <w:t>issuing</w:t>
      </w:r>
      <w:r>
        <w:rPr>
          <w:sz w:val="20"/>
        </w:rPr>
        <w:t xml:space="preserve"> </w:t>
      </w:r>
      <w:r>
        <w:rPr>
          <w:i/>
          <w:sz w:val="20"/>
        </w:rPr>
        <w:t>Australian court</w:t>
      </w:r>
      <w:r>
        <w:rPr>
          <w:sz w:val="20"/>
        </w:rPr>
        <w:t>] gave [</w:t>
      </w:r>
      <w:r>
        <w:rPr>
          <w:i/>
          <w:sz w:val="20"/>
        </w:rPr>
        <w:t>identify person</w:t>
      </w:r>
      <w:r>
        <w:rPr>
          <w:sz w:val="20"/>
        </w:rPr>
        <w:t>] leave to serve a subpoena on [</w:t>
      </w:r>
      <w:r>
        <w:rPr>
          <w:i/>
          <w:sz w:val="20"/>
        </w:rPr>
        <w:t>identify person</w:t>
      </w:r>
      <w:r>
        <w:rPr>
          <w:sz w:val="20"/>
        </w:rPr>
        <w:t>] in New Zealand.  Copies of the subpoena and the order giving leave are attached.</w:t>
      </w:r>
    </w:p>
    <w:p>
      <w:pPr>
        <w:pStyle w:val="yMiscellaneousBody"/>
        <w:rPr>
          <w:sz w:val="20"/>
        </w:rPr>
      </w:pPr>
      <w:r>
        <w:rPr>
          <w:sz w:val="20"/>
        </w:rPr>
        <w:t>2.</w:t>
      </w:r>
      <w:r>
        <w:rPr>
          <w:sz w:val="20"/>
        </w:rPr>
        <w:tab/>
        <w:t>On [</w:t>
      </w:r>
      <w:r>
        <w:rPr>
          <w:i/>
          <w:sz w:val="20"/>
        </w:rPr>
        <w:t>date</w:t>
      </w:r>
      <w:r>
        <w:rPr>
          <w:sz w:val="20"/>
        </w:rPr>
        <w:t>] the subpoena was served on [</w:t>
      </w:r>
      <w:r>
        <w:rPr>
          <w:i/>
          <w:sz w:val="20"/>
        </w:rPr>
        <w:t>identify person</w:t>
      </w:r>
      <w:r>
        <w:rPr>
          <w:sz w:val="20"/>
        </w:rPr>
        <w:t>].</w:t>
      </w:r>
    </w:p>
    <w:p>
      <w:pPr>
        <w:pStyle w:val="yMiscellaneousBody"/>
        <w:ind w:left="720" w:hanging="720"/>
        <w:rPr>
          <w:sz w:val="20"/>
        </w:rPr>
      </w:pPr>
      <w:r>
        <w:rPr>
          <w:sz w:val="20"/>
        </w:rPr>
        <w:t>3.</w:t>
      </w:r>
      <w:r>
        <w:rPr>
          <w:sz w:val="20"/>
        </w:rPr>
        <w:tab/>
        <w:t>*No application to set aside the subpoena either wholly or in part has been made.  An application to set aside the subpoena was dismissed by order made on [</w:t>
      </w:r>
      <w:r>
        <w:rPr>
          <w:i/>
          <w:sz w:val="20"/>
        </w:rPr>
        <w:t>insert date</w:t>
      </w:r>
      <w:r>
        <w:rPr>
          <w:sz w:val="20"/>
        </w:rPr>
        <w:t>].  A copy of this order is attached to this certificate.</w:t>
      </w:r>
    </w:p>
    <w:p>
      <w:pPr>
        <w:pStyle w:val="yMiscellaneousBody"/>
        <w:rPr>
          <w:sz w:val="20"/>
        </w:rPr>
      </w:pPr>
      <w:r>
        <w:rPr>
          <w:sz w:val="20"/>
        </w:rPr>
        <w:t>4.</w:t>
      </w:r>
      <w:r>
        <w:rPr>
          <w:sz w:val="20"/>
        </w:rPr>
        <w:tab/>
        <w:t>On [</w:t>
      </w:r>
      <w:r>
        <w:rPr>
          <w:i/>
          <w:sz w:val="20"/>
        </w:rPr>
        <w:t>date</w:t>
      </w:r>
      <w:r>
        <w:rPr>
          <w:sz w:val="20"/>
        </w:rPr>
        <w:t>] [</w:t>
      </w:r>
      <w:r>
        <w:rPr>
          <w:i/>
          <w:sz w:val="20"/>
        </w:rPr>
        <w:t>identify person</w:t>
      </w:r>
      <w:r>
        <w:rPr>
          <w:sz w:val="20"/>
        </w:rPr>
        <w:t>] failed to comply with the subpoena.</w:t>
      </w:r>
    </w:p>
    <w:p>
      <w:pPr>
        <w:pStyle w:val="yMiscellaneousBody"/>
        <w:rPr>
          <w:sz w:val="20"/>
        </w:rPr>
      </w:pPr>
      <w:r>
        <w:rPr>
          <w:sz w:val="20"/>
        </w:rPr>
        <w:t>*[</w:t>
      </w:r>
      <w:r>
        <w:rPr>
          <w:i/>
          <w:sz w:val="20"/>
        </w:rPr>
        <w:t>Delete the inapplicable</w:t>
      </w:r>
      <w:r>
        <w:rPr>
          <w:sz w:val="20"/>
        </w:rPr>
        <w:t>]</w:t>
      </w:r>
    </w:p>
    <w:p>
      <w:pPr>
        <w:pStyle w:val="yMiscellaneousBody"/>
        <w:rPr>
          <w:sz w:val="20"/>
        </w:rPr>
      </w:pPr>
      <w:r>
        <w:rPr>
          <w:sz w:val="20"/>
        </w:rPr>
        <w:t>Dated:</w:t>
      </w:r>
    </w:p>
    <w:p>
      <w:pPr>
        <w:pStyle w:val="yMiscellaneousBody"/>
        <w:spacing w:before="120"/>
        <w:jc w:val="right"/>
        <w:rPr>
          <w:sz w:val="20"/>
        </w:rPr>
      </w:pPr>
      <w:r>
        <w:rPr>
          <w:sz w:val="20"/>
        </w:rPr>
        <w:t>BY THE COURT</w:t>
      </w:r>
    </w:p>
    <w:p>
      <w:pPr>
        <w:pStyle w:val="yMiscellaneousBody"/>
        <w:spacing w:before="0"/>
        <w:jc w:val="right"/>
        <w:rPr>
          <w:sz w:val="20"/>
        </w:rPr>
      </w:pPr>
      <w:r>
        <w:rPr>
          <w:sz w:val="20"/>
        </w:rPr>
        <w:t>[</w:t>
      </w:r>
      <w:r>
        <w:rPr>
          <w:i/>
          <w:sz w:val="20"/>
        </w:rPr>
        <w:t>Signature of appropriate officer</w:t>
      </w:r>
      <w:r>
        <w:rPr>
          <w:sz w:val="20"/>
        </w:rPr>
        <w:t>]</w:t>
      </w:r>
    </w:p>
    <w:p>
      <w:pPr>
        <w:pStyle w:val="yMiscellaneousBody"/>
        <w:ind w:left="567"/>
        <w:rPr>
          <w:i/>
          <w:sz w:val="20"/>
        </w:rPr>
      </w:pPr>
      <w:r>
        <w:rPr>
          <w:i/>
          <w:sz w:val="20"/>
        </w:rPr>
        <w:t>Note: The seal of the court is to be affixed.</w:t>
      </w:r>
    </w:p>
    <w:p>
      <w:pPr>
        <w:pStyle w:val="yFootnotesection"/>
      </w:pPr>
      <w:r>
        <w:tab/>
        <w:t>[Form 31D inserted: Gazette 3 Aug 2012 p. 3755</w:t>
      </w:r>
      <w:r>
        <w:noBreakHyphen/>
        <w:t>6.]</w:t>
      </w:r>
    </w:p>
    <w:p>
      <w:pPr>
        <w:pStyle w:val="yHeading5"/>
      </w:pPr>
      <w:bookmarkStart w:id="1618" w:name="_Toc163121842"/>
      <w:r>
        <w:rPr>
          <w:rStyle w:val="CharSClsNo"/>
        </w:rPr>
        <w:t>32</w:t>
      </w:r>
      <w:r>
        <w:t>.</w:t>
      </w:r>
      <w:r>
        <w:tab/>
        <w:t>Default judgment for liquidated demand (O. 13 r. 2; O. 42 r. 1)</w:t>
      </w:r>
      <w:bookmarkEnd w:id="1618"/>
    </w:p>
    <w:tbl>
      <w:tblPr>
        <w:tblStyle w:val="TableGrid"/>
        <w:tblW w:w="0" w:type="auto"/>
        <w:tblInd w:w="108" w:type="dxa"/>
        <w:tblLook w:val="04A0" w:firstRow="1" w:lastRow="0" w:firstColumn="1" w:lastColumn="0" w:noHBand="0" w:noVBand="1"/>
      </w:tblPr>
      <w:tblGrid>
        <w:gridCol w:w="6979"/>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lastRenderedPageBreak/>
              <w:t>Defendant.</w:t>
            </w:r>
          </w:p>
        </w:tc>
      </w:tr>
      <w:tr>
        <w:tc>
          <w:tcPr>
            <w:tcW w:w="7088" w:type="dxa"/>
            <w:tcBorders>
              <w:top w:val="nil"/>
              <w:bottom w:val="nil"/>
            </w:tcBorders>
          </w:tcPr>
          <w:p>
            <w:pPr>
              <w:pStyle w:val="yMiscellaneousBody"/>
              <w:jc w:val="center"/>
              <w:rPr>
                <w:sz w:val="20"/>
              </w:rPr>
            </w:pPr>
            <w:r>
              <w:rPr>
                <w:b/>
                <w:sz w:val="20"/>
              </w:rPr>
              <w:lastRenderedPageBreak/>
              <w:t>DEFAULT JUDGMENT FOR LIQUIDATED DEMAND</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tabs>
                <w:tab w:val="left" w:pos="396"/>
              </w:tabs>
              <w:rPr>
                <w:sz w:val="20"/>
              </w:rPr>
            </w:pPr>
            <w:r>
              <w:rPr>
                <w:sz w:val="20"/>
              </w:rPr>
              <w:t>(a)</w:t>
            </w:r>
            <w:r>
              <w:rPr>
                <w:sz w:val="20"/>
              </w:rPr>
              <w:tab/>
              <w:t>$[</w:t>
            </w:r>
            <w:r>
              <w:rPr>
                <w:i/>
                <w:sz w:val="20"/>
              </w:rPr>
              <w:t>insert amount</w:t>
            </w:r>
            <w:r>
              <w:rPr>
                <w:sz w:val="20"/>
              </w:rPr>
              <w:t>]; and</w:t>
            </w:r>
          </w:p>
          <w:p>
            <w:pPr>
              <w:pStyle w:val="yMiscellaneousBody"/>
              <w:tabs>
                <w:tab w:val="left" w:pos="396"/>
              </w:tabs>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67"/>
              </w:tabs>
              <w:rPr>
                <w:sz w:val="20"/>
              </w:rPr>
            </w:pPr>
            <w:r>
              <w:rPr>
                <w:sz w:val="20"/>
              </w:rPr>
              <w:tab/>
              <w:t>BY THE COURT</w:t>
            </w:r>
          </w:p>
          <w:p>
            <w:pPr>
              <w:pStyle w:val="yMiscellaneousBody"/>
              <w:tabs>
                <w:tab w:val="left" w:pos="4567"/>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bottom w:val="nil"/>
            </w:tcBorders>
          </w:tcPr>
          <w:p>
            <w:pPr>
              <w:pStyle w:val="yMiscellaneousBody"/>
              <w:tabs>
                <w:tab w:val="left" w:pos="295"/>
                <w:tab w:val="left" w:pos="573"/>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295"/>
                <w:tab w:val="left" w:pos="573"/>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highlight w:val="yellow"/>
              </w:rPr>
            </w:pPr>
            <w:r>
              <w:rPr>
                <w:sz w:val="20"/>
              </w:rPr>
              <w:lastRenderedPageBreak/>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lastRenderedPageBreak/>
        <w:tab/>
        <w:t>[Form 32 inserted: Gazette 16 Nov 2016 p. 5202-3.]</w:t>
      </w:r>
    </w:p>
    <w:p>
      <w:pPr>
        <w:pStyle w:val="yHeading5"/>
      </w:pPr>
      <w:bookmarkStart w:id="1619" w:name="_Toc163121843"/>
      <w:r>
        <w:rPr>
          <w:rStyle w:val="CharSClsNo"/>
        </w:rPr>
        <w:t>33</w:t>
      </w:r>
      <w:r>
        <w:t>.</w:t>
      </w:r>
      <w:r>
        <w:tab/>
        <w:t>Default judgment where demand unliquidated (O. 13 r. 3; O. 42 r. 1)</w:t>
      </w:r>
      <w:bookmarkEnd w:id="1619"/>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tc>
          <w:tcPr>
            <w:tcW w:w="7088" w:type="dxa"/>
            <w:tcBorders>
              <w:bottom w:val="nil"/>
            </w:tcBorders>
          </w:tcPr>
          <w:p>
            <w:pPr>
              <w:pStyle w:val="yMiscellaneousBody"/>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rPr>
                <w:sz w:val="20"/>
              </w:rPr>
            </w:pPr>
            <w:r>
              <w:rPr>
                <w:b/>
                <w:sz w:val="20"/>
              </w:rPr>
              <w:t>DEFAULT JUDGMENT WHERE DEMAND UNLIQUIDATED</w:t>
            </w:r>
          </w:p>
          <w:p>
            <w:pPr>
              <w:pStyle w:val="yMiscellaneousBody"/>
              <w:rPr>
                <w:sz w:val="20"/>
              </w:rPr>
            </w:pPr>
            <w:r>
              <w:rPr>
                <w:sz w:val="20"/>
              </w:rPr>
              <w:t>Judicial officer:</w:t>
            </w:r>
          </w:p>
          <w:p>
            <w:pPr>
              <w:pStyle w:val="yMiscellaneousBody"/>
              <w:rPr>
                <w:sz w:val="20"/>
              </w:rPr>
            </w:pPr>
            <w:r>
              <w:rPr>
                <w:sz w:val="20"/>
              </w:rPr>
              <w:t>Date of order:</w:t>
            </w:r>
          </w:p>
          <w:p>
            <w:pPr>
              <w:pStyle w:val="yMiscellaneousBody"/>
              <w:rPr>
                <w:b/>
                <w:sz w:val="20"/>
              </w:rPr>
            </w:pPr>
            <w:r>
              <w:rPr>
                <w:b/>
                <w:sz w:val="20"/>
              </w:rPr>
              <w:t>THE COURT ORDERS THAT:</w:t>
            </w:r>
          </w:p>
          <w:p>
            <w:pPr>
              <w:pStyle w:val="yMiscellaneousBody"/>
              <w:rPr>
                <w:sz w:val="20"/>
              </w:rPr>
            </w:pPr>
            <w:r>
              <w:rPr>
                <w:sz w:val="20"/>
              </w:rPr>
              <w:t>The defendant pay the plaintiff the value of the goods [</w:t>
            </w:r>
            <w:r>
              <w:rPr>
                <w:i/>
                <w:sz w:val="20"/>
              </w:rPr>
              <w:t>or damages, or both, as the case requires</w:t>
            </w:r>
            <w:r>
              <w:rPr>
                <w:sz w:val="20"/>
              </w:rPr>
              <w:t>] to be assessed.</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p>
            <w:pPr>
              <w:pStyle w:val="yMiscellaneousBody"/>
              <w:rPr>
                <w:sz w:val="20"/>
              </w:rPr>
            </w:pPr>
            <w:r>
              <w:rPr>
                <w:i/>
                <w:sz w:val="20"/>
              </w:rPr>
              <w:t>Note: Default judgment after assessment of damages is to be in Form 35.</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tc>
          <w:tcPr>
            <w:tcW w:w="7088" w:type="dxa"/>
            <w:tcBorders>
              <w:top w:val="nil"/>
              <w:bottom w:val="nil"/>
            </w:tcBorders>
          </w:tcPr>
          <w:p>
            <w:pPr>
              <w:pStyle w:val="yMiscellaneousBody"/>
              <w:rPr>
                <w:sz w:val="20"/>
              </w:rPr>
            </w:pPr>
            <w:r>
              <w:rPr>
                <w:sz w:val="20"/>
              </w:rPr>
              <w:lastRenderedPageBreak/>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tc>
          <w:tcPr>
            <w:tcW w:w="7088" w:type="dxa"/>
            <w:tcBorders>
              <w:top w:val="nil"/>
              <w:bottom w:val="single" w:sz="4" w:space="0" w:color="auto"/>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33 inserted: Gazette 16 Nov 2016 p. 5204</w:t>
      </w:r>
      <w:r>
        <w:noBreakHyphen/>
        <w:t>5.]</w:t>
      </w:r>
    </w:p>
    <w:p>
      <w:pPr>
        <w:pStyle w:val="yHeading5"/>
      </w:pPr>
      <w:bookmarkStart w:id="1620" w:name="_Toc163121844"/>
      <w:r>
        <w:rPr>
          <w:rStyle w:val="CharSClsNo"/>
        </w:rPr>
        <w:t>34</w:t>
      </w:r>
      <w:r>
        <w:t>.</w:t>
      </w:r>
      <w:r>
        <w:tab/>
        <w:t>Default judgment in action relating to detention of goods other than in a mortgage action (O. 13 r. 4; O. 42 r. 1)</w:t>
      </w:r>
      <w:bookmarkEnd w:id="1620"/>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tc>
          <w:tcPr>
            <w:tcW w:w="7088" w:type="dxa"/>
            <w:tcBorders>
              <w:top w:val="single" w:sz="4" w:space="0" w:color="auto"/>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IN ACTION RELATING TO DETENTION OF GOODS OTHER THAN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The defendant deliver to the plaintiff the goods described in the writ of summons [</w:t>
            </w:r>
            <w:r>
              <w:rPr>
                <w:i/>
                <w:sz w:val="20"/>
              </w:rPr>
              <w:t>or statement of claim</w:t>
            </w:r>
            <w:r>
              <w:rPr>
                <w:sz w:val="20"/>
              </w:rPr>
              <w:t>] as [</w:t>
            </w:r>
            <w:r>
              <w:rPr>
                <w:i/>
                <w:sz w:val="20"/>
              </w:rPr>
              <w:t>insert description of goods</w:t>
            </w:r>
            <w:r>
              <w:rPr>
                <w:sz w:val="20"/>
              </w:rPr>
              <w:t>] or pay to the plaintiff the value of those goods to be assessed [</w:t>
            </w:r>
            <w:r>
              <w:rPr>
                <w:i/>
                <w:sz w:val="20"/>
              </w:rPr>
              <w:t>and also damages for their detention to be assessed</w:t>
            </w:r>
            <w:r>
              <w:rPr>
                <w:sz w:val="20"/>
              </w:rPr>
              <w:t>].</w:t>
            </w:r>
            <w:r>
              <w:rPr>
                <w:sz w:val="20"/>
                <w:vertAlign w:val="superscript"/>
              </w:rPr>
              <w:t>1</w:t>
            </w:r>
          </w:p>
        </w:tc>
      </w:tr>
      <w:tr>
        <w:tc>
          <w:tcPr>
            <w:tcW w:w="7088" w:type="dxa"/>
            <w:tcBorders>
              <w:top w:val="nil"/>
              <w:bottom w:val="nil"/>
            </w:tcBorders>
          </w:tcPr>
          <w:p>
            <w:pPr>
              <w:pStyle w:val="yMiscellaneousBody"/>
              <w:jc w:val="center"/>
              <w:rPr>
                <w:sz w:val="20"/>
              </w:rPr>
            </w:pPr>
            <w:r>
              <w:rPr>
                <w:i/>
                <w:sz w:val="20"/>
              </w:rPr>
              <w:t>or</w:t>
            </w:r>
          </w:p>
          <w:p>
            <w:pPr>
              <w:pStyle w:val="yMiscellaneousBody"/>
              <w:rPr>
                <w:sz w:val="20"/>
              </w:rPr>
            </w:pPr>
            <w:r>
              <w:rPr>
                <w:sz w:val="20"/>
              </w:rPr>
              <w:lastRenderedPageBreak/>
              <w:t>The defendant pay the plaintiff the value of the goods described in the statement of claim to be assessed [</w:t>
            </w:r>
            <w:r>
              <w:rPr>
                <w:i/>
                <w:sz w:val="20"/>
              </w:rPr>
              <w:t>and also damages for their detention to be assessed</w:t>
            </w:r>
            <w:r>
              <w:rPr>
                <w:sz w:val="20"/>
              </w:rPr>
              <w:t>].</w:t>
            </w:r>
            <w:r>
              <w:rPr>
                <w:sz w:val="20"/>
                <w:vertAlign w:val="superscript"/>
              </w:rPr>
              <w:t>2</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p>
            <w:pPr>
              <w:pStyle w:val="yMiscellaneousBody"/>
              <w:rPr>
                <w:i/>
                <w:sz w:val="20"/>
              </w:rPr>
            </w:pPr>
            <w:r>
              <w:rPr>
                <w:i/>
                <w:sz w:val="20"/>
              </w:rPr>
              <w:t>Note: Default judgment after assessment of the value of the goods and damages for their detention (if applicable) is to be in Form 35.</w:t>
            </w:r>
          </w:p>
        </w:tc>
      </w:tr>
      <w:tr>
        <w:tc>
          <w:tcPr>
            <w:tcW w:w="7088" w:type="dxa"/>
            <w:tcBorders>
              <w:top w:val="nil"/>
            </w:tcBorders>
          </w:tcPr>
          <w:p>
            <w:pPr>
              <w:pStyle w:val="yMiscellaneousBody"/>
              <w:rPr>
                <w:sz w:val="20"/>
              </w:rPr>
            </w:pPr>
            <w:r>
              <w:rPr>
                <w:b/>
                <w:sz w:val="20"/>
              </w:rPr>
              <w:lastRenderedPageBreak/>
              <w:t>NOTICE TO DEFENDANT</w:t>
            </w:r>
            <w:r>
              <w:rPr>
                <w:sz w:val="20"/>
                <w:vertAlign w:val="superscript"/>
              </w:rPr>
              <w:t>1</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tc>
          <w:tcPr>
            <w:tcW w:w="7088" w:type="dxa"/>
          </w:tcPr>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Pr>
          <w:p>
            <w:pPr>
              <w:pStyle w:val="yMiscellaneousBody"/>
              <w:tabs>
                <w:tab w:val="left" w:pos="151"/>
                <w:tab w:val="left" w:pos="564"/>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51"/>
                <w:tab w:val="left" w:pos="564"/>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p>
            <w:pPr>
              <w:pStyle w:val="yMiscellaneousBody"/>
              <w:jc w:val="center"/>
              <w:rPr>
                <w:sz w:val="20"/>
              </w:rPr>
            </w:pPr>
            <w:r>
              <w:rPr>
                <w:i/>
                <w:sz w:val="20"/>
              </w:rPr>
              <w:t>or</w:t>
            </w:r>
          </w:p>
        </w:tc>
      </w:tr>
      <w:tr>
        <w:tc>
          <w:tcPr>
            <w:tcW w:w="7088" w:type="dxa"/>
            <w:tcBorders>
              <w:top w:val="nil"/>
              <w:bottom w:val="nil"/>
            </w:tcBorders>
          </w:tcPr>
          <w:p>
            <w:pPr>
              <w:pStyle w:val="yMiscellaneousBody"/>
              <w:rPr>
                <w:sz w:val="20"/>
              </w:rPr>
            </w:pPr>
            <w:r>
              <w:rPr>
                <w:b/>
                <w:sz w:val="20"/>
              </w:rPr>
              <w:t>NOTICE TO DEFENDANT</w:t>
            </w:r>
            <w:r>
              <w:rPr>
                <w:sz w:val="20"/>
                <w:vertAlign w:val="superscript"/>
              </w:rPr>
              <w:t>2</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tc>
          <w:tcPr>
            <w:tcW w:w="7088" w:type="dxa"/>
            <w:tcBorders>
              <w:top w:val="nil"/>
              <w:bottom w:val="nil"/>
            </w:tcBorders>
          </w:tcPr>
          <w:p>
            <w:pPr>
              <w:pStyle w:val="yMiscellaneousBody"/>
              <w:rPr>
                <w:sz w:val="20"/>
              </w:rPr>
            </w:pPr>
            <w:r>
              <w:rPr>
                <w:b/>
                <w:sz w:val="20"/>
              </w:rPr>
              <w:t>CONTACT DETAILS</w:t>
            </w:r>
          </w:p>
          <w:p>
            <w:pPr>
              <w:pStyle w:val="yMiscellaneousBody"/>
              <w:rPr>
                <w:sz w:val="20"/>
              </w:rPr>
            </w:pPr>
            <w:r>
              <w:rPr>
                <w:sz w:val="20"/>
              </w:rPr>
              <w:lastRenderedPageBreak/>
              <w:t>The name and address of the law firm representing the plaintiff is: [</w:t>
            </w:r>
            <w:r>
              <w:rPr>
                <w:i/>
                <w:sz w:val="20"/>
              </w:rPr>
              <w:t>insert name and address</w:t>
            </w:r>
            <w:r>
              <w:rPr>
                <w:sz w:val="20"/>
              </w:rPr>
              <w:t>].</w:t>
            </w:r>
          </w:p>
        </w:tc>
      </w:tr>
      <w:tr>
        <w:tc>
          <w:tcPr>
            <w:tcW w:w="7088" w:type="dxa"/>
            <w:tcBorders>
              <w:top w:val="nil"/>
              <w:bottom w:val="single" w:sz="4" w:space="0" w:color="auto"/>
            </w:tcBorders>
          </w:tcPr>
          <w:p>
            <w:pPr>
              <w:pStyle w:val="yMiscellaneousBody"/>
              <w:rPr>
                <w:sz w:val="20"/>
              </w:rPr>
            </w:pPr>
            <w:r>
              <w:rPr>
                <w:sz w:val="20"/>
              </w:rPr>
              <w:lastRenderedPageBreak/>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tabs>
          <w:tab w:val="left" w:pos="142"/>
          <w:tab w:val="left" w:pos="567"/>
        </w:tabs>
        <w:rPr>
          <w:sz w:val="16"/>
          <w:szCs w:val="16"/>
        </w:rPr>
      </w:pPr>
      <w:r>
        <w:rPr>
          <w:sz w:val="16"/>
          <w:szCs w:val="16"/>
        </w:rPr>
        <w:t>Notes to Form 34:</w:t>
      </w:r>
    </w:p>
    <w:p>
      <w:pPr>
        <w:pStyle w:val="yMiscellaneousBody"/>
        <w:tabs>
          <w:tab w:val="left" w:pos="142"/>
          <w:tab w:val="left" w:pos="567"/>
        </w:tabs>
        <w:rPr>
          <w:sz w:val="16"/>
          <w:szCs w:val="16"/>
        </w:rPr>
      </w:pPr>
      <w:r>
        <w:rPr>
          <w:sz w:val="16"/>
          <w:szCs w:val="16"/>
        </w:rPr>
        <w:tab/>
        <w:t>1.</w:t>
      </w:r>
      <w:r>
        <w:rPr>
          <w:sz w:val="16"/>
          <w:szCs w:val="16"/>
        </w:rPr>
        <w:tab/>
        <w:t>To be used for a default judgment referred to in Order 13 rule 4(1)(a)(i).</w:t>
      </w:r>
    </w:p>
    <w:p>
      <w:pPr>
        <w:pStyle w:val="yMiscellaneousBody"/>
        <w:tabs>
          <w:tab w:val="left" w:pos="142"/>
          <w:tab w:val="left" w:pos="567"/>
        </w:tabs>
        <w:rPr>
          <w:sz w:val="16"/>
          <w:szCs w:val="16"/>
        </w:rPr>
      </w:pPr>
      <w:r>
        <w:rPr>
          <w:sz w:val="16"/>
          <w:szCs w:val="16"/>
        </w:rPr>
        <w:tab/>
        <w:t>2.</w:t>
      </w:r>
      <w:r>
        <w:rPr>
          <w:sz w:val="16"/>
          <w:szCs w:val="16"/>
        </w:rPr>
        <w:tab/>
        <w:t>To be used for a default judgment referred to in Order 13 rule 4(1)(a)(ii).</w:t>
      </w:r>
    </w:p>
    <w:p>
      <w:pPr>
        <w:pStyle w:val="yFootnotesection"/>
      </w:pPr>
      <w:r>
        <w:tab/>
        <w:t>[Form 34 inserted: Gazette 16 Nov 2016 p. 5205</w:t>
      </w:r>
      <w:r>
        <w:noBreakHyphen/>
        <w:t>7.]</w:t>
      </w:r>
    </w:p>
    <w:p>
      <w:pPr>
        <w:pStyle w:val="yHeading5"/>
      </w:pPr>
      <w:bookmarkStart w:id="1621" w:name="_Toc163121845"/>
      <w:r>
        <w:rPr>
          <w:rStyle w:val="CharSClsNo"/>
        </w:rPr>
        <w:t>35</w:t>
      </w:r>
      <w:r>
        <w:t>.</w:t>
      </w:r>
      <w:r>
        <w:tab/>
        <w:t>Default judgment after assessment of damages etc. (O. 13 r. 3 &amp; 4; O. 42 r. 1)</w:t>
      </w:r>
      <w:bookmarkEnd w:id="1621"/>
    </w:p>
    <w:tbl>
      <w:tblPr>
        <w:tblStyle w:val="TableGrid"/>
        <w:tblW w:w="0" w:type="auto"/>
        <w:tblInd w:w="108" w:type="dxa"/>
        <w:tblLook w:val="04A0" w:firstRow="1" w:lastRow="0" w:firstColumn="1" w:lastColumn="0" w:noHBand="0" w:noVBand="1"/>
      </w:tblPr>
      <w:tblGrid>
        <w:gridCol w:w="6979"/>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AFTER ASSESSMENT OF DAMAGES ETC.</w:t>
            </w:r>
            <w:r>
              <w:rPr>
                <w:sz w:val="20"/>
                <w:vertAlign w:val="superscript"/>
              </w:rPr>
              <w:t>1</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sz w:val="20"/>
              </w:rPr>
              <w:t>The plaintiff having on the                 day of                        20     , obtained default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rPr>
                <w:sz w:val="20"/>
              </w:rPr>
            </w:pPr>
            <w:r>
              <w:rPr>
                <w:sz w:val="20"/>
              </w:rPr>
              <w:t>(a)</w:t>
            </w:r>
            <w:r>
              <w:rPr>
                <w:sz w:val="20"/>
              </w:rPr>
              <w:tab/>
              <w:t>$[</w:t>
            </w:r>
            <w:r>
              <w:rPr>
                <w:i/>
                <w:sz w:val="20"/>
              </w:rPr>
              <w:t>insert amount</w:t>
            </w:r>
            <w:r>
              <w:rPr>
                <w:sz w:val="20"/>
              </w:rPr>
              <w:t>]; and</w:t>
            </w:r>
          </w:p>
          <w:p>
            <w:pPr>
              <w:pStyle w:val="yMiscellaneousBody"/>
              <w:rPr>
                <w:sz w:val="20"/>
              </w:rPr>
            </w:pPr>
            <w:r>
              <w:rPr>
                <w:sz w:val="20"/>
              </w:rPr>
              <w:lastRenderedPageBreak/>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bottom w:val="nil"/>
            </w:tcBorders>
          </w:tcPr>
          <w:p>
            <w:pPr>
              <w:pStyle w:val="yMiscellaneousBody"/>
              <w:rPr>
                <w:sz w:val="20"/>
              </w:rPr>
            </w:pPr>
            <w:r>
              <w:rPr>
                <w:sz w:val="20"/>
              </w:rPr>
              <w:lastRenderedPageBreak/>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tc>
          <w:tcPr>
            <w:tcW w:w="7088" w:type="dxa"/>
            <w:tcBorders>
              <w:top w:val="nil"/>
              <w:bottom w:val="nil"/>
            </w:tcBorders>
          </w:tcPr>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bottom w:val="nil"/>
            </w:tcBorders>
          </w:tcPr>
          <w:p>
            <w:pPr>
              <w:pStyle w:val="yMiscellaneousBody"/>
              <w:tabs>
                <w:tab w:val="left" w:pos="176"/>
                <w:tab w:val="left" w:pos="601"/>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76"/>
                <w:tab w:val="left" w:pos="601"/>
              </w:tabs>
              <w:ind w:left="601" w:hanging="601"/>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rPr>
          <w:sz w:val="16"/>
          <w:szCs w:val="16"/>
        </w:rPr>
      </w:pPr>
      <w:r>
        <w:rPr>
          <w:sz w:val="16"/>
          <w:szCs w:val="16"/>
        </w:rPr>
        <w:t>Note to Form 35:</w:t>
      </w:r>
    </w:p>
    <w:p>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pPr>
        <w:pStyle w:val="yFootnotesection"/>
      </w:pPr>
      <w:r>
        <w:tab/>
        <w:t>[Form 35 inserted: Gazette 16 Nov 2016 p. 5207</w:t>
      </w:r>
      <w:r>
        <w:noBreakHyphen/>
        <w:t>8.]</w:t>
      </w:r>
    </w:p>
    <w:p>
      <w:pPr>
        <w:pStyle w:val="yHeading5"/>
      </w:pPr>
      <w:bookmarkStart w:id="1622" w:name="_Toc163121846"/>
      <w:r>
        <w:rPr>
          <w:rStyle w:val="CharSClsNo"/>
        </w:rPr>
        <w:lastRenderedPageBreak/>
        <w:t>36</w:t>
      </w:r>
      <w:r>
        <w:t>.</w:t>
      </w:r>
      <w:r>
        <w:tab/>
        <w:t>Default judgment for possession of land other than in a mortgage action (O. 13 r. 5; O. 42 r. 1)</w:t>
      </w:r>
      <w:bookmarkEnd w:id="1622"/>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tc>
          <w:tcPr>
            <w:tcW w:w="7088" w:type="dxa"/>
            <w:tcBorders>
              <w:bottom w:val="nil"/>
            </w:tcBorders>
          </w:tcPr>
          <w:p>
            <w:pPr>
              <w:pStyle w:val="yMiscellaneousBody"/>
              <w:keepNext/>
              <w:keepLines/>
              <w:jc w:val="center"/>
              <w:rPr>
                <w:sz w:val="20"/>
              </w:rPr>
            </w:pPr>
            <w:r>
              <w:rPr>
                <w:b/>
                <w:sz w:val="20"/>
              </w:rPr>
              <w:t>IN THE SUPREME COURT OF WESTERN AUSTRALIA</w:t>
            </w:r>
          </w:p>
          <w:p>
            <w:pPr>
              <w:pStyle w:val="yMiscellaneousBody"/>
              <w:keepNext/>
              <w:keepLines/>
              <w:jc w:val="right"/>
              <w:rPr>
                <w:sz w:val="20"/>
              </w:rPr>
            </w:pPr>
            <w:r>
              <w:rPr>
                <w:sz w:val="20"/>
              </w:rPr>
              <w:t>No: .............. of 20 .......</w:t>
            </w:r>
          </w:p>
        </w:tc>
      </w:tr>
      <w:tr>
        <w:tc>
          <w:tcPr>
            <w:tcW w:w="7088" w:type="dxa"/>
            <w:tcBorders>
              <w:top w:val="nil"/>
              <w:bottom w:val="nil"/>
            </w:tcBorders>
          </w:tcPr>
          <w:p>
            <w:pPr>
              <w:pStyle w:val="yMiscellaneousBody"/>
              <w:keepNext/>
              <w:keepLines/>
              <w:rPr>
                <w:sz w:val="20"/>
              </w:rPr>
            </w:pPr>
            <w:r>
              <w:rPr>
                <w:sz w:val="20"/>
              </w:rPr>
              <w:t>BETWEEN:</w:t>
            </w:r>
          </w:p>
          <w:p>
            <w:pPr>
              <w:pStyle w:val="yMiscellaneousBody"/>
              <w:keepNext/>
              <w:keepLines/>
              <w:rPr>
                <w:sz w:val="20"/>
              </w:rPr>
            </w:pPr>
            <w:r>
              <w:rPr>
                <w:sz w:val="20"/>
              </w:rPr>
              <w:t>AB</w:t>
            </w:r>
          </w:p>
          <w:p>
            <w:pPr>
              <w:pStyle w:val="yMiscellaneousBody"/>
              <w:keepNext/>
              <w:keepLines/>
              <w:jc w:val="right"/>
              <w:rPr>
                <w:sz w:val="20"/>
              </w:rPr>
            </w:pPr>
            <w:r>
              <w:rPr>
                <w:sz w:val="20"/>
              </w:rPr>
              <w:t>Plaintiff,</w:t>
            </w:r>
          </w:p>
          <w:p>
            <w:pPr>
              <w:pStyle w:val="yMiscellaneousBody"/>
              <w:keepNext/>
              <w:keepLines/>
              <w:rPr>
                <w:sz w:val="20"/>
              </w:rPr>
            </w:pPr>
            <w:r>
              <w:rPr>
                <w:sz w:val="20"/>
              </w:rPr>
              <w:t>and</w:t>
            </w:r>
          </w:p>
          <w:p>
            <w:pPr>
              <w:pStyle w:val="yMiscellaneousBody"/>
              <w:keepNext/>
              <w:keepLines/>
              <w:rPr>
                <w:sz w:val="20"/>
              </w:rPr>
            </w:pPr>
            <w:r>
              <w:rPr>
                <w:sz w:val="20"/>
              </w:rPr>
              <w:t>CD</w:t>
            </w:r>
          </w:p>
          <w:p>
            <w:pPr>
              <w:pStyle w:val="yMiscellaneousBody"/>
              <w:keepNext/>
              <w:keepLines/>
              <w:jc w:val="right"/>
              <w:rPr>
                <w:sz w:val="20"/>
              </w:rPr>
            </w:pPr>
            <w:r>
              <w:rPr>
                <w:sz w:val="20"/>
              </w:rPr>
              <w:t>Defendant.</w:t>
            </w:r>
          </w:p>
        </w:tc>
      </w:tr>
      <w:tr>
        <w:tc>
          <w:tcPr>
            <w:tcW w:w="7088" w:type="dxa"/>
            <w:tcBorders>
              <w:top w:val="nil"/>
            </w:tcBorders>
          </w:tcPr>
          <w:p>
            <w:pPr>
              <w:pStyle w:val="yMiscellaneousBody"/>
              <w:keepNext/>
              <w:keepLines/>
              <w:jc w:val="center"/>
              <w:rPr>
                <w:sz w:val="20"/>
              </w:rPr>
            </w:pPr>
            <w:r>
              <w:rPr>
                <w:b/>
                <w:sz w:val="20"/>
              </w:rPr>
              <w:t>DEFAULT JUDGMENT FOR POSSESSION OF LAND OTHER THAN IN A MORTGAGE ACTION</w:t>
            </w:r>
          </w:p>
          <w:p>
            <w:pPr>
              <w:pStyle w:val="yMiscellaneousBody"/>
              <w:keepNext/>
              <w:keepLines/>
              <w:rPr>
                <w:sz w:val="20"/>
              </w:rPr>
            </w:pPr>
            <w:r>
              <w:rPr>
                <w:sz w:val="20"/>
              </w:rPr>
              <w:t>Judicial officer:</w:t>
            </w:r>
          </w:p>
          <w:p>
            <w:pPr>
              <w:pStyle w:val="yMiscellaneousBody"/>
              <w:keepNext/>
              <w:keepLines/>
              <w:rPr>
                <w:sz w:val="20"/>
              </w:rPr>
            </w:pPr>
            <w:r>
              <w:rPr>
                <w:sz w:val="20"/>
              </w:rPr>
              <w:t>Date of order:</w:t>
            </w:r>
          </w:p>
        </w:tc>
      </w:tr>
      <w:tr>
        <w:tc>
          <w:tcPr>
            <w:tcW w:w="7088" w:type="dxa"/>
          </w:tcPr>
          <w:p>
            <w:pPr>
              <w:pStyle w:val="yMiscellaneousBody"/>
              <w:rPr>
                <w:sz w:val="20"/>
              </w:rPr>
            </w:pPr>
            <w:r>
              <w:rPr>
                <w:b/>
                <w:sz w:val="20"/>
              </w:rPr>
              <w:t>THE COURT ORDERS THAT:</w:t>
            </w:r>
          </w:p>
          <w:p>
            <w:pPr>
              <w:pStyle w:val="yMiscellaneousBody"/>
              <w:tabs>
                <w:tab w:val="left" w:pos="400"/>
              </w:tabs>
              <w:ind w:left="410" w:hanging="410"/>
              <w:rPr>
                <w:sz w:val="20"/>
              </w:rPr>
            </w:pPr>
            <w:r>
              <w:rPr>
                <w:sz w:val="20"/>
              </w:rPr>
              <w:t>1.</w:t>
            </w:r>
            <w:r>
              <w:rPr>
                <w:sz w:val="20"/>
              </w:rPr>
              <w:tab/>
              <w:t>The defendant give the plaintiff vacant possession of the land described in the writ of summons [</w:t>
            </w:r>
            <w:r>
              <w:rPr>
                <w:i/>
                <w:sz w:val="20"/>
              </w:rPr>
              <w:t>or statement of claim</w:t>
            </w:r>
            <w:r>
              <w:rPr>
                <w:sz w:val="20"/>
              </w:rPr>
              <w:t>] as [</w:t>
            </w:r>
            <w:r>
              <w:rPr>
                <w:i/>
                <w:sz w:val="20"/>
              </w:rPr>
              <w:t>insert description of land</w:t>
            </w:r>
            <w:r>
              <w:rPr>
                <w:sz w:val="20"/>
              </w:rPr>
              <w:t>].</w:t>
            </w:r>
          </w:p>
          <w:p>
            <w:pPr>
              <w:pStyle w:val="yMiscellaneousBody"/>
              <w:tabs>
                <w:tab w:val="left" w:pos="400"/>
              </w:tabs>
              <w:ind w:left="410" w:hanging="410"/>
              <w:rPr>
                <w:sz w:val="20"/>
              </w:rPr>
            </w:pPr>
            <w:r>
              <w:rPr>
                <w:sz w:val="20"/>
              </w:rPr>
              <w:t>2.</w:t>
            </w:r>
            <w:r>
              <w:rPr>
                <w:sz w:val="20"/>
              </w:rPr>
              <w:tab/>
              <w:t>The defendant pay the plaintiff $[</w:t>
            </w:r>
            <w:r>
              <w:rPr>
                <w:i/>
                <w:sz w:val="20"/>
              </w:rPr>
              <w:t>insert amount</w:t>
            </w:r>
            <w:r>
              <w:rPr>
                <w:sz w:val="20"/>
              </w:rPr>
              <w:t>] costs [</w:t>
            </w:r>
            <w:r>
              <w:rPr>
                <w:i/>
                <w:sz w:val="20"/>
              </w:rPr>
              <w:t>or costs to be taxed</w:t>
            </w:r>
            <w:r>
              <w:rPr>
                <w:sz w:val="20"/>
              </w:rPr>
              <w:t>].</w:t>
            </w:r>
          </w:p>
        </w:tc>
      </w:tr>
      <w:tr>
        <w:tc>
          <w:tcPr>
            <w:tcW w:w="7088" w:type="dxa"/>
            <w:tcBorders>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28"/>
              </w:tabs>
              <w:rPr>
                <w:sz w:val="20"/>
              </w:rPr>
            </w:pPr>
            <w:r>
              <w:rPr>
                <w:sz w:val="20"/>
              </w:rPr>
              <w:tab/>
              <w:t>BY THE COURT</w:t>
            </w:r>
          </w:p>
          <w:p>
            <w:pPr>
              <w:pStyle w:val="yMiscellaneousBody"/>
              <w:tabs>
                <w:tab w:val="left" w:pos="4519"/>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tcBorders>
          </w:tcPr>
          <w:p>
            <w:pPr>
              <w:pStyle w:val="yMiscellaneousBody"/>
              <w:tabs>
                <w:tab w:val="left" w:pos="160"/>
                <w:tab w:val="left" w:pos="573"/>
              </w:tabs>
              <w:ind w:left="601" w:hanging="601"/>
              <w:rPr>
                <w:sz w:val="20"/>
              </w:rPr>
            </w:pPr>
            <w:r>
              <w:rPr>
                <w:sz w:val="20"/>
              </w:rPr>
              <w:lastRenderedPageBreak/>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60"/>
                <w:tab w:val="left" w:pos="573"/>
              </w:tabs>
              <w:ind w:left="601" w:hanging="601"/>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bottom w:val="single" w:sz="4" w:space="0" w:color="auto"/>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36 inserted: Gazette 16 Nov 2016 p. 5209-10.]</w:t>
      </w:r>
    </w:p>
    <w:p>
      <w:pPr>
        <w:pStyle w:val="yHeading5"/>
      </w:pPr>
      <w:bookmarkStart w:id="1623" w:name="_Toc163121847"/>
      <w:r>
        <w:rPr>
          <w:rStyle w:val="CharSClsNo"/>
        </w:rPr>
        <w:t>36A</w:t>
      </w:r>
      <w:r>
        <w:t>.</w:t>
      </w:r>
      <w:r>
        <w:tab/>
        <w:t>Notice to defendant of intention to request Court to make orders for possession, foreclosure or sale of mortgaged property (O. 13 r. 6)</w:t>
      </w:r>
      <w:bookmarkEnd w:id="1623"/>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trHeight w:val="244"/>
        </w:trPr>
        <w:tc>
          <w:tcPr>
            <w:tcW w:w="3969" w:type="dxa"/>
            <w:gridSpan w:val="2"/>
            <w:vMerge w:val="restart"/>
          </w:tcPr>
          <w:p>
            <w:pPr>
              <w:pStyle w:val="yMiscellaneousBody"/>
              <w:rPr>
                <w:sz w:val="20"/>
              </w:rPr>
            </w:pPr>
            <w:r>
              <w:rPr>
                <w:b/>
                <w:sz w:val="20"/>
              </w:rPr>
              <w:t>Supreme Court of Western Australia</w:t>
            </w:r>
          </w:p>
        </w:tc>
        <w:tc>
          <w:tcPr>
            <w:tcW w:w="3111" w:type="dxa"/>
          </w:tcPr>
          <w:p>
            <w:pPr>
              <w:pStyle w:val="yMiscellaneousBody"/>
              <w:rPr>
                <w:sz w:val="20"/>
              </w:rPr>
            </w:pPr>
            <w:r>
              <w:rPr>
                <w:sz w:val="20"/>
              </w:rPr>
              <w:t>Action No:</w:t>
            </w:r>
          </w:p>
        </w:tc>
      </w:tr>
      <w:tr>
        <w:trPr>
          <w:trHeight w:val="243"/>
        </w:trPr>
        <w:tc>
          <w:tcPr>
            <w:tcW w:w="3969" w:type="dxa"/>
            <w:gridSpan w:val="2"/>
            <w:vMerge/>
          </w:tcPr>
          <w:p>
            <w:pPr>
              <w:pStyle w:val="zyMiscellaneousBody"/>
              <w:rPr>
                <w:sz w:val="20"/>
              </w:rPr>
            </w:pPr>
          </w:p>
        </w:tc>
        <w:tc>
          <w:tcPr>
            <w:tcW w:w="3111" w:type="dxa"/>
          </w:tcPr>
          <w:p>
            <w:pPr>
              <w:pStyle w:val="yMiscellaneousBody"/>
              <w:rPr>
                <w:sz w:val="20"/>
              </w:rPr>
            </w:pPr>
            <w:r>
              <w:rPr>
                <w:b/>
                <w:bCs/>
                <w:sz w:val="20"/>
              </w:rPr>
              <w:t>Notice to defendant of intention to request court to make orders for possession, foreclosure or sale of mortgaged property</w:t>
            </w:r>
          </w:p>
        </w:tc>
      </w:tr>
      <w:tr>
        <w:tc>
          <w:tcPr>
            <w:tcW w:w="1200" w:type="dxa"/>
          </w:tcPr>
          <w:p>
            <w:pPr>
              <w:pStyle w:val="yMiscellaneousBody"/>
              <w:rPr>
                <w:sz w:val="20"/>
              </w:rPr>
            </w:pPr>
            <w:r>
              <w:rPr>
                <w:sz w:val="20"/>
              </w:rPr>
              <w:t>Parties</w:t>
            </w:r>
          </w:p>
        </w:tc>
        <w:tc>
          <w:tcPr>
            <w:tcW w:w="5880" w:type="dxa"/>
            <w:gridSpan w:val="2"/>
          </w:tcPr>
          <w:p>
            <w:pPr>
              <w:pStyle w:val="yMiscellaneousBody"/>
              <w:tabs>
                <w:tab w:val="left" w:pos="3341"/>
              </w:tabs>
              <w:rPr>
                <w:sz w:val="20"/>
              </w:rPr>
            </w:pPr>
            <w:r>
              <w:rPr>
                <w:sz w:val="20"/>
              </w:rPr>
              <w:tab/>
              <w:t>Plaintiff</w:t>
            </w:r>
          </w:p>
          <w:p>
            <w:pPr>
              <w:pStyle w:val="yMiscellaneousBody"/>
              <w:tabs>
                <w:tab w:val="left" w:pos="3331"/>
              </w:tabs>
              <w:rPr>
                <w:sz w:val="20"/>
              </w:rPr>
            </w:pPr>
            <w:r>
              <w:rPr>
                <w:sz w:val="20"/>
              </w:rPr>
              <w:tab/>
              <w:t>Defendant</w:t>
            </w:r>
          </w:p>
        </w:tc>
      </w:tr>
      <w:tr>
        <w:tc>
          <w:tcPr>
            <w:tcW w:w="7080" w:type="dxa"/>
            <w:gridSpan w:val="3"/>
            <w:tcBorders>
              <w:bottom w:val="single" w:sz="4" w:space="0" w:color="auto"/>
            </w:tcBorders>
          </w:tcPr>
          <w:p>
            <w:pPr>
              <w:pStyle w:val="yMiscellaneousBody"/>
              <w:jc w:val="center"/>
              <w:rPr>
                <w:sz w:val="20"/>
              </w:rPr>
            </w:pPr>
            <w:r>
              <w:rPr>
                <w:b/>
                <w:sz w:val="20"/>
              </w:rPr>
              <w:t>Notice to [</w:t>
            </w:r>
            <w:r>
              <w:rPr>
                <w:b/>
                <w:i/>
                <w:sz w:val="20"/>
              </w:rPr>
              <w:t>insert name of defendant</w:t>
            </w:r>
            <w:r>
              <w:rPr>
                <w:b/>
                <w:sz w:val="20"/>
              </w:rPr>
              <w:t>]</w:t>
            </w:r>
          </w:p>
          <w:p>
            <w:pPr>
              <w:pStyle w:val="yMiscellaneousBody"/>
              <w:jc w:val="center"/>
              <w:rPr>
                <w:b/>
                <w:sz w:val="20"/>
              </w:rPr>
            </w:pPr>
            <w:r>
              <w:rPr>
                <w:b/>
                <w:sz w:val="20"/>
              </w:rPr>
              <w:t>THIS NOTICE CONTAINS IMPORTANT INFORMATION ABOUT YOUR RIGHTS. PLEASE READ IT CAREFULLY</w:t>
            </w:r>
          </w:p>
        </w:tc>
      </w:tr>
      <w:tr>
        <w:tc>
          <w:tcPr>
            <w:tcW w:w="7080" w:type="dxa"/>
            <w:gridSpan w:val="3"/>
            <w:tcBorders>
              <w:bottom w:val="nil"/>
            </w:tcBorders>
          </w:tcPr>
          <w:p>
            <w:pPr>
              <w:pStyle w:val="yMiscellaneousBody"/>
              <w:rPr>
                <w:sz w:val="20"/>
              </w:rPr>
            </w:pPr>
            <w:r>
              <w:rPr>
                <w:sz w:val="20"/>
              </w:rPr>
              <w:t>On [</w:t>
            </w:r>
            <w:r>
              <w:rPr>
                <w:i/>
                <w:sz w:val="20"/>
              </w:rPr>
              <w:t>date</w:t>
            </w:r>
            <w:r>
              <w:rPr>
                <w:sz w:val="20"/>
              </w:rPr>
              <w:t>] the plaintiff [</w:t>
            </w:r>
            <w:r>
              <w:rPr>
                <w:i/>
                <w:sz w:val="20"/>
              </w:rPr>
              <w:t>name</w:t>
            </w:r>
            <w:r>
              <w:rPr>
                <w:sz w:val="20"/>
              </w:rPr>
              <w:t xml:space="preserve"> </w:t>
            </w:r>
            <w:r>
              <w:rPr>
                <w:i/>
                <w:sz w:val="20"/>
              </w:rPr>
              <w:t>of plaintif</w:t>
            </w:r>
            <w:r>
              <w:rPr>
                <w:i/>
                <w:spacing w:val="20"/>
                <w:sz w:val="20"/>
              </w:rPr>
              <w:t>f</w:t>
            </w:r>
            <w:r>
              <w:rPr>
                <w:sz w:val="20"/>
              </w:rPr>
              <w:t>] served you with a notice and a writ of summons, copies of which are attached to this notice. You have not filed a Memorandum of Appearance at the Supreme Court of Western Australia.</w:t>
            </w:r>
          </w:p>
          <w:p>
            <w:pPr>
              <w:pStyle w:val="yMiscellaneousBody"/>
              <w:rPr>
                <w:sz w:val="20"/>
              </w:rPr>
            </w:pPr>
            <w:r>
              <w:rPr>
                <w:sz w:val="20"/>
              </w:rPr>
              <w:lastRenderedPageBreak/>
              <w:t>[</w:t>
            </w:r>
            <w:r>
              <w:rPr>
                <w:i/>
                <w:sz w:val="20"/>
              </w:rPr>
              <w:t>Name</w:t>
            </w:r>
            <w:r>
              <w:rPr>
                <w:sz w:val="20"/>
              </w:rPr>
              <w:t xml:space="preserve"> </w:t>
            </w:r>
            <w:r>
              <w:rPr>
                <w:i/>
                <w:sz w:val="20"/>
              </w:rPr>
              <w:t>of plaintif</w:t>
            </w:r>
            <w:r>
              <w:rPr>
                <w:i/>
                <w:spacing w:val="20"/>
                <w:sz w:val="20"/>
              </w:rPr>
              <w:t>f</w:t>
            </w:r>
            <w:r>
              <w:rPr>
                <w:sz w:val="20"/>
              </w:rPr>
              <w:t>] now intends to ask the Court to order that</w:t>
            </w:r>
            <w:r>
              <w:rPr>
                <w:sz w:val="20"/>
                <w:vertAlign w:val="superscript"/>
              </w:rPr>
              <w:t>1</w:t>
            </w:r>
            <w:r>
              <w:rPr>
                <w:sz w:val="20"/>
              </w:rPr>
              <w:t xml:space="preserve"> — </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lastRenderedPageBreak/>
              <w:tab/>
              <w:t>1.</w:t>
            </w:r>
            <w:r>
              <w:rPr>
                <w:sz w:val="20"/>
              </w:rPr>
              <w:tab/>
              <w:t>You pay [</w:t>
            </w:r>
            <w:r>
              <w:rPr>
                <w:i/>
                <w:sz w:val="20"/>
              </w:rPr>
              <w:t>name</w:t>
            </w:r>
            <w:r>
              <w:rPr>
                <w:sz w:val="20"/>
              </w:rPr>
              <w:t xml:space="preserve"> </w:t>
            </w:r>
            <w:r>
              <w:rPr>
                <w:i/>
                <w:sz w:val="20"/>
              </w:rPr>
              <w:t>of plaintif</w:t>
            </w:r>
            <w:r>
              <w:rPr>
                <w:i/>
                <w:spacing w:val="20"/>
                <w:sz w:val="20"/>
              </w:rPr>
              <w:t>f</w:t>
            </w:r>
            <w:r>
              <w:rPr>
                <w:sz w:val="20"/>
              </w:rPr>
              <w:t>] $[</w:t>
            </w:r>
            <w:r>
              <w:rPr>
                <w:i/>
                <w:sz w:val="20"/>
              </w:rPr>
              <w:t>amount claimed</w:t>
            </w:r>
            <w:r>
              <w:rPr>
                <w:sz w:val="20"/>
              </w:rPr>
              <w:t>] plus interest of $[</w:t>
            </w:r>
            <w:r>
              <w:rPr>
                <w:i/>
                <w:sz w:val="20"/>
              </w:rPr>
              <w:t>amount of interest per day</w:t>
            </w:r>
            <w:r>
              <w:rPr>
                <w:sz w:val="20"/>
              </w:rPr>
              <w:t>] per day [</w:t>
            </w:r>
            <w:r>
              <w:rPr>
                <w:i/>
                <w:sz w:val="20"/>
              </w:rPr>
              <w:t>plus other amounts and reason (e.g. penalties)</w:t>
            </w:r>
            <w:r>
              <w:rPr>
                <w:sz w:val="20"/>
              </w:rPr>
              <w:t>] [</w:t>
            </w:r>
            <w:r>
              <w:rPr>
                <w:i/>
                <w:sz w:val="20"/>
              </w:rPr>
              <w:t>etc. as required</w:t>
            </w:r>
            <w:r>
              <w:rPr>
                <w:sz w:val="20"/>
              </w:rPr>
              <w:t>].</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2.</w:t>
            </w:r>
            <w:r>
              <w:rPr>
                <w:sz w:val="20"/>
              </w:rPr>
              <w:tab/>
              <w:t>You give possession of your [</w:t>
            </w:r>
            <w:r>
              <w:rPr>
                <w:i/>
                <w:sz w:val="20"/>
              </w:rPr>
              <w:t>description of property</w:t>
            </w:r>
            <w:r>
              <w:rPr>
                <w:sz w:val="20"/>
              </w:rPr>
              <w:t>] [</w:t>
            </w:r>
            <w:r>
              <w:rPr>
                <w:i/>
                <w:sz w:val="20"/>
              </w:rPr>
              <w:t>at location of property if relevant</w:t>
            </w:r>
            <w:r>
              <w:rPr>
                <w:sz w:val="20"/>
              </w:rPr>
              <w:t>] to [</w:t>
            </w:r>
            <w:r>
              <w:rPr>
                <w:i/>
                <w:sz w:val="20"/>
              </w:rPr>
              <w:t>name</w:t>
            </w:r>
            <w:r>
              <w:rPr>
                <w:sz w:val="20"/>
              </w:rPr>
              <w:t xml:space="preserve"> </w:t>
            </w:r>
            <w:r>
              <w:rPr>
                <w:i/>
                <w:sz w:val="20"/>
              </w:rPr>
              <w:t>of plaintif</w:t>
            </w:r>
            <w:r>
              <w:rPr>
                <w:i/>
                <w:spacing w:val="20"/>
                <w:sz w:val="20"/>
              </w:rPr>
              <w:t>f</w:t>
            </w:r>
            <w:r>
              <w:rPr>
                <w:sz w:val="20"/>
              </w:rPr>
              <w:t>].</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3.</w:t>
            </w:r>
            <w:r>
              <w:rPr>
                <w:sz w:val="20"/>
              </w:rPr>
              <w:tab/>
              <w:t>You pay [</w:t>
            </w:r>
            <w:r>
              <w:rPr>
                <w:i/>
                <w:sz w:val="20"/>
              </w:rPr>
              <w:t>name</w:t>
            </w:r>
            <w:r>
              <w:rPr>
                <w:sz w:val="20"/>
              </w:rPr>
              <w:t xml:space="preserve"> </w:t>
            </w:r>
            <w:r>
              <w:rPr>
                <w:i/>
                <w:sz w:val="20"/>
              </w:rPr>
              <w:t>of plaintif</w:t>
            </w:r>
            <w:r>
              <w:rPr>
                <w:i/>
                <w:spacing w:val="20"/>
                <w:sz w:val="20"/>
              </w:rPr>
              <w:t>f</w:t>
            </w:r>
            <w:r>
              <w:rPr>
                <w:sz w:val="20"/>
              </w:rPr>
              <w:t>] costs of the action.</w:t>
            </w:r>
          </w:p>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may request the Court to make these orders 11 days after this notice is served on you.</w:t>
            </w:r>
          </w:p>
        </w:tc>
      </w:tr>
      <w:tr>
        <w:tc>
          <w:tcPr>
            <w:tcW w:w="7080" w:type="dxa"/>
            <w:gridSpan w:val="3"/>
            <w:tcBorders>
              <w:top w:val="nil"/>
              <w:bottom w:val="nil"/>
            </w:tcBorders>
          </w:tcPr>
          <w:p>
            <w:pPr>
              <w:pStyle w:val="yMiscellaneousBody"/>
              <w:rPr>
                <w:sz w:val="20"/>
              </w:rPr>
            </w:pPr>
            <w:r>
              <w:rPr>
                <w:sz w:val="20"/>
              </w:rPr>
              <w:t xml:space="preserve">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0" w:type="dxa"/>
            <w:gridSpan w:val="3"/>
            <w:tcBorders>
              <w:top w:val="nil"/>
            </w:tcBorders>
          </w:tcPr>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p>
            <w:pPr>
              <w:pStyle w:val="yMiscellaneousBody"/>
              <w:rPr>
                <w:sz w:val="20"/>
              </w:rPr>
            </w:pPr>
            <w:r>
              <w:rPr>
                <w:sz w:val="20"/>
              </w:rPr>
              <w:t>Date ________________________________</w:t>
            </w:r>
          </w:p>
          <w:p>
            <w:pPr>
              <w:pStyle w:val="yMiscellaneousBody"/>
              <w:rPr>
                <w:sz w:val="20"/>
              </w:rPr>
            </w:pPr>
            <w:r>
              <w:rPr>
                <w:sz w:val="20"/>
              </w:rPr>
              <w:t xml:space="preserve">        _________________________________</w:t>
            </w:r>
            <w:r>
              <w:rPr>
                <w:sz w:val="20"/>
              </w:rPr>
              <w:br/>
              <w:t xml:space="preserve">        [</w:t>
            </w:r>
            <w:r>
              <w:rPr>
                <w:i/>
                <w:sz w:val="20"/>
              </w:rPr>
              <w:t>Name of law firm representing plaintiff</w:t>
            </w:r>
            <w:r>
              <w:rPr>
                <w:sz w:val="20"/>
              </w:rPr>
              <w:t>]</w:t>
            </w:r>
          </w:p>
        </w:tc>
      </w:tr>
    </w:tbl>
    <w:p>
      <w:pPr>
        <w:pStyle w:val="yMiscellaneousBody"/>
        <w:rPr>
          <w:sz w:val="16"/>
          <w:szCs w:val="16"/>
        </w:rPr>
      </w:pPr>
      <w:r>
        <w:rPr>
          <w:sz w:val="16"/>
          <w:szCs w:val="16"/>
        </w:rPr>
        <w:t>Note to Form 36A:</w:t>
      </w:r>
    </w:p>
    <w:p>
      <w:pPr>
        <w:pStyle w:val="yMiscellaneousBody"/>
        <w:tabs>
          <w:tab w:val="left" w:pos="426"/>
        </w:tabs>
        <w:ind w:left="426" w:hanging="426"/>
        <w:rPr>
          <w:sz w:val="16"/>
          <w:szCs w:val="16"/>
        </w:rPr>
      </w:pPr>
      <w:r>
        <w:rPr>
          <w:sz w:val="16"/>
          <w:szCs w:val="16"/>
        </w:rPr>
        <w:t>1.</w:t>
      </w:r>
      <w:r>
        <w:rPr>
          <w:sz w:val="16"/>
          <w:szCs w:val="16"/>
        </w:rPr>
        <w:tab/>
        <w:t>The text of the order, or orders, should reflect the orders that will be sought. The proposed orders in this form are to be used only if applicable.</w:t>
      </w:r>
    </w:p>
    <w:p>
      <w:pPr>
        <w:pStyle w:val="yFootnotesection"/>
      </w:pPr>
      <w:r>
        <w:tab/>
        <w:t>[Form 36A inserted: Gazette 16 Nov 2016 p. 5210</w:t>
      </w:r>
      <w:r>
        <w:noBreakHyphen/>
        <w:t>11.]</w:t>
      </w:r>
    </w:p>
    <w:p>
      <w:pPr>
        <w:pStyle w:val="yHeading5"/>
      </w:pPr>
      <w:bookmarkStart w:id="1624" w:name="_Toc163121848"/>
      <w:r>
        <w:rPr>
          <w:rStyle w:val="CharSClsNo"/>
        </w:rPr>
        <w:t>36B</w:t>
      </w:r>
      <w:r>
        <w:t>.</w:t>
      </w:r>
      <w:r>
        <w:tab/>
        <w:t>Request to enter default judgment in a mortgage action (O. 13 r. 6)</w:t>
      </w:r>
      <w:bookmarkEnd w:id="162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567"/>
        <w:gridCol w:w="284"/>
        <w:gridCol w:w="709"/>
        <w:gridCol w:w="708"/>
        <w:gridCol w:w="284"/>
        <w:gridCol w:w="1693"/>
        <w:gridCol w:w="8"/>
      </w:tblGrid>
      <w:tr>
        <w:trPr>
          <w:gridAfter w:val="1"/>
          <w:wAfter w:w="8" w:type="dxa"/>
          <w:cantSplit/>
          <w:trHeight w:val="329"/>
        </w:trPr>
        <w:tc>
          <w:tcPr>
            <w:tcW w:w="3686" w:type="dxa"/>
            <w:gridSpan w:val="4"/>
            <w:vMerge w:val="restart"/>
          </w:tcPr>
          <w:p>
            <w:pPr>
              <w:pStyle w:val="yMiscellaneousBody"/>
              <w:rPr>
                <w:sz w:val="20"/>
              </w:rPr>
            </w:pPr>
            <w:r>
              <w:rPr>
                <w:b/>
                <w:sz w:val="20"/>
              </w:rPr>
              <w:t>Supreme Court of Western Australia</w:t>
            </w:r>
          </w:p>
        </w:tc>
        <w:tc>
          <w:tcPr>
            <w:tcW w:w="3394" w:type="dxa"/>
            <w:gridSpan w:val="4"/>
            <w:tcBorders>
              <w:bottom w:val="nil"/>
            </w:tcBorders>
            <w:vAlign w:val="center"/>
          </w:tcPr>
          <w:p>
            <w:pPr>
              <w:pStyle w:val="yMiscellaneousBody"/>
              <w:rPr>
                <w:sz w:val="20"/>
              </w:rPr>
            </w:pPr>
            <w:r>
              <w:rPr>
                <w:sz w:val="20"/>
              </w:rPr>
              <w:t>Action No:</w:t>
            </w:r>
          </w:p>
        </w:tc>
      </w:tr>
      <w:tr>
        <w:trPr>
          <w:gridAfter w:val="1"/>
          <w:wAfter w:w="8" w:type="dxa"/>
          <w:cantSplit/>
          <w:trHeight w:val="328"/>
        </w:trPr>
        <w:tc>
          <w:tcPr>
            <w:tcW w:w="3686" w:type="dxa"/>
            <w:gridSpan w:val="4"/>
            <w:vMerge/>
            <w:tcBorders>
              <w:bottom w:val="nil"/>
            </w:tcBorders>
          </w:tcPr>
          <w:p>
            <w:pPr>
              <w:pStyle w:val="zyMiscellaneousBody"/>
              <w:rPr>
                <w:sz w:val="20"/>
              </w:rPr>
            </w:pPr>
          </w:p>
        </w:tc>
        <w:tc>
          <w:tcPr>
            <w:tcW w:w="3394" w:type="dxa"/>
            <w:gridSpan w:val="4"/>
            <w:tcBorders>
              <w:bottom w:val="nil"/>
            </w:tcBorders>
            <w:vAlign w:val="center"/>
          </w:tcPr>
          <w:p>
            <w:pPr>
              <w:pStyle w:val="yMiscellaneousBody"/>
              <w:rPr>
                <w:sz w:val="20"/>
              </w:rPr>
            </w:pPr>
            <w:r>
              <w:rPr>
                <w:b/>
                <w:sz w:val="20"/>
              </w:rPr>
              <w:t>Request to enter default judgment in a mortgage action</w:t>
            </w:r>
          </w:p>
        </w:tc>
      </w:tr>
      <w:tr>
        <w:trPr>
          <w:gridAfter w:val="1"/>
          <w:wAfter w:w="8" w:type="dxa"/>
          <w:cantSplit/>
        </w:trPr>
        <w:tc>
          <w:tcPr>
            <w:tcW w:w="1560" w:type="dxa"/>
            <w:tcBorders>
              <w:bottom w:val="nil"/>
            </w:tcBorders>
          </w:tcPr>
          <w:p>
            <w:pPr>
              <w:pStyle w:val="yMiscellaneousBody"/>
              <w:rPr>
                <w:sz w:val="20"/>
              </w:rPr>
            </w:pPr>
            <w:r>
              <w:rPr>
                <w:sz w:val="20"/>
              </w:rPr>
              <w:lastRenderedPageBreak/>
              <w:t>Parties</w:t>
            </w:r>
          </w:p>
        </w:tc>
        <w:tc>
          <w:tcPr>
            <w:tcW w:w="5520" w:type="dxa"/>
            <w:gridSpan w:val="7"/>
            <w:tcBorders>
              <w:bottom w:val="nil"/>
            </w:tcBorders>
          </w:tcPr>
          <w:p>
            <w:pPr>
              <w:pStyle w:val="yMiscellaneousBody"/>
              <w:tabs>
                <w:tab w:val="left" w:pos="3251"/>
              </w:tabs>
              <w:rPr>
                <w:sz w:val="20"/>
              </w:rPr>
            </w:pPr>
            <w:r>
              <w:rPr>
                <w:sz w:val="20"/>
              </w:rPr>
              <w:tab/>
              <w:t>Plaintiff</w:t>
            </w:r>
          </w:p>
          <w:p>
            <w:pPr>
              <w:pStyle w:val="yMiscellaneousBody"/>
              <w:tabs>
                <w:tab w:val="left" w:pos="3251"/>
              </w:tabs>
              <w:rPr>
                <w:sz w:val="20"/>
              </w:rPr>
            </w:pPr>
            <w:r>
              <w:rPr>
                <w:sz w:val="20"/>
              </w:rPr>
              <w:tab/>
              <w:t>Defendant</w:t>
            </w:r>
          </w:p>
        </w:tc>
      </w:tr>
      <w:tr>
        <w:trPr>
          <w:gridAfter w:val="1"/>
          <w:wAfter w:w="8" w:type="dxa"/>
          <w:cantSplit/>
        </w:trPr>
        <w:tc>
          <w:tcPr>
            <w:tcW w:w="1560" w:type="dxa"/>
          </w:tcPr>
          <w:p>
            <w:pPr>
              <w:pStyle w:val="yMiscellaneousBody"/>
              <w:rPr>
                <w:sz w:val="20"/>
              </w:rPr>
            </w:pPr>
            <w:r>
              <w:rPr>
                <w:sz w:val="20"/>
              </w:rPr>
              <w:t>Request</w:t>
            </w:r>
          </w:p>
        </w:tc>
        <w:tc>
          <w:tcPr>
            <w:tcW w:w="5520" w:type="dxa"/>
            <w:gridSpan w:val="7"/>
          </w:tcPr>
          <w:p>
            <w:pPr>
              <w:pStyle w:val="yMiscellaneousBody"/>
              <w:rPr>
                <w:sz w:val="20"/>
              </w:rPr>
            </w:pPr>
            <w:r>
              <w:rPr>
                <w:sz w:val="20"/>
              </w:rPr>
              <w:t>The plaintiff requests the Supreme Court to enter default judgment against [</w:t>
            </w:r>
            <w:r>
              <w:rPr>
                <w:i/>
                <w:sz w:val="20"/>
              </w:rPr>
              <w:t>insert defendant</w:t>
            </w:r>
            <w:r>
              <w:rPr>
                <w:sz w:val="20"/>
              </w:rPr>
              <w:t>] on the ground that [</w:t>
            </w:r>
            <w:r>
              <w:rPr>
                <w:i/>
                <w:sz w:val="20"/>
              </w:rPr>
              <w:t>insert defendant</w:t>
            </w:r>
            <w:r>
              <w:rPr>
                <w:sz w:val="20"/>
              </w:rPr>
              <w:t>] has failed to enter an appearance to the writ of summons filed on [</w:t>
            </w:r>
            <w:r>
              <w:rPr>
                <w:i/>
                <w:sz w:val="20"/>
              </w:rPr>
              <w:t>insert</w:t>
            </w:r>
            <w:r>
              <w:rPr>
                <w:sz w:val="20"/>
              </w:rPr>
              <w:t xml:space="preserve"> </w:t>
            </w:r>
            <w:r>
              <w:rPr>
                <w:i/>
                <w:sz w:val="20"/>
              </w:rPr>
              <w:t>date</w:t>
            </w:r>
            <w:r>
              <w:rPr>
                <w:sz w:val="20"/>
              </w:rPr>
              <w:t>] and served on [</w:t>
            </w:r>
            <w:r>
              <w:rPr>
                <w:i/>
                <w:sz w:val="20"/>
              </w:rPr>
              <w:t>insert</w:t>
            </w:r>
            <w:r>
              <w:rPr>
                <w:sz w:val="20"/>
              </w:rPr>
              <w:t xml:space="preserve"> </w:t>
            </w:r>
            <w:r>
              <w:rPr>
                <w:i/>
                <w:sz w:val="20"/>
              </w:rPr>
              <w:t>date</w:t>
            </w:r>
            <w:r>
              <w:rPr>
                <w:sz w:val="20"/>
              </w:rPr>
              <w:t>].</w:t>
            </w:r>
          </w:p>
        </w:tc>
      </w:tr>
      <w:tr>
        <w:trPr>
          <w:gridAfter w:val="1"/>
          <w:wAfter w:w="8" w:type="dxa"/>
          <w:cantSplit/>
        </w:trPr>
        <w:tc>
          <w:tcPr>
            <w:tcW w:w="1560" w:type="dxa"/>
            <w:tcBorders>
              <w:bottom w:val="single" w:sz="4" w:space="0" w:color="auto"/>
            </w:tcBorders>
          </w:tcPr>
          <w:p>
            <w:pPr>
              <w:pStyle w:val="yMiscellaneousBody"/>
              <w:rPr>
                <w:sz w:val="20"/>
              </w:rPr>
            </w:pPr>
            <w:r>
              <w:rPr>
                <w:sz w:val="20"/>
              </w:rPr>
              <w:t>Orders sought</w:t>
            </w:r>
          </w:p>
        </w:tc>
        <w:tc>
          <w:tcPr>
            <w:tcW w:w="5520" w:type="dxa"/>
            <w:gridSpan w:val="7"/>
            <w:tcBorders>
              <w:bottom w:val="single" w:sz="4" w:space="0" w:color="auto"/>
            </w:tcBorders>
          </w:tcPr>
          <w:p>
            <w:pPr>
              <w:pStyle w:val="yMiscellaneousBody"/>
              <w:rPr>
                <w:sz w:val="20"/>
              </w:rPr>
            </w:pPr>
            <w:r>
              <w:rPr>
                <w:sz w:val="20"/>
              </w:rPr>
              <w:t>The plaintiff seeks the following orders:</w:t>
            </w:r>
          </w:p>
          <w:p>
            <w:pPr>
              <w:pStyle w:val="yMiscellaneousBody"/>
              <w:rPr>
                <w:sz w:val="20"/>
              </w:rPr>
            </w:pPr>
            <w:r>
              <w:rPr>
                <w:sz w:val="20"/>
              </w:rPr>
              <w:t>1.</w:t>
            </w:r>
            <w:r>
              <w:rPr>
                <w:sz w:val="20"/>
              </w:rPr>
              <w:tab/>
            </w:r>
          </w:p>
          <w:p>
            <w:pPr>
              <w:pStyle w:val="yMiscellaneousBody"/>
              <w:rPr>
                <w:sz w:val="20"/>
              </w:rPr>
            </w:pPr>
            <w:r>
              <w:rPr>
                <w:sz w:val="20"/>
              </w:rPr>
              <w:t>2.</w:t>
            </w:r>
            <w:r>
              <w:rPr>
                <w:sz w:val="20"/>
              </w:rPr>
              <w:tab/>
            </w:r>
          </w:p>
        </w:tc>
      </w:tr>
      <w:tr>
        <w:trPr>
          <w:gridAfter w:val="1"/>
          <w:wAfter w:w="8" w:type="dxa"/>
          <w:cantSplit/>
        </w:trPr>
        <w:tc>
          <w:tcPr>
            <w:tcW w:w="1560" w:type="dxa"/>
            <w:tcBorders>
              <w:bottom w:val="single" w:sz="4" w:space="0" w:color="auto"/>
            </w:tcBorders>
          </w:tcPr>
          <w:p>
            <w:pPr>
              <w:pStyle w:val="yMiscellaneousBody"/>
              <w:rPr>
                <w:sz w:val="20"/>
              </w:rPr>
            </w:pPr>
            <w:r>
              <w:rPr>
                <w:sz w:val="20"/>
              </w:rPr>
              <w:t>Amount owing and daily interest</w:t>
            </w:r>
          </w:p>
        </w:tc>
        <w:tc>
          <w:tcPr>
            <w:tcW w:w="5520" w:type="dxa"/>
            <w:gridSpan w:val="7"/>
            <w:tcBorders>
              <w:bottom w:val="single" w:sz="4" w:space="0" w:color="auto"/>
            </w:tcBorders>
          </w:tcPr>
          <w:p>
            <w:pPr>
              <w:pStyle w:val="yMiscellaneousBody"/>
              <w:rPr>
                <w:sz w:val="20"/>
              </w:rPr>
            </w:pPr>
            <w:r>
              <w:rPr>
                <w:sz w:val="20"/>
              </w:rPr>
              <w:t>The amount owing to the plaintiff under the mortgage as at the date of the filing of this notice is $[</w:t>
            </w:r>
            <w:r>
              <w:rPr>
                <w:i/>
                <w:sz w:val="20"/>
              </w:rPr>
              <w:t>insert amount</w:t>
            </w:r>
            <w:r>
              <w:rPr>
                <w:sz w:val="20"/>
              </w:rPr>
              <w:t>].</w:t>
            </w:r>
          </w:p>
          <w:p>
            <w:pPr>
              <w:pStyle w:val="yMiscellaneousBody"/>
              <w:rPr>
                <w:sz w:val="20"/>
              </w:rPr>
            </w:pPr>
            <w:r>
              <w:rPr>
                <w:sz w:val="20"/>
              </w:rPr>
              <w:t>The amount of a day’s interest is $[</w:t>
            </w:r>
            <w:r>
              <w:rPr>
                <w:i/>
                <w:sz w:val="20"/>
              </w:rPr>
              <w:t>insert amount</w:t>
            </w:r>
            <w:r>
              <w:rPr>
                <w:sz w:val="20"/>
              </w:rPr>
              <w:t>].</w:t>
            </w:r>
            <w:r>
              <w:rPr>
                <w:sz w:val="20"/>
                <w:vertAlign w:val="superscript"/>
              </w:rPr>
              <w:t>1</w:t>
            </w:r>
          </w:p>
        </w:tc>
      </w:tr>
      <w:tr>
        <w:trPr>
          <w:gridAfter w:val="1"/>
          <w:wAfter w:w="8" w:type="dxa"/>
          <w:cantSplit/>
        </w:trPr>
        <w:tc>
          <w:tcPr>
            <w:tcW w:w="1560" w:type="dxa"/>
            <w:tcBorders>
              <w:top w:val="single" w:sz="4" w:space="0" w:color="auto"/>
            </w:tcBorders>
          </w:tcPr>
          <w:p>
            <w:pPr>
              <w:pStyle w:val="yMiscellaneousBody"/>
              <w:rPr>
                <w:sz w:val="20"/>
              </w:rPr>
            </w:pPr>
            <w:r>
              <w:rPr>
                <w:sz w:val="20"/>
              </w:rPr>
              <w:t>Affidavits in support</w:t>
            </w:r>
          </w:p>
        </w:tc>
        <w:tc>
          <w:tcPr>
            <w:tcW w:w="5520" w:type="dxa"/>
            <w:gridSpan w:val="7"/>
            <w:tcBorders>
              <w:top w:val="single" w:sz="4" w:space="0" w:color="auto"/>
            </w:tcBorders>
          </w:tcPr>
          <w:p>
            <w:pPr>
              <w:pStyle w:val="yMiscellaneousBody"/>
              <w:rPr>
                <w:sz w:val="20"/>
              </w:rPr>
            </w:pPr>
            <w:r>
              <w:rPr>
                <w:sz w:val="20"/>
              </w:rPr>
              <w:t>The following affidavits containing all the information required by Order 13 rule 6(2)(b)(ii) are filed with this notice:</w:t>
            </w:r>
          </w:p>
          <w:p>
            <w:pPr>
              <w:pStyle w:val="yMiscellaneousBody"/>
              <w:rPr>
                <w:sz w:val="20"/>
              </w:rPr>
            </w:pPr>
            <w:r>
              <w:rPr>
                <w:sz w:val="20"/>
              </w:rPr>
              <w:t>1.</w:t>
            </w:r>
            <w:r>
              <w:rPr>
                <w:sz w:val="20"/>
              </w:rPr>
              <w:tab/>
            </w:r>
          </w:p>
          <w:p>
            <w:pPr>
              <w:pStyle w:val="yMiscellaneousBody"/>
              <w:rPr>
                <w:sz w:val="20"/>
              </w:rPr>
            </w:pPr>
            <w:r>
              <w:rPr>
                <w:sz w:val="20"/>
              </w:rPr>
              <w:t>2.</w:t>
            </w:r>
            <w:r>
              <w:rPr>
                <w:sz w:val="20"/>
              </w:rPr>
              <w:tab/>
            </w:r>
          </w:p>
        </w:tc>
      </w:tr>
      <w:tr>
        <w:trPr>
          <w:gridAfter w:val="1"/>
          <w:wAfter w:w="8" w:type="dxa"/>
          <w:cantSplit/>
          <w:trHeight w:val="473"/>
        </w:trPr>
        <w:tc>
          <w:tcPr>
            <w:tcW w:w="1560" w:type="dxa"/>
            <w:tcBorders>
              <w:top w:val="single" w:sz="4" w:space="0" w:color="auto"/>
              <w:bottom w:val="single" w:sz="4" w:space="0" w:color="auto"/>
            </w:tcBorders>
          </w:tcPr>
          <w:p>
            <w:pPr>
              <w:pStyle w:val="yMiscellaneousBody"/>
              <w:rPr>
                <w:sz w:val="20"/>
              </w:rPr>
            </w:pPr>
            <w:r>
              <w:rPr>
                <w:sz w:val="20"/>
              </w:rPr>
              <w:t>Date of Notice</w:t>
            </w:r>
          </w:p>
        </w:tc>
        <w:tc>
          <w:tcPr>
            <w:tcW w:w="1842" w:type="dxa"/>
            <w:gridSpan w:val="2"/>
            <w:tcBorders>
              <w:top w:val="single" w:sz="4" w:space="0" w:color="auto"/>
              <w:bottom w:val="single" w:sz="4" w:space="0" w:color="auto"/>
            </w:tcBorders>
          </w:tcPr>
          <w:p>
            <w:pPr>
              <w:pStyle w:val="zyMiscellaneousBody"/>
              <w:rPr>
                <w:sz w:val="20"/>
              </w:rPr>
            </w:pPr>
          </w:p>
        </w:tc>
        <w:tc>
          <w:tcPr>
            <w:tcW w:w="1701" w:type="dxa"/>
            <w:gridSpan w:val="3"/>
            <w:tcBorders>
              <w:top w:val="single" w:sz="4" w:space="0" w:color="auto"/>
              <w:bottom w:val="single" w:sz="4" w:space="0" w:color="auto"/>
            </w:tcBorders>
          </w:tcPr>
          <w:p>
            <w:pPr>
              <w:pStyle w:val="yMiscellaneousBody"/>
              <w:rPr>
                <w:sz w:val="20"/>
              </w:rPr>
            </w:pPr>
            <w:r>
              <w:rPr>
                <w:sz w:val="20"/>
              </w:rPr>
              <w:t>Date of filing</w:t>
            </w:r>
          </w:p>
        </w:tc>
        <w:tc>
          <w:tcPr>
            <w:tcW w:w="1977" w:type="dxa"/>
            <w:gridSpan w:val="2"/>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val="restart"/>
            <w:tcBorders>
              <w:top w:val="single" w:sz="4" w:space="0" w:color="auto"/>
            </w:tcBorders>
          </w:tcPr>
          <w:p>
            <w:pPr>
              <w:pStyle w:val="yMiscellaneousBody"/>
              <w:rPr>
                <w:sz w:val="20"/>
              </w:rPr>
            </w:pPr>
            <w:r>
              <w:rPr>
                <w:sz w:val="20"/>
              </w:rPr>
              <w:t>Contact details of party or lawyer</w:t>
            </w:r>
          </w:p>
        </w:tc>
        <w:tc>
          <w:tcPr>
            <w:tcW w:w="1275" w:type="dxa"/>
            <w:tcBorders>
              <w:top w:val="single" w:sz="4" w:space="0" w:color="auto"/>
              <w:bottom w:val="single" w:sz="4" w:space="0" w:color="auto"/>
            </w:tcBorders>
          </w:tcPr>
          <w:p>
            <w:pPr>
              <w:pStyle w:val="yMiscellaneousBody"/>
              <w:rPr>
                <w:sz w:val="20"/>
              </w:rPr>
            </w:pPr>
            <w:r>
              <w:rPr>
                <w:sz w:val="20"/>
              </w:rPr>
              <w:t>Name</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Pr>
          <w:p>
            <w:pPr>
              <w:pStyle w:val="zyMiscellaneousBody"/>
              <w:ind w:left="0"/>
              <w:rPr>
                <w:sz w:val="20"/>
              </w:rPr>
            </w:pPr>
          </w:p>
        </w:tc>
        <w:tc>
          <w:tcPr>
            <w:tcW w:w="1275" w:type="dxa"/>
            <w:tcBorders>
              <w:top w:val="single" w:sz="4" w:space="0" w:color="auto"/>
              <w:bottom w:val="single" w:sz="4" w:space="0" w:color="auto"/>
            </w:tcBorders>
          </w:tcPr>
          <w:p>
            <w:pPr>
              <w:pStyle w:val="yMiscellaneousBody"/>
              <w:rPr>
                <w:sz w:val="20"/>
              </w:rPr>
            </w:pPr>
            <w:r>
              <w:rPr>
                <w:sz w:val="20"/>
              </w:rPr>
              <w:t>Firm</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Borders>
              <w:bottom w:val="nil"/>
            </w:tcBorders>
          </w:tcPr>
          <w:p>
            <w:pPr>
              <w:pStyle w:val="zyMiscellaneousBody"/>
              <w:ind w:left="0"/>
              <w:rPr>
                <w:sz w:val="20"/>
              </w:rPr>
            </w:pPr>
          </w:p>
        </w:tc>
        <w:tc>
          <w:tcPr>
            <w:tcW w:w="1275" w:type="dxa"/>
            <w:tcBorders>
              <w:top w:val="single" w:sz="4" w:space="0" w:color="auto"/>
              <w:bottom w:val="single" w:sz="4" w:space="0" w:color="auto"/>
            </w:tcBorders>
          </w:tcPr>
          <w:p>
            <w:pPr>
              <w:pStyle w:val="yMiscellaneousBody"/>
              <w:rPr>
                <w:sz w:val="20"/>
              </w:rPr>
            </w:pPr>
            <w:r>
              <w:rPr>
                <w:sz w:val="20"/>
              </w:rPr>
              <w:t>Address</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val="restart"/>
            <w:tcBorders>
              <w:top w:val="nil"/>
            </w:tcBorders>
          </w:tcPr>
          <w:p>
            <w:pPr>
              <w:pStyle w:val="yMiscellaneousBody"/>
              <w:rPr>
                <w:sz w:val="20"/>
              </w:rPr>
            </w:pPr>
            <w:r>
              <w:rPr>
                <w:sz w:val="20"/>
              </w:rPr>
              <w:t>(These details will be inserted into the judgment.)</w:t>
            </w:r>
          </w:p>
        </w:tc>
        <w:tc>
          <w:tcPr>
            <w:tcW w:w="1275" w:type="dxa"/>
            <w:tcBorders>
              <w:top w:val="single" w:sz="4" w:space="0" w:color="auto"/>
              <w:bottom w:val="single" w:sz="4" w:space="0" w:color="auto"/>
            </w:tcBorders>
          </w:tcPr>
          <w:p>
            <w:pPr>
              <w:pStyle w:val="yMiscellaneousBody"/>
              <w:rPr>
                <w:sz w:val="20"/>
              </w:rPr>
            </w:pPr>
            <w:r>
              <w:rPr>
                <w:sz w:val="20"/>
              </w:rPr>
              <w:t>Phone</w:t>
            </w:r>
          </w:p>
        </w:tc>
        <w:tc>
          <w:tcPr>
            <w:tcW w:w="1560" w:type="dxa"/>
            <w:gridSpan w:val="3"/>
            <w:tcBorders>
              <w:top w:val="single" w:sz="4" w:space="0" w:color="auto"/>
              <w:bottom w:val="single" w:sz="4" w:space="0" w:color="auto"/>
            </w:tcBorders>
          </w:tcPr>
          <w:p>
            <w:pPr>
              <w:pStyle w:val="zyMiscellaneousBody"/>
              <w:keepNext/>
              <w:keepLines/>
              <w:widowControl w:val="0"/>
              <w:rPr>
                <w:sz w:val="20"/>
              </w:rPr>
            </w:pPr>
          </w:p>
        </w:tc>
        <w:tc>
          <w:tcPr>
            <w:tcW w:w="992" w:type="dxa"/>
            <w:gridSpan w:val="2"/>
            <w:tcBorders>
              <w:top w:val="single" w:sz="4" w:space="0" w:color="auto"/>
              <w:bottom w:val="single" w:sz="4" w:space="0" w:color="auto"/>
            </w:tcBorders>
          </w:tcPr>
          <w:p>
            <w:pPr>
              <w:pStyle w:val="yMiscellaneousBody"/>
              <w:rPr>
                <w:sz w:val="20"/>
              </w:rPr>
            </w:pPr>
            <w:r>
              <w:rPr>
                <w:sz w:val="20"/>
              </w:rPr>
              <w:t>Fax</w:t>
            </w:r>
          </w:p>
        </w:tc>
        <w:tc>
          <w:tcPr>
            <w:tcW w:w="1693" w:type="dxa"/>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Pr>
          <w:p>
            <w:pPr>
              <w:pStyle w:val="zyMiscellaneousBody"/>
              <w:keepNext/>
              <w:keepLines/>
              <w:widowControl w:val="0"/>
              <w:ind w:left="0"/>
              <w:rPr>
                <w:sz w:val="20"/>
              </w:rPr>
            </w:pPr>
          </w:p>
        </w:tc>
        <w:tc>
          <w:tcPr>
            <w:tcW w:w="1275" w:type="dxa"/>
            <w:tcBorders>
              <w:top w:val="single" w:sz="4" w:space="0" w:color="auto"/>
              <w:bottom w:val="single" w:sz="4" w:space="0" w:color="auto"/>
            </w:tcBorders>
          </w:tcPr>
          <w:p>
            <w:pPr>
              <w:pStyle w:val="yMiscellaneousBody"/>
              <w:rPr>
                <w:sz w:val="20"/>
              </w:rPr>
            </w:pPr>
            <w:r>
              <w:rPr>
                <w:sz w:val="20"/>
              </w:rPr>
              <w:t>Email</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Borders>
              <w:bottom w:val="single" w:sz="4" w:space="0" w:color="auto"/>
            </w:tcBorders>
          </w:tcPr>
          <w:p>
            <w:pPr>
              <w:pStyle w:val="zyMiscellaneousBody"/>
              <w:keepNext/>
              <w:keepLines/>
              <w:widowControl w:val="0"/>
              <w:ind w:left="0"/>
              <w:rPr>
                <w:sz w:val="20"/>
              </w:rPr>
            </w:pPr>
          </w:p>
        </w:tc>
        <w:tc>
          <w:tcPr>
            <w:tcW w:w="1275" w:type="dxa"/>
            <w:tcBorders>
              <w:top w:val="single" w:sz="4" w:space="0" w:color="auto"/>
              <w:bottom w:val="single" w:sz="4" w:space="0" w:color="auto"/>
            </w:tcBorders>
          </w:tcPr>
          <w:p>
            <w:pPr>
              <w:pStyle w:val="yMiscellaneousBody"/>
              <w:rPr>
                <w:sz w:val="20"/>
              </w:rPr>
            </w:pPr>
            <w:r>
              <w:rPr>
                <w:sz w:val="20"/>
              </w:rPr>
              <w:t>Reference</w:t>
            </w:r>
          </w:p>
        </w:tc>
        <w:tc>
          <w:tcPr>
            <w:tcW w:w="4245" w:type="dxa"/>
            <w:gridSpan w:val="6"/>
            <w:tcBorders>
              <w:top w:val="single" w:sz="4" w:space="0" w:color="auto"/>
              <w:bottom w:val="single" w:sz="4" w:space="0" w:color="auto"/>
            </w:tcBorders>
          </w:tcPr>
          <w:p>
            <w:pPr>
              <w:pStyle w:val="yMiscellaneousBody"/>
              <w:rPr>
                <w:sz w:val="20"/>
              </w:rPr>
            </w:pPr>
          </w:p>
        </w:tc>
      </w:tr>
      <w:tr>
        <w:trPr>
          <w:cantSplit/>
          <w:trHeight w:val="473"/>
        </w:trPr>
        <w:tc>
          <w:tcPr>
            <w:tcW w:w="1560" w:type="dxa"/>
            <w:tcBorders>
              <w:top w:val="single" w:sz="4" w:space="0" w:color="auto"/>
              <w:bottom w:val="single" w:sz="4" w:space="0" w:color="auto"/>
            </w:tcBorders>
          </w:tcPr>
          <w:p>
            <w:pPr>
              <w:pStyle w:val="yMiscellaneousBody"/>
              <w:rPr>
                <w:sz w:val="20"/>
              </w:rPr>
            </w:pPr>
            <w:r>
              <w:rPr>
                <w:sz w:val="20"/>
              </w:rPr>
              <w:t>Signature of party or lawyer</w:t>
            </w:r>
          </w:p>
        </w:tc>
        <w:tc>
          <w:tcPr>
            <w:tcW w:w="3827" w:type="dxa"/>
            <w:gridSpan w:val="6"/>
            <w:tcBorders>
              <w:top w:val="single" w:sz="4" w:space="0" w:color="auto"/>
              <w:bottom w:val="single" w:sz="4" w:space="0" w:color="auto"/>
            </w:tcBorders>
          </w:tcPr>
          <w:p>
            <w:pPr>
              <w:pStyle w:val="yMiscellaneousBody"/>
              <w:rPr>
                <w:sz w:val="20"/>
              </w:rPr>
            </w:pPr>
            <w:r>
              <w:rPr>
                <w:b/>
                <w:sz w:val="20"/>
              </w:rPr>
              <w:br/>
            </w:r>
            <w:r>
              <w:rPr>
                <w:b/>
                <w:sz w:val="20"/>
              </w:rPr>
              <w:br/>
            </w:r>
            <w:r>
              <w:rPr>
                <w:sz w:val="20"/>
              </w:rPr>
              <w:t>Party/Party’s Lawyer</w:t>
            </w:r>
          </w:p>
        </w:tc>
        <w:tc>
          <w:tcPr>
            <w:tcW w:w="1701" w:type="dxa"/>
            <w:gridSpan w:val="2"/>
            <w:tcBorders>
              <w:top w:val="single" w:sz="4" w:space="0" w:color="auto"/>
              <w:bottom w:val="single" w:sz="4" w:space="0" w:color="auto"/>
            </w:tcBorders>
          </w:tcPr>
          <w:p>
            <w:pPr>
              <w:pStyle w:val="yMiscellaneousBody"/>
              <w:rPr>
                <w:sz w:val="20"/>
              </w:rPr>
            </w:pPr>
            <w:r>
              <w:rPr>
                <w:sz w:val="20"/>
              </w:rPr>
              <w:t>Date</w:t>
            </w:r>
          </w:p>
        </w:tc>
      </w:tr>
    </w:tbl>
    <w:p>
      <w:pPr>
        <w:pStyle w:val="yMiscellaneousBody"/>
        <w:rPr>
          <w:sz w:val="16"/>
          <w:szCs w:val="16"/>
        </w:rPr>
      </w:pPr>
      <w:r>
        <w:rPr>
          <w:sz w:val="16"/>
          <w:szCs w:val="16"/>
        </w:rPr>
        <w:t>Note to Form 36B:</w:t>
      </w:r>
    </w:p>
    <w:p>
      <w:pPr>
        <w:pStyle w:val="yMiscellaneousBody"/>
        <w:tabs>
          <w:tab w:val="left" w:pos="426"/>
        </w:tabs>
        <w:ind w:left="426" w:hanging="426"/>
        <w:rPr>
          <w:sz w:val="16"/>
          <w:szCs w:val="16"/>
        </w:rPr>
      </w:pPr>
      <w:r>
        <w:rPr>
          <w:sz w:val="16"/>
          <w:szCs w:val="16"/>
        </w:rPr>
        <w:lastRenderedPageBreak/>
        <w:t>1.</w:t>
      </w:r>
      <w:r>
        <w:rPr>
          <w:sz w:val="16"/>
          <w:szCs w:val="16"/>
        </w:rPr>
        <w:tab/>
        <w:t>This item must be included if the claim includes a claim for interest to judgment. See Order 13 rule 6(3)(b).</w:t>
      </w:r>
    </w:p>
    <w:p>
      <w:pPr>
        <w:pStyle w:val="yFootnotesection"/>
      </w:pPr>
      <w:r>
        <w:tab/>
        <w:t>[Form 36B inserted: Gazette 16 Nov 2016 p. 5212</w:t>
      </w:r>
      <w:r>
        <w:noBreakHyphen/>
        <w:t>13.]</w:t>
      </w:r>
    </w:p>
    <w:p>
      <w:pPr>
        <w:pStyle w:val="yHeading5"/>
      </w:pPr>
      <w:bookmarkStart w:id="1625" w:name="_Toc163121849"/>
      <w:r>
        <w:rPr>
          <w:rStyle w:val="CharSClsNo"/>
        </w:rPr>
        <w:t>36C</w:t>
      </w:r>
      <w:r>
        <w:t>.</w:t>
      </w:r>
      <w:r>
        <w:tab/>
        <w:t>Default judgment in a mortgage action (O. 13 r. 6; O. 42 r. 1)</w:t>
      </w:r>
      <w:bookmarkEnd w:id="1625"/>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right"/>
              <w:rPr>
                <w:sz w:val="20"/>
              </w:rPr>
            </w:pPr>
            <w:r>
              <w:rPr>
                <w:b/>
                <w:sz w:val="20"/>
              </w:rPr>
              <w:t>DEFAULT JUDGMENT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r>
              <w:rPr>
                <w:sz w:val="20"/>
                <w:vertAlign w:val="superscript"/>
              </w:rPr>
              <w:t>1</w:t>
            </w:r>
            <w:r>
              <w:rPr>
                <w:b/>
                <w:sz w:val="20"/>
              </w:rPr>
              <w:t>:</w:t>
            </w:r>
          </w:p>
          <w:p>
            <w:pPr>
              <w:pStyle w:val="yMiscellaneousBody"/>
              <w:tabs>
                <w:tab w:val="left" w:pos="410"/>
              </w:tabs>
              <w:ind w:left="424" w:hanging="424"/>
              <w:rPr>
                <w:sz w:val="20"/>
              </w:rPr>
            </w:pPr>
            <w:r>
              <w:rPr>
                <w:sz w:val="20"/>
              </w:rPr>
              <w:t>1.</w:t>
            </w:r>
            <w:r>
              <w:rPr>
                <w:sz w:val="20"/>
              </w:rPr>
              <w:tab/>
              <w:t>The defendant, within [</w:t>
            </w:r>
            <w:r>
              <w:rPr>
                <w:i/>
                <w:sz w:val="20"/>
              </w:rPr>
              <w:t>insert number</w:t>
            </w:r>
            <w:r>
              <w:rPr>
                <w:sz w:val="20"/>
              </w:rPr>
              <w:t>]</w:t>
            </w:r>
            <w:r>
              <w:rPr>
                <w:sz w:val="20"/>
                <w:vertAlign w:val="superscript"/>
              </w:rPr>
              <w:t>2 </w:t>
            </w:r>
            <w:r>
              <w:rPr>
                <w:sz w:val="20"/>
              </w:rPr>
              <w:t>days after service of this judgment, give the plaintiff [</w:t>
            </w:r>
            <w:r>
              <w:rPr>
                <w:i/>
                <w:sz w:val="20"/>
              </w:rPr>
              <w:t>insert “vacant” if applicable</w:t>
            </w:r>
            <w:r>
              <w:rPr>
                <w:sz w:val="20"/>
              </w:rPr>
              <w:t>] possession of [</w:t>
            </w:r>
            <w:r>
              <w:rPr>
                <w:i/>
                <w:sz w:val="20"/>
              </w:rPr>
              <w:t>description of property</w:t>
            </w:r>
            <w:r>
              <w:rPr>
                <w:sz w:val="20"/>
              </w:rPr>
              <w:t>] [</w:t>
            </w:r>
            <w:r>
              <w:rPr>
                <w:i/>
                <w:sz w:val="20"/>
              </w:rPr>
              <w:t>at location of property if relevant</w:t>
            </w:r>
            <w:r>
              <w:rPr>
                <w:sz w:val="20"/>
              </w:rPr>
              <w:t>].</w:t>
            </w:r>
          </w:p>
        </w:tc>
      </w:tr>
      <w:tr>
        <w:tc>
          <w:tcPr>
            <w:tcW w:w="7088" w:type="dxa"/>
            <w:tcBorders>
              <w:top w:val="nil"/>
            </w:tcBorders>
          </w:tcPr>
          <w:p>
            <w:pPr>
              <w:pStyle w:val="yMiscellaneousBody"/>
              <w:tabs>
                <w:tab w:val="left" w:pos="410"/>
              </w:tabs>
              <w:ind w:left="424" w:hanging="424"/>
              <w:rPr>
                <w:sz w:val="20"/>
              </w:rPr>
            </w:pPr>
            <w:r>
              <w:rPr>
                <w:sz w:val="20"/>
              </w:rPr>
              <w:t>2.</w:t>
            </w:r>
            <w:r>
              <w:rPr>
                <w:sz w:val="20"/>
              </w:rPr>
              <w:tab/>
              <w:t>The defendant pay the plaintiff —</w:t>
            </w:r>
          </w:p>
          <w:p>
            <w:pPr>
              <w:pStyle w:val="yMiscellaneousBody"/>
              <w:tabs>
                <w:tab w:val="left" w:pos="704"/>
                <w:tab w:val="left" w:pos="1293"/>
              </w:tabs>
              <w:ind w:left="1306" w:hanging="1306"/>
              <w:rPr>
                <w:sz w:val="20"/>
              </w:rPr>
            </w:pPr>
            <w:r>
              <w:rPr>
                <w:sz w:val="20"/>
              </w:rPr>
              <w:tab/>
              <w:t>(a)</w:t>
            </w:r>
            <w:r>
              <w:rPr>
                <w:sz w:val="20"/>
              </w:rPr>
              <w:tab/>
              <w:t>$[</w:t>
            </w:r>
            <w:r>
              <w:rPr>
                <w:i/>
                <w:sz w:val="20"/>
              </w:rPr>
              <w:t>insert amount</w:t>
            </w:r>
            <w:r>
              <w:rPr>
                <w:sz w:val="20"/>
              </w:rPr>
              <w:t>], which is the amount due under the mortgage as at today’s date; and</w:t>
            </w:r>
          </w:p>
          <w:p>
            <w:pPr>
              <w:pStyle w:val="yMiscellaneousBody"/>
              <w:tabs>
                <w:tab w:val="left" w:pos="704"/>
                <w:tab w:val="left" w:pos="1293"/>
              </w:tabs>
              <w:ind w:left="1306" w:hanging="1306"/>
              <w:rPr>
                <w:sz w:val="20"/>
              </w:rPr>
            </w:pPr>
            <w:r>
              <w:rPr>
                <w:sz w:val="20"/>
              </w:rPr>
              <w:tab/>
              <w:t>(b)</w:t>
            </w:r>
            <w:r>
              <w:rPr>
                <w:sz w:val="20"/>
              </w:rPr>
              <w:tab/>
              <w:t>interest of $[</w:t>
            </w:r>
            <w:r>
              <w:rPr>
                <w:i/>
                <w:sz w:val="20"/>
              </w:rPr>
              <w:t>insert amount</w:t>
            </w:r>
            <w:r>
              <w:rPr>
                <w:sz w:val="20"/>
              </w:rPr>
              <w:t>] per day from [</w:t>
            </w:r>
            <w:r>
              <w:rPr>
                <w:i/>
                <w:sz w:val="20"/>
              </w:rPr>
              <w:t>insert date</w:t>
            </w:r>
            <w:r>
              <w:rPr>
                <w:sz w:val="20"/>
              </w:rPr>
              <w:t>] until payment in full in accordance with the terms of the mortgage; and</w:t>
            </w:r>
          </w:p>
          <w:p>
            <w:pPr>
              <w:pStyle w:val="yMiscellaneousBody"/>
              <w:tabs>
                <w:tab w:val="left" w:pos="704"/>
                <w:tab w:val="left" w:pos="1293"/>
              </w:tabs>
              <w:ind w:left="1306" w:hanging="1306"/>
              <w:rPr>
                <w:sz w:val="20"/>
              </w:rPr>
            </w:pPr>
            <w:r>
              <w:rPr>
                <w:sz w:val="20"/>
              </w:rPr>
              <w:tab/>
              <w:t>(c)</w:t>
            </w:r>
            <w:r>
              <w:rPr>
                <w:sz w:val="20"/>
              </w:rPr>
              <w:tab/>
              <w:t>$[</w:t>
            </w:r>
            <w:r>
              <w:rPr>
                <w:i/>
                <w:sz w:val="20"/>
              </w:rPr>
              <w:t>insert amount</w:t>
            </w:r>
            <w:r>
              <w:rPr>
                <w:sz w:val="20"/>
              </w:rPr>
              <w:t>] costs [</w:t>
            </w:r>
            <w:r>
              <w:rPr>
                <w:i/>
                <w:sz w:val="20"/>
              </w:rPr>
              <w:t>or costs to be taxed</w:t>
            </w:r>
            <w:r>
              <w:rPr>
                <w:sz w:val="20"/>
              </w:rPr>
              <w:t>].</w:t>
            </w:r>
          </w:p>
        </w:tc>
      </w:tr>
      <w:tr>
        <w:tc>
          <w:tcPr>
            <w:tcW w:w="7088" w:type="dxa"/>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48"/>
              </w:tabs>
              <w:rPr>
                <w:sz w:val="20"/>
              </w:rPr>
            </w:pPr>
            <w:r>
              <w:rPr>
                <w:sz w:val="20"/>
              </w:rPr>
              <w:tab/>
              <w:t>BY THE COURT</w:t>
            </w:r>
          </w:p>
          <w:p>
            <w:pPr>
              <w:pStyle w:val="yMiscellaneousBody"/>
              <w:tabs>
                <w:tab w:val="left" w:pos="4519"/>
              </w:tabs>
              <w:rPr>
                <w:sz w:val="20"/>
              </w:rPr>
            </w:pPr>
            <w:r>
              <w:rPr>
                <w:sz w:val="20"/>
              </w:rPr>
              <w:tab/>
              <w:t>REGISTRAR</w:t>
            </w:r>
          </w:p>
        </w:tc>
      </w:tr>
      <w:tr>
        <w:tc>
          <w:tcPr>
            <w:tcW w:w="7088" w:type="dxa"/>
          </w:tcPr>
          <w:p>
            <w:pPr>
              <w:pStyle w:val="yMiscellaneousBody"/>
              <w:rPr>
                <w:sz w:val="20"/>
              </w:rPr>
            </w:pPr>
            <w:r>
              <w:rPr>
                <w:b/>
                <w:sz w:val="20"/>
              </w:rPr>
              <w:lastRenderedPageBreak/>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Pr>
          <w:p>
            <w:pPr>
              <w:pStyle w:val="yMiscellaneousBody"/>
              <w:tabs>
                <w:tab w:val="left" w:pos="160"/>
                <w:tab w:val="left" w:pos="602"/>
              </w:tabs>
              <w:ind w:left="606" w:hanging="606"/>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60"/>
                <w:tab w:val="left" w:pos="602"/>
              </w:tabs>
              <w:ind w:left="606" w:hanging="606"/>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bottom w:val="nil"/>
            </w:tcBorders>
          </w:tcPr>
          <w:p>
            <w:pPr>
              <w:pStyle w:val="yMiscellaneousBody"/>
              <w:rPr>
                <w:sz w:val="20"/>
              </w:rPr>
            </w:pPr>
            <w:r>
              <w:rPr>
                <w:sz w:val="20"/>
              </w:rPr>
              <w:t xml:space="preserve">Legal Aid WA has an online ‘Mortgage stress </w:t>
            </w:r>
            <w:r>
              <w:rPr>
                <w:sz w:val="20"/>
              </w:rPr>
              <w:noBreakHyphen/>
              <w:t xml:space="preserve"> self help guide’ available on its website at www.legalaid.wa.gov.au which includes information about what to do if a judgment is made against you.</w:t>
            </w:r>
          </w:p>
        </w:tc>
      </w:tr>
      <w:tr>
        <w:tc>
          <w:tcPr>
            <w:tcW w:w="7088" w:type="dxa"/>
            <w:tcBorders>
              <w:top w:val="nil"/>
              <w:bottom w:val="nil"/>
            </w:tcBorders>
          </w:tcPr>
          <w:p>
            <w:pPr>
              <w:pStyle w:val="yMiscellaneousBody"/>
              <w:rPr>
                <w:sz w:val="20"/>
              </w:rPr>
            </w:pPr>
            <w:r>
              <w:rPr>
                <w:sz w:val="20"/>
              </w:rPr>
              <w:t>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rPr>
          <w:sz w:val="16"/>
          <w:szCs w:val="16"/>
        </w:rPr>
      </w:pPr>
      <w:r>
        <w:rPr>
          <w:sz w:val="16"/>
          <w:szCs w:val="16"/>
        </w:rPr>
        <w:t>Notes to Form 36C:</w:t>
      </w:r>
    </w:p>
    <w:p>
      <w:pPr>
        <w:pStyle w:val="yMiscellaneousBody"/>
        <w:tabs>
          <w:tab w:val="left" w:pos="426"/>
        </w:tabs>
        <w:ind w:left="426" w:hanging="426"/>
        <w:rPr>
          <w:sz w:val="16"/>
          <w:szCs w:val="16"/>
        </w:rPr>
      </w:pPr>
      <w:r>
        <w:rPr>
          <w:sz w:val="16"/>
          <w:szCs w:val="16"/>
        </w:rPr>
        <w:t>1.</w:t>
      </w:r>
      <w:r>
        <w:rPr>
          <w:sz w:val="16"/>
          <w:szCs w:val="16"/>
        </w:rPr>
        <w:tab/>
        <w:t>This form is to be used for default judgment in any mortgage action. The text of the order, or orders, should reflect the effect of the mortgage in question and the orders sought. The proposed orders in this form are to be used only if applicable.</w:t>
      </w:r>
    </w:p>
    <w:p>
      <w:pPr>
        <w:pStyle w:val="yMiscellaneousBody"/>
        <w:tabs>
          <w:tab w:val="left" w:pos="426"/>
        </w:tabs>
        <w:ind w:left="426" w:hanging="426"/>
        <w:rPr>
          <w:sz w:val="16"/>
          <w:szCs w:val="16"/>
        </w:rPr>
      </w:pPr>
      <w:r>
        <w:rPr>
          <w:sz w:val="16"/>
          <w:szCs w:val="16"/>
        </w:rPr>
        <w:t>2.</w:t>
      </w:r>
      <w:r>
        <w:rPr>
          <w:sz w:val="16"/>
          <w:szCs w:val="16"/>
        </w:rPr>
        <w:tab/>
        <w:t>28 days unless the Court orders otherwise. See Order 13 rule 6(6).</w:t>
      </w:r>
    </w:p>
    <w:p>
      <w:pPr>
        <w:pStyle w:val="yFootnotesection"/>
      </w:pPr>
      <w:r>
        <w:tab/>
        <w:t>[Form 36C inserted: Gazette 16 Nov 2016 p. 5213</w:t>
      </w:r>
      <w:r>
        <w:noBreakHyphen/>
        <w:t>15.]</w:t>
      </w:r>
    </w:p>
    <w:p>
      <w:pPr>
        <w:pStyle w:val="yHeading5"/>
      </w:pPr>
      <w:bookmarkStart w:id="1626" w:name="_Toc163121850"/>
      <w:r>
        <w:rPr>
          <w:rStyle w:val="CharSClsNo"/>
        </w:rPr>
        <w:lastRenderedPageBreak/>
        <w:t>37</w:t>
      </w:r>
      <w:r>
        <w:t>.</w:t>
      </w:r>
      <w:r>
        <w:tab/>
        <w:t>Judgment (other than default judgment) after assessment of damages etc. (O. 42 r. 1)</w:t>
      </w:r>
      <w:bookmarkEnd w:id="1626"/>
    </w:p>
    <w:tbl>
      <w:tblPr>
        <w:tblStyle w:val="TableGrid"/>
        <w:tblW w:w="0" w:type="auto"/>
        <w:tblInd w:w="108" w:type="dxa"/>
        <w:tblLook w:val="04A0" w:firstRow="1" w:lastRow="0" w:firstColumn="1" w:lastColumn="0" w:noHBand="0" w:noVBand="1"/>
      </w:tblPr>
      <w:tblGrid>
        <w:gridCol w:w="6979"/>
      </w:tblGrid>
      <w:tr>
        <w:tc>
          <w:tcPr>
            <w:tcW w:w="7088" w:type="dxa"/>
            <w:tcBorders>
              <w:bottom w:val="nil"/>
            </w:tcBorders>
          </w:tcPr>
          <w:p>
            <w:pPr>
              <w:pStyle w:val="yMiscellaneousBody"/>
              <w:keepNext/>
              <w:jc w:val="center"/>
              <w:rPr>
                <w:sz w:val="20"/>
              </w:rPr>
            </w:pPr>
            <w:r>
              <w:rPr>
                <w:b/>
                <w:sz w:val="20"/>
              </w:rPr>
              <w:t>IN THE SUPREME COURT OF WESTERN AUSTRALIA</w:t>
            </w:r>
          </w:p>
          <w:p>
            <w:pPr>
              <w:pStyle w:val="yMiscellaneousBody"/>
              <w:keepNext/>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JUDGMENT (OTHER THAN DEFAULT JUDGMENT) AFTER ASSESSMENT OF DAMAGES ETC.</w:t>
            </w:r>
            <w:r>
              <w:rPr>
                <w:sz w:val="20"/>
                <w:vertAlign w:val="superscript"/>
              </w:rPr>
              <w:t>1</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sz w:val="20"/>
              </w:rPr>
              <w:t>The plaintiff having on the                 day of                        20     , obtained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rPr>
                <w:sz w:val="20"/>
              </w:rPr>
            </w:pPr>
            <w:r>
              <w:rPr>
                <w:sz w:val="20"/>
              </w:rPr>
              <w:t>(a)</w:t>
            </w:r>
            <w:r>
              <w:rPr>
                <w:sz w:val="20"/>
              </w:rPr>
              <w:tab/>
              <w:t>$[</w:t>
            </w:r>
            <w:r>
              <w:rPr>
                <w:i/>
                <w:sz w:val="20"/>
              </w:rPr>
              <w:t>insert amount</w:t>
            </w:r>
            <w:r>
              <w:rPr>
                <w:sz w:val="20"/>
              </w:rPr>
              <w:t>]; and</w:t>
            </w:r>
          </w:p>
          <w:p>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38"/>
              </w:tabs>
              <w:rPr>
                <w:sz w:val="20"/>
              </w:rPr>
            </w:pPr>
            <w:r>
              <w:rPr>
                <w:sz w:val="20"/>
              </w:rPr>
              <w:tab/>
              <w:t>BY THE COURT</w:t>
            </w:r>
          </w:p>
          <w:p>
            <w:pPr>
              <w:pStyle w:val="yMiscellaneousBody"/>
              <w:tabs>
                <w:tab w:val="left" w:pos="4528"/>
              </w:tabs>
              <w:rPr>
                <w:sz w:val="20"/>
              </w:rPr>
            </w:pPr>
            <w:r>
              <w:rPr>
                <w:sz w:val="20"/>
              </w:rPr>
              <w:tab/>
              <w:t>REGISTRAR</w:t>
            </w:r>
          </w:p>
        </w:tc>
      </w:tr>
    </w:tbl>
    <w:p>
      <w:pPr>
        <w:pStyle w:val="yMiscellaneousBody"/>
        <w:rPr>
          <w:sz w:val="16"/>
          <w:szCs w:val="16"/>
        </w:rPr>
      </w:pPr>
      <w:r>
        <w:rPr>
          <w:sz w:val="16"/>
          <w:szCs w:val="16"/>
        </w:rPr>
        <w:t>Note to Form 37:</w:t>
      </w:r>
    </w:p>
    <w:p>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pPr>
        <w:pStyle w:val="yFootnotesection"/>
      </w:pPr>
      <w:r>
        <w:lastRenderedPageBreak/>
        <w:tab/>
        <w:t>[Form 37 inserted: Gazette 16 Nov 2016 p. 5215</w:t>
      </w:r>
      <w:r>
        <w:noBreakHyphen/>
        <w:t>16.]</w:t>
      </w:r>
    </w:p>
    <w:p>
      <w:pPr>
        <w:pStyle w:val="yHeading5"/>
        <w:keepNext w:val="0"/>
        <w:keepLines w:val="0"/>
        <w:pageBreakBefore/>
        <w:spacing w:before="0" w:after="120"/>
      </w:pPr>
      <w:bookmarkStart w:id="1627" w:name="_Toc163121851"/>
      <w:r>
        <w:rPr>
          <w:rStyle w:val="CharSClsNo"/>
        </w:rPr>
        <w:lastRenderedPageBreak/>
        <w:t>38</w:t>
      </w:r>
      <w:r>
        <w:t>.</w:t>
      </w:r>
      <w:r>
        <w:rPr>
          <w:b w:val="0"/>
        </w:rPr>
        <w:tab/>
      </w:r>
      <w:r>
        <w:t>Judgment under Order 14 (O. 14 r. 3)</w:t>
      </w:r>
      <w:bookmarkEnd w:id="1627"/>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defendant having entered an appearance herein and the Court having under Order 14 rule 3 ordered that judgment as hereinafter provided be entered for the plaintiff against the defendant,</w:t>
      </w:r>
    </w:p>
    <w:p>
      <w:pPr>
        <w:pStyle w:val="yMiscellaneousBody"/>
        <w:spacing w:before="120"/>
        <w:rPr>
          <w:sz w:val="20"/>
        </w:rPr>
      </w:pPr>
      <w:r>
        <w:rPr>
          <w:sz w:val="20"/>
        </w:rPr>
        <w:t xml:space="preserve">It is this day adjudged that the defendant do pay to the plaintiff $                            and </w:t>
      </w:r>
      <w:r>
        <w:rPr>
          <w:sz w:val="20"/>
        </w:rPr>
        <w:br/>
        <w:t>$                              costs (</w:t>
      </w:r>
      <w:r>
        <w:rPr>
          <w:i/>
          <w:sz w:val="20"/>
        </w:rPr>
        <w:t>or</w:t>
      </w:r>
      <w:r>
        <w:rPr>
          <w:sz w:val="20"/>
        </w:rPr>
        <w:t xml:space="preserve">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pay to the plaintiff damages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deliver to the plaintiff the goods described in the statement of claim as</w:t>
      </w:r>
    </w:p>
    <w:p>
      <w:pPr>
        <w:pStyle w:val="yMiscellaneousBody"/>
        <w:spacing w:before="110"/>
        <w:rPr>
          <w:sz w:val="20"/>
        </w:rPr>
      </w:pPr>
      <w:r>
        <w:rPr>
          <w:sz w:val="20"/>
        </w:rPr>
        <w:t>[</w:t>
      </w:r>
      <w:r>
        <w:rPr>
          <w:i/>
          <w:sz w:val="20"/>
        </w:rPr>
        <w:t>or</w:t>
      </w:r>
      <w:r>
        <w:rPr>
          <w:sz w:val="20"/>
        </w:rPr>
        <w:t xml:space="preserve"> pay to the plaintiff the value of the said goods to be assessed] [and also damages for their detention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give the plaintiff possession of the land described in the statement of claim as</w:t>
      </w:r>
      <w:r>
        <w:rPr>
          <w:sz w:val="20"/>
        </w:rPr>
        <w:br/>
        <w:t xml:space="preserve">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38 amended: Gazette 28 Jun 2011 p. 2559.]</w:t>
      </w:r>
    </w:p>
    <w:p>
      <w:pPr>
        <w:pStyle w:val="yHeading5"/>
      </w:pPr>
      <w:bookmarkStart w:id="1628" w:name="_Toc163121852"/>
      <w:r>
        <w:rPr>
          <w:rStyle w:val="CharSClsNo"/>
        </w:rPr>
        <w:t>39</w:t>
      </w:r>
      <w:r>
        <w:t>.</w:t>
      </w:r>
      <w:r>
        <w:tab/>
        <w:t>Judgment after trial without jury (O. 42 r. 1)</w:t>
      </w:r>
      <w:bookmarkEnd w:id="1628"/>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028"/>
      </w:tblGrid>
      <w:tr>
        <w:trPr>
          <w:cantSplit/>
          <w:trHeight w:val="194"/>
        </w:trPr>
        <w:tc>
          <w:tcPr>
            <w:tcW w:w="3402" w:type="dxa"/>
            <w:gridSpan w:val="2"/>
            <w:vMerge w:val="restart"/>
          </w:tcPr>
          <w:p>
            <w:pPr>
              <w:pStyle w:val="yTableNAm"/>
              <w:rPr>
                <w:sz w:val="20"/>
              </w:rPr>
            </w:pPr>
            <w:r>
              <w:rPr>
                <w:sz w:val="20"/>
              </w:rPr>
              <w:t>Supreme Court of Western Australia</w:t>
            </w:r>
          </w:p>
          <w:p>
            <w:pPr>
              <w:pStyle w:val="yTableNAm"/>
              <w:rPr>
                <w:sz w:val="20"/>
              </w:rPr>
            </w:pPr>
            <w:r>
              <w:rPr>
                <w:sz w:val="20"/>
              </w:rPr>
              <w:t>General Division</w:t>
            </w:r>
          </w:p>
        </w:tc>
        <w:tc>
          <w:tcPr>
            <w:tcW w:w="3028" w:type="dxa"/>
          </w:tcPr>
          <w:p>
            <w:pPr>
              <w:pStyle w:val="yTableNAm"/>
              <w:rPr>
                <w:sz w:val="20"/>
              </w:rPr>
            </w:pPr>
            <w:r>
              <w:rPr>
                <w:sz w:val="20"/>
              </w:rPr>
              <w:t>No.:</w:t>
            </w:r>
          </w:p>
        </w:tc>
      </w:tr>
      <w:tr>
        <w:trPr>
          <w:cantSplit/>
          <w:trHeight w:val="194"/>
        </w:trPr>
        <w:tc>
          <w:tcPr>
            <w:tcW w:w="3402" w:type="dxa"/>
            <w:gridSpan w:val="2"/>
            <w:vMerge/>
          </w:tcPr>
          <w:p>
            <w:pPr>
              <w:pStyle w:val="zyTableNAm"/>
              <w:spacing w:before="0"/>
              <w:rPr>
                <w:sz w:val="20"/>
              </w:rPr>
            </w:pPr>
          </w:p>
        </w:tc>
        <w:tc>
          <w:tcPr>
            <w:tcW w:w="3028" w:type="dxa"/>
          </w:tcPr>
          <w:p>
            <w:pPr>
              <w:pStyle w:val="yTableNAm"/>
              <w:rPr>
                <w:sz w:val="20"/>
              </w:rPr>
            </w:pPr>
            <w:r>
              <w:rPr>
                <w:b/>
                <w:sz w:val="20"/>
              </w:rPr>
              <w:t>Judgment after trial without jury</w:t>
            </w:r>
          </w:p>
        </w:tc>
      </w:tr>
      <w:tr>
        <w:trPr>
          <w:cantSplit/>
        </w:trPr>
        <w:tc>
          <w:tcPr>
            <w:tcW w:w="1418" w:type="dxa"/>
          </w:tcPr>
          <w:p>
            <w:pPr>
              <w:pStyle w:val="yTableNAm"/>
              <w:rPr>
                <w:sz w:val="20"/>
                <w:vertAlign w:val="superscript"/>
              </w:rPr>
            </w:pPr>
            <w:r>
              <w:rPr>
                <w:sz w:val="20"/>
              </w:rPr>
              <w:t>Parties</w:t>
            </w:r>
          </w:p>
        </w:tc>
        <w:tc>
          <w:tcPr>
            <w:tcW w:w="5012" w:type="dxa"/>
            <w:gridSpan w:val="2"/>
          </w:tcPr>
          <w:p>
            <w:pPr>
              <w:pStyle w:val="yTableNAm"/>
              <w:tabs>
                <w:tab w:val="left" w:pos="3345"/>
              </w:tabs>
              <w:rPr>
                <w:sz w:val="20"/>
              </w:rPr>
            </w:pPr>
            <w:r>
              <w:rPr>
                <w:sz w:val="20"/>
              </w:rPr>
              <w:tab/>
            </w:r>
            <w:r>
              <w:rPr>
                <w:sz w:val="20"/>
              </w:rPr>
              <w:tab/>
              <w:t>Plaintiff</w:t>
            </w:r>
          </w:p>
          <w:p>
            <w:pPr>
              <w:pStyle w:val="yTableNAm"/>
              <w:tabs>
                <w:tab w:val="left" w:pos="3345"/>
              </w:tabs>
              <w:rPr>
                <w:sz w:val="20"/>
              </w:rPr>
            </w:pPr>
            <w:r>
              <w:rPr>
                <w:sz w:val="20"/>
              </w:rPr>
              <w:tab/>
            </w:r>
            <w:r>
              <w:rPr>
                <w:sz w:val="20"/>
              </w:rPr>
              <w:tab/>
              <w:t>Defendant</w:t>
            </w:r>
          </w:p>
        </w:tc>
      </w:tr>
      <w:tr>
        <w:trPr>
          <w:cantSplit/>
        </w:trPr>
        <w:tc>
          <w:tcPr>
            <w:tcW w:w="1418" w:type="dxa"/>
          </w:tcPr>
          <w:p>
            <w:pPr>
              <w:pStyle w:val="yTableNAm"/>
              <w:rPr>
                <w:sz w:val="20"/>
              </w:rPr>
            </w:pPr>
            <w:r>
              <w:rPr>
                <w:sz w:val="20"/>
              </w:rPr>
              <w:t>Trial details</w:t>
            </w:r>
          </w:p>
        </w:tc>
        <w:tc>
          <w:tcPr>
            <w:tcW w:w="5012" w:type="dxa"/>
            <w:gridSpan w:val="2"/>
          </w:tcPr>
          <w:p>
            <w:pPr>
              <w:pStyle w:val="yTableNAm"/>
              <w:rPr>
                <w:sz w:val="20"/>
              </w:rPr>
            </w:pPr>
            <w:r>
              <w:rPr>
                <w:sz w:val="20"/>
              </w:rPr>
              <w:t>This case was tried in the Supreme Court without a jury on [</w:t>
            </w:r>
            <w:r>
              <w:rPr>
                <w:i/>
                <w:sz w:val="20"/>
              </w:rPr>
              <w:t>date(s)</w:t>
            </w:r>
            <w:r>
              <w:rPr>
                <w:sz w:val="20"/>
              </w:rPr>
              <w:t>].</w:t>
            </w:r>
          </w:p>
        </w:tc>
      </w:tr>
      <w:tr>
        <w:trPr>
          <w:cantSplit/>
        </w:trPr>
        <w:tc>
          <w:tcPr>
            <w:tcW w:w="1418" w:type="dxa"/>
          </w:tcPr>
          <w:p>
            <w:pPr>
              <w:pStyle w:val="yTableNAm"/>
              <w:rPr>
                <w:sz w:val="20"/>
              </w:rPr>
            </w:pPr>
            <w:r>
              <w:rPr>
                <w:sz w:val="20"/>
              </w:rPr>
              <w:t>Judgment</w:t>
            </w:r>
          </w:p>
        </w:tc>
        <w:tc>
          <w:tcPr>
            <w:tcW w:w="5012" w:type="dxa"/>
            <w:gridSpan w:val="2"/>
          </w:tcPr>
          <w:p>
            <w:pPr>
              <w:pStyle w:val="yTableNAm"/>
              <w:rPr>
                <w:sz w:val="20"/>
              </w:rPr>
            </w:pPr>
            <w:r>
              <w:rPr>
                <w:sz w:val="20"/>
              </w:rPr>
              <w:t>On [</w:t>
            </w:r>
            <w:r>
              <w:rPr>
                <w:i/>
                <w:sz w:val="20"/>
              </w:rPr>
              <w:t>date</w:t>
            </w:r>
            <w:r>
              <w:rPr>
                <w:sz w:val="20"/>
              </w:rPr>
              <w:t>] the Court ordered that judgment as described below be entered for the [</w:t>
            </w:r>
            <w:r>
              <w:rPr>
                <w:i/>
                <w:sz w:val="20"/>
              </w:rPr>
              <w:t>party</w:t>
            </w:r>
            <w:r>
              <w:rPr>
                <w:sz w:val="20"/>
              </w:rPr>
              <w:t>].</w:t>
            </w:r>
          </w:p>
        </w:tc>
      </w:tr>
      <w:tr>
        <w:trPr>
          <w:cantSplit/>
        </w:trPr>
        <w:tc>
          <w:tcPr>
            <w:tcW w:w="1418" w:type="dxa"/>
          </w:tcPr>
          <w:p>
            <w:pPr>
              <w:pStyle w:val="yTableNAm"/>
              <w:rPr>
                <w:sz w:val="20"/>
              </w:rPr>
            </w:pPr>
            <w:r>
              <w:rPr>
                <w:sz w:val="20"/>
              </w:rPr>
              <w:t>Judgment details</w:t>
            </w:r>
          </w:p>
        </w:tc>
        <w:tc>
          <w:tcPr>
            <w:tcW w:w="5012" w:type="dxa"/>
            <w:gridSpan w:val="2"/>
          </w:tcPr>
          <w:p>
            <w:pPr>
              <w:pStyle w:val="yTableNAm"/>
              <w:rPr>
                <w:sz w:val="20"/>
              </w:rPr>
            </w:pPr>
            <w:r>
              <w:rPr>
                <w:sz w:val="20"/>
              </w:rPr>
              <w:t>[</w:t>
            </w:r>
            <w:r>
              <w:rPr>
                <w:i/>
                <w:sz w:val="20"/>
              </w:rPr>
              <w:t>Set out the Court’s orders.</w:t>
            </w:r>
            <w:r>
              <w:rPr>
                <w:sz w:val="20"/>
              </w:rPr>
              <w:t>]</w:t>
            </w:r>
          </w:p>
          <w:p>
            <w:pPr>
              <w:pStyle w:val="yTableNAm"/>
              <w:rPr>
                <w:sz w:val="20"/>
              </w:rPr>
            </w:pPr>
            <w:r>
              <w:rPr>
                <w:sz w:val="20"/>
              </w:rPr>
              <w:t>[</w:t>
            </w:r>
            <w:r>
              <w:rPr>
                <w:i/>
                <w:sz w:val="20"/>
              </w:rPr>
              <w:t>Set out details of any taxation of costs as in Form 32.</w:t>
            </w:r>
            <w:r>
              <w:rPr>
                <w:sz w:val="20"/>
              </w:rPr>
              <w:t>]</w:t>
            </w:r>
          </w:p>
        </w:tc>
      </w:tr>
      <w:tr>
        <w:trPr>
          <w:cantSplit/>
        </w:trPr>
        <w:tc>
          <w:tcPr>
            <w:tcW w:w="1418" w:type="dxa"/>
          </w:tcPr>
          <w:p>
            <w:pPr>
              <w:pStyle w:val="yTableNAm"/>
              <w:rPr>
                <w:sz w:val="20"/>
              </w:rPr>
            </w:pPr>
            <w:r>
              <w:rPr>
                <w:sz w:val="20"/>
              </w:rPr>
              <w:lastRenderedPageBreak/>
              <w:t>Date judgment entered</w:t>
            </w:r>
          </w:p>
        </w:tc>
        <w:tc>
          <w:tcPr>
            <w:tcW w:w="5012" w:type="dxa"/>
            <w:gridSpan w:val="2"/>
          </w:tcPr>
          <w:p>
            <w:pPr>
              <w:pStyle w:val="yTableNAm"/>
              <w:rPr>
                <w:sz w:val="20"/>
              </w:rPr>
            </w:pPr>
            <w:r>
              <w:rPr>
                <w:sz w:val="20"/>
              </w:rPr>
              <w:t>Judgment dated and entered on [</w:t>
            </w:r>
            <w:r>
              <w:rPr>
                <w:i/>
                <w:sz w:val="20"/>
              </w:rPr>
              <w:t>date</w:t>
            </w:r>
            <w:r>
              <w:rPr>
                <w:sz w:val="20"/>
              </w:rPr>
              <w:t>].</w:t>
            </w:r>
          </w:p>
        </w:tc>
      </w:tr>
    </w:tbl>
    <w:p>
      <w:pPr>
        <w:pStyle w:val="yFootnotesection"/>
        <w:spacing w:before="100"/>
      </w:pPr>
      <w:r>
        <w:tab/>
        <w:t>[Form 39 inserted: Gazette 16 Aug 2017 p. 4422.]</w:t>
      </w:r>
    </w:p>
    <w:p>
      <w:pPr>
        <w:pStyle w:val="yHeading5"/>
      </w:pPr>
      <w:bookmarkStart w:id="1629" w:name="_Toc163121853"/>
      <w:r>
        <w:rPr>
          <w:rStyle w:val="CharSClsNo"/>
        </w:rPr>
        <w:t>40</w:t>
      </w:r>
      <w:r>
        <w:t>.</w:t>
      </w:r>
      <w:r>
        <w:tab/>
        <w:t>Judgment after trial with jury (O. 42 r. 1)</w:t>
      </w:r>
      <w:bookmarkEnd w:id="1629"/>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028"/>
      </w:tblGrid>
      <w:tr>
        <w:trPr>
          <w:cantSplit/>
          <w:trHeight w:val="194"/>
        </w:trPr>
        <w:tc>
          <w:tcPr>
            <w:tcW w:w="3402" w:type="dxa"/>
            <w:gridSpan w:val="2"/>
            <w:vMerge w:val="restart"/>
          </w:tcPr>
          <w:p>
            <w:pPr>
              <w:pStyle w:val="yTableNAm"/>
              <w:rPr>
                <w:sz w:val="20"/>
              </w:rPr>
            </w:pPr>
            <w:r>
              <w:rPr>
                <w:sz w:val="20"/>
              </w:rPr>
              <w:t>Supreme Court of Western Australia</w:t>
            </w:r>
          </w:p>
          <w:p>
            <w:pPr>
              <w:pStyle w:val="yTableNAm"/>
              <w:rPr>
                <w:sz w:val="20"/>
              </w:rPr>
            </w:pPr>
            <w:r>
              <w:rPr>
                <w:sz w:val="20"/>
              </w:rPr>
              <w:t>General Division</w:t>
            </w:r>
          </w:p>
        </w:tc>
        <w:tc>
          <w:tcPr>
            <w:tcW w:w="3028" w:type="dxa"/>
          </w:tcPr>
          <w:p>
            <w:pPr>
              <w:pStyle w:val="yTableNAm"/>
              <w:rPr>
                <w:sz w:val="20"/>
              </w:rPr>
            </w:pPr>
            <w:r>
              <w:rPr>
                <w:sz w:val="20"/>
              </w:rPr>
              <w:t>No.:</w:t>
            </w:r>
          </w:p>
        </w:tc>
      </w:tr>
      <w:tr>
        <w:trPr>
          <w:cantSplit/>
          <w:trHeight w:val="194"/>
        </w:trPr>
        <w:tc>
          <w:tcPr>
            <w:tcW w:w="3402" w:type="dxa"/>
            <w:gridSpan w:val="2"/>
            <w:vMerge/>
          </w:tcPr>
          <w:p>
            <w:pPr>
              <w:pStyle w:val="zyTableNAm"/>
              <w:spacing w:before="0"/>
              <w:rPr>
                <w:sz w:val="20"/>
              </w:rPr>
            </w:pPr>
          </w:p>
        </w:tc>
        <w:tc>
          <w:tcPr>
            <w:tcW w:w="3028" w:type="dxa"/>
          </w:tcPr>
          <w:p>
            <w:pPr>
              <w:pStyle w:val="yTableNAm"/>
              <w:rPr>
                <w:sz w:val="20"/>
              </w:rPr>
            </w:pPr>
            <w:r>
              <w:rPr>
                <w:b/>
                <w:sz w:val="20"/>
              </w:rPr>
              <w:t>Judgment after trial with jury</w:t>
            </w:r>
          </w:p>
        </w:tc>
      </w:tr>
      <w:tr>
        <w:trPr>
          <w:cantSplit/>
        </w:trPr>
        <w:tc>
          <w:tcPr>
            <w:tcW w:w="1418" w:type="dxa"/>
          </w:tcPr>
          <w:p>
            <w:pPr>
              <w:pStyle w:val="yTableNAm"/>
              <w:rPr>
                <w:sz w:val="20"/>
                <w:vertAlign w:val="superscript"/>
              </w:rPr>
            </w:pPr>
            <w:r>
              <w:rPr>
                <w:sz w:val="20"/>
              </w:rPr>
              <w:t>Parties</w:t>
            </w:r>
          </w:p>
        </w:tc>
        <w:tc>
          <w:tcPr>
            <w:tcW w:w="5012" w:type="dxa"/>
            <w:gridSpan w:val="2"/>
          </w:tcPr>
          <w:p>
            <w:pPr>
              <w:pStyle w:val="yTableNAm"/>
              <w:tabs>
                <w:tab w:val="left" w:pos="3345"/>
              </w:tabs>
              <w:rPr>
                <w:sz w:val="20"/>
              </w:rPr>
            </w:pPr>
            <w:r>
              <w:rPr>
                <w:sz w:val="20"/>
              </w:rPr>
              <w:tab/>
            </w:r>
            <w:r>
              <w:rPr>
                <w:sz w:val="20"/>
              </w:rPr>
              <w:tab/>
              <w:t>Plaintiff</w:t>
            </w:r>
          </w:p>
          <w:p>
            <w:pPr>
              <w:pStyle w:val="yTableNAm"/>
              <w:tabs>
                <w:tab w:val="left" w:pos="3345"/>
              </w:tabs>
              <w:rPr>
                <w:sz w:val="20"/>
              </w:rPr>
            </w:pPr>
            <w:r>
              <w:rPr>
                <w:sz w:val="20"/>
              </w:rPr>
              <w:tab/>
            </w:r>
            <w:r>
              <w:rPr>
                <w:sz w:val="20"/>
              </w:rPr>
              <w:tab/>
              <w:t>Defendant</w:t>
            </w:r>
          </w:p>
        </w:tc>
      </w:tr>
      <w:tr>
        <w:trPr>
          <w:cantSplit/>
        </w:trPr>
        <w:tc>
          <w:tcPr>
            <w:tcW w:w="1418" w:type="dxa"/>
          </w:tcPr>
          <w:p>
            <w:pPr>
              <w:pStyle w:val="yTableNAm"/>
              <w:rPr>
                <w:sz w:val="20"/>
              </w:rPr>
            </w:pPr>
            <w:r>
              <w:rPr>
                <w:sz w:val="20"/>
              </w:rPr>
              <w:t>Trial details</w:t>
            </w:r>
          </w:p>
        </w:tc>
        <w:tc>
          <w:tcPr>
            <w:tcW w:w="5012" w:type="dxa"/>
            <w:gridSpan w:val="2"/>
          </w:tcPr>
          <w:p>
            <w:pPr>
              <w:pStyle w:val="yTableNAm"/>
              <w:rPr>
                <w:sz w:val="20"/>
              </w:rPr>
            </w:pPr>
            <w:r>
              <w:rPr>
                <w:sz w:val="20"/>
              </w:rPr>
              <w:t>This case was tried in the Supreme Court with a jury on [</w:t>
            </w:r>
            <w:r>
              <w:rPr>
                <w:i/>
                <w:sz w:val="20"/>
              </w:rPr>
              <w:t>date(s)</w:t>
            </w:r>
            <w:r>
              <w:rPr>
                <w:sz w:val="20"/>
              </w:rPr>
              <w:t>].</w:t>
            </w:r>
          </w:p>
        </w:tc>
      </w:tr>
      <w:tr>
        <w:trPr>
          <w:cantSplit/>
        </w:trPr>
        <w:tc>
          <w:tcPr>
            <w:tcW w:w="1418" w:type="dxa"/>
          </w:tcPr>
          <w:p>
            <w:pPr>
              <w:pStyle w:val="yTableNAm"/>
              <w:rPr>
                <w:sz w:val="20"/>
              </w:rPr>
            </w:pPr>
            <w:r>
              <w:rPr>
                <w:sz w:val="20"/>
              </w:rPr>
              <w:t>Jury’s findings</w:t>
            </w:r>
          </w:p>
        </w:tc>
        <w:tc>
          <w:tcPr>
            <w:tcW w:w="5012" w:type="dxa"/>
            <w:gridSpan w:val="2"/>
          </w:tcPr>
          <w:p>
            <w:pPr>
              <w:pStyle w:val="yTableNAm"/>
              <w:rPr>
                <w:sz w:val="20"/>
              </w:rPr>
            </w:pPr>
            <w:r>
              <w:rPr>
                <w:sz w:val="20"/>
              </w:rPr>
              <w:t>The jury found [</w:t>
            </w:r>
            <w:r>
              <w:rPr>
                <w:i/>
                <w:sz w:val="20"/>
              </w:rPr>
              <w:t>state finding as in officer’s certificate</w:t>
            </w:r>
            <w:r>
              <w:rPr>
                <w:sz w:val="20"/>
              </w:rPr>
              <w:t>].</w:t>
            </w:r>
          </w:p>
        </w:tc>
      </w:tr>
      <w:tr>
        <w:trPr>
          <w:cantSplit/>
        </w:trPr>
        <w:tc>
          <w:tcPr>
            <w:tcW w:w="1418" w:type="dxa"/>
          </w:tcPr>
          <w:p>
            <w:pPr>
              <w:pStyle w:val="yTableNAm"/>
              <w:rPr>
                <w:sz w:val="20"/>
              </w:rPr>
            </w:pPr>
            <w:r>
              <w:rPr>
                <w:sz w:val="20"/>
              </w:rPr>
              <w:t>Judgment</w:t>
            </w:r>
          </w:p>
        </w:tc>
        <w:tc>
          <w:tcPr>
            <w:tcW w:w="5012" w:type="dxa"/>
            <w:gridSpan w:val="2"/>
          </w:tcPr>
          <w:p>
            <w:pPr>
              <w:pStyle w:val="yTableNAm"/>
              <w:rPr>
                <w:sz w:val="20"/>
              </w:rPr>
            </w:pPr>
            <w:r>
              <w:rPr>
                <w:sz w:val="20"/>
              </w:rPr>
              <w:t>On [</w:t>
            </w:r>
            <w:r>
              <w:rPr>
                <w:i/>
                <w:sz w:val="20"/>
              </w:rPr>
              <w:t>date</w:t>
            </w:r>
            <w:r>
              <w:rPr>
                <w:sz w:val="20"/>
              </w:rPr>
              <w:t>] the Court ordered that judgment as described below be entered for the [</w:t>
            </w:r>
            <w:r>
              <w:rPr>
                <w:i/>
                <w:sz w:val="20"/>
              </w:rPr>
              <w:t>party</w:t>
            </w:r>
            <w:r>
              <w:rPr>
                <w:sz w:val="20"/>
              </w:rPr>
              <w:t>].</w:t>
            </w:r>
          </w:p>
        </w:tc>
      </w:tr>
      <w:tr>
        <w:trPr>
          <w:cantSplit/>
        </w:trPr>
        <w:tc>
          <w:tcPr>
            <w:tcW w:w="1418" w:type="dxa"/>
          </w:tcPr>
          <w:p>
            <w:pPr>
              <w:pStyle w:val="yTableNAm"/>
              <w:rPr>
                <w:sz w:val="20"/>
              </w:rPr>
            </w:pPr>
            <w:r>
              <w:rPr>
                <w:sz w:val="20"/>
              </w:rPr>
              <w:t>Judgment details</w:t>
            </w:r>
          </w:p>
        </w:tc>
        <w:tc>
          <w:tcPr>
            <w:tcW w:w="5012" w:type="dxa"/>
            <w:gridSpan w:val="2"/>
          </w:tcPr>
          <w:p>
            <w:pPr>
              <w:pStyle w:val="yTableNAm"/>
              <w:rPr>
                <w:sz w:val="20"/>
              </w:rPr>
            </w:pPr>
            <w:r>
              <w:rPr>
                <w:sz w:val="20"/>
              </w:rPr>
              <w:t>[</w:t>
            </w:r>
            <w:r>
              <w:rPr>
                <w:i/>
                <w:sz w:val="20"/>
              </w:rPr>
              <w:t>Set out the Court’s orders.</w:t>
            </w:r>
            <w:r>
              <w:rPr>
                <w:sz w:val="20"/>
              </w:rPr>
              <w:t>]</w:t>
            </w:r>
          </w:p>
          <w:p>
            <w:pPr>
              <w:pStyle w:val="yTableNAm"/>
              <w:rPr>
                <w:sz w:val="20"/>
              </w:rPr>
            </w:pPr>
            <w:r>
              <w:rPr>
                <w:sz w:val="20"/>
              </w:rPr>
              <w:t>[</w:t>
            </w:r>
            <w:r>
              <w:rPr>
                <w:i/>
                <w:sz w:val="20"/>
              </w:rPr>
              <w:t>Set out details of any taxation of costs as in Form 32.</w:t>
            </w:r>
            <w:r>
              <w:rPr>
                <w:sz w:val="20"/>
              </w:rPr>
              <w:t>]</w:t>
            </w:r>
          </w:p>
        </w:tc>
      </w:tr>
      <w:tr>
        <w:trPr>
          <w:cantSplit/>
        </w:trPr>
        <w:tc>
          <w:tcPr>
            <w:tcW w:w="1418" w:type="dxa"/>
          </w:tcPr>
          <w:p>
            <w:pPr>
              <w:pStyle w:val="yTableNAm"/>
            </w:pPr>
            <w:r>
              <w:rPr>
                <w:sz w:val="20"/>
              </w:rPr>
              <w:t>Date judgment entered</w:t>
            </w:r>
          </w:p>
        </w:tc>
        <w:tc>
          <w:tcPr>
            <w:tcW w:w="5012" w:type="dxa"/>
            <w:gridSpan w:val="2"/>
          </w:tcPr>
          <w:p>
            <w:pPr>
              <w:pStyle w:val="yTableNAm"/>
            </w:pPr>
            <w:r>
              <w:rPr>
                <w:sz w:val="20"/>
              </w:rPr>
              <w:t>Judgment dated and entered on [</w:t>
            </w:r>
            <w:r>
              <w:rPr>
                <w:i/>
                <w:sz w:val="20"/>
              </w:rPr>
              <w:t>date</w:t>
            </w:r>
            <w:r>
              <w:rPr>
                <w:sz w:val="20"/>
              </w:rPr>
              <w:t>].</w:t>
            </w:r>
          </w:p>
        </w:tc>
      </w:tr>
    </w:tbl>
    <w:p>
      <w:pPr>
        <w:pStyle w:val="yFootnotesection"/>
        <w:spacing w:before="100"/>
      </w:pPr>
      <w:r>
        <w:tab/>
        <w:t>[Form 40 inserted: Gazette 16 Aug 2017 p. 4422.]</w:t>
      </w:r>
    </w:p>
    <w:p>
      <w:pPr>
        <w:pStyle w:val="yHeading5"/>
        <w:keepNext w:val="0"/>
        <w:keepLines w:val="0"/>
        <w:widowControl w:val="0"/>
        <w:spacing w:before="480" w:after="120"/>
      </w:pPr>
      <w:bookmarkStart w:id="1630" w:name="_Toc163121854"/>
      <w:r>
        <w:rPr>
          <w:rStyle w:val="CharSClsNo"/>
        </w:rPr>
        <w:t>41</w:t>
      </w:r>
      <w:r>
        <w:t>.</w:t>
      </w:r>
      <w:r>
        <w:rPr>
          <w:b w:val="0"/>
        </w:rPr>
        <w:tab/>
      </w:r>
      <w:r>
        <w:t>Judgment after trial before master or special referee (O. 42 r. 1)</w:t>
      </w:r>
      <w:bookmarkEnd w:id="1630"/>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w:t>
      </w:r>
      <w:r>
        <w:rPr>
          <w:i/>
          <w:sz w:val="20"/>
        </w:rPr>
        <w:t>as in No. 39, according to the master’s or special referee’s certificate</w:t>
      </w:r>
      <w:r>
        <w:rPr>
          <w:sz w:val="20"/>
        </w:rPr>
        <w:t>).</w:t>
      </w:r>
    </w:p>
    <w:p>
      <w:pPr>
        <w:pStyle w:val="yFootnotesection"/>
      </w:pPr>
      <w:r>
        <w:tab/>
        <w:t>[Form 41 amended: Gazette 30 Nov 1984 p. 3954; 28 Jun 2011 p. 2560.]</w:t>
      </w:r>
    </w:p>
    <w:p>
      <w:pPr>
        <w:pStyle w:val="yHeading5"/>
        <w:keepNext w:val="0"/>
        <w:keepLines w:val="0"/>
        <w:pageBreakBefore/>
        <w:spacing w:before="120" w:after="120"/>
      </w:pPr>
      <w:bookmarkStart w:id="1631" w:name="_Toc163121855"/>
      <w:r>
        <w:rPr>
          <w:rStyle w:val="CharSClsNo"/>
        </w:rPr>
        <w:lastRenderedPageBreak/>
        <w:t>42</w:t>
      </w:r>
      <w:r>
        <w:t>.</w:t>
      </w:r>
      <w:r>
        <w:rPr>
          <w:b w:val="0"/>
        </w:rPr>
        <w:tab/>
      </w:r>
      <w:r>
        <w:t>Judgment after decision of preliminary issue (O. 32 r. 7; O. 42 r. 1)</w:t>
      </w:r>
      <w:bookmarkEnd w:id="1631"/>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w:t>
      </w:r>
      <w:r>
        <w:rPr>
          <w:sz w:val="20"/>
        </w:rPr>
        <w:br/>
        <w:t xml:space="preserve">         day of                      20         been tried before the said                           and the said</w:t>
      </w:r>
      <w:r>
        <w:rPr>
          <w:sz w:val="20"/>
        </w:rPr>
        <w:br/>
        <w:t xml:space="preserve">                               having found                               and having ordered that judgment as hereinafter provided be entered for the                     [</w:t>
      </w:r>
      <w:r>
        <w:rPr>
          <w:i/>
          <w:sz w:val="20"/>
        </w:rPr>
        <w:t>or</w:t>
      </w:r>
      <w:r>
        <w:rPr>
          <w:sz w:val="20"/>
        </w:rPr>
        <w:t xml:space="preserve"> having dismissed the cause or matter],</w:t>
      </w:r>
    </w:p>
    <w:p>
      <w:pPr>
        <w:pStyle w:val="yMiscellaneousBody"/>
        <w:spacing w:before="120"/>
        <w:rPr>
          <w:sz w:val="20"/>
        </w:rPr>
      </w:pPr>
      <w:r>
        <w:rPr>
          <w:sz w:val="20"/>
        </w:rPr>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p>
      <w:pPr>
        <w:pStyle w:val="yFootnotesection"/>
      </w:pPr>
      <w:r>
        <w:tab/>
        <w:t>[Form 42 amended: Gazette 28 Jun 2011 p. 2560.]</w:t>
      </w:r>
    </w:p>
    <w:p>
      <w:pPr>
        <w:pStyle w:val="yHeading5"/>
        <w:keepNext w:val="0"/>
        <w:keepLines w:val="0"/>
        <w:widowControl w:val="0"/>
        <w:spacing w:before="480" w:after="120"/>
      </w:pPr>
      <w:bookmarkStart w:id="1632" w:name="_Toc163121856"/>
      <w:r>
        <w:rPr>
          <w:rStyle w:val="CharSClsNo"/>
        </w:rPr>
        <w:t>43</w:t>
      </w:r>
      <w:r>
        <w:t>.</w:t>
      </w:r>
      <w:r>
        <w:rPr>
          <w:b w:val="0"/>
        </w:rPr>
        <w:tab/>
      </w:r>
      <w:r>
        <w:t>Judgment for defendant’s costs on discontinuance (O. 23 r. 2)</w:t>
      </w:r>
      <w:bookmarkEnd w:id="1632"/>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by a notice in writing dated the         day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w:t>
      </w:r>
      <w:r>
        <w:rPr>
          <w:sz w:val="20"/>
        </w:rPr>
        <w:br/>
        <w:t xml:space="preserve">            day of                        20      , and the plaintiff not having paid such costs within 4 days after taxation,</w:t>
      </w:r>
    </w:p>
    <w:p>
      <w:pPr>
        <w:pStyle w:val="yMiscellaneousBody"/>
        <w:spacing w:before="120"/>
        <w:rPr>
          <w:sz w:val="20"/>
        </w:rPr>
      </w:pPr>
      <w:r>
        <w:rPr>
          <w:sz w:val="20"/>
        </w:rPr>
        <w:t>It is this day adjudged that the plaintiff do pay to the defendant $                     the said taxed costs, and $                     the costs of entering judgment for such taxed costs.</w:t>
      </w:r>
    </w:p>
    <w:p>
      <w:pPr>
        <w:pStyle w:val="yFootnotesection"/>
      </w:pPr>
      <w:r>
        <w:tab/>
        <w:t>[Form 43 amended: Gazette 28 Jun 2011 p. 2560.]</w:t>
      </w:r>
    </w:p>
    <w:p>
      <w:pPr>
        <w:pStyle w:val="yHeading5"/>
        <w:keepNext w:val="0"/>
        <w:keepLines w:val="0"/>
        <w:pageBreakBefore/>
        <w:spacing w:before="120" w:after="120"/>
      </w:pPr>
      <w:bookmarkStart w:id="1633" w:name="_Toc163121857"/>
      <w:r>
        <w:rPr>
          <w:rStyle w:val="CharSClsNo"/>
        </w:rPr>
        <w:lastRenderedPageBreak/>
        <w:t>44</w:t>
      </w:r>
      <w:r>
        <w:t>.</w:t>
      </w:r>
      <w:r>
        <w:rPr>
          <w:b w:val="0"/>
        </w:rPr>
        <w:tab/>
      </w:r>
      <w:r>
        <w:t>Judgment by consent (O. 42 r. 1(2))</w:t>
      </w:r>
      <w:bookmarkEnd w:id="163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701"/>
        <w:gridCol w:w="2552"/>
        <w:gridCol w:w="1540"/>
        <w:gridCol w:w="1295"/>
      </w:tblGrid>
      <w:tr>
        <w:trPr>
          <w:cantSplit/>
        </w:trPr>
        <w:tc>
          <w:tcPr>
            <w:tcW w:w="4253" w:type="dxa"/>
            <w:gridSpan w:val="2"/>
            <w:vMerge w:val="restart"/>
          </w:tcPr>
          <w:p>
            <w:pPr>
              <w:pStyle w:val="yTableNAm"/>
              <w:spacing w:before="0"/>
            </w:pPr>
            <w:r>
              <w:rPr>
                <w:sz w:val="20"/>
              </w:rPr>
              <w:t>In the Supreme Court of Western Australia</w:t>
            </w:r>
          </w:p>
          <w:p>
            <w:pPr>
              <w:pStyle w:val="zyTableNAm"/>
              <w:spacing w:before="0"/>
              <w:rPr>
                <w:sz w:val="20"/>
              </w:rPr>
            </w:pPr>
          </w:p>
        </w:tc>
        <w:tc>
          <w:tcPr>
            <w:tcW w:w="2835" w:type="dxa"/>
            <w:gridSpan w:val="2"/>
            <w:tcBorders>
              <w:bottom w:val="nil"/>
            </w:tcBorders>
            <w:vAlign w:val="center"/>
          </w:tcPr>
          <w:p>
            <w:pPr>
              <w:pStyle w:val="yTableNAm"/>
              <w:spacing w:before="0"/>
            </w:pPr>
            <w:r>
              <w:rPr>
                <w:sz w:val="20"/>
              </w:rPr>
              <w:t>No:</w:t>
            </w:r>
          </w:p>
        </w:tc>
      </w:tr>
      <w:tr>
        <w:trPr>
          <w:cantSplit/>
        </w:trPr>
        <w:tc>
          <w:tcPr>
            <w:tcW w:w="4253" w:type="dxa"/>
            <w:gridSpan w:val="2"/>
            <w:vMerge/>
            <w:tcBorders>
              <w:bottom w:val="single" w:sz="4" w:space="0" w:color="auto"/>
            </w:tcBorders>
          </w:tcPr>
          <w:p>
            <w:pPr>
              <w:pStyle w:val="zyTableNAm"/>
              <w:spacing w:before="0"/>
              <w:rPr>
                <w:sz w:val="20"/>
              </w:rPr>
            </w:pPr>
          </w:p>
        </w:tc>
        <w:tc>
          <w:tcPr>
            <w:tcW w:w="2835" w:type="dxa"/>
            <w:gridSpan w:val="2"/>
            <w:tcBorders>
              <w:bottom w:val="single" w:sz="4" w:space="0" w:color="auto"/>
            </w:tcBorders>
          </w:tcPr>
          <w:p>
            <w:pPr>
              <w:pStyle w:val="yTableNAm"/>
              <w:spacing w:before="0"/>
            </w:pPr>
            <w:r>
              <w:rPr>
                <w:b/>
                <w:sz w:val="20"/>
              </w:rPr>
              <w:t xml:space="preserve">Judgment by consent </w:t>
            </w:r>
          </w:p>
        </w:tc>
      </w:tr>
      <w:tr>
        <w:trPr>
          <w:cantSplit/>
        </w:trPr>
        <w:tc>
          <w:tcPr>
            <w:tcW w:w="1701" w:type="dxa"/>
            <w:tcBorders>
              <w:bottom w:val="single" w:sz="4" w:space="0" w:color="auto"/>
              <w:right w:val="nil"/>
            </w:tcBorders>
          </w:tcPr>
          <w:p>
            <w:pPr>
              <w:pStyle w:val="yTableNAm"/>
              <w:spacing w:before="0"/>
            </w:pPr>
            <w:r>
              <w:rPr>
                <w:sz w:val="20"/>
              </w:rPr>
              <w:t>Parties</w:t>
            </w:r>
          </w:p>
        </w:tc>
        <w:tc>
          <w:tcPr>
            <w:tcW w:w="5387" w:type="dxa"/>
            <w:gridSpan w:val="3"/>
            <w:tcBorders>
              <w:left w:val="nil"/>
              <w:bottom w:val="single" w:sz="4" w:space="0" w:color="auto"/>
            </w:tcBorders>
          </w:tcPr>
          <w:p>
            <w:pPr>
              <w:pStyle w:val="yTableNAm"/>
              <w:tabs>
                <w:tab w:val="clear" w:pos="567"/>
                <w:tab w:val="left" w:pos="3943"/>
              </w:tabs>
              <w:spacing w:before="0"/>
            </w:pPr>
            <w:r>
              <w:rPr>
                <w:sz w:val="20"/>
              </w:rPr>
              <w:tab/>
              <w:t>Plaintiff</w:t>
            </w:r>
          </w:p>
          <w:p>
            <w:pPr>
              <w:pStyle w:val="yTableNAm"/>
              <w:tabs>
                <w:tab w:val="clear" w:pos="567"/>
                <w:tab w:val="left" w:pos="3943"/>
              </w:tabs>
              <w:spacing w:before="0"/>
              <w:rPr>
                <w:sz w:val="20"/>
              </w:rPr>
            </w:pPr>
            <w:r>
              <w:tab/>
            </w:r>
            <w:r>
              <w:rPr>
                <w:sz w:val="20"/>
              </w:rPr>
              <w:t>Defendant</w:t>
            </w:r>
          </w:p>
        </w:tc>
      </w:tr>
      <w:tr>
        <w:trPr>
          <w:cantSplit/>
        </w:trPr>
        <w:tc>
          <w:tcPr>
            <w:tcW w:w="1701" w:type="dxa"/>
            <w:tcBorders>
              <w:top w:val="single" w:sz="4" w:space="0" w:color="auto"/>
              <w:bottom w:val="single" w:sz="4" w:space="0" w:color="auto"/>
            </w:tcBorders>
          </w:tcPr>
          <w:p>
            <w:pPr>
              <w:pStyle w:val="yTableNAm"/>
              <w:spacing w:before="0"/>
            </w:pPr>
            <w:r>
              <w:rPr>
                <w:sz w:val="20"/>
              </w:rPr>
              <w:t>Judgment</w:t>
            </w:r>
          </w:p>
        </w:tc>
        <w:tc>
          <w:tcPr>
            <w:tcW w:w="5387" w:type="dxa"/>
            <w:gridSpan w:val="3"/>
            <w:tcBorders>
              <w:top w:val="single" w:sz="4" w:space="0" w:color="auto"/>
              <w:bottom w:val="single" w:sz="4" w:space="0" w:color="auto"/>
            </w:tcBorders>
          </w:tcPr>
          <w:p>
            <w:pPr>
              <w:pStyle w:val="yTableNAm"/>
              <w:spacing w:before="0"/>
            </w:pPr>
            <w:r>
              <w:rPr>
                <w:sz w:val="20"/>
              </w:rPr>
              <w:t xml:space="preserve">In accordance with the consent of the parties, the Court orders — </w:t>
            </w:r>
          </w:p>
          <w:p>
            <w:pPr>
              <w:pStyle w:val="yTableNAm"/>
              <w:spacing w:before="0"/>
            </w:pPr>
            <w:r>
              <w:t>1.</w:t>
            </w:r>
          </w:p>
          <w:p>
            <w:pPr>
              <w:pStyle w:val="yTableNAm"/>
              <w:spacing w:before="0"/>
            </w:pPr>
            <w:r>
              <w:t>2.</w:t>
            </w:r>
          </w:p>
        </w:tc>
      </w:tr>
      <w:tr>
        <w:trPr>
          <w:cantSplit/>
        </w:trPr>
        <w:tc>
          <w:tcPr>
            <w:tcW w:w="1701" w:type="dxa"/>
            <w:tcBorders>
              <w:top w:val="single" w:sz="4" w:space="0" w:color="auto"/>
              <w:bottom w:val="single" w:sz="4" w:space="0" w:color="auto"/>
            </w:tcBorders>
          </w:tcPr>
          <w:p>
            <w:pPr>
              <w:pStyle w:val="yTableNAm"/>
              <w:spacing w:before="0"/>
            </w:pPr>
            <w:r>
              <w:rPr>
                <w:sz w:val="20"/>
              </w:rPr>
              <w:t>Judicial officer’s signature</w:t>
            </w:r>
          </w:p>
        </w:tc>
        <w:tc>
          <w:tcPr>
            <w:tcW w:w="4092"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pPr>
            <w:r>
              <w:rPr>
                <w:sz w:val="20"/>
              </w:rPr>
              <w:t>Judicial officer</w:t>
            </w:r>
          </w:p>
        </w:tc>
        <w:tc>
          <w:tcPr>
            <w:tcW w:w="1295" w:type="dxa"/>
            <w:tcBorders>
              <w:top w:val="single" w:sz="4" w:space="0" w:color="auto"/>
              <w:bottom w:val="single" w:sz="4" w:space="0" w:color="auto"/>
            </w:tcBorders>
          </w:tcPr>
          <w:p>
            <w:pPr>
              <w:pStyle w:val="yTableNAm"/>
              <w:spacing w:before="0"/>
            </w:pPr>
            <w:r>
              <w:rPr>
                <w:sz w:val="20"/>
              </w:rPr>
              <w:t>Date:</w:t>
            </w:r>
          </w:p>
        </w:tc>
      </w:tr>
    </w:tbl>
    <w:p>
      <w:pPr>
        <w:pStyle w:val="yFootnotesection"/>
      </w:pPr>
      <w:r>
        <w:tab/>
        <w:t>[Form 44 inserted: Gazette 12 Jun 2012 p. 2452.]</w:t>
      </w:r>
    </w:p>
    <w:p>
      <w:pPr>
        <w:pStyle w:val="yEdnotedivision"/>
        <w:spacing w:before="180"/>
        <w:outlineLvl w:val="9"/>
      </w:pPr>
      <w:r>
        <w:t>[Forms 45</w:t>
      </w:r>
      <w:r>
        <w:noBreakHyphen/>
        <w:t>59 deleted: Gazette 21 Feb 2007 p. 553.]</w:t>
      </w:r>
    </w:p>
    <w:p>
      <w:pPr>
        <w:pStyle w:val="yHeading5"/>
        <w:keepNext w:val="0"/>
        <w:keepLines w:val="0"/>
        <w:widowControl w:val="0"/>
        <w:spacing w:before="480" w:after="120"/>
      </w:pPr>
      <w:bookmarkStart w:id="1634" w:name="_Toc163121858"/>
      <w:r>
        <w:rPr>
          <w:rStyle w:val="CharSClsNo"/>
        </w:rPr>
        <w:t>60</w:t>
      </w:r>
      <w:r>
        <w:t>.</w:t>
      </w:r>
      <w:r>
        <w:rPr>
          <w:b w:val="0"/>
        </w:rPr>
        <w:tab/>
      </w:r>
      <w:r>
        <w:t>Summons for appointment of receiver (O. 51 r. 1)</w:t>
      </w:r>
      <w:bookmarkEnd w:id="1634"/>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Let the defendant C.D. attend the Supreme Court, David Malcolm Justice Centre, 28 Barrack Street, Perth on                    day the               day of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pPr>
        <w:pStyle w:val="yMiscellaneousBody"/>
        <w:spacing w:before="120"/>
        <w:rPr>
          <w:sz w:val="20"/>
        </w:rPr>
      </w:pPr>
      <w:r>
        <w:rPr>
          <w:sz w:val="20"/>
        </w:rPr>
        <w:t>Dated, etc.</w:t>
      </w:r>
    </w:p>
    <w:p>
      <w:pPr>
        <w:pStyle w:val="yMiscellaneousBody"/>
        <w:spacing w:before="120"/>
        <w:rPr>
          <w:sz w:val="20"/>
        </w:rPr>
      </w:pPr>
      <w:r>
        <w:rPr>
          <w:sz w:val="20"/>
        </w:rPr>
        <w:t>This summons was taken out by                                  of                                                   .</w:t>
      </w:r>
    </w:p>
    <w:p>
      <w:pPr>
        <w:pStyle w:val="yMiscellaneousBody"/>
        <w:spacing w:before="120"/>
        <w:rPr>
          <w:sz w:val="20"/>
        </w:rPr>
      </w:pPr>
      <w:r>
        <w:rPr>
          <w:sz w:val="20"/>
        </w:rPr>
        <w:t>To the abovenamed</w:t>
      </w:r>
    </w:p>
    <w:p>
      <w:pPr>
        <w:pStyle w:val="yMiscellaneousBody"/>
        <w:spacing w:before="120"/>
        <w:ind w:left="600"/>
        <w:rPr>
          <w:sz w:val="20"/>
        </w:rPr>
      </w:pPr>
      <w:r>
        <w:rPr>
          <w:sz w:val="20"/>
        </w:rPr>
        <w:t>[and his solicitor].</w:t>
      </w:r>
    </w:p>
    <w:p>
      <w:pPr>
        <w:pStyle w:val="yFootnotesection"/>
        <w:spacing w:before="80"/>
      </w:pPr>
      <w:r>
        <w:tab/>
        <w:t>[Form 60 amended: Gazette 21 Feb 2007 p. 553; 28 Jun 2011 p. 2560; 16 Nov 2016 p. 5216; 16 Aug 2017 p. 4422</w:t>
      </w:r>
      <w:r>
        <w:noBreakHyphen/>
        <w:t>3.]</w:t>
      </w:r>
    </w:p>
    <w:p>
      <w:pPr>
        <w:pStyle w:val="yHeading5"/>
        <w:pageBreakBefore/>
      </w:pPr>
      <w:bookmarkStart w:id="1635" w:name="_Toc163121859"/>
      <w:r>
        <w:rPr>
          <w:rStyle w:val="CharSClsNo"/>
        </w:rPr>
        <w:lastRenderedPageBreak/>
        <w:t>61</w:t>
      </w:r>
      <w:r>
        <w:t>.</w:t>
      </w:r>
      <w:r>
        <w:rPr>
          <w:b w:val="0"/>
        </w:rPr>
        <w:tab/>
      </w:r>
      <w:r>
        <w:t>Order directing summons for appointment of receiver and granting injunction meanwhile (O. 51 r. 1)</w:t>
      </w:r>
      <w:bookmarkEnd w:id="1635"/>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 xml:space="preserve">Upon reading the affidavit of                                                 filed the                      day </w:t>
      </w:r>
      <w:r>
        <w:rPr>
          <w:sz w:val="20"/>
        </w:rPr>
        <w:br/>
        <w:t>of                                          20     :</w:t>
      </w:r>
    </w:p>
    <w:p>
      <w:pPr>
        <w:pStyle w:val="yMiscellaneousBody"/>
        <w:spacing w:before="120"/>
        <w:rPr>
          <w:sz w:val="20"/>
        </w:rPr>
      </w:pPr>
      <w:r>
        <w:rPr>
          <w:sz w:val="20"/>
        </w:rPr>
        <w:t>Let the defendant C.D. attend the Supreme Court, David Malcolm Justice Centre, 28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pPr>
        <w:pStyle w:val="yMiscellaneousBody"/>
        <w:spacing w:before="120"/>
        <w:rPr>
          <w:sz w:val="20"/>
        </w:rPr>
      </w:pPr>
      <w:r>
        <w:rPr>
          <w:sz w:val="20"/>
        </w:rPr>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MiscellaneousBody"/>
        <w:spacing w:before="120"/>
        <w:rPr>
          <w:sz w:val="20"/>
        </w:rPr>
      </w:pPr>
      <w:r>
        <w:rPr>
          <w:sz w:val="20"/>
        </w:rPr>
        <w:t>Dated the                     day of                                      20     .</w:t>
      </w:r>
    </w:p>
    <w:p>
      <w:pPr>
        <w:pStyle w:val="yFootnotesection"/>
      </w:pPr>
      <w:r>
        <w:tab/>
        <w:t>[Form 61 amended: Gazette 21 Feb 2007 p. 553</w:t>
      </w:r>
      <w:r>
        <w:noBreakHyphen/>
        <w:t>4; 28 Jun 2011 p. 2560; 16 Nov 2016 p. 5216; 16 Aug 2017 p. 4423.]</w:t>
      </w:r>
    </w:p>
    <w:p>
      <w:pPr>
        <w:pStyle w:val="yHeading5"/>
        <w:pageBreakBefore/>
        <w:spacing w:before="0" w:after="120"/>
      </w:pPr>
      <w:bookmarkStart w:id="1636" w:name="_Toc163121860"/>
      <w:r>
        <w:rPr>
          <w:rStyle w:val="CharSClsNo"/>
        </w:rPr>
        <w:lastRenderedPageBreak/>
        <w:t>62</w:t>
      </w:r>
      <w:r>
        <w:t>.</w:t>
      </w:r>
      <w:r>
        <w:rPr>
          <w:b w:val="0"/>
        </w:rPr>
        <w:tab/>
      </w:r>
      <w:r>
        <w:t>Receiver order (interim) (O. 51 r. 1)</w:t>
      </w:r>
      <w:bookmarkEnd w:id="1636"/>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Upon hearing                                    and upon reading the affidavit of                                   filed the                day of                         20     .</w:t>
      </w:r>
    </w:p>
    <w:p>
      <w:pPr>
        <w:pStyle w:val="yMiscellaneousBody"/>
        <w:spacing w:before="120"/>
        <w:rPr>
          <w:sz w:val="20"/>
        </w:rPr>
      </w:pPr>
      <w:r>
        <w:rPr>
          <w:sz w:val="20"/>
        </w:rPr>
        <w:t>And upon the plaintiff undertaking to be answerable for all sums to be received by the receiver hereinafter named, [</w:t>
      </w:r>
      <w:r>
        <w:rPr>
          <w:i/>
          <w:sz w:val="20"/>
        </w:rPr>
        <w:t>or</w:t>
      </w:r>
      <w:r>
        <w:rPr>
          <w:sz w:val="20"/>
        </w:rPr>
        <w:t xml:space="preserve"> as the case may be]</w:t>
      </w:r>
    </w:p>
    <w:p>
      <w:pPr>
        <w:pStyle w:val="yMiscellaneousBody"/>
        <w:spacing w:before="120"/>
        <w:rPr>
          <w:sz w:val="20"/>
        </w:rPr>
      </w:pPr>
      <w:r>
        <w:rPr>
          <w:sz w:val="20"/>
        </w:rPr>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MiscellaneousBody"/>
        <w:spacing w:before="120"/>
        <w:rPr>
          <w:sz w:val="20"/>
        </w:rPr>
      </w:pPr>
      <w:r>
        <w:rPr>
          <w:sz w:val="20"/>
        </w:rPr>
        <w:t>[And the plaintiff [by his solicitor]] hereby undertaking to abide by any order the Court may hereafter make (</w:t>
      </w:r>
      <w:r>
        <w:rPr>
          <w:i/>
          <w:sz w:val="20"/>
        </w:rPr>
        <w:t>continue as in Form No. 61 if an interim injunction has been granted</w:t>
      </w:r>
      <w:r>
        <w:rPr>
          <w:sz w:val="20"/>
        </w:rPr>
        <w:t>).</w:t>
      </w:r>
    </w:p>
    <w:p>
      <w:pPr>
        <w:pStyle w:val="yMiscellaneousBody"/>
        <w:spacing w:before="120"/>
        <w:rPr>
          <w:sz w:val="20"/>
        </w:rPr>
      </w:pPr>
      <w:r>
        <w:rPr>
          <w:sz w:val="20"/>
        </w:rPr>
        <w:t>Defendant to be at liberty to apply in the meantime.</w:t>
      </w:r>
    </w:p>
    <w:p>
      <w:pPr>
        <w:pStyle w:val="yMiscellaneousBody"/>
        <w:spacing w:before="120"/>
        <w:rPr>
          <w:sz w:val="20"/>
        </w:rPr>
      </w:pPr>
      <w:r>
        <w:rPr>
          <w:sz w:val="20"/>
        </w:rPr>
        <w:t>Dated the              day of                                     20     .</w:t>
      </w:r>
    </w:p>
    <w:p>
      <w:pPr>
        <w:pStyle w:val="yFootnotesection"/>
      </w:pPr>
      <w:r>
        <w:tab/>
        <w:t>[Form 62 amended: Gazette 28 Jun 2011 p. 2560.]</w:t>
      </w:r>
    </w:p>
    <w:p>
      <w:pPr>
        <w:pStyle w:val="yEdnotedivision"/>
        <w:spacing w:before="180"/>
        <w:outlineLvl w:val="9"/>
      </w:pPr>
      <w:r>
        <w:t>[Form 63 deleted: Gazette 16 Aug 2017 p. 4423.]</w:t>
      </w:r>
    </w:p>
    <w:p>
      <w:pPr>
        <w:pStyle w:val="yHeading5"/>
      </w:pPr>
      <w:bookmarkStart w:id="1637" w:name="_Toc163121861"/>
      <w:r>
        <w:t>64.</w:t>
      </w:r>
      <w:r>
        <w:tab/>
        <w:t>Notice of originating motion (O. 54 r. 5)</w:t>
      </w:r>
      <w:bookmarkEnd w:id="1637"/>
    </w:p>
    <w:p>
      <w:pPr>
        <w:pStyle w:val="yMiscellaneousBody"/>
      </w:pPr>
      <w:r>
        <w:rPr>
          <w:sz w:val="20"/>
        </w:rPr>
        <w:t>In the Supreme Court of Western Australia</w:t>
      </w:r>
      <w:r>
        <w:rPr>
          <w:sz w:val="20"/>
        </w:rPr>
        <w:br/>
        <w:t xml:space="preserve">*General Division/Court of Appeal </w:t>
      </w:r>
      <w:r>
        <w:rPr>
          <w:sz w:val="20"/>
        </w:rPr>
        <w:tab/>
        <w:t xml:space="preserve">No.                          </w:t>
      </w:r>
    </w:p>
    <w:p>
      <w:pPr>
        <w:pStyle w:val="yMiscellaneousBody"/>
        <w:jc w:val="right"/>
        <w:rPr>
          <w:b/>
        </w:rPr>
      </w:pPr>
      <w:r>
        <w:rPr>
          <w:b/>
        </w:rPr>
        <w:tab/>
        <w:t>Notice of originating motion</w:t>
      </w:r>
    </w:p>
    <w:p>
      <w:pPr>
        <w:pStyle w:val="yMiscellaneousBody"/>
        <w:tabs>
          <w:tab w:val="left" w:pos="4536"/>
        </w:tabs>
      </w:pPr>
      <w:r>
        <w:t>Parties</w:t>
      </w:r>
      <w:r>
        <w:tab/>
        <w:t>Plaintiff</w:t>
      </w:r>
    </w:p>
    <w:p>
      <w:pPr>
        <w:pStyle w:val="yMiscellaneousBody"/>
        <w:tabs>
          <w:tab w:val="left" w:pos="4536"/>
        </w:tabs>
      </w:pPr>
      <w:r>
        <w:tab/>
        <w:t>Defendant</w:t>
      </w:r>
    </w:p>
    <w:p>
      <w:pPr>
        <w:pStyle w:val="yMiscellaneousBody"/>
      </w:pPr>
      <w:r>
        <w:t>Notice</w:t>
      </w:r>
    </w:p>
    <w:p>
      <w:pPr>
        <w:pStyle w:val="yMiscellaneousBody"/>
      </w:pPr>
      <w:r>
        <w:lastRenderedPageBreak/>
        <w:t>At the hearing below in the *Supreme Court/Court of Appeal, the [</w:t>
      </w:r>
      <w:r>
        <w:rPr>
          <w:i/>
        </w:rPr>
        <w:t>name of party</w:t>
      </w:r>
      <w:r>
        <w:t>] will apply for [</w:t>
      </w:r>
      <w:r>
        <w:rPr>
          <w:i/>
        </w:rPr>
        <w:t>state concisely the nature of the claim or the relief or remedy sought</w:t>
      </w:r>
      <w:r>
        <w:t>].</w:t>
      </w:r>
    </w:p>
    <w:p>
      <w:pPr>
        <w:pStyle w:val="yMiscellaneousBody"/>
      </w:pPr>
      <w:r>
        <w:t>Grounds of application</w:t>
      </w:r>
    </w:p>
    <w:p>
      <w:pPr>
        <w:pStyle w:val="yMiscellaneousBody"/>
      </w:pPr>
      <w:r>
        <w:t xml:space="preserve">The grounds of the application are: </w:t>
      </w:r>
      <w:r>
        <w:br/>
        <w:t>[</w:t>
      </w:r>
      <w:r>
        <w:rPr>
          <w:i/>
        </w:rPr>
        <w:t>State grounds in numbered paragraphs</w:t>
      </w:r>
      <w:r>
        <w:t>]</w:t>
      </w:r>
    </w:p>
    <w:p>
      <w:pPr>
        <w:pStyle w:val="yMiscellaneousBody"/>
      </w:pPr>
      <w:r>
        <w:t>Hearing details</w:t>
      </w:r>
    </w:p>
    <w:p>
      <w:pPr>
        <w:pStyle w:val="yMiscellaneousBody"/>
      </w:pPr>
      <w:r>
        <w:t>The court will hear this application —</w:t>
      </w:r>
      <w:r>
        <w:br/>
        <w:t>on [</w:t>
      </w:r>
      <w:r>
        <w:rPr>
          <w:i/>
        </w:rPr>
        <w:t>date</w:t>
      </w:r>
      <w:r>
        <w:t>] at [</w:t>
      </w:r>
      <w:r>
        <w:rPr>
          <w:i/>
        </w:rPr>
        <w:t>time</w:t>
      </w:r>
      <w:r>
        <w:t>],</w:t>
      </w:r>
      <w:r>
        <w:br/>
        <w:t>at the *Supreme Court, David Malcolm Justice Centre, 28 Barrack Street, Perth.</w:t>
      </w:r>
      <w:r>
        <w:br/>
        <w:t>*Supreme Court of Western Australia, Court of Appeal, Stirling Gardens, Barrack Street, Perth.</w:t>
      </w:r>
    </w:p>
    <w:p>
      <w:pPr>
        <w:pStyle w:val="yMiscellaneousBody"/>
      </w:pPr>
      <w:r>
        <w:t>*Short notice</w:t>
      </w:r>
    </w:p>
    <w:p>
      <w:pPr>
        <w:pStyle w:val="yMiscellaneousBody"/>
      </w:pPr>
      <w:r>
        <w:t>On [</w:t>
      </w:r>
      <w:r>
        <w:rPr>
          <w:i/>
        </w:rPr>
        <w:t>date</w:t>
      </w:r>
      <w:r>
        <w:t xml:space="preserve">], under the </w:t>
      </w:r>
      <w:r>
        <w:rPr>
          <w:i/>
        </w:rPr>
        <w:t>Rules of the Supreme Court 1971</w:t>
      </w:r>
      <w:r>
        <w:t xml:space="preserve"> Order 54 rule 4, the Court abridged the time for serving this notice.</w:t>
      </w:r>
    </w:p>
    <w:p>
      <w:pPr>
        <w:pStyle w:val="yMiscellaneousBody"/>
      </w:pPr>
      <w:r>
        <w:t>Applicant’s service details</w:t>
      </w:r>
      <w:r>
        <w:rPr>
          <w:vertAlign w:val="superscript"/>
        </w:rPr>
        <w:t>1</w:t>
      </w:r>
    </w:p>
    <w:p>
      <w:pPr>
        <w:pStyle w:val="yMiscellaneousBody"/>
      </w:pPr>
      <w:r>
        <w:t>*Name of lawyer:</w:t>
      </w:r>
      <w:r>
        <w:br/>
        <w:t>*Address where lawyer conducts business:</w:t>
      </w:r>
      <w:r>
        <w:br/>
        <w:t>Postal address for service of documents:</w:t>
      </w:r>
      <w:r>
        <w:br/>
        <w:t>*Email address:</w:t>
      </w:r>
      <w:r>
        <w:br/>
        <w:t>*Fax no.: ........................................... *Telephone no.: .........................</w:t>
      </w:r>
    </w:p>
    <w:p>
      <w:pPr>
        <w:pStyle w:val="yMiscellaneousBody"/>
      </w:pPr>
      <w:r>
        <w:t>Applicant’s signature</w:t>
      </w:r>
    </w:p>
    <w:p>
      <w:pPr>
        <w:pStyle w:val="yMiscellaneousBody"/>
      </w:pPr>
      <w:r>
        <w:t>..........................................................</w:t>
      </w:r>
      <w:r>
        <w:tab/>
        <w:t>Date: ..............................</w:t>
      </w:r>
      <w:r>
        <w:br/>
        <w:t>Applicant/Applicant’s lawyer</w:t>
      </w:r>
    </w:p>
    <w:p>
      <w:pPr>
        <w:pStyle w:val="PermNoteHeading"/>
        <w:tabs>
          <w:tab w:val="left" w:pos="567"/>
          <w:tab w:val="left" w:pos="1276"/>
        </w:tabs>
        <w:ind w:left="1418" w:hanging="1334"/>
        <w:rPr>
          <w:szCs w:val="18"/>
        </w:rPr>
      </w:pPr>
      <w:r>
        <w:rPr>
          <w:szCs w:val="18"/>
        </w:rPr>
        <w:t>Footnotes to Form 64 —</w:t>
      </w:r>
    </w:p>
    <w:p>
      <w:pPr>
        <w:pStyle w:val="PermNotePara"/>
        <w:tabs>
          <w:tab w:val="clear" w:pos="1843"/>
          <w:tab w:val="left" w:pos="1276"/>
        </w:tabs>
        <w:ind w:left="658" w:hanging="567"/>
        <w:rPr>
          <w:szCs w:val="18"/>
        </w:rPr>
      </w:pPr>
      <w:r>
        <w:rPr>
          <w:szCs w:val="18"/>
        </w:rPr>
        <w:t>*</w:t>
      </w:r>
      <w:r>
        <w:rPr>
          <w:szCs w:val="18"/>
        </w:rPr>
        <w:tab/>
        <w:t>Delete the inapplicable.</w:t>
      </w:r>
    </w:p>
    <w:p>
      <w:pPr>
        <w:pStyle w:val="PermNotePara"/>
        <w:tabs>
          <w:tab w:val="clear" w:pos="1843"/>
          <w:tab w:val="left" w:pos="1276"/>
        </w:tabs>
        <w:ind w:left="658" w:hanging="567"/>
        <w:rPr>
          <w:szCs w:val="18"/>
        </w:rPr>
      </w:pPr>
      <w:r>
        <w:rPr>
          <w:szCs w:val="18"/>
        </w:rPr>
        <w:t>1.</w:t>
      </w:r>
      <w:r>
        <w:rPr>
          <w:szCs w:val="18"/>
        </w:rPr>
        <w:tab/>
        <w:t>Must be provided unless otherwise ordered by the Court.  See Order 71A r. 2 and 3A.</w:t>
      </w:r>
    </w:p>
    <w:p>
      <w:pPr>
        <w:pStyle w:val="yFootnotesection"/>
      </w:pPr>
      <w:r>
        <w:tab/>
        <w:t>[Form 64 inserted: Gazette 16 Aug 2017 p. 4424</w:t>
      </w:r>
      <w:r>
        <w:noBreakHyphen/>
        <w:t>5.]</w:t>
      </w:r>
    </w:p>
    <w:p>
      <w:pPr>
        <w:pStyle w:val="yHeading5"/>
      </w:pPr>
      <w:bookmarkStart w:id="1638" w:name="_Toc163121862"/>
      <w:r>
        <w:rPr>
          <w:rStyle w:val="CharSClsNo"/>
        </w:rPr>
        <w:t>65</w:t>
      </w:r>
      <w:r>
        <w:t>.</w:t>
      </w:r>
      <w:r>
        <w:rPr>
          <w:b w:val="0"/>
        </w:rPr>
        <w:tab/>
      </w:r>
      <w:r>
        <w:t>Notice of motion (O. 54 r. 5)</w:t>
      </w:r>
      <w:bookmarkEnd w:id="1638"/>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lastRenderedPageBreak/>
        <w:t>TAKE notice that [pursuant to the leave of</w:t>
      </w:r>
      <w:r>
        <w:rPr>
          <w:sz w:val="20"/>
        </w:rPr>
        <w:br/>
        <w:t>given on the                          day of                              20    .] the Court will be moved on the          day of                                 20       at</w:t>
      </w:r>
      <w:r>
        <w:rPr>
          <w:sz w:val="20"/>
        </w:rPr>
        <w:br/>
        <w:t xml:space="preserve">                       o’clock in the              noon, or so soon thereafter as counsel can be heard, by counsel for the abovenamed [plaintiff] [or defendant] for an order that                              and that the costs of the application be                                                   .</w:t>
      </w:r>
    </w:p>
    <w:p>
      <w:pPr>
        <w:pStyle w:val="yMiscellaneousBody"/>
        <w:spacing w:before="120"/>
        <w:rPr>
          <w:sz w:val="20"/>
        </w:rPr>
      </w:pPr>
      <w:r>
        <w:rPr>
          <w:sz w:val="20"/>
        </w:rPr>
        <w:t>Dated the                       day of                                          20     .</w:t>
      </w:r>
    </w:p>
    <w:p>
      <w:pPr>
        <w:pStyle w:val="yMiscellaneousBody"/>
        <w:spacing w:before="120"/>
        <w:rPr>
          <w:sz w:val="20"/>
        </w:rPr>
      </w:pPr>
      <w:r>
        <w:rPr>
          <w:sz w:val="20"/>
        </w:rPr>
        <w:t>(Signed)</w:t>
      </w:r>
    </w:p>
    <w:p>
      <w:pPr>
        <w:pStyle w:val="yMiscellaneousBody"/>
        <w:spacing w:before="0"/>
        <w:ind w:left="240"/>
        <w:rPr>
          <w:sz w:val="20"/>
        </w:rPr>
      </w:pPr>
      <w:r>
        <w:rPr>
          <w:sz w:val="20"/>
        </w:rPr>
        <w:t>of</w:t>
      </w:r>
    </w:p>
    <w:p>
      <w:pPr>
        <w:pStyle w:val="yMiscellaneousBody"/>
        <w:spacing w:before="0"/>
        <w:rPr>
          <w:sz w:val="20"/>
        </w:rPr>
      </w:pPr>
      <w:r>
        <w:rPr>
          <w:sz w:val="20"/>
        </w:rPr>
        <w:t>[agent for</w:t>
      </w:r>
    </w:p>
    <w:p>
      <w:pPr>
        <w:pStyle w:val="yMiscellaneousBody"/>
        <w:spacing w:before="0"/>
        <w:ind w:left="238"/>
        <w:rPr>
          <w:sz w:val="20"/>
        </w:rPr>
      </w:pPr>
      <w:r>
        <w:rPr>
          <w:sz w:val="20"/>
        </w:rPr>
        <w:t>of                                                ]</w:t>
      </w:r>
    </w:p>
    <w:p>
      <w:pPr>
        <w:pStyle w:val="yMiscellaneousBody"/>
        <w:spacing w:before="120"/>
        <w:ind w:left="1200"/>
        <w:rPr>
          <w:sz w:val="20"/>
        </w:rPr>
      </w:pPr>
      <w:r>
        <w:rPr>
          <w:sz w:val="20"/>
        </w:rPr>
        <w:t>Solicitor for the</w:t>
      </w:r>
    </w:p>
    <w:p>
      <w:pPr>
        <w:pStyle w:val="yMiscellaneousBody"/>
        <w:spacing w:before="120"/>
        <w:rPr>
          <w:sz w:val="20"/>
        </w:rPr>
      </w:pPr>
      <w:r>
        <w:rPr>
          <w:sz w:val="20"/>
        </w:rPr>
        <w:t>To Solicitor for the                                                      .</w:t>
      </w:r>
    </w:p>
    <w:p>
      <w:pPr>
        <w:pStyle w:val="yFootnotesection"/>
      </w:pPr>
      <w:r>
        <w:tab/>
        <w:t>[Form 65 amended: Gazette 28 Jun 2011 p. 2560; 16 Aug 2017 p. 4423.]</w:t>
      </w:r>
    </w:p>
    <w:p>
      <w:pPr>
        <w:pStyle w:val="yHeading5"/>
        <w:spacing w:after="120"/>
      </w:pPr>
      <w:bookmarkStart w:id="1639" w:name="_Toc163121863"/>
      <w:r>
        <w:rPr>
          <w:rStyle w:val="CharSClsNo"/>
        </w:rPr>
        <w:t>66</w:t>
      </w:r>
      <w:r>
        <w:t>.</w:t>
      </w:r>
      <w:r>
        <w:rPr>
          <w:b w:val="0"/>
        </w:rPr>
        <w:tab/>
      </w:r>
      <w:r>
        <w:t>Order of committal (O. 55 r. 7(4))</w:t>
      </w:r>
      <w:bookmarkEnd w:id="1639"/>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UPON motion this day made unto this Court by counsel for the plaintiff and upon reading [an affidavit of                                            filed the              day of                       20       of service on the defendant C.D. of a copy of the order of the Court dated the</w:t>
      </w:r>
      <w:r>
        <w:rPr>
          <w:sz w:val="20"/>
        </w:rPr>
        <w:br/>
        <w:t xml:space="preserve">                  day of                                 20         and of notice of this motion]:</w:t>
      </w:r>
    </w:p>
    <w:p>
      <w:pPr>
        <w:pStyle w:val="yMiscellaneousBody"/>
        <w:spacing w:before="120"/>
        <w:rPr>
          <w:sz w:val="20"/>
        </w:rPr>
      </w:pPr>
      <w:r>
        <w:rPr>
          <w:sz w:val="20"/>
        </w:rPr>
        <w:t>And it appearing to the satisfaction of the Court that the defendant C.D. has been guilty of contempt of court in [</w:t>
      </w:r>
      <w:r>
        <w:rPr>
          <w:i/>
          <w:sz w:val="20"/>
        </w:rPr>
        <w:t>state the contempt</w:t>
      </w:r>
      <w:r>
        <w:rPr>
          <w:sz w:val="20"/>
        </w:rPr>
        <w:t>]:</w:t>
      </w:r>
    </w:p>
    <w:p>
      <w:pPr>
        <w:pStyle w:val="yMiscellaneousBody"/>
        <w:spacing w:before="120"/>
        <w:rPr>
          <w:sz w:val="20"/>
        </w:rPr>
      </w:pPr>
      <w:r>
        <w:rPr>
          <w:sz w:val="20"/>
        </w:rPr>
        <w:t>It is ordered that for his said contempt the defendant do stand committed to                     Prison to be there imprisoned [until further order]. [It is further ordered that this order shall not be executed if the defendant C.D. complies with the following terms, namely,</w:t>
      </w:r>
      <w:r>
        <w:rPr>
          <w:sz w:val="20"/>
        </w:rPr>
        <w:br/>
        <w:t xml:space="preserve">                            .]</w:t>
      </w:r>
    </w:p>
    <w:p>
      <w:pPr>
        <w:pStyle w:val="yMiscellaneousBody"/>
        <w:spacing w:before="120"/>
        <w:rPr>
          <w:sz w:val="20"/>
        </w:rPr>
      </w:pPr>
      <w:r>
        <w:rPr>
          <w:sz w:val="20"/>
        </w:rPr>
        <w:t>Dated the                       day of                                          20     .</w:t>
      </w:r>
    </w:p>
    <w:p>
      <w:pPr>
        <w:pStyle w:val="yFootnotesection"/>
      </w:pPr>
      <w:r>
        <w:tab/>
        <w:t>[Form 66 amended: Gazette 28 Jun 2011 p. 2561.]</w:t>
      </w:r>
    </w:p>
    <w:p>
      <w:pPr>
        <w:pStyle w:val="yHeading5"/>
        <w:spacing w:after="120"/>
      </w:pPr>
      <w:bookmarkStart w:id="1640" w:name="_Toc163121864"/>
      <w:r>
        <w:rPr>
          <w:rStyle w:val="CharSClsNo"/>
        </w:rPr>
        <w:t>67A</w:t>
      </w:r>
      <w:r>
        <w:t>.</w:t>
      </w:r>
      <w:r>
        <w:tab/>
        <w:t>Application for judicial review (O. 56 r. 2)</w:t>
      </w:r>
      <w:bookmarkEnd w:id="1640"/>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985"/>
        <w:gridCol w:w="1559"/>
        <w:gridCol w:w="142"/>
        <w:gridCol w:w="1701"/>
        <w:gridCol w:w="1551"/>
        <w:gridCol w:w="8"/>
      </w:tblGrid>
      <w:tr>
        <w:trPr>
          <w:cantSplit/>
        </w:trPr>
        <w:tc>
          <w:tcPr>
            <w:tcW w:w="3686" w:type="dxa"/>
            <w:gridSpan w:val="3"/>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Pr>
        <w:tc>
          <w:tcPr>
            <w:tcW w:w="3686" w:type="dxa"/>
            <w:gridSpan w:val="3"/>
            <w:vMerge/>
            <w:tcBorders>
              <w:bottom w:val="single" w:sz="4" w:space="0" w:color="auto"/>
            </w:tcBorders>
          </w:tcPr>
          <w:p>
            <w:pPr>
              <w:pStyle w:val="yTableNAm"/>
              <w:rPr>
                <w:sz w:val="20"/>
              </w:rPr>
            </w:pPr>
          </w:p>
        </w:tc>
        <w:tc>
          <w:tcPr>
            <w:tcW w:w="3260" w:type="dxa"/>
            <w:gridSpan w:val="3"/>
            <w:tcBorders>
              <w:bottom w:val="single" w:sz="4" w:space="0" w:color="auto"/>
            </w:tcBorders>
          </w:tcPr>
          <w:p>
            <w:pPr>
              <w:pStyle w:val="yTableNAm"/>
              <w:spacing w:before="0"/>
              <w:rPr>
                <w:sz w:val="20"/>
              </w:rPr>
            </w:pPr>
            <w:r>
              <w:rPr>
                <w:b/>
                <w:sz w:val="20"/>
              </w:rPr>
              <w:t>Application for judicial review</w:t>
            </w:r>
          </w:p>
        </w:tc>
      </w:tr>
      <w:tr>
        <w:trPr>
          <w:cantSplit/>
        </w:trPr>
        <w:tc>
          <w:tcPr>
            <w:tcW w:w="1985" w:type="dxa"/>
            <w:tcBorders>
              <w:top w:val="single" w:sz="4" w:space="0" w:color="auto"/>
              <w:bottom w:val="single" w:sz="4" w:space="0" w:color="auto"/>
            </w:tcBorders>
          </w:tcPr>
          <w:p>
            <w:pPr>
              <w:pStyle w:val="yTableNAm"/>
              <w:rPr>
                <w:sz w:val="20"/>
              </w:rPr>
            </w:pPr>
            <w:r>
              <w:rPr>
                <w:sz w:val="20"/>
              </w:rPr>
              <w:t>Applicant</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lastRenderedPageBreak/>
              <w:t>Respondent</w:t>
            </w:r>
            <w:r>
              <w:rPr>
                <w:sz w:val="20"/>
                <w:vertAlign w:val="superscript"/>
              </w:rPr>
              <w:t>1</w:t>
            </w:r>
          </w:p>
        </w:tc>
        <w:tc>
          <w:tcPr>
            <w:tcW w:w="4961" w:type="dxa"/>
            <w:gridSpan w:val="5"/>
            <w:tcBorders>
              <w:top w:val="single" w:sz="4" w:space="0" w:color="auto"/>
              <w:bottom w:val="single" w:sz="4" w:space="0" w:color="auto"/>
            </w:tcBorders>
          </w:tcPr>
          <w:p>
            <w:pPr>
              <w:pStyle w:val="yTableNAm"/>
              <w:rPr>
                <w:sz w:val="20"/>
              </w:rPr>
            </w:pPr>
            <w:r>
              <w:rPr>
                <w:sz w:val="20"/>
              </w:rPr>
              <w:t xml:space="preserve">Name: </w:t>
            </w:r>
          </w:p>
          <w:p>
            <w:pPr>
              <w:pStyle w:val="yTableNAm"/>
              <w:rPr>
                <w:sz w:val="20"/>
              </w:rPr>
            </w:pPr>
            <w:r>
              <w:rPr>
                <w:sz w:val="20"/>
              </w:rPr>
              <w:t>Office:</w:t>
            </w:r>
          </w:p>
        </w:tc>
      </w:tr>
      <w:tr>
        <w:trPr>
          <w:cantSplit/>
        </w:trPr>
        <w:tc>
          <w:tcPr>
            <w:tcW w:w="1985" w:type="dxa"/>
            <w:tcBorders>
              <w:top w:val="single" w:sz="4" w:space="0" w:color="auto"/>
              <w:bottom w:val="single" w:sz="4" w:space="0" w:color="auto"/>
            </w:tcBorders>
          </w:tcPr>
          <w:p>
            <w:pPr>
              <w:pStyle w:val="yTableNAm"/>
              <w:rPr>
                <w:sz w:val="20"/>
              </w:rPr>
            </w:pPr>
            <w:r>
              <w:rPr>
                <w:sz w:val="20"/>
              </w:rPr>
              <w:t>Other parties</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Decision or conduct to be reviewed</w:t>
            </w:r>
          </w:p>
        </w:tc>
        <w:tc>
          <w:tcPr>
            <w:tcW w:w="4961" w:type="dxa"/>
            <w:gridSpan w:val="5"/>
            <w:tcBorders>
              <w:top w:val="single" w:sz="4" w:space="0" w:color="auto"/>
              <w:bottom w:val="single" w:sz="4" w:space="0" w:color="auto"/>
            </w:tcBorders>
          </w:tcPr>
          <w:p>
            <w:pPr>
              <w:pStyle w:val="yTableNAm"/>
              <w:rPr>
                <w:sz w:val="20"/>
              </w:rPr>
            </w:pPr>
            <w:r>
              <w:rPr>
                <w:sz w:val="20"/>
              </w:rPr>
              <w:t>Date:</w:t>
            </w:r>
          </w:p>
          <w:p>
            <w:pPr>
              <w:pStyle w:val="yTableNAm"/>
              <w:rPr>
                <w:sz w:val="20"/>
              </w:rPr>
            </w:pPr>
            <w:r>
              <w:rPr>
                <w:sz w:val="20"/>
              </w:rPr>
              <w:t>Where made or occurring:</w:t>
            </w:r>
          </w:p>
          <w:p>
            <w:pPr>
              <w:pStyle w:val="yTableNAm"/>
              <w:rPr>
                <w:sz w:val="20"/>
              </w:rPr>
            </w:pPr>
            <w:r>
              <w:rPr>
                <w:sz w:val="20"/>
              </w:rPr>
              <w:t>Written law governing:</w:t>
            </w:r>
          </w:p>
          <w:p>
            <w:pPr>
              <w:pStyle w:val="yTableNAm"/>
              <w:rPr>
                <w:sz w:val="20"/>
              </w:rPr>
            </w:pPr>
            <w:r>
              <w:rPr>
                <w:sz w:val="20"/>
              </w:rPr>
              <w:t>Description:</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Application</w:t>
            </w:r>
            <w:r>
              <w:rPr>
                <w:sz w:val="20"/>
                <w:vertAlign w:val="superscript"/>
              </w:rPr>
              <w:t>2</w:t>
            </w:r>
          </w:p>
        </w:tc>
        <w:tc>
          <w:tcPr>
            <w:tcW w:w="4961" w:type="dxa"/>
            <w:gridSpan w:val="5"/>
            <w:tcBorders>
              <w:top w:val="single" w:sz="4" w:space="0" w:color="auto"/>
              <w:bottom w:val="single" w:sz="4" w:space="0" w:color="auto"/>
            </w:tcBorders>
          </w:tcPr>
          <w:p>
            <w:pPr>
              <w:pStyle w:val="yTableNAm"/>
              <w:rPr>
                <w:sz w:val="20"/>
              </w:rPr>
            </w:pPr>
            <w:r>
              <w:rPr>
                <w:sz w:val="20"/>
              </w:rPr>
              <w:t>The applicant applies for judicial review of the above decision or conduct and —</w:t>
            </w:r>
          </w:p>
          <w:p>
            <w:pPr>
              <w:pStyle w:val="yTableNAm"/>
              <w:rPr>
                <w:sz w:val="20"/>
              </w:rPr>
            </w:pPr>
            <w:r>
              <w:rPr>
                <w:sz w:val="20"/>
              </w:rPr>
              <w:sym w:font="Monotype Sorts" w:char="F070"/>
            </w:r>
            <w:r>
              <w:rPr>
                <w:sz w:val="20"/>
              </w:rPr>
              <w:tab/>
              <w:t>a writ of certiorari;</w:t>
            </w:r>
          </w:p>
          <w:p>
            <w:pPr>
              <w:pStyle w:val="yTableNAm"/>
              <w:rPr>
                <w:sz w:val="20"/>
              </w:rPr>
            </w:pPr>
            <w:r>
              <w:rPr>
                <w:sz w:val="20"/>
              </w:rPr>
              <w:sym w:font="Monotype Sorts" w:char="F070"/>
            </w:r>
            <w:r>
              <w:rPr>
                <w:sz w:val="20"/>
              </w:rPr>
              <w:tab/>
              <w:t>a writ of mandamus;</w:t>
            </w:r>
          </w:p>
          <w:p>
            <w:pPr>
              <w:pStyle w:val="yTableNAm"/>
              <w:rPr>
                <w:sz w:val="20"/>
              </w:rPr>
            </w:pPr>
            <w:r>
              <w:rPr>
                <w:sz w:val="20"/>
              </w:rPr>
              <w:sym w:font="Monotype Sorts" w:char="F070"/>
            </w:r>
            <w:r>
              <w:rPr>
                <w:sz w:val="20"/>
              </w:rPr>
              <w:tab/>
              <w:t>a writ of prohibition;</w:t>
            </w:r>
          </w:p>
          <w:p>
            <w:pPr>
              <w:pStyle w:val="yTableNAm"/>
              <w:rPr>
                <w:sz w:val="20"/>
              </w:rPr>
            </w:pPr>
            <w:r>
              <w:rPr>
                <w:sz w:val="20"/>
              </w:rPr>
              <w:sym w:font="Monotype Sorts" w:char="F070"/>
            </w:r>
            <w:r>
              <w:rPr>
                <w:sz w:val="20"/>
              </w:rPr>
              <w:tab/>
              <w:t xml:space="preserve">a writ of </w:t>
            </w:r>
            <w:r>
              <w:rPr>
                <w:i/>
                <w:sz w:val="20"/>
              </w:rPr>
              <w:t>procedendo</w:t>
            </w:r>
            <w:r>
              <w:rPr>
                <w:sz w:val="20"/>
              </w:rPr>
              <w:t>;</w:t>
            </w:r>
          </w:p>
          <w:p>
            <w:pPr>
              <w:pStyle w:val="yTableNAm"/>
              <w:rPr>
                <w:sz w:val="20"/>
              </w:rPr>
            </w:pPr>
            <w:r>
              <w:rPr>
                <w:sz w:val="20"/>
              </w:rPr>
              <w:sym w:font="Monotype Sorts" w:char="F070"/>
            </w:r>
            <w:r>
              <w:rPr>
                <w:sz w:val="20"/>
              </w:rPr>
              <w:tab/>
              <w:t xml:space="preserve">an information of </w:t>
            </w:r>
            <w:r>
              <w:rPr>
                <w:i/>
                <w:sz w:val="20"/>
              </w:rPr>
              <w:t>quo warranto</w:t>
            </w:r>
            <w:r>
              <w:rPr>
                <w:sz w:val="20"/>
              </w:rPr>
              <w:t>;</w:t>
            </w:r>
          </w:p>
          <w:p>
            <w:pPr>
              <w:pStyle w:val="yTableNAm"/>
              <w:rPr>
                <w:sz w:val="20"/>
              </w:rPr>
            </w:pPr>
            <w:r>
              <w:rPr>
                <w:sz w:val="20"/>
              </w:rPr>
              <w:sym w:font="Monotype Sorts" w:char="F070"/>
            </w:r>
            <w:r>
              <w:rPr>
                <w:sz w:val="20"/>
              </w:rPr>
              <w:tab/>
              <w:t>a declaration;</w:t>
            </w:r>
          </w:p>
          <w:p>
            <w:pPr>
              <w:pStyle w:val="yTableNAm"/>
              <w:rPr>
                <w:sz w:val="20"/>
              </w:rPr>
            </w:pPr>
            <w:r>
              <w:rPr>
                <w:sz w:val="20"/>
              </w:rPr>
              <w:sym w:font="Monotype Sorts" w:char="F070"/>
            </w:r>
            <w:r>
              <w:rPr>
                <w:sz w:val="20"/>
              </w:rPr>
              <w:tab/>
              <w:t>an injunction;</w:t>
            </w:r>
          </w:p>
          <w:p>
            <w:pPr>
              <w:pStyle w:val="yTableNAm"/>
              <w:ind w:left="589" w:hanging="589"/>
              <w:rPr>
                <w:sz w:val="20"/>
              </w:rPr>
            </w:pPr>
            <w:r>
              <w:rPr>
                <w:sz w:val="20"/>
              </w:rPr>
              <w:sym w:font="Monotype Sorts" w:char="F070"/>
            </w:r>
            <w:r>
              <w:rPr>
                <w:sz w:val="20"/>
              </w:rPr>
              <w:tab/>
              <w:t>this order (being an order which would have the same effect as a remedy that could be provided by means of one or more of the above writs) —</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Grounds of application</w:t>
            </w:r>
          </w:p>
        </w:tc>
        <w:tc>
          <w:tcPr>
            <w:tcW w:w="4961" w:type="dxa"/>
            <w:gridSpan w:val="5"/>
            <w:tcBorders>
              <w:top w:val="single" w:sz="4" w:space="0" w:color="auto"/>
              <w:bottom w:val="single" w:sz="4" w:space="0" w:color="auto"/>
            </w:tcBorders>
          </w:tcPr>
          <w:p>
            <w:pPr>
              <w:pStyle w:val="yTableNAm"/>
              <w:rPr>
                <w:sz w:val="20"/>
              </w:rPr>
            </w:pPr>
            <w:r>
              <w:rPr>
                <w:sz w:val="20"/>
              </w:rPr>
              <w:t>The grounds for the above application are these —</w:t>
            </w:r>
          </w:p>
          <w:p>
            <w:pPr>
              <w:pStyle w:val="yTableNAm"/>
              <w:rPr>
                <w:sz w:val="20"/>
              </w:rPr>
            </w:pPr>
            <w:r>
              <w:rPr>
                <w:sz w:val="20"/>
              </w:rPr>
              <w:t>1.</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Late application</w:t>
            </w:r>
            <w:r>
              <w:rPr>
                <w:sz w:val="20"/>
                <w:vertAlign w:val="superscript"/>
              </w:rPr>
              <w:t>3</w:t>
            </w:r>
          </w:p>
        </w:tc>
        <w:tc>
          <w:tcPr>
            <w:tcW w:w="4961" w:type="dxa"/>
            <w:gridSpan w:val="5"/>
            <w:tcBorders>
              <w:top w:val="single" w:sz="4" w:space="0" w:color="auto"/>
              <w:bottom w:val="single" w:sz="4" w:space="0" w:color="auto"/>
            </w:tcBorders>
          </w:tcPr>
          <w:p>
            <w:pPr>
              <w:pStyle w:val="yTableNAm"/>
              <w:ind w:left="575" w:hanging="575"/>
              <w:rPr>
                <w:sz w:val="20"/>
              </w:rPr>
            </w:pPr>
            <w:r>
              <w:rPr>
                <w:sz w:val="20"/>
              </w:rPr>
              <w:sym w:font="Monotype Sorts" w:char="F070"/>
            </w:r>
            <w:r>
              <w:rPr>
                <w:sz w:val="20"/>
              </w:rPr>
              <w:tab/>
              <w:t>The applicant also applies for leave to proceed with this application which is made outside the limitation period.</w:t>
            </w:r>
          </w:p>
        </w:tc>
      </w:tr>
      <w:tr>
        <w:trPr>
          <w:cantSplit/>
        </w:trPr>
        <w:tc>
          <w:tcPr>
            <w:tcW w:w="1985"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lastRenderedPageBreak/>
              <w:t>Applicant’s geographical address</w:t>
            </w:r>
            <w:r>
              <w:rPr>
                <w:sz w:val="20"/>
                <w:vertAlign w:val="superscript"/>
              </w:rPr>
              <w:t>4</w:t>
            </w:r>
          </w:p>
        </w:tc>
        <w:tc>
          <w:tcPr>
            <w:tcW w:w="4961" w:type="dxa"/>
            <w:gridSpan w:val="5"/>
            <w:tcBorders>
              <w:top w:val="single" w:sz="4" w:space="0" w:color="auto"/>
              <w:left w:val="single" w:sz="4" w:space="0" w:color="auto"/>
              <w:bottom w:val="single" w:sz="4" w:space="0" w:color="auto"/>
              <w:right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Applicant’s lawyer</w:t>
            </w:r>
            <w:r>
              <w:rPr>
                <w:sz w:val="20"/>
                <w:vertAlign w:val="superscript"/>
              </w:rPr>
              <w:t>5</w:t>
            </w:r>
            <w:r>
              <w:rPr>
                <w:sz w:val="20"/>
              </w:rPr>
              <w:t xml:space="preserve"> </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Address where lawyer conducts business</w:t>
            </w:r>
            <w:r>
              <w:rPr>
                <w:sz w:val="20"/>
                <w:vertAlign w:val="superscript"/>
              </w:rPr>
              <w:t>5</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Intention to act in person</w:t>
            </w:r>
            <w:r>
              <w:rPr>
                <w:sz w:val="20"/>
                <w:vertAlign w:val="superscript"/>
              </w:rPr>
              <w:t>3</w:t>
            </w:r>
          </w:p>
        </w:tc>
        <w:tc>
          <w:tcPr>
            <w:tcW w:w="4953" w:type="dxa"/>
            <w:gridSpan w:val="4"/>
            <w:tcBorders>
              <w:bottom w:val="single" w:sz="4" w:space="0" w:color="auto"/>
            </w:tcBorders>
          </w:tcPr>
          <w:p>
            <w:pPr>
              <w:pStyle w:val="yTableNAm"/>
              <w:rPr>
                <w:sz w:val="20"/>
              </w:rPr>
            </w:pPr>
            <w:r>
              <w:rPr>
                <w:sz w:val="20"/>
              </w:rPr>
              <w:sym w:font="Monotype Sorts" w:char="F070"/>
            </w:r>
            <w:r>
              <w:rPr>
                <w:sz w:val="20"/>
              </w:rPr>
              <w:tab/>
              <w:t>I intend to act in person in this application.</w:t>
            </w: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Postal address for service of documents</w:t>
            </w:r>
            <w:r>
              <w:rPr>
                <w:sz w:val="20"/>
                <w:vertAlign w:val="superscript"/>
              </w:rPr>
              <w:t>6</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Email address</w:t>
            </w:r>
            <w:r>
              <w:rPr>
                <w:sz w:val="20"/>
                <w:vertAlign w:val="superscript"/>
              </w:rPr>
              <w:t>7</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cantSplit/>
        </w:trPr>
        <w:tc>
          <w:tcPr>
            <w:tcW w:w="1985" w:type="dxa"/>
            <w:tcBorders>
              <w:bottom w:val="single" w:sz="4" w:space="0" w:color="auto"/>
            </w:tcBorders>
          </w:tcPr>
          <w:p>
            <w:pPr>
              <w:pStyle w:val="yTableNAm"/>
              <w:rPr>
                <w:sz w:val="20"/>
              </w:rPr>
            </w:pPr>
            <w:r>
              <w:rPr>
                <w:sz w:val="20"/>
              </w:rPr>
              <w:t>Telephone number</w:t>
            </w:r>
            <w:r>
              <w:rPr>
                <w:sz w:val="20"/>
                <w:vertAlign w:val="superscript"/>
              </w:rPr>
              <w:t>8</w:t>
            </w:r>
          </w:p>
        </w:tc>
        <w:tc>
          <w:tcPr>
            <w:tcW w:w="1559" w:type="dxa"/>
            <w:tcBorders>
              <w:bottom w:val="single" w:sz="4" w:space="0" w:color="auto"/>
            </w:tcBorders>
          </w:tcPr>
          <w:p>
            <w:pPr>
              <w:pStyle w:val="zyTableNAm"/>
              <w:spacing w:before="60"/>
              <w:rPr>
                <w:sz w:val="20"/>
              </w:rPr>
            </w:pPr>
          </w:p>
        </w:tc>
        <w:tc>
          <w:tcPr>
            <w:tcW w:w="3402" w:type="dxa"/>
            <w:gridSpan w:val="4"/>
            <w:tcBorders>
              <w:bottom w:val="single" w:sz="4" w:space="0" w:color="auto"/>
            </w:tcBorders>
          </w:tcPr>
          <w:p>
            <w:pPr>
              <w:pStyle w:val="yTableNAm"/>
              <w:rPr>
                <w:sz w:val="20"/>
              </w:rPr>
            </w:pPr>
            <w:r>
              <w:rPr>
                <w:sz w:val="20"/>
              </w:rPr>
              <w:t>Fax number</w:t>
            </w:r>
            <w:r>
              <w:rPr>
                <w:sz w:val="20"/>
                <w:vertAlign w:val="superscript"/>
              </w:rPr>
              <w:t>7</w:t>
            </w:r>
          </w:p>
        </w:tc>
      </w:tr>
      <w:tr>
        <w:trPr>
          <w:cantSplit/>
        </w:trPr>
        <w:tc>
          <w:tcPr>
            <w:tcW w:w="1985" w:type="dxa"/>
            <w:tcBorders>
              <w:top w:val="single" w:sz="4" w:space="0" w:color="auto"/>
              <w:bottom w:val="single" w:sz="4" w:space="0" w:color="auto"/>
            </w:tcBorders>
          </w:tcPr>
          <w:p>
            <w:pPr>
              <w:pStyle w:val="yTableNAm"/>
              <w:rPr>
                <w:sz w:val="20"/>
              </w:rPr>
            </w:pPr>
            <w:r>
              <w:rPr>
                <w:sz w:val="20"/>
              </w:rPr>
              <w:t>Signature of applicant or lawyer</w:t>
            </w:r>
          </w:p>
        </w:tc>
        <w:tc>
          <w:tcPr>
            <w:tcW w:w="3402" w:type="dxa"/>
            <w:gridSpan w:val="3"/>
            <w:tcBorders>
              <w:top w:val="single" w:sz="4" w:space="0" w:color="auto"/>
              <w:bottom w:val="single" w:sz="4" w:space="0" w:color="auto"/>
            </w:tcBorders>
          </w:tcPr>
          <w:p>
            <w:pPr>
              <w:pStyle w:val="BodyText3"/>
              <w:rPr>
                <w:sz w:val="20"/>
              </w:rPr>
            </w:pPr>
            <w:r>
              <w:rPr>
                <w:sz w:val="20"/>
              </w:rPr>
              <w:br/>
              <w:t>Applicant/Applicant’s lawyer</w:t>
            </w:r>
          </w:p>
        </w:tc>
        <w:tc>
          <w:tcPr>
            <w:tcW w:w="1559" w:type="dxa"/>
            <w:gridSpan w:val="2"/>
            <w:tcBorders>
              <w:top w:val="single" w:sz="4"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 67A —</w:t>
      </w:r>
    </w:p>
    <w:p>
      <w:pPr>
        <w:pStyle w:val="yMiscellaneousBody"/>
        <w:spacing w:before="0"/>
        <w:ind w:left="540" w:hanging="540"/>
        <w:rPr>
          <w:sz w:val="20"/>
        </w:rPr>
      </w:pPr>
      <w:r>
        <w:rPr>
          <w:sz w:val="20"/>
        </w:rPr>
        <w:t>1.</w:t>
      </w:r>
      <w:r>
        <w:rPr>
          <w:sz w:val="20"/>
        </w:rPr>
        <w:tab/>
        <w:t>The respondent is the person whose decision or conduct is to be reviewed.</w:t>
      </w:r>
    </w:p>
    <w:p>
      <w:pPr>
        <w:pStyle w:val="yMiscellaneousBody"/>
        <w:spacing w:before="0"/>
        <w:ind w:left="540" w:hanging="540"/>
        <w:rPr>
          <w:sz w:val="20"/>
        </w:rPr>
      </w:pPr>
      <w:r>
        <w:rPr>
          <w:sz w:val="20"/>
        </w:rPr>
        <w:t>2.</w:t>
      </w:r>
      <w:r>
        <w:rPr>
          <w:sz w:val="20"/>
        </w:rPr>
        <w:tab/>
        <w:t>Tick one or more.</w:t>
      </w:r>
    </w:p>
    <w:p>
      <w:pPr>
        <w:pStyle w:val="yMiscellaneousBody"/>
        <w:spacing w:before="0"/>
        <w:ind w:left="540" w:hanging="540"/>
        <w:rPr>
          <w:sz w:val="20"/>
        </w:rPr>
      </w:pPr>
      <w:r>
        <w:rPr>
          <w:sz w:val="20"/>
        </w:rPr>
        <w:t>3.</w:t>
      </w:r>
      <w:r>
        <w:rPr>
          <w:sz w:val="20"/>
        </w:rPr>
        <w:tab/>
        <w:t>Tick only if necessary.</w:t>
      </w:r>
    </w:p>
    <w:p>
      <w:pPr>
        <w:pStyle w:val="yMiscellaneousBody"/>
        <w:spacing w:before="0"/>
        <w:ind w:left="540" w:hanging="540"/>
        <w:rPr>
          <w:sz w:val="20"/>
        </w:rPr>
      </w:pPr>
      <w:r>
        <w:rPr>
          <w:sz w:val="20"/>
        </w:rPr>
        <w:t>4.</w:t>
      </w:r>
      <w:r>
        <w:rPr>
          <w:sz w:val="20"/>
        </w:rPr>
        <w:tab/>
        <w:t>Must be provided unless otherwise ordered by the Court.  See Order 71A r. 2 and 3A.</w:t>
      </w:r>
    </w:p>
    <w:p>
      <w:pPr>
        <w:pStyle w:val="yMiscellaneousBody"/>
        <w:spacing w:before="0"/>
        <w:ind w:left="540" w:hanging="540"/>
        <w:rPr>
          <w:sz w:val="20"/>
        </w:rPr>
      </w:pPr>
      <w:r>
        <w:rPr>
          <w:sz w:val="20"/>
        </w:rPr>
        <w:t>5.</w:t>
      </w:r>
      <w:r>
        <w:rPr>
          <w:sz w:val="20"/>
        </w:rPr>
        <w:tab/>
        <w:t>Must be provided if a lawyer has been appointed.</w:t>
      </w:r>
    </w:p>
    <w:p>
      <w:pPr>
        <w:pStyle w:val="yMiscellaneousBody"/>
        <w:spacing w:before="0"/>
        <w:ind w:left="540" w:hanging="540"/>
        <w:rPr>
          <w:sz w:val="20"/>
        </w:rPr>
      </w:pPr>
      <w:r>
        <w:rPr>
          <w:sz w:val="20"/>
        </w:rPr>
        <w:t>6.</w:t>
      </w:r>
      <w:r>
        <w:rPr>
          <w:sz w:val="20"/>
        </w:rPr>
        <w:tab/>
        <w:t>Must be provided - to be lawyer’s postal address if applicant is legally represented.</w:t>
      </w:r>
    </w:p>
    <w:p>
      <w:pPr>
        <w:pStyle w:val="yMiscellaneousBody"/>
        <w:spacing w:before="0"/>
        <w:ind w:left="540" w:hanging="540"/>
        <w:rPr>
          <w:sz w:val="20"/>
        </w:rPr>
      </w:pPr>
      <w:r>
        <w:rPr>
          <w:sz w:val="20"/>
        </w:rPr>
        <w:t>7.</w:t>
      </w:r>
      <w:r>
        <w:rPr>
          <w:sz w:val="20"/>
        </w:rPr>
        <w:tab/>
        <w:t>Optional - if provided, may be used for service of documents.</w:t>
      </w:r>
    </w:p>
    <w:p>
      <w:pPr>
        <w:pStyle w:val="yMiscellaneousBody"/>
        <w:spacing w:before="0"/>
        <w:ind w:left="540" w:hanging="540"/>
        <w:rPr>
          <w:sz w:val="20"/>
        </w:rPr>
      </w:pPr>
      <w:r>
        <w:rPr>
          <w:sz w:val="20"/>
        </w:rPr>
        <w:t>8.</w:t>
      </w:r>
      <w:r>
        <w:rPr>
          <w:sz w:val="20"/>
        </w:rPr>
        <w:tab/>
        <w:t>Must be provided - to be lawyer’s telephone number if applicant is legally represented.</w:t>
      </w:r>
    </w:p>
    <w:p>
      <w:pPr>
        <w:pStyle w:val="yFootnotesection"/>
      </w:pPr>
      <w:r>
        <w:tab/>
        <w:t>[Form 67A inserted: Gazette 13 Nov 2015 p. 4653-4.]</w:t>
      </w:r>
    </w:p>
    <w:p>
      <w:pPr>
        <w:pStyle w:val="yHeading5"/>
        <w:keepNext w:val="0"/>
        <w:keepLines w:val="0"/>
        <w:spacing w:after="120"/>
      </w:pPr>
      <w:bookmarkStart w:id="1641" w:name="_Toc163121865"/>
      <w:r>
        <w:rPr>
          <w:rStyle w:val="CharSClsNo"/>
        </w:rPr>
        <w:t>67</w:t>
      </w:r>
      <w:r>
        <w:t>.</w:t>
      </w:r>
      <w:r>
        <w:tab/>
        <w:t>Certiorari (O. 56 r. 14)</w:t>
      </w:r>
      <w:bookmarkEnd w:id="1641"/>
    </w:p>
    <w:p>
      <w:pPr>
        <w:pStyle w:val="yMiscellaneousBody"/>
        <w:tabs>
          <w:tab w:val="left" w:pos="840"/>
        </w:tabs>
        <w:spacing w:before="120"/>
        <w:rPr>
          <w:i/>
          <w:iCs/>
          <w:sz w:val="20"/>
        </w:rPr>
      </w:pPr>
      <w:r>
        <w:rPr>
          <w:i/>
          <w:iCs/>
          <w:sz w:val="20"/>
        </w:rPr>
        <w:t>(Heading as in cause or matter)</w:t>
      </w:r>
    </w:p>
    <w:p>
      <w:pPr>
        <w:pStyle w:val="yMiscellaneousBody"/>
        <w:tabs>
          <w:tab w:val="left" w:pos="840"/>
        </w:tabs>
        <w:rPr>
          <w:b/>
          <w:bCs/>
          <w:sz w:val="20"/>
        </w:rPr>
      </w:pPr>
      <w:r>
        <w:rPr>
          <w:b/>
          <w:bCs/>
          <w:sz w:val="20"/>
        </w:rPr>
        <w:t>Writ of certiorari</w:t>
      </w:r>
    </w:p>
    <w:p>
      <w:pPr>
        <w:pStyle w:val="yMiscellaneousBody"/>
        <w:tabs>
          <w:tab w:val="left" w:pos="840"/>
        </w:tabs>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on or before [</w:t>
      </w:r>
      <w:r>
        <w:rPr>
          <w:i/>
          <w:iCs/>
          <w:sz w:val="20"/>
        </w:rPr>
        <w:t>date</w:t>
      </w:r>
      <w:r>
        <w:rPr>
          <w:sz w:val="20"/>
        </w:rPr>
        <w:t>], to send to the Supreme Court, at [</w:t>
      </w:r>
      <w:r>
        <w:rPr>
          <w:i/>
          <w:iCs/>
          <w:sz w:val="20"/>
        </w:rPr>
        <w:t>address</w:t>
      </w:r>
      <w:r>
        <w:rPr>
          <w:sz w:val="20"/>
        </w:rPr>
        <w:t>], [</w:t>
      </w:r>
      <w:r>
        <w:rPr>
          <w:i/>
          <w:iCs/>
          <w:sz w:val="20"/>
        </w:rPr>
        <w:t>state the record or decision to be quashed</w:t>
      </w:r>
      <w:r>
        <w:rPr>
          <w:sz w:val="20"/>
        </w:rPr>
        <w:t>] together with this writ, or a copy of it, for that court to deal with as it sees fit.</w:t>
      </w:r>
    </w:p>
    <w:p>
      <w:pPr>
        <w:pStyle w:val="yMiscellaneousBody"/>
        <w:tabs>
          <w:tab w:val="left" w:pos="840"/>
        </w:tabs>
        <w:rPr>
          <w:sz w:val="20"/>
        </w:rPr>
      </w:pPr>
      <w:r>
        <w:rPr>
          <w:sz w:val="20"/>
        </w:rPr>
        <w:lastRenderedPageBreak/>
        <w:t>Dated:</w:t>
      </w:r>
    </w:p>
    <w:p>
      <w:pPr>
        <w:pStyle w:val="yMiscellaneousBody"/>
        <w:spacing w:before="120"/>
        <w:rPr>
          <w:sz w:val="20"/>
        </w:rPr>
      </w:pPr>
      <w:r>
        <w:rPr>
          <w:sz w:val="20"/>
        </w:rPr>
        <w:t>.....................................................</w:t>
      </w:r>
      <w:r>
        <w:rPr>
          <w:sz w:val="20"/>
        </w:rPr>
        <w:br/>
        <w:t>Judicial officer</w:t>
      </w:r>
    </w:p>
    <w:p>
      <w:pPr>
        <w:pStyle w:val="yFootnotesection"/>
      </w:pPr>
      <w:r>
        <w:tab/>
        <w:t>[Form 67 inserted: Gazette 28 Jul 2010 p. 3487.]</w:t>
      </w:r>
    </w:p>
    <w:p>
      <w:pPr>
        <w:pStyle w:val="yEdnotedivision"/>
        <w:spacing w:before="240"/>
        <w:outlineLvl w:val="9"/>
      </w:pPr>
      <w:r>
        <w:t>[Form 68 deleted: Gazette 29 Apr 2005 p. 1801.]</w:t>
      </w:r>
    </w:p>
    <w:p>
      <w:pPr>
        <w:pStyle w:val="yHeading5"/>
        <w:keepNext w:val="0"/>
        <w:keepLines w:val="0"/>
        <w:widowControl w:val="0"/>
        <w:spacing w:after="120"/>
      </w:pPr>
      <w:bookmarkStart w:id="1642" w:name="_Toc163121866"/>
      <w:r>
        <w:rPr>
          <w:rStyle w:val="CharSClsNo"/>
        </w:rPr>
        <w:t>69</w:t>
      </w:r>
      <w:r>
        <w:t>.</w:t>
      </w:r>
      <w:r>
        <w:tab/>
        <w:t>Mandamus (O. 56 r. 16)</w:t>
      </w:r>
      <w:bookmarkEnd w:id="1642"/>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mandamus</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w:t>
      </w:r>
      <w:r>
        <w:rPr>
          <w:i/>
          <w:iCs/>
          <w:sz w:val="20"/>
        </w:rPr>
        <w:t>set out the act to be done</w:t>
      </w:r>
      <w:r>
        <w:rPr>
          <w:sz w:val="20"/>
        </w:rPr>
        <w:t>] or show cause why you have not done it.</w:t>
      </w:r>
    </w:p>
    <w:p>
      <w:pPr>
        <w:pStyle w:val="yMiscellaneousBody"/>
        <w:rPr>
          <w:sz w:val="20"/>
        </w:rPr>
      </w:pPr>
      <w:r>
        <w:rPr>
          <w:sz w:val="20"/>
        </w:rPr>
        <w:t xml:space="preserve">The </w:t>
      </w:r>
      <w:r>
        <w:rPr>
          <w:i/>
          <w:iCs/>
          <w:sz w:val="20"/>
        </w:rPr>
        <w:t>Rules of the Supreme Court 1971</w:t>
      </w:r>
      <w:r>
        <w:rPr>
          <w:sz w:val="20"/>
        </w:rPr>
        <w:t xml:space="preserve"> Order 56 rule 20 requires you to file in the Supreme Court, on or before [</w:t>
      </w:r>
      <w:r>
        <w:rPr>
          <w:i/>
          <w:iCs/>
          <w:sz w:val="20"/>
        </w:rPr>
        <w:t>date</w:t>
      </w:r>
      <w:r>
        <w:rPr>
          <w:sz w:val="20"/>
        </w:rPr>
        <w:t>], this writ, or a copy of it, and a certificate stating either that you have done the above act or why you have not done it.</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69 inserted: Gazette 28 Jul 2010 p. 3487</w:t>
      </w:r>
      <w:r>
        <w:noBreakHyphen/>
        <w:t>8.]</w:t>
      </w:r>
    </w:p>
    <w:p>
      <w:pPr>
        <w:pStyle w:val="yHeading5"/>
        <w:keepNext w:val="0"/>
        <w:keepLines w:val="0"/>
        <w:widowControl w:val="0"/>
        <w:spacing w:after="120"/>
      </w:pPr>
      <w:bookmarkStart w:id="1643" w:name="_Toc163121867"/>
      <w:r>
        <w:rPr>
          <w:rStyle w:val="CharSClsNo"/>
        </w:rPr>
        <w:t>70</w:t>
      </w:r>
      <w:r>
        <w:t>.</w:t>
      </w:r>
      <w:r>
        <w:tab/>
      </w:r>
      <w:r>
        <w:rPr>
          <w:i/>
        </w:rPr>
        <w:t>Procedendo</w:t>
      </w:r>
      <w:r>
        <w:t xml:space="preserve"> (O. 56 r. 32)</w:t>
      </w:r>
      <w:bookmarkEnd w:id="1643"/>
    </w:p>
    <w:p>
      <w:pPr>
        <w:pStyle w:val="yMiscellaneousBody"/>
        <w:keepNext/>
        <w:spacing w:before="120"/>
        <w:rPr>
          <w:i/>
          <w:iCs/>
          <w:sz w:val="20"/>
        </w:rPr>
      </w:pPr>
      <w:r>
        <w:rPr>
          <w:i/>
          <w:iCs/>
          <w:sz w:val="20"/>
        </w:rPr>
        <w:t>(Heading as in cause or matter)</w:t>
      </w:r>
    </w:p>
    <w:p>
      <w:pPr>
        <w:pStyle w:val="yMiscellaneousBody"/>
        <w:rPr>
          <w:b/>
          <w:bCs/>
          <w:sz w:val="20"/>
        </w:rPr>
      </w:pPr>
      <w:r>
        <w:rPr>
          <w:b/>
          <w:bCs/>
          <w:sz w:val="20"/>
        </w:rPr>
        <w:t>Writ of</w:t>
      </w:r>
      <w:r>
        <w:rPr>
          <w:b/>
          <w:bCs/>
          <w:i/>
          <w:sz w:val="20"/>
        </w:rPr>
        <w:t xml:space="preserve"> procedendo</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By a writ of prohibition dated [</w:t>
      </w:r>
      <w:r>
        <w:rPr>
          <w:i/>
          <w:iCs/>
          <w:sz w:val="20"/>
        </w:rPr>
        <w:t>date</w:t>
      </w:r>
      <w:r>
        <w:rPr>
          <w:sz w:val="20"/>
        </w:rPr>
        <w:t>] you were prohibited from [</w:t>
      </w:r>
      <w:r>
        <w:rPr>
          <w:i/>
          <w:iCs/>
          <w:sz w:val="20"/>
        </w:rPr>
        <w:t>set out the prohibited act</w:t>
      </w:r>
      <w:r>
        <w:rPr>
          <w:sz w:val="20"/>
        </w:rPr>
        <w:t>].</w:t>
      </w:r>
    </w:p>
    <w:p>
      <w:pPr>
        <w:pStyle w:val="yMiscellaneousBody"/>
        <w:rPr>
          <w:sz w:val="20"/>
        </w:rPr>
      </w:pPr>
      <w:r>
        <w:rPr>
          <w:sz w:val="20"/>
        </w:rPr>
        <w:t>This writ commands you to [</w:t>
      </w:r>
      <w:r>
        <w:rPr>
          <w:i/>
          <w:iCs/>
          <w:sz w:val="20"/>
        </w:rPr>
        <w:t>set out the act to be done</w:t>
      </w:r>
      <w:r>
        <w:rPr>
          <w:sz w:val="20"/>
        </w:rPr>
        <w:t>] as if that writ of prohibition had not been issued.</w:t>
      </w:r>
    </w:p>
    <w:p>
      <w:pPr>
        <w:pStyle w:val="yMiscellaneousBody"/>
        <w:rPr>
          <w:sz w:val="20"/>
        </w:rPr>
      </w:pPr>
      <w:r>
        <w:rPr>
          <w:sz w:val="20"/>
        </w:rPr>
        <w:t>Dated:</w:t>
      </w:r>
    </w:p>
    <w:p>
      <w:pPr>
        <w:pStyle w:val="yMiscellaneousBody"/>
        <w:rPr>
          <w:sz w:val="20"/>
        </w:rPr>
      </w:pPr>
      <w:r>
        <w:rPr>
          <w:sz w:val="20"/>
        </w:rPr>
        <w:lastRenderedPageBreak/>
        <w:t>.....................................................</w:t>
      </w:r>
      <w:r>
        <w:rPr>
          <w:sz w:val="20"/>
        </w:rPr>
        <w:br/>
        <w:t>Judicial officer</w:t>
      </w:r>
    </w:p>
    <w:p>
      <w:pPr>
        <w:pStyle w:val="yFootnotesection"/>
      </w:pPr>
      <w:r>
        <w:tab/>
        <w:t>[Form 70 inserted: Gazette 28 Jul 2010 p. 3488.]</w:t>
      </w:r>
    </w:p>
    <w:p>
      <w:pPr>
        <w:pStyle w:val="yHeading5"/>
        <w:widowControl w:val="0"/>
        <w:spacing w:after="120"/>
      </w:pPr>
      <w:bookmarkStart w:id="1644" w:name="_Toc163121868"/>
      <w:r>
        <w:rPr>
          <w:rStyle w:val="CharSClsNo"/>
        </w:rPr>
        <w:t>71</w:t>
      </w:r>
      <w:r>
        <w:t>.</w:t>
      </w:r>
      <w:r>
        <w:tab/>
        <w:t>Prohibition (O. 56 r. 33)</w:t>
      </w:r>
      <w:bookmarkEnd w:id="1644"/>
    </w:p>
    <w:p>
      <w:pPr>
        <w:pStyle w:val="yMiscellaneousBody"/>
        <w:keepNext/>
        <w:keepLines/>
        <w:spacing w:before="120"/>
        <w:rPr>
          <w:i/>
          <w:iCs/>
          <w:sz w:val="20"/>
        </w:rPr>
      </w:pPr>
      <w:r>
        <w:rPr>
          <w:i/>
          <w:iCs/>
          <w:sz w:val="20"/>
        </w:rPr>
        <w:t>(Heading as in cause or matter)</w:t>
      </w:r>
    </w:p>
    <w:p>
      <w:pPr>
        <w:pStyle w:val="yMiscellaneousBody"/>
        <w:rPr>
          <w:b/>
          <w:bCs/>
          <w:sz w:val="20"/>
        </w:rPr>
      </w:pPr>
      <w:r>
        <w:rPr>
          <w:b/>
          <w:bCs/>
          <w:sz w:val="20"/>
        </w:rPr>
        <w:t>Writ of prohibition</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prohibits you from [</w:t>
      </w:r>
      <w:r>
        <w:rPr>
          <w:i/>
          <w:iCs/>
          <w:sz w:val="20"/>
        </w:rPr>
        <w:t>set out the prohibited act</w:t>
      </w:r>
      <w:r>
        <w:rPr>
          <w:sz w:val="20"/>
        </w:rPr>
        <w:t>].</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71 inserted: Gazette 28 Jul 2010 p. 3488-9.]</w:t>
      </w:r>
    </w:p>
    <w:p>
      <w:pPr>
        <w:pStyle w:val="yEdnotedivision"/>
        <w:spacing w:before="360"/>
      </w:pPr>
      <w:r>
        <w:t>[Form 72 deleted: Gazette 28 Jul 2010 p. 3489.]</w:t>
      </w:r>
    </w:p>
    <w:p>
      <w:pPr>
        <w:pStyle w:val="yHeading5"/>
        <w:keepNext w:val="0"/>
        <w:keepLines w:val="0"/>
        <w:widowControl w:val="0"/>
        <w:spacing w:after="120"/>
      </w:pPr>
      <w:bookmarkStart w:id="1645" w:name="_Toc163121869"/>
      <w:r>
        <w:rPr>
          <w:rStyle w:val="CharSClsNo"/>
        </w:rPr>
        <w:t>73</w:t>
      </w:r>
      <w:r>
        <w:t>.</w:t>
      </w:r>
      <w:r>
        <w:tab/>
        <w:t>Habeas corpus (O. 57 r. 10)</w:t>
      </w:r>
      <w:bookmarkEnd w:id="1645"/>
    </w:p>
    <w:p>
      <w:pPr>
        <w:pStyle w:val="yMiscellaneousBody"/>
        <w:spacing w:before="120"/>
        <w:rPr>
          <w:i/>
          <w:iCs/>
          <w:sz w:val="20"/>
        </w:rPr>
      </w:pPr>
      <w:r>
        <w:rPr>
          <w:i/>
          <w:iCs/>
          <w:sz w:val="20"/>
        </w:rPr>
        <w:t>(Heading as in cause or matter)</w:t>
      </w:r>
    </w:p>
    <w:p>
      <w:pPr>
        <w:pStyle w:val="yMiscellaneousBody"/>
        <w:rPr>
          <w:b/>
          <w:bCs/>
          <w:sz w:val="20"/>
        </w:rPr>
      </w:pPr>
      <w:r>
        <w:rPr>
          <w:b/>
          <w:bCs/>
          <w:sz w:val="20"/>
        </w:rPr>
        <w:t xml:space="preserve">Writ of </w:t>
      </w:r>
      <w:r>
        <w:rPr>
          <w:b/>
          <w:bCs/>
          <w:i/>
          <w:sz w:val="20"/>
        </w:rPr>
        <w:t>habeas corpus ad subjiciendum</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have [</w:t>
      </w:r>
      <w:r>
        <w:rPr>
          <w:i/>
          <w:iCs/>
          <w:sz w:val="20"/>
        </w:rPr>
        <w:t>name of plaintiff or person restrained</w:t>
      </w:r>
      <w:r>
        <w:rPr>
          <w:sz w:val="20"/>
        </w:rPr>
        <w:t>] before the Supreme Court at [</w:t>
      </w:r>
      <w:r>
        <w:rPr>
          <w:i/>
          <w:iCs/>
          <w:sz w:val="20"/>
        </w:rPr>
        <w:t>address</w:t>
      </w:r>
      <w:r>
        <w:rPr>
          <w:sz w:val="20"/>
        </w:rPr>
        <w:t>] on [</w:t>
      </w:r>
      <w:r>
        <w:rPr>
          <w:i/>
          <w:iCs/>
          <w:sz w:val="20"/>
        </w:rPr>
        <w:t>date</w:t>
      </w:r>
      <w:r>
        <w:rPr>
          <w:sz w:val="20"/>
        </w:rPr>
        <w:t>] at [</w:t>
      </w:r>
      <w:r>
        <w:rPr>
          <w:i/>
          <w:iCs/>
          <w:sz w:val="20"/>
        </w:rPr>
        <w:t>time of day</w:t>
      </w:r>
      <w:r>
        <w:rPr>
          <w:sz w:val="20"/>
        </w:rPr>
        <w:t>] and to then submit to the further order of the court as to the custody of that person (</w:t>
      </w:r>
      <w:r>
        <w:rPr>
          <w:b/>
          <w:bCs/>
          <w:i/>
          <w:iCs/>
          <w:sz w:val="20"/>
        </w:rPr>
        <w:t>the person restrained</w:t>
      </w:r>
      <w:r>
        <w:rPr>
          <w:sz w:val="20"/>
        </w:rPr>
        <w:t>).</w:t>
      </w:r>
    </w:p>
    <w:p>
      <w:pPr>
        <w:pStyle w:val="yMiscellaneousBody"/>
        <w:rPr>
          <w:sz w:val="20"/>
        </w:rPr>
      </w:pPr>
      <w:r>
        <w:rPr>
          <w:sz w:val="20"/>
        </w:rPr>
        <w:t xml:space="preserve">The </w:t>
      </w:r>
      <w:r>
        <w:rPr>
          <w:i/>
          <w:iCs/>
          <w:sz w:val="20"/>
        </w:rPr>
        <w:t>Rules of the Supreme Court 1971</w:t>
      </w:r>
      <w:r>
        <w:rPr>
          <w:sz w:val="20"/>
        </w:rPr>
        <w:t xml:space="preserve"> Order 57 rule 8 requires you, before or at the above time, to file in the Supreme Court a return to this writ, indorsed on or attached to the writ, that states all the causes of the detention of the person restrained.</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lastRenderedPageBreak/>
        <w:tab/>
        <w:t>[Form 73 inserted: Gazette 28 Jul 2010 p. 3489; amended: Gazette 16 Aug 2017 p. 4423.]</w:t>
      </w:r>
    </w:p>
    <w:p>
      <w:pPr>
        <w:pStyle w:val="yHeading5"/>
        <w:keepLines w:val="0"/>
        <w:widowControl w:val="0"/>
        <w:spacing w:after="120"/>
      </w:pPr>
      <w:bookmarkStart w:id="1646" w:name="_Toc163121870"/>
      <w:r>
        <w:rPr>
          <w:rStyle w:val="CharSClsNo"/>
        </w:rPr>
        <w:t>74</w:t>
      </w:r>
      <w:r>
        <w:t>.</w:t>
      </w:r>
      <w:r>
        <w:rPr>
          <w:b w:val="0"/>
        </w:rPr>
        <w:tab/>
      </w:r>
      <w:r>
        <w:t>Originating summons, appearance required (O. 58 r. 14)</w:t>
      </w:r>
      <w:bookmarkEnd w:id="1646"/>
    </w:p>
    <w:p>
      <w:pPr>
        <w:pStyle w:val="yMiscellaneousBody"/>
        <w:keepNext/>
        <w:spacing w:before="120"/>
        <w:jc w:val="right"/>
        <w:rPr>
          <w:sz w:val="20"/>
        </w:rPr>
      </w:pPr>
      <w:r>
        <w:rPr>
          <w:sz w:val="20"/>
        </w:rPr>
        <w:t>No.               of 20      .</w:t>
      </w:r>
    </w:p>
    <w:p>
      <w:pPr>
        <w:pStyle w:val="yMiscellaneousBody"/>
        <w:spacing w:before="120"/>
        <w:rPr>
          <w:sz w:val="20"/>
        </w:rPr>
      </w:pPr>
      <w:r>
        <w:rPr>
          <w:sz w:val="20"/>
        </w:rPr>
        <w:t>In the Supreme Court</w:t>
      </w:r>
      <w:r>
        <w:rPr>
          <w:sz w:val="20"/>
        </w:rPr>
        <w:br/>
        <w:t>of Western Australia.</w:t>
      </w:r>
    </w:p>
    <w:p>
      <w:pPr>
        <w:pStyle w:val="yMiscellaneousBody"/>
        <w:tabs>
          <w:tab w:val="left" w:pos="600"/>
        </w:tabs>
        <w:spacing w:before="120"/>
        <w:rPr>
          <w:sz w:val="20"/>
        </w:rPr>
      </w:pPr>
      <w:r>
        <w:rPr>
          <w:sz w:val="20"/>
        </w:rPr>
        <w:tab/>
        <w:t>[In the matter of                                           .]</w:t>
      </w:r>
    </w:p>
    <w:p>
      <w:pPr>
        <w:pStyle w:val="yMiscellaneousBody"/>
        <w:spacing w:before="120"/>
        <w:ind w:left="720"/>
        <w:rPr>
          <w:sz w:val="20"/>
        </w:rPr>
      </w:pPr>
      <w:r>
        <w:rPr>
          <w:sz w:val="20"/>
        </w:rPr>
        <w:tab/>
        <w:t>Between</w:t>
      </w:r>
    </w:p>
    <w:p>
      <w:pPr>
        <w:pStyle w:val="yMiscellaneousBody"/>
        <w:spacing w:before="120"/>
        <w:ind w:left="1440" w:right="4336"/>
        <w:jc w:val="center"/>
        <w:rPr>
          <w:sz w:val="20"/>
        </w:rPr>
      </w:pPr>
      <w:r>
        <w:rPr>
          <w:sz w:val="20"/>
        </w:rPr>
        <w:t>A.B. Plaintiff,</w:t>
      </w:r>
    </w:p>
    <w:p>
      <w:pPr>
        <w:pStyle w:val="yMiscellaneousBody"/>
        <w:spacing w:before="0"/>
        <w:ind w:left="1440" w:right="4338"/>
        <w:jc w:val="center"/>
        <w:rPr>
          <w:sz w:val="20"/>
        </w:rPr>
      </w:pPr>
      <w:r>
        <w:rPr>
          <w:sz w:val="20"/>
        </w:rPr>
        <w:t>and</w:t>
      </w:r>
    </w:p>
    <w:p>
      <w:pPr>
        <w:pStyle w:val="yMiscellaneousBody"/>
        <w:spacing w:before="0"/>
        <w:ind w:left="1440" w:right="4338"/>
        <w:jc w:val="center"/>
        <w:rPr>
          <w:sz w:val="20"/>
        </w:rPr>
      </w:pPr>
      <w:r>
        <w:rPr>
          <w:sz w:val="20"/>
        </w:rPr>
        <w:t>C.D. Defendant.</w:t>
      </w:r>
    </w:p>
    <w:p>
      <w:pPr>
        <w:pStyle w:val="yMiscellaneousBody"/>
        <w:spacing w:before="120"/>
        <w:rPr>
          <w:sz w:val="20"/>
        </w:rPr>
      </w:pPr>
      <w:r>
        <w:rPr>
          <w:sz w:val="20"/>
        </w:rPr>
        <w:t>Let C.D. of                                within                            service of this summons on him, exclusive of the day of such service, cause an appearance to be entered for him to this summons and thereafter attend before Court at such time and place as shall hereafter be fixed for such hearing.</w:t>
      </w:r>
    </w:p>
    <w:p>
      <w:pPr>
        <w:pStyle w:val="yMiscellaneousBody"/>
        <w:spacing w:before="120"/>
        <w:rPr>
          <w:sz w:val="20"/>
        </w:rPr>
      </w:pPr>
      <w:r>
        <w:rPr>
          <w:sz w:val="20"/>
        </w:rPr>
        <w:t>This summons is issued upon the application of A.B. of</w:t>
      </w:r>
      <w:r>
        <w:rPr>
          <w:sz w:val="20"/>
        </w:rPr>
        <w:br/>
        <w:t>who claims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This summons was taken out by</w:t>
      </w:r>
    </w:p>
    <w:p>
      <w:pPr>
        <w:pStyle w:val="yMiscellaneousBody"/>
        <w:spacing w:before="60"/>
        <w:rPr>
          <w:sz w:val="20"/>
        </w:rPr>
      </w:pPr>
      <w:r>
        <w:rPr>
          <w:sz w:val="20"/>
        </w:rPr>
        <w:t>Solicitor for the said plaintiff whose address for service is</w:t>
      </w:r>
    </w:p>
    <w:p>
      <w:pPr>
        <w:pStyle w:val="yMiscellaneousBody"/>
        <w:spacing w:before="120"/>
        <w:rPr>
          <w:sz w:val="20"/>
        </w:rPr>
      </w:pPr>
      <w:r>
        <w:rPr>
          <w:sz w:val="20"/>
        </w:rPr>
        <w:t>Note: If the defendant does not enter an appearance at the Central Office, Supreme Court, Perth, within the time abovementioned, and thereafter attend before the Court at such time and place as shall hereafter be fixed for such hearing, such order will be made and proceedings taken as the Court thinks just and expedient.</w:t>
      </w:r>
    </w:p>
    <w:p>
      <w:pPr>
        <w:pStyle w:val="yFootnotesection"/>
      </w:pPr>
      <w:r>
        <w:tab/>
        <w:t>[Form 74 amended: Gazette 27 Aug 1976 p. 3226; 30 Nov 1984 p. 3954; 28 Jun 2011 p. 2561; 16 Aug 2017 p. 4425</w:t>
      </w:r>
      <w:r>
        <w:noBreakHyphen/>
        <w:t>6.]</w:t>
      </w:r>
    </w:p>
    <w:p>
      <w:pPr>
        <w:pStyle w:val="yHeading5"/>
        <w:keepNext w:val="0"/>
        <w:keepLines w:val="0"/>
        <w:widowControl w:val="0"/>
        <w:spacing w:after="120"/>
      </w:pPr>
      <w:bookmarkStart w:id="1647" w:name="_Toc163121871"/>
      <w:r>
        <w:rPr>
          <w:rStyle w:val="CharSClsNo"/>
        </w:rPr>
        <w:t>75</w:t>
      </w:r>
      <w:r>
        <w:t>.</w:t>
      </w:r>
      <w:r>
        <w:rPr>
          <w:b w:val="0"/>
        </w:rPr>
        <w:tab/>
      </w:r>
      <w:r>
        <w:t>Originating summons, appearance not required (O. 58 r. 14)</w:t>
      </w:r>
      <w:bookmarkEnd w:id="1647"/>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Let C.D. of                                    attend before the Supreme Court, Perth, on the              day of                        20       at               o’clock in the                  noon on the hearing of an application by the plaintiff that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It is intended to serve this summons on C.D. [and E.F. of                                          .]</w:t>
      </w:r>
    </w:p>
    <w:p>
      <w:pPr>
        <w:pStyle w:val="yMiscellaneousBody"/>
        <w:spacing w:before="120"/>
        <w:rPr>
          <w:sz w:val="20"/>
        </w:rPr>
      </w:pPr>
      <w:r>
        <w:rPr>
          <w:sz w:val="20"/>
        </w:rPr>
        <w:lastRenderedPageBreak/>
        <w:t>This summons was taken out, etc. (</w:t>
      </w:r>
      <w:r>
        <w:rPr>
          <w:i/>
          <w:sz w:val="20"/>
        </w:rPr>
        <w:t>as in Form No. 74</w:t>
      </w:r>
      <w:r>
        <w:rPr>
          <w:sz w:val="20"/>
        </w:rPr>
        <w:t>).</w:t>
      </w:r>
    </w:p>
    <w:p>
      <w:pPr>
        <w:pStyle w:val="yMiscellaneousBody"/>
        <w:spacing w:before="120"/>
        <w:rPr>
          <w:sz w:val="20"/>
        </w:rPr>
      </w:pPr>
      <w:r>
        <w:rPr>
          <w:sz w:val="20"/>
        </w:rPr>
        <w:t>Note: If a defendant does not attend personally or by his counsel or solicitor at the time and place abovementioned such order will be made as the Court thinks just and expedient.</w:t>
      </w:r>
    </w:p>
    <w:p>
      <w:pPr>
        <w:pStyle w:val="yFootnotesection"/>
      </w:pPr>
      <w:r>
        <w:tab/>
        <w:t>[Form 75 amended: Gazette 30 Nov 1984 p. 3954; 28 Jun 2011 p. 2561; 16 Aug 2017 p. 4426.]</w:t>
      </w:r>
    </w:p>
    <w:p>
      <w:pPr>
        <w:pStyle w:val="yHeading5"/>
        <w:keepNext w:val="0"/>
        <w:keepLines w:val="0"/>
        <w:widowControl w:val="0"/>
        <w:spacing w:after="120"/>
      </w:pPr>
      <w:bookmarkStart w:id="1648" w:name="_Toc163121872"/>
      <w:r>
        <w:rPr>
          <w:rStyle w:val="CharSClsNo"/>
        </w:rPr>
        <w:t>76</w:t>
      </w:r>
      <w:r>
        <w:t>.</w:t>
      </w:r>
      <w:r>
        <w:rPr>
          <w:b w:val="0"/>
        </w:rPr>
        <w:tab/>
      </w:r>
      <w:r>
        <w:t>Notice of appointment to hear originating summons (O. 58 r. 19)</w:t>
      </w:r>
      <w:bookmarkEnd w:id="1648"/>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To [</w:t>
      </w:r>
      <w:r>
        <w:rPr>
          <w:i/>
          <w:sz w:val="20"/>
        </w:rPr>
        <w:t>name of defendant or plaintiff</w:t>
      </w:r>
      <w:r>
        <w:rPr>
          <w:sz w:val="20"/>
        </w:rPr>
        <w:t xml:space="preserve">] of </w:t>
      </w:r>
    </w:p>
    <w:p>
      <w:pPr>
        <w:pStyle w:val="yMiscellaneousBody"/>
        <w:spacing w:before="120"/>
        <w:rPr>
          <w:sz w:val="20"/>
        </w:rPr>
      </w:pPr>
      <w:r>
        <w:rPr>
          <w:sz w:val="20"/>
        </w:rPr>
        <w:t>Take notice that the originating summons issued herein on the          day of                       20      , will be heard by the Supreme Court, Perth, on the                 day of                           20      at                o’clock in the                  noon.</w:t>
      </w:r>
    </w:p>
    <w:p>
      <w:pPr>
        <w:pStyle w:val="yMiscellaneousBody"/>
        <w:spacing w:before="120"/>
        <w:rPr>
          <w:sz w:val="20"/>
        </w:rPr>
      </w:pPr>
      <w:r>
        <w:rPr>
          <w:sz w:val="20"/>
        </w:rPr>
        <w:t>If you do not attend in person or by your solicitor or counsel at the time and place mentioned, such order will be made and proceedings taken as the Court thinks just and expedient.</w:t>
      </w:r>
    </w:p>
    <w:p>
      <w:pPr>
        <w:pStyle w:val="yMiscellaneousBody"/>
        <w:spacing w:before="120"/>
        <w:rPr>
          <w:sz w:val="20"/>
        </w:rPr>
      </w:pPr>
      <w:r>
        <w:rPr>
          <w:sz w:val="20"/>
        </w:rPr>
        <w:t>Dated, etc.</w:t>
      </w:r>
    </w:p>
    <w:p>
      <w:pPr>
        <w:pStyle w:val="yMiscellaneousBody"/>
        <w:spacing w:before="120"/>
        <w:ind w:left="5160"/>
        <w:rPr>
          <w:sz w:val="20"/>
        </w:rPr>
      </w:pPr>
      <w:r>
        <w:rPr>
          <w:sz w:val="20"/>
        </w:rPr>
        <w:t>(Signed)</w:t>
      </w:r>
    </w:p>
    <w:p>
      <w:pPr>
        <w:pStyle w:val="yMiscellaneousBody"/>
        <w:tabs>
          <w:tab w:val="left" w:pos="4536"/>
        </w:tabs>
        <w:spacing w:before="0"/>
        <w:rPr>
          <w:sz w:val="20"/>
        </w:rPr>
      </w:pPr>
      <w:r>
        <w:rPr>
          <w:sz w:val="20"/>
        </w:rPr>
        <w:tab/>
        <w:t xml:space="preserve">Solicitor for                              </w:t>
      </w:r>
    </w:p>
    <w:p>
      <w:pPr>
        <w:pStyle w:val="yFootnotesection"/>
      </w:pPr>
      <w:r>
        <w:tab/>
        <w:t>[Form 76 amended: Gazette 30 Nov 1984 p. 3954; 28 Jun 2011 p. 2561; 16 Aug 2017 p. 4423.]</w:t>
      </w:r>
    </w:p>
    <w:p>
      <w:pPr>
        <w:pStyle w:val="yHeading5"/>
        <w:keepLines w:val="0"/>
        <w:widowControl w:val="0"/>
        <w:spacing w:after="120"/>
      </w:pPr>
      <w:bookmarkStart w:id="1649" w:name="_Toc163121873"/>
      <w:r>
        <w:rPr>
          <w:rStyle w:val="CharSClsNo"/>
        </w:rPr>
        <w:t>77</w:t>
      </w:r>
      <w:r>
        <w:t>.</w:t>
      </w:r>
      <w:r>
        <w:rPr>
          <w:b w:val="0"/>
        </w:rPr>
        <w:tab/>
      </w:r>
      <w:r>
        <w:t>Summons (general form) (O. 59 r. 4(1))</w:t>
      </w:r>
      <w:bookmarkEnd w:id="1649"/>
    </w:p>
    <w:p>
      <w:pPr>
        <w:pStyle w:val="yMiscellaneousBody"/>
        <w:keepNext/>
        <w:tabs>
          <w:tab w:val="left" w:pos="5040"/>
        </w:tabs>
        <w:spacing w:before="120"/>
        <w:rPr>
          <w:sz w:val="20"/>
        </w:rPr>
      </w:pPr>
      <w:r>
        <w:rPr>
          <w:sz w:val="20"/>
        </w:rPr>
        <w:t>In the Supreme Court</w:t>
      </w:r>
      <w:r>
        <w:rPr>
          <w:sz w:val="20"/>
        </w:rPr>
        <w:tab/>
        <w:t>No.                  of 20      .</w:t>
      </w:r>
      <w:r>
        <w:rPr>
          <w:sz w:val="20"/>
        </w:rPr>
        <w:br/>
        <w:t>of Western Australia.</w:t>
      </w:r>
    </w:p>
    <w:p>
      <w:pPr>
        <w:pStyle w:val="yMiscellaneousBody"/>
        <w:keepNext/>
        <w:tabs>
          <w:tab w:val="left" w:pos="4560"/>
        </w:tabs>
        <w:spacing w:before="120"/>
        <w:rPr>
          <w:sz w:val="20"/>
        </w:rPr>
      </w:pPr>
      <w:r>
        <w:rPr>
          <w:sz w:val="20"/>
        </w:rPr>
        <w:t>Between</w:t>
      </w:r>
      <w:r>
        <w:rPr>
          <w:sz w:val="20"/>
        </w:rPr>
        <w:tab/>
        <w:t>Plaintiff,</w:t>
      </w:r>
    </w:p>
    <w:p>
      <w:pPr>
        <w:pStyle w:val="yMiscellaneousBody"/>
        <w:tabs>
          <w:tab w:val="left" w:pos="4560"/>
        </w:tabs>
        <w:spacing w:before="120"/>
        <w:jc w:val="center"/>
        <w:rPr>
          <w:sz w:val="20"/>
        </w:rPr>
      </w:pPr>
      <w:r>
        <w:rPr>
          <w:sz w:val="20"/>
        </w:rPr>
        <w:t>and</w:t>
      </w:r>
    </w:p>
    <w:p>
      <w:pPr>
        <w:pStyle w:val="yMiscellaneousBody"/>
        <w:tabs>
          <w:tab w:val="left" w:pos="4560"/>
        </w:tabs>
        <w:spacing w:before="120"/>
        <w:rPr>
          <w:sz w:val="20"/>
        </w:rPr>
      </w:pPr>
      <w:r>
        <w:rPr>
          <w:sz w:val="20"/>
        </w:rPr>
        <w:tab/>
        <w:t>Defendant.</w:t>
      </w:r>
    </w:p>
    <w:p>
      <w:pPr>
        <w:pStyle w:val="yMiscellaneousBody"/>
        <w:spacing w:before="120"/>
        <w:rPr>
          <w:sz w:val="20"/>
        </w:rPr>
      </w:pPr>
      <w:r>
        <w:rPr>
          <w:sz w:val="20"/>
        </w:rPr>
        <w:t>Let all parties concerned attend the Supreme Court on               day the</w:t>
      </w:r>
      <w:r>
        <w:rPr>
          <w:sz w:val="20"/>
        </w:rPr>
        <w:br/>
        <w:t xml:space="preserve">              day of                          , 20     , at               o’clock in the                noon, on the hearing of an application on the part of</w:t>
      </w:r>
    </w:p>
    <w:p>
      <w:pPr>
        <w:pStyle w:val="yMiscellaneousBody"/>
        <w:spacing w:before="120"/>
        <w:rPr>
          <w:sz w:val="20"/>
        </w:rPr>
      </w:pPr>
      <w:r>
        <w:rPr>
          <w:sz w:val="20"/>
        </w:rPr>
        <w:t>Dated the                         day of                               , 20      .</w:t>
      </w:r>
    </w:p>
    <w:p>
      <w:pPr>
        <w:pStyle w:val="yMiscellaneousBody"/>
        <w:spacing w:before="120"/>
        <w:rPr>
          <w:sz w:val="20"/>
        </w:rPr>
      </w:pPr>
      <w:r>
        <w:rPr>
          <w:sz w:val="20"/>
        </w:rPr>
        <w:t xml:space="preserve">This summons was taken out by                                   of                        </w:t>
      </w:r>
      <w:r>
        <w:rPr>
          <w:sz w:val="20"/>
        </w:rPr>
        <w:br/>
        <w:t xml:space="preserve">Solicitor for                              </w:t>
      </w:r>
    </w:p>
    <w:p>
      <w:pPr>
        <w:pStyle w:val="yMiscellaneousBody"/>
        <w:spacing w:before="120"/>
        <w:rPr>
          <w:sz w:val="20"/>
        </w:rPr>
      </w:pPr>
      <w:r>
        <w:rPr>
          <w:sz w:val="20"/>
        </w:rPr>
        <w:t>To</w:t>
      </w:r>
    </w:p>
    <w:p>
      <w:pPr>
        <w:pStyle w:val="yFootnotesection"/>
      </w:pPr>
      <w:r>
        <w:lastRenderedPageBreak/>
        <w:tab/>
        <w:t>[Form 77 amended: Gazette 28 Jun 2011 p. 2561; 16 Aug 2017 p. 4424.]</w:t>
      </w:r>
    </w:p>
    <w:p>
      <w:pPr>
        <w:pStyle w:val="yHeading5"/>
        <w:keepNext w:val="0"/>
        <w:keepLines w:val="0"/>
        <w:widowControl w:val="0"/>
        <w:spacing w:after="120"/>
      </w:pPr>
      <w:bookmarkStart w:id="1650" w:name="_Toc163121874"/>
      <w:r>
        <w:rPr>
          <w:rStyle w:val="CharSClsNo"/>
        </w:rPr>
        <w:t>78</w:t>
      </w:r>
      <w:r>
        <w:t>.</w:t>
      </w:r>
      <w:r>
        <w:tab/>
        <w:t>Order (general form) (O. 59 r. 10)</w:t>
      </w:r>
      <w:bookmarkEnd w:id="1650"/>
    </w:p>
    <w:p>
      <w:pPr>
        <w:pStyle w:val="yMiscellaneousBody"/>
        <w:spacing w:before="120"/>
        <w:rPr>
          <w:i/>
          <w:iCs/>
          <w:sz w:val="20"/>
        </w:rPr>
      </w:pPr>
      <w:r>
        <w:rPr>
          <w:i/>
          <w:iCs/>
          <w:sz w:val="20"/>
        </w:rPr>
        <w:t>(Heading as in cause or matter)</w:t>
      </w:r>
    </w:p>
    <w:p>
      <w:pPr>
        <w:pStyle w:val="yMiscellaneousBody"/>
        <w:rPr>
          <w:sz w:val="20"/>
        </w:rPr>
      </w:pPr>
      <w:r>
        <w:rPr>
          <w:sz w:val="20"/>
        </w:rPr>
        <w:t>Judicial officer(s):</w:t>
      </w:r>
    </w:p>
    <w:p>
      <w:pPr>
        <w:pStyle w:val="yMiscellaneousBody"/>
        <w:rPr>
          <w:sz w:val="20"/>
        </w:rPr>
      </w:pPr>
      <w:r>
        <w:rPr>
          <w:sz w:val="20"/>
        </w:rPr>
        <w:t>Date of order:</w:t>
      </w:r>
    </w:p>
    <w:p>
      <w:pPr>
        <w:pStyle w:val="yMiscellaneousBody"/>
        <w:rPr>
          <w:sz w:val="20"/>
        </w:rPr>
      </w:pPr>
      <w:r>
        <w:rPr>
          <w:sz w:val="20"/>
        </w:rPr>
        <w:t>The Court orders (or declares) —</w:t>
      </w:r>
    </w:p>
    <w:p>
      <w:pPr>
        <w:pStyle w:val="yMiscellaneousBody"/>
        <w:rPr>
          <w:sz w:val="20"/>
        </w:rPr>
      </w:pPr>
      <w:r>
        <w:rPr>
          <w:sz w:val="20"/>
        </w:rPr>
        <w:t>1.</w:t>
      </w:r>
    </w:p>
    <w:p>
      <w:pPr>
        <w:pStyle w:val="yMiscellaneousBody"/>
        <w:rPr>
          <w:sz w:val="20"/>
        </w:rPr>
      </w:pPr>
      <w:r>
        <w:rPr>
          <w:sz w:val="20"/>
        </w:rPr>
        <w:t>2.</w:t>
      </w:r>
    </w:p>
    <w:p>
      <w:pPr>
        <w:pStyle w:val="yMiscellaneousBody"/>
        <w:rPr>
          <w:sz w:val="20"/>
        </w:rPr>
      </w:pPr>
      <w:r>
        <w:rPr>
          <w:sz w:val="20"/>
        </w:rPr>
        <w:t>.....................................................</w:t>
      </w:r>
      <w:r>
        <w:rPr>
          <w:sz w:val="20"/>
        </w:rPr>
        <w:br/>
        <w:t>Judicial officer</w:t>
      </w:r>
    </w:p>
    <w:p>
      <w:pPr>
        <w:pStyle w:val="yFootnotesection"/>
      </w:pPr>
      <w:r>
        <w:tab/>
        <w:t>[Form 78 inserted: Gazette 28 Jul 2010 p. 3490.]</w:t>
      </w:r>
    </w:p>
    <w:p>
      <w:pPr>
        <w:pStyle w:val="yEdnotedivision"/>
        <w:outlineLvl w:val="9"/>
      </w:pPr>
      <w:r>
        <w:t>[Form 79 deleted: Gazette 21 Feb 2007 p. 563.]</w:t>
      </w:r>
    </w:p>
    <w:p>
      <w:pPr>
        <w:pStyle w:val="yHeading5"/>
        <w:keepLines w:val="0"/>
        <w:widowControl w:val="0"/>
        <w:spacing w:after="120"/>
      </w:pPr>
      <w:bookmarkStart w:id="1651" w:name="_Toc163121875"/>
      <w:r>
        <w:rPr>
          <w:rStyle w:val="CharSClsNo"/>
          <w:bCs/>
        </w:rPr>
        <w:t>80A</w:t>
      </w:r>
      <w:r>
        <w:t>.</w:t>
      </w:r>
      <w:r>
        <w:tab/>
        <w:t>Appeal notice (Registrar’s decision) (O. 60A r. 5(3))</w:t>
      </w:r>
      <w:bookmarkEnd w:id="165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357"/>
        <w:gridCol w:w="567"/>
        <w:gridCol w:w="142"/>
        <w:gridCol w:w="709"/>
        <w:gridCol w:w="425"/>
        <w:gridCol w:w="425"/>
        <w:gridCol w:w="567"/>
        <w:gridCol w:w="1268"/>
      </w:tblGrid>
      <w:tr>
        <w:trPr>
          <w:cantSplit/>
          <w:trHeight w:val="329"/>
        </w:trPr>
        <w:tc>
          <w:tcPr>
            <w:tcW w:w="3686" w:type="dxa"/>
            <w:gridSpan w:val="4"/>
            <w:vMerge w:val="restart"/>
          </w:tcPr>
          <w:p>
            <w:pPr>
              <w:pStyle w:val="yTableNAm"/>
              <w:keepNext/>
              <w:rPr>
                <w:sz w:val="20"/>
              </w:rPr>
            </w:pPr>
            <w:r>
              <w:rPr>
                <w:sz w:val="20"/>
              </w:rPr>
              <w:t>Supreme Court of Western Australia</w:t>
            </w:r>
          </w:p>
        </w:tc>
        <w:tc>
          <w:tcPr>
            <w:tcW w:w="3394" w:type="dxa"/>
            <w:gridSpan w:val="5"/>
            <w:tcBorders>
              <w:bottom w:val="nil"/>
            </w:tcBorders>
            <w:vAlign w:val="center"/>
          </w:tcPr>
          <w:p>
            <w:pPr>
              <w:pStyle w:val="yTableNAm"/>
              <w:keepNext/>
              <w:rPr>
                <w:sz w:val="20"/>
              </w:rPr>
            </w:pPr>
            <w:r>
              <w:rPr>
                <w:sz w:val="20"/>
              </w:rPr>
              <w:t>No:</w:t>
            </w:r>
          </w:p>
        </w:tc>
      </w:tr>
      <w:tr>
        <w:trPr>
          <w:cantSplit/>
          <w:trHeight w:val="328"/>
        </w:trPr>
        <w:tc>
          <w:tcPr>
            <w:tcW w:w="3686" w:type="dxa"/>
            <w:gridSpan w:val="4"/>
            <w:vMerge/>
            <w:tcBorders>
              <w:bottom w:val="nil"/>
            </w:tcBorders>
          </w:tcPr>
          <w:p>
            <w:pPr>
              <w:pStyle w:val="yTableNAm"/>
              <w:keepNext/>
              <w:spacing w:before="20"/>
              <w:rPr>
                <w:sz w:val="20"/>
              </w:rPr>
            </w:pPr>
          </w:p>
        </w:tc>
        <w:tc>
          <w:tcPr>
            <w:tcW w:w="3394" w:type="dxa"/>
            <w:gridSpan w:val="5"/>
            <w:tcBorders>
              <w:bottom w:val="nil"/>
            </w:tcBorders>
            <w:vAlign w:val="center"/>
          </w:tcPr>
          <w:p>
            <w:pPr>
              <w:pStyle w:val="yTableNAm"/>
              <w:keepNext/>
              <w:spacing w:before="20"/>
              <w:rPr>
                <w:sz w:val="20"/>
              </w:rPr>
            </w:pPr>
            <w:r>
              <w:rPr>
                <w:b/>
                <w:sz w:val="20"/>
              </w:rPr>
              <w:t>Notice of appeal from decision of Registrar</w:t>
            </w:r>
          </w:p>
        </w:tc>
      </w:tr>
      <w:tr>
        <w:trPr>
          <w:cantSplit/>
        </w:trPr>
        <w:tc>
          <w:tcPr>
            <w:tcW w:w="1620" w:type="dxa"/>
            <w:tcBorders>
              <w:bottom w:val="nil"/>
            </w:tcBorders>
          </w:tcPr>
          <w:p>
            <w:pPr>
              <w:pStyle w:val="yTableNAm"/>
              <w:rPr>
                <w:sz w:val="20"/>
              </w:rPr>
            </w:pPr>
            <w:r>
              <w:rPr>
                <w:sz w:val="20"/>
              </w:rPr>
              <w:t>Parties</w:t>
            </w:r>
          </w:p>
        </w:tc>
        <w:tc>
          <w:tcPr>
            <w:tcW w:w="5460" w:type="dxa"/>
            <w:gridSpan w:val="8"/>
            <w:tcBorders>
              <w:bottom w:val="nil"/>
            </w:tcBorders>
          </w:tcPr>
          <w:p>
            <w:pPr>
              <w:pStyle w:val="yTableNAm"/>
              <w:tabs>
                <w:tab w:val="clear" w:pos="567"/>
              </w:tabs>
              <w:jc w:val="right"/>
              <w:rPr>
                <w:sz w:val="20"/>
              </w:rPr>
            </w:pPr>
            <w:r>
              <w:rPr>
                <w:sz w:val="20"/>
              </w:rPr>
              <w:t>Plaintiff</w:t>
            </w:r>
          </w:p>
          <w:p>
            <w:pPr>
              <w:pStyle w:val="yTableNAm"/>
              <w:tabs>
                <w:tab w:val="clear" w:pos="567"/>
              </w:tabs>
              <w:jc w:val="right"/>
              <w:rPr>
                <w:sz w:val="20"/>
              </w:rPr>
            </w:pPr>
            <w:r>
              <w:rPr>
                <w:sz w:val="20"/>
              </w:rPr>
              <w:t>Defendant</w:t>
            </w:r>
          </w:p>
        </w:tc>
      </w:tr>
      <w:tr>
        <w:trPr>
          <w:cantSplit/>
        </w:trPr>
        <w:tc>
          <w:tcPr>
            <w:tcW w:w="1620" w:type="dxa"/>
            <w:tcBorders>
              <w:bottom w:val="single" w:sz="4" w:space="0" w:color="auto"/>
            </w:tcBorders>
          </w:tcPr>
          <w:p>
            <w:pPr>
              <w:pStyle w:val="yTableNAm"/>
              <w:rPr>
                <w:sz w:val="20"/>
              </w:rPr>
            </w:pPr>
            <w:r>
              <w:rPr>
                <w:sz w:val="20"/>
              </w:rPr>
              <w:t>Name of party appealing</w:t>
            </w:r>
          </w:p>
        </w:tc>
        <w:tc>
          <w:tcPr>
            <w:tcW w:w="5460" w:type="dxa"/>
            <w:gridSpan w:val="8"/>
            <w:tcBorders>
              <w:bottom w:val="single" w:sz="4" w:space="0" w:color="auto"/>
            </w:tcBorders>
          </w:tcPr>
          <w:p>
            <w:pPr>
              <w:pStyle w:val="yTableNAm"/>
              <w:rPr>
                <w:sz w:val="20"/>
              </w:rPr>
            </w:pPr>
          </w:p>
        </w:tc>
      </w:tr>
      <w:tr>
        <w:trPr>
          <w:cantSplit/>
        </w:trPr>
        <w:tc>
          <w:tcPr>
            <w:tcW w:w="1620"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 of Registrar</w:t>
            </w:r>
          </w:p>
        </w:tc>
        <w:tc>
          <w:tcPr>
            <w:tcW w:w="5460" w:type="dxa"/>
            <w:gridSpan w:val="8"/>
            <w:tcBorders>
              <w:top w:val="single" w:sz="4" w:space="0" w:color="auto"/>
              <w:left w:val="single" w:sz="4" w:space="0" w:color="auto"/>
              <w:bottom w:val="single" w:sz="4" w:space="0" w:color="auto"/>
              <w:right w:val="single" w:sz="4" w:space="0" w:color="auto"/>
            </w:tcBorders>
          </w:tcPr>
          <w:p>
            <w:pPr>
              <w:pStyle w:val="yTableNAm"/>
              <w:rPr>
                <w:sz w:val="20"/>
              </w:rPr>
            </w:pPr>
          </w:p>
        </w:tc>
      </w:tr>
      <w:tr>
        <w:tc>
          <w:tcPr>
            <w:tcW w:w="1620" w:type="dxa"/>
            <w:tcBorders>
              <w:top w:val="single" w:sz="4" w:space="0" w:color="auto"/>
              <w:bottom w:val="single" w:sz="4" w:space="0" w:color="auto"/>
            </w:tcBorders>
          </w:tcPr>
          <w:p>
            <w:pPr>
              <w:pStyle w:val="yTableNAm"/>
              <w:rPr>
                <w:sz w:val="20"/>
              </w:rPr>
            </w:pPr>
            <w:r>
              <w:rPr>
                <w:sz w:val="20"/>
              </w:rPr>
              <w:t>Date of decision</w:t>
            </w:r>
          </w:p>
        </w:tc>
        <w:tc>
          <w:tcPr>
            <w:tcW w:w="5460" w:type="dxa"/>
            <w:gridSpan w:val="8"/>
            <w:tcBorders>
              <w:top w:val="single" w:sz="4" w:space="0" w:color="auto"/>
              <w:bottom w:val="single" w:sz="4" w:space="0" w:color="auto"/>
            </w:tcBorders>
          </w:tcPr>
          <w:p>
            <w:pPr>
              <w:pStyle w:val="yTableNAm"/>
              <w:rPr>
                <w:sz w:val="20"/>
              </w:rPr>
            </w:pPr>
          </w:p>
        </w:tc>
      </w:tr>
      <w:tr>
        <w:tc>
          <w:tcPr>
            <w:tcW w:w="1620" w:type="dxa"/>
          </w:tcPr>
          <w:p>
            <w:pPr>
              <w:pStyle w:val="yTableNAm"/>
              <w:rPr>
                <w:sz w:val="20"/>
              </w:rPr>
            </w:pPr>
            <w:r>
              <w:rPr>
                <w:sz w:val="20"/>
              </w:rPr>
              <w:t>Last date for appealing</w:t>
            </w:r>
            <w:r>
              <w:rPr>
                <w:sz w:val="20"/>
                <w:vertAlign w:val="superscript"/>
              </w:rPr>
              <w:t>1</w:t>
            </w:r>
          </w:p>
        </w:tc>
        <w:tc>
          <w:tcPr>
            <w:tcW w:w="5460" w:type="dxa"/>
            <w:gridSpan w:val="8"/>
          </w:tcPr>
          <w:p>
            <w:pPr>
              <w:pStyle w:val="yTableNAm"/>
              <w:rPr>
                <w:sz w:val="20"/>
              </w:rPr>
            </w:pPr>
            <w:r>
              <w:rPr>
                <w:sz w:val="20"/>
              </w:rPr>
              <w:t>Last date:</w:t>
            </w:r>
          </w:p>
          <w:p>
            <w:pPr>
              <w:pStyle w:val="yTableNAm"/>
              <w:rPr>
                <w:sz w:val="20"/>
              </w:rPr>
            </w:pPr>
            <w:r>
              <w:rPr>
                <w:sz w:val="20"/>
              </w:rPr>
              <w:t>Is an extension of time needed?  Yes/No</w:t>
            </w:r>
          </w:p>
        </w:tc>
      </w:tr>
      <w:tr>
        <w:trPr>
          <w:cantSplit/>
        </w:trPr>
        <w:tc>
          <w:tcPr>
            <w:tcW w:w="1620" w:type="dxa"/>
          </w:tcPr>
          <w:p>
            <w:pPr>
              <w:pStyle w:val="yTableNAm"/>
              <w:rPr>
                <w:sz w:val="20"/>
              </w:rPr>
            </w:pPr>
            <w:r>
              <w:rPr>
                <w:sz w:val="20"/>
              </w:rPr>
              <w:t>Orders or directions appealed against</w:t>
            </w:r>
          </w:p>
        </w:tc>
        <w:tc>
          <w:tcPr>
            <w:tcW w:w="5460" w:type="dxa"/>
            <w:gridSpan w:val="8"/>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Pr>
          <w:p>
            <w:pPr>
              <w:pStyle w:val="yTableNAm"/>
              <w:rPr>
                <w:sz w:val="20"/>
              </w:rPr>
            </w:pPr>
            <w:r>
              <w:rPr>
                <w:sz w:val="20"/>
              </w:rPr>
              <w:lastRenderedPageBreak/>
              <w:t>Grounds of appeal</w:t>
            </w:r>
          </w:p>
        </w:tc>
        <w:tc>
          <w:tcPr>
            <w:tcW w:w="5460" w:type="dxa"/>
            <w:gridSpan w:val="8"/>
          </w:tcPr>
          <w:p>
            <w:pPr>
              <w:pStyle w:val="yTableNAm"/>
              <w:rPr>
                <w:sz w:val="20"/>
              </w:rPr>
            </w:pPr>
          </w:p>
        </w:tc>
      </w:tr>
      <w:tr>
        <w:trPr>
          <w:cantSplit/>
        </w:trPr>
        <w:tc>
          <w:tcPr>
            <w:tcW w:w="1620" w:type="dxa"/>
            <w:tcBorders>
              <w:bottom w:val="nil"/>
            </w:tcBorders>
          </w:tcPr>
          <w:p>
            <w:pPr>
              <w:pStyle w:val="yTableNAm"/>
              <w:rPr>
                <w:sz w:val="20"/>
              </w:rPr>
            </w:pPr>
            <w:r>
              <w:rPr>
                <w:sz w:val="20"/>
              </w:rPr>
              <w:t>Orders sought on appeal</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Directions sought to facilitate appeal</w:t>
            </w:r>
            <w:r>
              <w:rPr>
                <w:sz w:val="20"/>
                <w:vertAlign w:val="superscript"/>
              </w:rPr>
              <w:t>2</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Dates when unavailable for hearing of appeal</w:t>
            </w:r>
            <w:r>
              <w:rPr>
                <w:sz w:val="20"/>
                <w:vertAlign w:val="superscript"/>
              </w:rPr>
              <w:t>3</w:t>
            </w:r>
          </w:p>
        </w:tc>
        <w:tc>
          <w:tcPr>
            <w:tcW w:w="5460" w:type="dxa"/>
            <w:gridSpan w:val="8"/>
            <w:tcBorders>
              <w:bottom w:val="nil"/>
            </w:tcBorders>
          </w:tcPr>
          <w:p>
            <w:pPr>
              <w:pStyle w:val="yTableNAm"/>
              <w:rPr>
                <w:sz w:val="20"/>
              </w:rPr>
            </w:pPr>
          </w:p>
        </w:tc>
      </w:tr>
      <w:tr>
        <w:trPr>
          <w:cantSplit/>
        </w:trPr>
        <w:tc>
          <w:tcPr>
            <w:tcW w:w="1620" w:type="dxa"/>
            <w:tcBorders>
              <w:bottom w:val="nil"/>
            </w:tcBorders>
          </w:tcPr>
          <w:p>
            <w:pPr>
              <w:pStyle w:val="yTableNAm"/>
              <w:rPr>
                <w:sz w:val="20"/>
              </w:rPr>
            </w:pPr>
            <w:r>
              <w:rPr>
                <w:sz w:val="20"/>
              </w:rPr>
              <w:t>Date of notice</w:t>
            </w:r>
          </w:p>
        </w:tc>
        <w:tc>
          <w:tcPr>
            <w:tcW w:w="1924" w:type="dxa"/>
            <w:gridSpan w:val="2"/>
            <w:tcBorders>
              <w:bottom w:val="nil"/>
            </w:tcBorders>
          </w:tcPr>
          <w:p>
            <w:pPr>
              <w:pStyle w:val="zyTableNAm"/>
              <w:spacing w:before="20"/>
              <w:rPr>
                <w:sz w:val="20"/>
              </w:rPr>
            </w:pPr>
          </w:p>
        </w:tc>
        <w:tc>
          <w:tcPr>
            <w:tcW w:w="1276" w:type="dxa"/>
            <w:gridSpan w:val="3"/>
            <w:tcBorders>
              <w:bottom w:val="nil"/>
            </w:tcBorders>
          </w:tcPr>
          <w:p>
            <w:pPr>
              <w:pStyle w:val="yTableNAm"/>
              <w:rPr>
                <w:sz w:val="20"/>
              </w:rPr>
            </w:pPr>
            <w:r>
              <w:rPr>
                <w:sz w:val="20"/>
              </w:rPr>
              <w:t>Date of filing</w:t>
            </w:r>
          </w:p>
        </w:tc>
        <w:tc>
          <w:tcPr>
            <w:tcW w:w="2260" w:type="dxa"/>
            <w:gridSpan w:val="3"/>
            <w:tcBorders>
              <w:bottom w:val="nil"/>
            </w:tcBorders>
          </w:tcPr>
          <w:p>
            <w:pPr>
              <w:pStyle w:val="yTableNAm"/>
              <w:rPr>
                <w:sz w:val="20"/>
              </w:rPr>
            </w:pPr>
          </w:p>
        </w:tc>
      </w:tr>
      <w:tr>
        <w:trPr>
          <w:cantSplit/>
        </w:trPr>
        <w:tc>
          <w:tcPr>
            <w:tcW w:w="1620" w:type="dxa"/>
            <w:tcBorders>
              <w:top w:val="single" w:sz="4" w:space="0" w:color="auto"/>
              <w:bottom w:val="single" w:sz="4" w:space="0" w:color="auto"/>
            </w:tcBorders>
          </w:tcPr>
          <w:p>
            <w:pPr>
              <w:pStyle w:val="yTableNAm"/>
              <w:rPr>
                <w:sz w:val="20"/>
              </w:rPr>
            </w:pPr>
            <w:r>
              <w:rPr>
                <w:sz w:val="20"/>
              </w:rPr>
              <w:t>Signature of party appealing or lawyer</w:t>
            </w:r>
          </w:p>
        </w:tc>
        <w:tc>
          <w:tcPr>
            <w:tcW w:w="4192" w:type="dxa"/>
            <w:gridSpan w:val="7"/>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Party appealing/Lawyer</w:t>
            </w:r>
          </w:p>
        </w:tc>
        <w:tc>
          <w:tcPr>
            <w:tcW w:w="1268" w:type="dxa"/>
            <w:tcBorders>
              <w:top w:val="single" w:sz="4" w:space="0" w:color="auto"/>
              <w:bottom w:val="single" w:sz="4" w:space="0" w:color="auto"/>
            </w:tcBorders>
          </w:tcPr>
          <w:p>
            <w:pPr>
              <w:pStyle w:val="yTableNAm"/>
              <w:rPr>
                <w:sz w:val="20"/>
              </w:rPr>
            </w:pPr>
            <w:r>
              <w:rPr>
                <w:sz w:val="20"/>
              </w:rPr>
              <w:t>Date:</w:t>
            </w:r>
          </w:p>
        </w:tc>
      </w:tr>
      <w:tr>
        <w:trPr>
          <w:cantSplit/>
        </w:trPr>
        <w:tc>
          <w:tcPr>
            <w:tcW w:w="1620" w:type="dxa"/>
            <w:vMerge w:val="restart"/>
            <w:tcBorders>
              <w:top w:val="single" w:sz="4" w:space="0" w:color="auto"/>
            </w:tcBorders>
          </w:tcPr>
          <w:p>
            <w:pPr>
              <w:pStyle w:val="yTableNAm"/>
              <w:rPr>
                <w:sz w:val="20"/>
              </w:rPr>
            </w:pPr>
            <w:r>
              <w:rPr>
                <w:sz w:val="20"/>
              </w:rPr>
              <w:t>Contact details of party appealing or lawyer</w:t>
            </w:r>
          </w:p>
        </w:tc>
        <w:tc>
          <w:tcPr>
            <w:tcW w:w="1357" w:type="dxa"/>
            <w:tcBorders>
              <w:top w:val="single" w:sz="4" w:space="0" w:color="auto"/>
              <w:bottom w:val="single" w:sz="4" w:space="0" w:color="auto"/>
            </w:tcBorders>
          </w:tcPr>
          <w:p>
            <w:pPr>
              <w:pStyle w:val="yTableNAm"/>
              <w:rPr>
                <w:sz w:val="20"/>
              </w:rPr>
            </w:pPr>
            <w:r>
              <w:rPr>
                <w:sz w:val="20"/>
              </w:rPr>
              <w:t>Name</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Firm</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Address</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Phone</w:t>
            </w:r>
          </w:p>
        </w:tc>
        <w:tc>
          <w:tcPr>
            <w:tcW w:w="1418" w:type="dxa"/>
            <w:gridSpan w:val="3"/>
            <w:tcBorders>
              <w:top w:val="single" w:sz="4" w:space="0" w:color="auto"/>
              <w:bottom w:val="single" w:sz="4" w:space="0" w:color="auto"/>
            </w:tcBorders>
          </w:tcPr>
          <w:p>
            <w:pPr>
              <w:pStyle w:val="zyTableNAm"/>
              <w:spacing w:before="0"/>
              <w:rPr>
                <w:sz w:val="20"/>
              </w:rPr>
            </w:pPr>
          </w:p>
        </w:tc>
        <w:tc>
          <w:tcPr>
            <w:tcW w:w="850" w:type="dxa"/>
            <w:gridSpan w:val="2"/>
            <w:tcBorders>
              <w:top w:val="single" w:sz="4" w:space="0" w:color="auto"/>
              <w:bottom w:val="single" w:sz="4" w:space="0" w:color="auto"/>
            </w:tcBorders>
          </w:tcPr>
          <w:p>
            <w:pPr>
              <w:pStyle w:val="yTableNAm"/>
              <w:rPr>
                <w:sz w:val="20"/>
              </w:rPr>
            </w:pPr>
            <w:r>
              <w:rPr>
                <w:sz w:val="20"/>
              </w:rPr>
              <w:t>Fax</w:t>
            </w:r>
          </w:p>
        </w:tc>
        <w:tc>
          <w:tcPr>
            <w:tcW w:w="1835" w:type="dxa"/>
            <w:gridSpan w:val="2"/>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Email</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Borders>
              <w:bottom w:val="single" w:sz="4" w:space="0" w:color="auto"/>
            </w:tcBorders>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Reference</w:t>
            </w:r>
          </w:p>
        </w:tc>
        <w:tc>
          <w:tcPr>
            <w:tcW w:w="4103" w:type="dxa"/>
            <w:gridSpan w:val="7"/>
            <w:tcBorders>
              <w:top w:val="single" w:sz="4" w:space="0" w:color="auto"/>
              <w:bottom w:val="single" w:sz="4" w:space="0" w:color="auto"/>
            </w:tcBorders>
          </w:tcPr>
          <w:p>
            <w:pPr>
              <w:pStyle w:val="yTableNAm"/>
              <w:rPr>
                <w:sz w:val="20"/>
              </w:rPr>
            </w:pPr>
          </w:p>
        </w:tc>
      </w:tr>
    </w:tbl>
    <w:p>
      <w:pPr>
        <w:pStyle w:val="yMiscellaneousBody"/>
        <w:ind w:left="540" w:hanging="540"/>
        <w:rPr>
          <w:sz w:val="20"/>
        </w:rPr>
      </w:pPr>
      <w:r>
        <w:rPr>
          <w:sz w:val="20"/>
        </w:rPr>
        <w:t>Notes to Form No. 80A —</w:t>
      </w:r>
    </w:p>
    <w:p>
      <w:pPr>
        <w:pStyle w:val="yMiscellaneousBody"/>
        <w:spacing w:before="0"/>
        <w:ind w:left="540" w:hanging="540"/>
        <w:rPr>
          <w:sz w:val="20"/>
        </w:rPr>
      </w:pPr>
      <w:r>
        <w:rPr>
          <w:sz w:val="20"/>
        </w:rPr>
        <w:t>1.</w:t>
      </w:r>
      <w:r>
        <w:rPr>
          <w:sz w:val="20"/>
        </w:rPr>
        <w:tab/>
        <w:t>The date being 10 days after the date of the order or decision appealed against.  See Order 60A r. 5(1).</w:t>
      </w:r>
    </w:p>
    <w:p>
      <w:pPr>
        <w:pStyle w:val="yMiscellaneousBody"/>
        <w:spacing w:before="0"/>
        <w:ind w:left="540" w:hanging="540"/>
        <w:rPr>
          <w:sz w:val="20"/>
        </w:rPr>
      </w:pPr>
      <w:r>
        <w:rPr>
          <w:sz w:val="20"/>
        </w:rPr>
        <w:t>2.</w:t>
      </w:r>
      <w:r>
        <w:rPr>
          <w:sz w:val="20"/>
        </w:rPr>
        <w:tab/>
        <w:t>For example, filing of further affidavits or submission.</w:t>
      </w:r>
    </w:p>
    <w:p>
      <w:pPr>
        <w:pStyle w:val="yMiscellaneousBody"/>
        <w:spacing w:before="0"/>
        <w:ind w:left="540" w:hanging="540"/>
        <w:rPr>
          <w:sz w:val="20"/>
        </w:rPr>
      </w:pPr>
      <w:r>
        <w:rPr>
          <w:sz w:val="20"/>
        </w:rPr>
        <w:t>3.</w:t>
      </w:r>
      <w:r>
        <w:rPr>
          <w:sz w:val="20"/>
        </w:rPr>
        <w:tab/>
        <w:t>For the period of 32 days beginning on the 14th day after the date of the filing of the appeal notice.  See Order 60A r. 5(3)(e).</w:t>
      </w:r>
    </w:p>
    <w:p>
      <w:pPr>
        <w:pStyle w:val="yFootnotesection"/>
      </w:pPr>
      <w:r>
        <w:tab/>
        <w:t>[Form 80A inserted: Gazette 13 Nov 2015 p. 4654.]</w:t>
      </w:r>
    </w:p>
    <w:p>
      <w:pPr>
        <w:pStyle w:val="yHeading5"/>
      </w:pPr>
      <w:bookmarkStart w:id="1652" w:name="_Toc163121876"/>
      <w:r>
        <w:rPr>
          <w:rStyle w:val="CharSClsNo"/>
        </w:rPr>
        <w:t>80</w:t>
      </w:r>
      <w:r>
        <w:t>.</w:t>
      </w:r>
      <w:r>
        <w:rPr>
          <w:b w:val="0"/>
        </w:rPr>
        <w:tab/>
      </w:r>
      <w:r>
        <w:t>Notice of judgment or order (O. 61 r. 3(3))</w:t>
      </w:r>
      <w:bookmarkEnd w:id="1652"/>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pPr>
        <w:pStyle w:val="yMiscellaneousBody"/>
        <w:spacing w:before="120"/>
        <w:rPr>
          <w:sz w:val="20"/>
        </w:rPr>
      </w:pPr>
      <w:r>
        <w:rPr>
          <w:sz w:val="20"/>
        </w:rPr>
        <w:lastRenderedPageBreak/>
        <w:t>And also take notice that from the time of the service of this notice you [</w:t>
      </w:r>
      <w:r>
        <w:rPr>
          <w:i/>
          <w:sz w:val="20"/>
        </w:rPr>
        <w:t>or</w:t>
      </w:r>
      <w:r>
        <w:rPr>
          <w:sz w:val="20"/>
        </w:rPr>
        <w:t xml:space="preserve"> the infant</w:t>
      </w:r>
      <w:r>
        <w:rPr>
          <w:sz w:val="20"/>
        </w:rPr>
        <w:br/>
        <w:t xml:space="preserve">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pPr>
        <w:pStyle w:val="yMiscellaneousBody"/>
        <w:spacing w:before="120"/>
        <w:rPr>
          <w:sz w:val="20"/>
        </w:rPr>
      </w:pPr>
      <w:r>
        <w:rPr>
          <w:sz w:val="20"/>
        </w:rPr>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pPr>
        <w:pStyle w:val="yMiscellaneousBody"/>
        <w:spacing w:before="120"/>
        <w:rPr>
          <w:sz w:val="20"/>
        </w:rPr>
      </w:pPr>
      <w:r>
        <w:rPr>
          <w:sz w:val="20"/>
        </w:rPr>
        <w:t>Dated the                day of                                        20     .</w:t>
      </w:r>
    </w:p>
    <w:p>
      <w:pPr>
        <w:pStyle w:val="yMiscellaneousBody"/>
        <w:spacing w:before="120"/>
        <w:jc w:val="center"/>
        <w:rPr>
          <w:sz w:val="20"/>
        </w:rPr>
      </w:pPr>
      <w:r>
        <w:rPr>
          <w:sz w:val="20"/>
        </w:rPr>
        <w:t>(Signed)</w:t>
      </w:r>
    </w:p>
    <w:p>
      <w:pPr>
        <w:pStyle w:val="yMiscellaneousBody"/>
        <w:spacing w:before="120"/>
        <w:rPr>
          <w:sz w:val="20"/>
        </w:rPr>
      </w:pPr>
      <w:r>
        <w:rPr>
          <w:sz w:val="20"/>
        </w:rPr>
        <w:t>To</w:t>
      </w:r>
    </w:p>
    <w:p>
      <w:pPr>
        <w:pStyle w:val="yFootnotesection"/>
      </w:pPr>
      <w:r>
        <w:tab/>
        <w:t>[Form 80 amended: Gazette 22 Jul 1984 p. 3748; 28 Jun 2011 p. 2561.]</w:t>
      </w:r>
    </w:p>
    <w:p>
      <w:pPr>
        <w:pStyle w:val="yHeading5"/>
        <w:spacing w:before="480" w:after="120"/>
      </w:pPr>
      <w:bookmarkStart w:id="1653" w:name="_Toc163121877"/>
      <w:r>
        <w:rPr>
          <w:rStyle w:val="CharSClsNo"/>
        </w:rPr>
        <w:t>81</w:t>
      </w:r>
      <w:r>
        <w:t>.</w:t>
      </w:r>
      <w:r>
        <w:rPr>
          <w:b w:val="0"/>
        </w:rPr>
        <w:tab/>
      </w:r>
      <w:r>
        <w:t>Advertisement for creditors (O. 61 r. 15(2))</w:t>
      </w:r>
      <w:bookmarkEnd w:id="1653"/>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S. against P., the creditors of A.B., late of                             </w:t>
      </w:r>
      <w:r>
        <w:rPr>
          <w:sz w:val="20"/>
        </w:rPr>
        <w:br/>
        <w:t xml:space="preserve">                                 , who died on                                        , are to send by post prepaid 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pPr>
        <w:pStyle w:val="yMiscellaneousBody"/>
        <w:spacing w:before="120"/>
        <w:rPr>
          <w:sz w:val="20"/>
        </w:rPr>
      </w:pPr>
      <w:r>
        <w:rPr>
          <w:sz w:val="20"/>
        </w:rPr>
        <w:t>Every creditor holding any security is to produce the same at the office of the master at the Supreme Court, Perth, on the                day of                      20     ,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rPr>
          <w:sz w:val="20"/>
        </w:rPr>
      </w:pPr>
      <w:r>
        <w:rPr>
          <w:i/>
          <w:sz w:val="20"/>
        </w:rPr>
        <w:t>(Signature and address of the solicitor of the party prosecuting the judgment or order).</w:t>
      </w:r>
    </w:p>
    <w:p>
      <w:pPr>
        <w:pStyle w:val="yFootnotesection"/>
      </w:pPr>
      <w:r>
        <w:tab/>
        <w:t>[Form 81 amended: Gazette 28 Jun 2011 p. 2561.]</w:t>
      </w:r>
    </w:p>
    <w:p>
      <w:pPr>
        <w:pStyle w:val="yHeading5"/>
        <w:spacing w:after="120"/>
      </w:pPr>
      <w:bookmarkStart w:id="1654" w:name="_Toc163121878"/>
      <w:r>
        <w:rPr>
          <w:rStyle w:val="CharSClsNo"/>
        </w:rPr>
        <w:t>82</w:t>
      </w:r>
      <w:r>
        <w:t>.</w:t>
      </w:r>
      <w:r>
        <w:rPr>
          <w:b w:val="0"/>
        </w:rPr>
        <w:tab/>
      </w:r>
      <w:r>
        <w:t>Advertisement for claimants other than creditors (O. 61 r. 15(2))</w:t>
      </w:r>
      <w:bookmarkEnd w:id="1654"/>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(late of                                   ) who died on the                             </w:t>
      </w:r>
      <w:r>
        <w:rPr>
          <w:sz w:val="20"/>
        </w:rPr>
        <w:br/>
        <w:t xml:space="preserve">                        , S. against P. the following inquiry was [</w:t>
      </w:r>
      <w:r>
        <w:rPr>
          <w:i/>
          <w:sz w:val="20"/>
        </w:rPr>
        <w:t>or</w:t>
      </w:r>
      <w:r>
        <w:rPr>
          <w:sz w:val="20"/>
        </w:rPr>
        <w:t xml:space="preserve"> inquiries were] directed, viz.:</w:t>
      </w:r>
    </w:p>
    <w:p>
      <w:pPr>
        <w:pStyle w:val="yMiscellaneousBody"/>
        <w:spacing w:before="120"/>
        <w:jc w:val="center"/>
        <w:rPr>
          <w:sz w:val="20"/>
        </w:rPr>
      </w:pPr>
      <w:r>
        <w:rPr>
          <w:sz w:val="20"/>
        </w:rPr>
        <w:lastRenderedPageBreak/>
        <w:t>[</w:t>
      </w:r>
      <w:r>
        <w:rPr>
          <w:i/>
          <w:sz w:val="20"/>
        </w:rPr>
        <w:t>Set out inquiry or inquiries</w:t>
      </w:r>
      <w:r>
        <w:rPr>
          <w:sz w:val="20"/>
        </w:rPr>
        <w:t>.]</w:t>
      </w:r>
    </w:p>
    <w:p>
      <w:pPr>
        <w:pStyle w:val="yMiscellaneousBody"/>
        <w:spacing w:before="120"/>
        <w:rPr>
          <w:sz w:val="20"/>
        </w:rPr>
      </w:pPr>
      <w:r>
        <w:rPr>
          <w:sz w:val="20"/>
        </w:rPr>
        <w:t>Notice is hereby given that all persons claiming to be entitled under the said inquiry [</w:t>
      </w:r>
      <w:r>
        <w:rPr>
          <w:i/>
          <w:sz w:val="20"/>
        </w:rPr>
        <w:t>or</w:t>
      </w:r>
      <w:r>
        <w:rPr>
          <w:sz w:val="20"/>
        </w:rPr>
        <w:t xml:space="preserve"> inquiries] are to send by post prepaid to                             of                                 so as to reach that address on or before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Supreme Court, David Malcolm Justice Centre, 28 Barrack Street, Perth, on                   </w:t>
      </w:r>
      <w:r>
        <w:rPr>
          <w:sz w:val="20"/>
        </w:rPr>
        <w:br/>
        <w:t xml:space="preserve">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jc w:val="right"/>
        <w:rPr>
          <w:sz w:val="20"/>
        </w:rPr>
      </w:pPr>
      <w:r>
        <w:rPr>
          <w:sz w:val="20"/>
        </w:rPr>
        <w:t>Master.</w:t>
      </w:r>
    </w:p>
    <w:p>
      <w:pPr>
        <w:pStyle w:val="yMiscellaneousBody"/>
        <w:spacing w:before="120"/>
        <w:rPr>
          <w:sz w:val="20"/>
        </w:rPr>
      </w:pPr>
      <w:r>
        <w:rPr>
          <w:sz w:val="20"/>
        </w:rPr>
        <w:t>[</w:t>
      </w:r>
      <w:r>
        <w:rPr>
          <w:i/>
          <w:sz w:val="20"/>
        </w:rPr>
        <w:t>Add name and address of the solicitor of the party prosecuting the judgment or order and state on whose behalf he is acting.</w:t>
      </w:r>
      <w:r>
        <w:rPr>
          <w:sz w:val="20"/>
        </w:rPr>
        <w:t>]</w:t>
      </w:r>
    </w:p>
    <w:p>
      <w:pPr>
        <w:pStyle w:val="yFootnotesection"/>
      </w:pPr>
      <w:r>
        <w:tab/>
        <w:t>[Form 82 amended: Gazette 28 Jun 2011 p. 2561; 16 Nov 2016 p. 5216; 16 Aug 2017 p. 4424.]</w:t>
      </w:r>
    </w:p>
    <w:p>
      <w:pPr>
        <w:pStyle w:val="yEdnotedivision"/>
        <w:outlineLvl w:val="9"/>
      </w:pPr>
      <w:r>
        <w:t>[Forms 82A, 82AA and 82B deleted: Gazette 29 Apr 2005 p. 1800.]</w:t>
      </w:r>
    </w:p>
    <w:p>
      <w:pPr>
        <w:pStyle w:val="yHeading5"/>
        <w:spacing w:before="240" w:after="120"/>
      </w:pPr>
      <w:bookmarkStart w:id="1655" w:name="_Toc163121879"/>
      <w:r>
        <w:rPr>
          <w:rStyle w:val="CharSClsNo"/>
        </w:rPr>
        <w:t>83</w:t>
      </w:r>
      <w:r>
        <w:t>.</w:t>
      </w:r>
      <w:r>
        <w:rPr>
          <w:b w:val="0"/>
        </w:rPr>
        <w:tab/>
      </w:r>
      <w:r>
        <w:t>Appeal notice (O. 65 r. 10)</w:t>
      </w:r>
      <w:bookmarkEnd w:id="165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1023"/>
      </w:tblGrid>
      <w:tr>
        <w:trPr>
          <w:cantSplit/>
          <w:trHeight w:val="329"/>
        </w:trPr>
        <w:tc>
          <w:tcPr>
            <w:tcW w:w="3686" w:type="dxa"/>
            <w:gridSpan w:val="2"/>
            <w:vMerge w:val="restart"/>
          </w:tcPr>
          <w:p>
            <w:pPr>
              <w:pStyle w:val="yTableNAm"/>
              <w:spacing w:before="20"/>
              <w:rPr>
                <w:sz w:val="20"/>
              </w:rPr>
            </w:pPr>
            <w:r>
              <w:rPr>
                <w:sz w:val="20"/>
              </w:rPr>
              <w:t>Supreme Court of Western Australia</w:t>
            </w:r>
          </w:p>
          <w:p>
            <w:pPr>
              <w:pStyle w:val="yTableNAm"/>
              <w:spacing w:before="20"/>
              <w:rPr>
                <w:b/>
                <w:i/>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vAlign w:val="center"/>
          </w:tcPr>
          <w:p>
            <w:pPr>
              <w:pStyle w:val="yTableNAm"/>
              <w:spacing w:before="20"/>
              <w:rPr>
                <w:sz w:val="20"/>
              </w:rPr>
            </w:pPr>
            <w:r>
              <w:rPr>
                <w:b/>
                <w:sz w:val="20"/>
              </w:rPr>
              <w:t>Appeal notice</w:t>
            </w:r>
          </w:p>
        </w:tc>
      </w:tr>
      <w:tr>
        <w:trPr>
          <w:cantSplit/>
        </w:trPr>
        <w:tc>
          <w:tcPr>
            <w:tcW w:w="1620" w:type="dxa"/>
            <w:tcBorders>
              <w:bottom w:val="nil"/>
            </w:tcBorders>
          </w:tcPr>
          <w:p>
            <w:pPr>
              <w:pStyle w:val="yTableNAm"/>
              <w:spacing w:before="20"/>
              <w:rPr>
                <w:sz w:val="20"/>
              </w:rPr>
            </w:pPr>
            <w:r>
              <w:rPr>
                <w:sz w:val="20"/>
              </w:rPr>
              <w:t>Parties to the appeal</w:t>
            </w:r>
          </w:p>
        </w:tc>
        <w:tc>
          <w:tcPr>
            <w:tcW w:w="5460" w:type="dxa"/>
            <w:gridSpan w:val="3"/>
            <w:tcBorders>
              <w:bottom w:val="nil"/>
            </w:tcBorders>
          </w:tcPr>
          <w:p>
            <w:pPr>
              <w:pStyle w:val="yTableNAm"/>
              <w:tabs>
                <w:tab w:val="clear" w:pos="567"/>
                <w:tab w:val="left" w:pos="3244"/>
              </w:tabs>
              <w:spacing w:before="20"/>
              <w:rPr>
                <w:sz w:val="20"/>
              </w:rPr>
            </w:pPr>
            <w:r>
              <w:rPr>
                <w:sz w:val="20"/>
              </w:rPr>
              <w:tab/>
              <w:t>Appellant</w:t>
            </w:r>
          </w:p>
          <w:p>
            <w:pPr>
              <w:pStyle w:val="yTableNAm"/>
              <w:tabs>
                <w:tab w:val="clear" w:pos="567"/>
                <w:tab w:val="left" w:pos="3244"/>
              </w:tabs>
              <w:spacing w:before="20"/>
              <w:rPr>
                <w:sz w:val="20"/>
              </w:rPr>
            </w:pPr>
            <w:r>
              <w:rPr>
                <w:sz w:val="20"/>
              </w:rPr>
              <w:tab/>
              <w:t>Respondent</w:t>
            </w:r>
          </w:p>
        </w:tc>
      </w:tr>
      <w:tr>
        <w:trPr>
          <w:cantSplit/>
        </w:trPr>
        <w:tc>
          <w:tcPr>
            <w:tcW w:w="7080" w:type="dxa"/>
            <w:gridSpan w:val="4"/>
            <w:tcBorders>
              <w:bottom w:val="nil"/>
            </w:tcBorders>
          </w:tcPr>
          <w:p>
            <w:pPr>
              <w:pStyle w:val="yTableNAm"/>
              <w:spacing w:before="20"/>
              <w:rPr>
                <w:b/>
                <w:sz w:val="20"/>
              </w:rPr>
            </w:pPr>
            <w:r>
              <w:rPr>
                <w:b/>
                <w:sz w:val="20"/>
              </w:rPr>
              <w:t>Primary court’s decision</w:t>
            </w:r>
          </w:p>
        </w:tc>
      </w:tr>
      <w:tr>
        <w:trPr>
          <w:cantSplit/>
        </w:trPr>
        <w:tc>
          <w:tcPr>
            <w:tcW w:w="1620" w:type="dxa"/>
            <w:tcBorders>
              <w:bottom w:val="single" w:sz="4" w:space="0" w:color="auto"/>
            </w:tcBorders>
          </w:tcPr>
          <w:p>
            <w:pPr>
              <w:pStyle w:val="yTableNAm"/>
              <w:spacing w:before="20"/>
              <w:rPr>
                <w:sz w:val="20"/>
              </w:rPr>
            </w:pPr>
            <w:r>
              <w:rPr>
                <w:sz w:val="20"/>
              </w:rPr>
              <w:t>Primary court</w:t>
            </w:r>
          </w:p>
          <w:p>
            <w:pPr>
              <w:pStyle w:val="yTableNAm"/>
              <w:spacing w:before="20"/>
              <w:rPr>
                <w:sz w:val="20"/>
              </w:rPr>
            </w:pPr>
            <w:r>
              <w:rPr>
                <w:sz w:val="20"/>
              </w:rPr>
              <w:t>Case number</w:t>
            </w:r>
          </w:p>
          <w:p>
            <w:pPr>
              <w:pStyle w:val="yTableNAm"/>
              <w:spacing w:before="20"/>
              <w:rPr>
                <w:sz w:val="20"/>
              </w:rPr>
            </w:pPr>
            <w:r>
              <w:rPr>
                <w:sz w:val="20"/>
              </w:rPr>
              <w:t>Parties</w:t>
            </w:r>
          </w:p>
          <w:p>
            <w:pPr>
              <w:pStyle w:val="yTableNAm"/>
              <w:spacing w:before="20"/>
              <w:rPr>
                <w:sz w:val="20"/>
              </w:rPr>
            </w:pPr>
            <w:r>
              <w:rPr>
                <w:sz w:val="20"/>
              </w:rPr>
              <w:t>Date of decision</w:t>
            </w:r>
          </w:p>
          <w:p>
            <w:pPr>
              <w:pStyle w:val="yTableNAm"/>
              <w:spacing w:before="20"/>
              <w:rPr>
                <w:sz w:val="20"/>
              </w:rPr>
            </w:pPr>
            <w:r>
              <w:rPr>
                <w:sz w:val="20"/>
              </w:rPr>
              <w:t>Judicial officer</w:t>
            </w:r>
          </w:p>
        </w:tc>
        <w:tc>
          <w:tcPr>
            <w:tcW w:w="5460" w:type="dxa"/>
            <w:gridSpan w:val="3"/>
            <w:tcBorders>
              <w:bottom w:val="single" w:sz="4" w:space="0" w:color="auto"/>
            </w:tcBorders>
          </w:tcPr>
          <w:p>
            <w:pPr>
              <w:pStyle w:val="yTableNAm"/>
              <w:tabs>
                <w:tab w:val="clear" w:pos="567"/>
                <w:tab w:val="left" w:pos="3244"/>
              </w:tabs>
              <w:spacing w:before="20"/>
              <w:rPr>
                <w:sz w:val="20"/>
              </w:rPr>
            </w:pPr>
            <w:r>
              <w:rPr>
                <w:sz w:val="20"/>
              </w:rPr>
              <w:tab/>
              <w:t>at</w:t>
            </w:r>
          </w:p>
        </w:tc>
      </w:tr>
      <w:tr>
        <w:tc>
          <w:tcPr>
            <w:tcW w:w="1620" w:type="dxa"/>
            <w:tcBorders>
              <w:bottom w:val="single" w:sz="4" w:space="0" w:color="auto"/>
            </w:tcBorders>
          </w:tcPr>
          <w:p>
            <w:pPr>
              <w:pStyle w:val="yTableNAm"/>
              <w:spacing w:before="20"/>
              <w:rPr>
                <w:sz w:val="20"/>
              </w:rPr>
            </w:pPr>
            <w:r>
              <w:rPr>
                <w:sz w:val="20"/>
              </w:rPr>
              <w:t>Decision details</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top w:val="single" w:sz="4" w:space="0" w:color="auto"/>
              <w:bottom w:val="nil"/>
            </w:tcBorders>
          </w:tcPr>
          <w:p>
            <w:pPr>
              <w:pStyle w:val="yTableNAm"/>
              <w:spacing w:before="20"/>
              <w:rPr>
                <w:b/>
                <w:sz w:val="20"/>
              </w:rPr>
            </w:pPr>
            <w:r>
              <w:rPr>
                <w:b/>
                <w:sz w:val="20"/>
              </w:rPr>
              <w:t>Appeal details</w:t>
            </w:r>
          </w:p>
        </w:tc>
      </w:tr>
      <w:tr>
        <w:tc>
          <w:tcPr>
            <w:tcW w:w="1620" w:type="dxa"/>
          </w:tcPr>
          <w:p>
            <w:pPr>
              <w:pStyle w:val="yTableNAm"/>
              <w:spacing w:before="20"/>
              <w:rPr>
                <w:sz w:val="20"/>
              </w:rPr>
            </w:pPr>
            <w:r>
              <w:rPr>
                <w:sz w:val="20"/>
              </w:rPr>
              <w:t>Notice of appeal</w:t>
            </w:r>
          </w:p>
        </w:tc>
        <w:tc>
          <w:tcPr>
            <w:tcW w:w="5460" w:type="dxa"/>
            <w:gridSpan w:val="3"/>
          </w:tcPr>
          <w:p>
            <w:pPr>
              <w:pStyle w:val="yTableNAm"/>
              <w:spacing w:before="20"/>
              <w:rPr>
                <w:sz w:val="20"/>
              </w:rPr>
            </w:pPr>
            <w:r>
              <w:rPr>
                <w:sz w:val="20"/>
              </w:rPr>
              <w:t>The appellant appeals to the Supreme Court (General Division) against the above decision.</w:t>
            </w:r>
          </w:p>
        </w:tc>
      </w:tr>
      <w:tr>
        <w:trPr>
          <w:cantSplit/>
        </w:trPr>
        <w:tc>
          <w:tcPr>
            <w:tcW w:w="1620" w:type="dxa"/>
          </w:tcPr>
          <w:p>
            <w:pPr>
              <w:pStyle w:val="yTableNAm"/>
              <w:spacing w:before="20"/>
              <w:rPr>
                <w:sz w:val="20"/>
              </w:rPr>
            </w:pPr>
            <w:r>
              <w:rPr>
                <w:sz w:val="20"/>
              </w:rPr>
              <w:t>Act that allows the appeal</w:t>
            </w:r>
            <w:r>
              <w:rPr>
                <w:sz w:val="20"/>
                <w:vertAlign w:val="superscript"/>
              </w:rPr>
              <w:t>1</w:t>
            </w:r>
          </w:p>
        </w:tc>
        <w:tc>
          <w:tcPr>
            <w:tcW w:w="5460" w:type="dxa"/>
            <w:gridSpan w:val="3"/>
          </w:tcPr>
          <w:p>
            <w:pPr>
              <w:pStyle w:val="yTableNAm"/>
              <w:tabs>
                <w:tab w:val="clear" w:pos="567"/>
                <w:tab w:val="left" w:pos="2764"/>
              </w:tabs>
              <w:spacing w:before="20"/>
              <w:rPr>
                <w:sz w:val="20"/>
              </w:rPr>
            </w:pPr>
            <w:r>
              <w:rPr>
                <w:sz w:val="20"/>
              </w:rPr>
              <w:tab/>
              <w:t>section:</w:t>
            </w:r>
          </w:p>
        </w:tc>
      </w:tr>
      <w:tr>
        <w:trPr>
          <w:cantSplit/>
        </w:trPr>
        <w:tc>
          <w:tcPr>
            <w:tcW w:w="1620" w:type="dxa"/>
          </w:tcPr>
          <w:p>
            <w:pPr>
              <w:pStyle w:val="yTableNAm"/>
              <w:spacing w:before="20"/>
              <w:rPr>
                <w:sz w:val="20"/>
              </w:rPr>
            </w:pPr>
            <w:r>
              <w:rPr>
                <w:sz w:val="20"/>
              </w:rPr>
              <w:t>Grounds of appeal</w:t>
            </w:r>
            <w:r>
              <w:rPr>
                <w:sz w:val="20"/>
                <w:vertAlign w:val="superscript"/>
              </w:rPr>
              <w:t>2</w:t>
            </w:r>
          </w:p>
        </w:tc>
        <w:tc>
          <w:tcPr>
            <w:tcW w:w="5460" w:type="dxa"/>
            <w:gridSpan w:val="3"/>
          </w:tcPr>
          <w:p>
            <w:pPr>
              <w:pStyle w:val="yTableNAm"/>
              <w:spacing w:before="20"/>
              <w:rPr>
                <w:sz w:val="20"/>
              </w:rPr>
            </w:pPr>
            <w:r>
              <w:rPr>
                <w:sz w:val="20"/>
              </w:rPr>
              <w:t>1.</w:t>
            </w:r>
          </w:p>
        </w:tc>
      </w:tr>
      <w:tr>
        <w:trPr>
          <w:cantSplit/>
        </w:trPr>
        <w:tc>
          <w:tcPr>
            <w:tcW w:w="1620" w:type="dxa"/>
          </w:tcPr>
          <w:p>
            <w:pPr>
              <w:pStyle w:val="yTableNAm"/>
              <w:spacing w:before="20"/>
              <w:rPr>
                <w:sz w:val="20"/>
              </w:rPr>
            </w:pPr>
            <w:r>
              <w:rPr>
                <w:sz w:val="20"/>
              </w:rPr>
              <w:lastRenderedPageBreak/>
              <w:t>Notice to the respondent</w:t>
            </w:r>
          </w:p>
        </w:tc>
        <w:tc>
          <w:tcPr>
            <w:tcW w:w="5460" w:type="dxa"/>
            <w:gridSpan w:val="3"/>
          </w:tcPr>
          <w:p>
            <w:pPr>
              <w:pStyle w:val="yTableNAm"/>
              <w:spacing w:before="20"/>
              <w:rPr>
                <w:sz w:val="20"/>
              </w:rPr>
            </w:pPr>
            <w:r>
              <w:rPr>
                <w:sz w:val="20"/>
              </w:rPr>
              <w:t xml:space="preserve">If you want to take part in this appeal you must file a Form No. 85 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NAm"/>
              <w:spacing w:before="20"/>
              <w:rPr>
                <w:sz w:val="20"/>
              </w:rPr>
            </w:pPr>
            <w:r>
              <w:rPr>
                <w:sz w:val="20"/>
              </w:rPr>
              <w:t>Last date for appealing</w:t>
            </w:r>
          </w:p>
        </w:tc>
        <w:tc>
          <w:tcPr>
            <w:tcW w:w="5460" w:type="dxa"/>
            <w:gridSpan w:val="3"/>
            <w:tcBorders>
              <w:bottom w:val="nil"/>
            </w:tcBorders>
          </w:tcPr>
          <w:p>
            <w:pPr>
              <w:pStyle w:val="yTableNAm"/>
              <w:spacing w:before="20"/>
              <w:rPr>
                <w:sz w:val="20"/>
              </w:rPr>
            </w:pPr>
            <w:r>
              <w:rPr>
                <w:sz w:val="20"/>
              </w:rPr>
              <w:t>Last date:</w:t>
            </w:r>
          </w:p>
          <w:p>
            <w:pPr>
              <w:pStyle w:val="yTableNAm"/>
              <w:spacing w:before="20"/>
              <w:rPr>
                <w:sz w:val="20"/>
              </w:rPr>
            </w:pPr>
            <w:r>
              <w:rPr>
                <w:sz w:val="20"/>
              </w:rPr>
              <w:t>Is an extension of time needed? Yes/No</w:t>
            </w:r>
          </w:p>
        </w:tc>
      </w:tr>
      <w:tr>
        <w:trPr>
          <w:cantSplit/>
        </w:trPr>
        <w:tc>
          <w:tcPr>
            <w:tcW w:w="1620" w:type="dxa"/>
            <w:tcBorders>
              <w:bottom w:val="nil"/>
            </w:tcBorders>
          </w:tcPr>
          <w:p>
            <w:pPr>
              <w:pStyle w:val="yTableNAm"/>
              <w:spacing w:before="20"/>
              <w:rPr>
                <w:sz w:val="20"/>
              </w:rPr>
            </w:pPr>
            <w:r>
              <w:rPr>
                <w:sz w:val="20"/>
              </w:rPr>
              <w:t>Leave to appeal</w:t>
            </w:r>
          </w:p>
        </w:tc>
        <w:tc>
          <w:tcPr>
            <w:tcW w:w="5460" w:type="dxa"/>
            <w:gridSpan w:val="3"/>
            <w:tcBorders>
              <w:bottom w:val="nil"/>
            </w:tcBorders>
          </w:tcPr>
          <w:p>
            <w:pPr>
              <w:pStyle w:val="yTableNAm"/>
              <w:spacing w:before="20"/>
              <w:rPr>
                <w:sz w:val="20"/>
              </w:rPr>
            </w:pPr>
            <w:r>
              <w:rPr>
                <w:sz w:val="20"/>
              </w:rPr>
              <w:t>Is leave to appeal needed? Yes/No</w:t>
            </w:r>
          </w:p>
          <w:p>
            <w:pPr>
              <w:pStyle w:val="yTableNAm"/>
              <w:spacing w:before="20"/>
              <w:rPr>
                <w:sz w:val="20"/>
              </w:rPr>
            </w:pPr>
            <w:r>
              <w:rPr>
                <w:sz w:val="20"/>
              </w:rPr>
              <w:t>If yes, state the Act and section requiring leave:</w:t>
            </w:r>
          </w:p>
        </w:tc>
      </w:tr>
      <w:tr>
        <w:trPr>
          <w:cantSplit/>
        </w:trPr>
        <w:tc>
          <w:tcPr>
            <w:tcW w:w="1620" w:type="dxa"/>
            <w:tcBorders>
              <w:bottom w:val="nil"/>
            </w:tcBorders>
          </w:tcPr>
          <w:p>
            <w:pPr>
              <w:pStyle w:val="yTableNAm"/>
              <w:spacing w:before="20"/>
              <w:rPr>
                <w:sz w:val="20"/>
              </w:rPr>
            </w:pPr>
            <w:r>
              <w:rPr>
                <w:sz w:val="20"/>
              </w:rPr>
              <w:t>Legal representation</w:t>
            </w:r>
          </w:p>
        </w:tc>
        <w:tc>
          <w:tcPr>
            <w:tcW w:w="5460" w:type="dxa"/>
            <w:gridSpan w:val="3"/>
            <w:tcBorders>
              <w:bottom w:val="nil"/>
            </w:tcBorders>
          </w:tcPr>
          <w:p>
            <w:pPr>
              <w:pStyle w:val="yTableNAm"/>
              <w:spacing w:before="20"/>
              <w:rPr>
                <w:sz w:val="20"/>
              </w:rPr>
            </w:pPr>
            <w:r>
              <w:rPr>
                <w:sz w:val="20"/>
              </w:rPr>
              <w:t>Is the appellant legally represented in this appeal? Yes/No</w:t>
            </w:r>
            <w:r>
              <w:rPr>
                <w:sz w:val="20"/>
                <w:vertAlign w:val="superscript"/>
              </w:rPr>
              <w:t>3</w:t>
            </w:r>
          </w:p>
          <w:p>
            <w:pPr>
              <w:pStyle w:val="yTableNAm"/>
              <w:spacing w:before="20"/>
              <w:rPr>
                <w:sz w:val="20"/>
              </w:rPr>
            </w:pPr>
            <w:r>
              <w:rPr>
                <w:sz w:val="20"/>
              </w:rPr>
              <w:t>Is the appellant applying for legal aid? Yes/No</w:t>
            </w:r>
          </w:p>
        </w:tc>
      </w:tr>
      <w:tr>
        <w:trPr>
          <w:cantSplit/>
        </w:trPr>
        <w:tc>
          <w:tcPr>
            <w:tcW w:w="7080" w:type="dxa"/>
            <w:gridSpan w:val="4"/>
            <w:tcBorders>
              <w:bottom w:val="single" w:sz="4" w:space="0" w:color="auto"/>
            </w:tcBorders>
          </w:tcPr>
          <w:p>
            <w:pPr>
              <w:pStyle w:val="yTableNAm"/>
              <w:spacing w:before="20"/>
              <w:rPr>
                <w:b/>
                <w:sz w:val="20"/>
              </w:rPr>
            </w:pPr>
            <w:r>
              <w:rPr>
                <w:b/>
                <w:sz w:val="20"/>
              </w:rPr>
              <w:t>Appellant’s details</w:t>
            </w:r>
          </w:p>
        </w:tc>
      </w:tr>
      <w:tr>
        <w:trPr>
          <w:cantSplit/>
        </w:trPr>
        <w:tc>
          <w:tcPr>
            <w:tcW w:w="1620" w:type="dxa"/>
            <w:tcBorders>
              <w:bottom w:val="single" w:sz="4" w:space="0" w:color="auto"/>
            </w:tcBorders>
          </w:tcPr>
          <w:p>
            <w:pPr>
              <w:pStyle w:val="yTableNAm"/>
              <w:spacing w:before="20"/>
              <w:rPr>
                <w:sz w:val="20"/>
              </w:rPr>
            </w:pPr>
            <w:r>
              <w:rPr>
                <w:sz w:val="20"/>
              </w:rPr>
              <w:t>Appellant’s geographical address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1620" w:type="dxa"/>
            <w:tcBorders>
              <w:bottom w:val="single" w:sz="4" w:space="0" w:color="auto"/>
            </w:tcBorders>
          </w:tcPr>
          <w:p>
            <w:pPr>
              <w:pStyle w:val="yTableNAm"/>
              <w:spacing w:before="20"/>
              <w:rPr>
                <w:sz w:val="20"/>
              </w:rPr>
            </w:pPr>
            <w:r>
              <w:rPr>
                <w:sz w:val="20"/>
              </w:rPr>
              <w:t>Appellant’s service details</w:t>
            </w:r>
            <w:r>
              <w:rPr>
                <w:sz w:val="20"/>
                <w:vertAlign w:val="superscript"/>
              </w:rPr>
              <w:t>4</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023"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keepNext/>
        <w:spacing w:before="0"/>
        <w:ind w:left="540" w:hanging="540"/>
        <w:rPr>
          <w:sz w:val="20"/>
        </w:rPr>
      </w:pPr>
      <w:r>
        <w:rPr>
          <w:sz w:val="20"/>
        </w:rPr>
        <w:t>3.</w:t>
      </w:r>
      <w:r>
        <w:rPr>
          <w:sz w:val="20"/>
        </w:rPr>
        <w:tab/>
        <w:t>Must be provided unless otherwise ordered by the Court.  See Order 71A r. 2 and 3A.</w:t>
      </w:r>
    </w:p>
    <w:p>
      <w:pPr>
        <w:pStyle w:val="yMiscellaneousBody"/>
        <w:keepNext/>
        <w:spacing w:before="0"/>
        <w:ind w:left="540" w:hanging="540"/>
        <w:rPr>
          <w:sz w:val="20"/>
        </w:rPr>
      </w:pPr>
      <w:r>
        <w:rPr>
          <w:sz w:val="20"/>
        </w:rPr>
        <w:t>4.</w:t>
      </w:r>
      <w:r>
        <w:rPr>
          <w:sz w:val="20"/>
        </w:rPr>
        <w:tab/>
        <w:t>Must be in accordance with Order 71A.</w:t>
      </w:r>
    </w:p>
    <w:p>
      <w:pPr>
        <w:pStyle w:val="yFootnotesection"/>
      </w:pPr>
      <w:r>
        <w:tab/>
        <w:t>[Form 83 inserted: Gazette 21 Feb 2007 p. 572</w:t>
      </w:r>
      <w:r>
        <w:noBreakHyphen/>
        <w:t>3; amended: Gazette 13 Nov 2015 p. 4655; 27 Feb 2018 p. 623.]</w:t>
      </w:r>
    </w:p>
    <w:p>
      <w:pPr>
        <w:pStyle w:val="yHeading5"/>
        <w:spacing w:before="480" w:after="120"/>
      </w:pPr>
      <w:bookmarkStart w:id="1656" w:name="_Toc163121880"/>
      <w:r>
        <w:rPr>
          <w:rStyle w:val="CharSClsNo"/>
        </w:rPr>
        <w:lastRenderedPageBreak/>
        <w:t>84</w:t>
      </w:r>
      <w:r>
        <w:t>.</w:t>
      </w:r>
      <w:r>
        <w:tab/>
        <w:t>Service certificate (O. 65 r. 10(7))</w:t>
      </w:r>
      <w:bookmarkEnd w:id="165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keepNext/>
              <w:rPr>
                <w:sz w:val="20"/>
              </w:rPr>
            </w:pPr>
            <w:r>
              <w:rPr>
                <w:sz w:val="20"/>
              </w:rPr>
              <w:t>Supreme Court of Western Australia</w:t>
            </w:r>
          </w:p>
          <w:p>
            <w:pPr>
              <w:pStyle w:val="yTableNAm"/>
              <w:keepNext/>
              <w:spacing w:before="0"/>
              <w:rPr>
                <w:b/>
                <w:sz w:val="20"/>
              </w:rPr>
            </w:pPr>
            <w:r>
              <w:rPr>
                <w:sz w:val="20"/>
              </w:rPr>
              <w:t>General Division</w:t>
            </w:r>
          </w:p>
        </w:tc>
        <w:tc>
          <w:tcPr>
            <w:tcW w:w="3394" w:type="dxa"/>
            <w:gridSpan w:val="2"/>
            <w:tcBorders>
              <w:bottom w:val="nil"/>
            </w:tcBorders>
            <w:vAlign w:val="center"/>
          </w:tcPr>
          <w:p>
            <w:pPr>
              <w:pStyle w:val="yTableNAm"/>
              <w:keepNext/>
              <w:rPr>
                <w:sz w:val="20"/>
              </w:rPr>
            </w:pPr>
            <w:r>
              <w:rPr>
                <w:sz w:val="20"/>
              </w:rPr>
              <w:t>No:</w:t>
            </w:r>
          </w:p>
        </w:tc>
      </w:tr>
      <w:tr>
        <w:trPr>
          <w:cantSplit/>
          <w:trHeight w:val="328"/>
        </w:trPr>
        <w:tc>
          <w:tcPr>
            <w:tcW w:w="3686" w:type="dxa"/>
            <w:gridSpan w:val="2"/>
            <w:vMerge/>
            <w:tcBorders>
              <w:bottom w:val="single" w:sz="4" w:space="0" w:color="auto"/>
            </w:tcBorders>
          </w:tcPr>
          <w:p>
            <w:pPr>
              <w:pStyle w:val="yTableNAm"/>
              <w:keepNext/>
              <w:rPr>
                <w:sz w:val="20"/>
              </w:rPr>
            </w:pPr>
          </w:p>
        </w:tc>
        <w:tc>
          <w:tcPr>
            <w:tcW w:w="3394" w:type="dxa"/>
            <w:gridSpan w:val="2"/>
            <w:tcBorders>
              <w:bottom w:val="single" w:sz="4" w:space="0" w:color="auto"/>
            </w:tcBorders>
          </w:tcPr>
          <w:p>
            <w:pPr>
              <w:pStyle w:val="yTableNAm"/>
              <w:keepNext/>
              <w:spacing w:before="0"/>
              <w:rPr>
                <w:sz w:val="20"/>
              </w:rPr>
            </w:pPr>
            <w:r>
              <w:rPr>
                <w:b/>
                <w:sz w:val="20"/>
              </w:rPr>
              <w:t>Service certificate</w:t>
            </w:r>
          </w:p>
        </w:tc>
      </w:tr>
      <w:tr>
        <w:trPr>
          <w:cantSplit/>
        </w:trPr>
        <w:tc>
          <w:tcPr>
            <w:tcW w:w="1620" w:type="dxa"/>
            <w:tcBorders>
              <w:bottom w:val="single" w:sz="4" w:space="0" w:color="auto"/>
            </w:tcBorders>
          </w:tcPr>
          <w:p>
            <w:pPr>
              <w:pStyle w:val="yTableNAm"/>
              <w:keepNext/>
              <w:rPr>
                <w:sz w:val="20"/>
              </w:rPr>
            </w:pPr>
            <w:r>
              <w:rPr>
                <w:sz w:val="20"/>
              </w:rPr>
              <w:t>Parties to the appeal</w:t>
            </w:r>
          </w:p>
        </w:tc>
        <w:tc>
          <w:tcPr>
            <w:tcW w:w="5460" w:type="dxa"/>
            <w:gridSpan w:val="3"/>
            <w:tcBorders>
              <w:bottom w:val="single" w:sz="4" w:space="0" w:color="auto"/>
            </w:tcBorders>
          </w:tcPr>
          <w:p>
            <w:pPr>
              <w:pStyle w:val="yTableNAm"/>
              <w:keepNext/>
              <w:tabs>
                <w:tab w:val="clear" w:pos="567"/>
                <w:tab w:val="left" w:pos="2884"/>
              </w:tabs>
              <w:rPr>
                <w:sz w:val="20"/>
              </w:rPr>
            </w:pPr>
            <w:r>
              <w:rPr>
                <w:sz w:val="20"/>
              </w:rPr>
              <w:tab/>
              <w:t>Appellant</w:t>
            </w:r>
          </w:p>
          <w:p>
            <w:pPr>
              <w:pStyle w:val="yTableNAm"/>
              <w:keepNext/>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rPr>
                <w:sz w:val="20"/>
              </w:rPr>
            </w:pPr>
            <w:r>
              <w:rPr>
                <w:sz w:val="20"/>
              </w:rPr>
              <w:t>Certificate</w:t>
            </w:r>
          </w:p>
        </w:tc>
        <w:tc>
          <w:tcPr>
            <w:tcW w:w="5460" w:type="dxa"/>
            <w:gridSpan w:val="3"/>
            <w:tcBorders>
              <w:top w:val="single" w:sz="4" w:space="0" w:color="auto"/>
            </w:tcBorders>
          </w:tcPr>
          <w:p>
            <w:pPr>
              <w:pStyle w:val="yTableNAm"/>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NAm"/>
              <w:tabs>
                <w:tab w:val="clear" w:pos="567"/>
                <w:tab w:val="left" w:pos="364"/>
              </w:tabs>
              <w:spacing w:before="0"/>
              <w:ind w:left="364" w:hanging="364"/>
              <w:rPr>
                <w:sz w:val="20"/>
              </w:rPr>
            </w:pPr>
            <w:r>
              <w:rPr>
                <w:sz w:val="20"/>
              </w:rPr>
              <w:t>●</w:t>
            </w:r>
            <w:r>
              <w:rPr>
                <w:sz w:val="20"/>
              </w:rPr>
              <w:tab/>
              <w:t>a copy of an appeal notice dated [</w:t>
            </w:r>
            <w:r>
              <w:rPr>
                <w:i/>
                <w:sz w:val="20"/>
              </w:rPr>
              <w:t>date</w:t>
            </w:r>
            <w:r>
              <w:rPr>
                <w:sz w:val="20"/>
              </w:rPr>
              <w:t>]; and</w:t>
            </w:r>
          </w:p>
          <w:p>
            <w:pPr>
              <w:pStyle w:val="yTableNAm"/>
              <w:tabs>
                <w:tab w:val="clear" w:pos="567"/>
                <w:tab w:val="left" w:pos="364"/>
              </w:tabs>
              <w:spacing w:before="0"/>
              <w:ind w:left="364" w:hanging="364"/>
              <w:rPr>
                <w:sz w:val="20"/>
              </w:rPr>
            </w:pPr>
            <w:r>
              <w:rPr>
                <w:sz w:val="20"/>
              </w:rPr>
              <w:t>●</w:t>
            </w:r>
            <w:r>
              <w:rPr>
                <w:sz w:val="20"/>
              </w:rPr>
              <w:tab/>
              <w:t>a copy of every other document that was filed with the appeal notice.</w:t>
            </w:r>
          </w:p>
          <w:p>
            <w:pPr>
              <w:pStyle w:val="yTableNAm"/>
              <w:spacing w:before="0"/>
              <w:rPr>
                <w:sz w:val="20"/>
              </w:rPr>
            </w:pPr>
            <w:r>
              <w:rPr>
                <w:sz w:val="20"/>
              </w:rPr>
              <w:t>I undertake to file an affidavit of service if the Court requires me to.</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rPr>
                <w:sz w:val="20"/>
              </w:rPr>
            </w:pPr>
            <w:r>
              <w:rPr>
                <w:sz w:val="20"/>
              </w:rPr>
              <w:t>Date:</w:t>
            </w:r>
          </w:p>
        </w:tc>
      </w:tr>
    </w:tbl>
    <w:p>
      <w:pPr>
        <w:pStyle w:val="yFootnotesection"/>
      </w:pPr>
      <w:r>
        <w:tab/>
        <w:t>[Form 84 inserted: Gazette 21 Feb 2007 p. 573; amended: Gazette 27 Feb 2018 p. 623.]</w:t>
      </w:r>
    </w:p>
    <w:p>
      <w:pPr>
        <w:pStyle w:val="yHeading5"/>
        <w:pageBreakBefore/>
        <w:spacing w:before="0" w:after="120"/>
      </w:pPr>
      <w:bookmarkStart w:id="1657" w:name="_Toc163121881"/>
      <w:r>
        <w:rPr>
          <w:rStyle w:val="CharSClsNo"/>
        </w:rPr>
        <w:lastRenderedPageBreak/>
        <w:t>85</w:t>
      </w:r>
      <w:r>
        <w:t>.</w:t>
      </w:r>
      <w:r>
        <w:tab/>
        <w:t>Notice of respondent’s intention (O. 65 r. 12)</w:t>
      </w:r>
      <w:bookmarkEnd w:id="165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40"/>
              <w:rPr>
                <w:sz w:val="20"/>
              </w:rPr>
            </w:pPr>
            <w:r>
              <w:rPr>
                <w:sz w:val="20"/>
              </w:rPr>
              <w:t>Supreme Court of Western Australia</w:t>
            </w:r>
          </w:p>
          <w:p>
            <w:pPr>
              <w:pStyle w:val="yTableNAm"/>
              <w:spacing w:before="40"/>
              <w:rPr>
                <w:b/>
                <w:sz w:val="20"/>
              </w:rPr>
            </w:pPr>
            <w:r>
              <w:rPr>
                <w:sz w:val="20"/>
              </w:rPr>
              <w:t>General Division</w:t>
            </w:r>
          </w:p>
        </w:tc>
        <w:tc>
          <w:tcPr>
            <w:tcW w:w="3394" w:type="dxa"/>
            <w:gridSpan w:val="2"/>
            <w:tcBorders>
              <w:bottom w:val="nil"/>
            </w:tcBorders>
            <w:vAlign w:val="center"/>
          </w:tcPr>
          <w:p>
            <w:pPr>
              <w:pStyle w:val="yTableNAm"/>
              <w:spacing w:before="40"/>
              <w:rPr>
                <w:sz w:val="20"/>
              </w:rPr>
            </w:pPr>
            <w:r>
              <w:rPr>
                <w:sz w:val="20"/>
              </w:rPr>
              <w:t>No:</w:t>
            </w:r>
          </w:p>
        </w:tc>
      </w:tr>
      <w:tr>
        <w:trPr>
          <w:cantSplit/>
          <w:trHeight w:val="328"/>
        </w:trPr>
        <w:tc>
          <w:tcPr>
            <w:tcW w:w="3686" w:type="dxa"/>
            <w:gridSpan w:val="2"/>
            <w:vMerge/>
            <w:tcBorders>
              <w:bottom w:val="nil"/>
            </w:tcBorders>
          </w:tcPr>
          <w:p>
            <w:pPr>
              <w:pStyle w:val="yTableNAm"/>
              <w:spacing w:before="40"/>
              <w:rPr>
                <w:sz w:val="20"/>
              </w:rPr>
            </w:pPr>
          </w:p>
        </w:tc>
        <w:tc>
          <w:tcPr>
            <w:tcW w:w="3394" w:type="dxa"/>
            <w:gridSpan w:val="2"/>
            <w:tcBorders>
              <w:bottom w:val="nil"/>
            </w:tcBorders>
          </w:tcPr>
          <w:p>
            <w:pPr>
              <w:pStyle w:val="yTableNAm"/>
              <w:spacing w:before="40"/>
              <w:rPr>
                <w:sz w:val="20"/>
              </w:rPr>
            </w:pPr>
            <w:r>
              <w:rPr>
                <w:b/>
                <w:sz w:val="20"/>
              </w:rPr>
              <w:t>Notice of respondent’s intention</w:t>
            </w:r>
          </w:p>
        </w:tc>
      </w:tr>
      <w:tr>
        <w:trPr>
          <w:cantSplit/>
        </w:trPr>
        <w:tc>
          <w:tcPr>
            <w:tcW w:w="1620" w:type="dxa"/>
            <w:tcBorders>
              <w:bottom w:val="nil"/>
            </w:tcBorders>
          </w:tcPr>
          <w:p>
            <w:pPr>
              <w:pStyle w:val="yTableNAm"/>
              <w:spacing w:before="4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40"/>
              <w:rPr>
                <w:sz w:val="20"/>
              </w:rPr>
            </w:pPr>
            <w:r>
              <w:rPr>
                <w:sz w:val="20"/>
              </w:rPr>
              <w:tab/>
              <w:t>Appellant</w:t>
            </w:r>
          </w:p>
          <w:p>
            <w:pPr>
              <w:pStyle w:val="yTableNAm"/>
              <w:tabs>
                <w:tab w:val="clear" w:pos="567"/>
                <w:tab w:val="left" w:pos="2884"/>
              </w:tabs>
              <w:spacing w:before="40"/>
              <w:rPr>
                <w:sz w:val="20"/>
              </w:rPr>
            </w:pPr>
            <w:r>
              <w:rPr>
                <w:sz w:val="20"/>
              </w:rPr>
              <w:tab/>
              <w:t>Respondent</w:t>
            </w:r>
          </w:p>
        </w:tc>
      </w:tr>
      <w:tr>
        <w:trPr>
          <w:cantSplit/>
        </w:trPr>
        <w:tc>
          <w:tcPr>
            <w:tcW w:w="1620" w:type="dxa"/>
            <w:tcBorders>
              <w:bottom w:val="single" w:sz="4" w:space="0" w:color="auto"/>
            </w:tcBorders>
          </w:tcPr>
          <w:p>
            <w:pPr>
              <w:pStyle w:val="yTableNAm"/>
              <w:spacing w:before="40"/>
              <w:rPr>
                <w:sz w:val="20"/>
              </w:rPr>
            </w:pPr>
            <w:r>
              <w:rPr>
                <w:sz w:val="20"/>
              </w:rPr>
              <w:t>Notice</w:t>
            </w:r>
          </w:p>
          <w:p>
            <w:pPr>
              <w:pStyle w:val="yTableNAm"/>
              <w:spacing w:before="40"/>
              <w:rPr>
                <w:sz w:val="16"/>
                <w:szCs w:val="16"/>
              </w:rPr>
            </w:pPr>
            <w:r>
              <w:rPr>
                <w:sz w:val="16"/>
                <w:szCs w:val="16"/>
              </w:rPr>
              <w:t>[Tick one box]</w:t>
            </w:r>
          </w:p>
          <w:p>
            <w:pPr>
              <w:pStyle w:val="yTableNAm"/>
              <w:spacing w:before="40"/>
              <w:rPr>
                <w:sz w:val="20"/>
              </w:rPr>
            </w:pP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intends to take part in this appeal.</w:t>
            </w:r>
          </w:p>
          <w:p>
            <w:pPr>
              <w:pStyle w:val="yTableNAm"/>
              <w:tabs>
                <w:tab w:val="clear" w:pos="567"/>
                <w:tab w:val="left" w:pos="364"/>
              </w:tabs>
              <w:spacing w:before="40"/>
              <w:ind w:left="364" w:hanging="364"/>
              <w:rPr>
                <w:sz w:val="20"/>
              </w:rPr>
            </w:pPr>
            <w:r>
              <w:rPr>
                <w:sz w:val="20"/>
              </w:rPr>
              <w:sym w:font="Monotype Sorts" w:char="F070"/>
            </w: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NAm"/>
              <w:spacing w:before="40"/>
              <w:rPr>
                <w:sz w:val="20"/>
              </w:rPr>
            </w:pPr>
            <w:r>
              <w:rPr>
                <w:sz w:val="20"/>
              </w:rPr>
              <w:t>Cross appeal</w:t>
            </w:r>
          </w:p>
          <w:p>
            <w:pPr>
              <w:pStyle w:val="yTableNAm"/>
              <w:spacing w:before="4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is not appealing against the primary court’s decision specified in the appellant’s appeal notice.</w:t>
            </w:r>
          </w:p>
          <w:p>
            <w:pPr>
              <w:pStyle w:val="yTableNAm"/>
              <w:tabs>
                <w:tab w:val="clear" w:pos="567"/>
                <w:tab w:val="left" w:pos="364"/>
              </w:tabs>
              <w:spacing w:before="40"/>
              <w:ind w:left="364" w:hanging="364"/>
              <w:rPr>
                <w:sz w:val="20"/>
              </w:rPr>
            </w:pPr>
            <w:r>
              <w:rPr>
                <w:sz w:val="20"/>
              </w:rPr>
              <w:sym w:font="Monotype Sorts" w:char="F070"/>
            </w: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NAm"/>
              <w:spacing w:before="40"/>
              <w:rPr>
                <w:sz w:val="20"/>
              </w:rPr>
            </w:pPr>
            <w:r>
              <w:rPr>
                <w:sz w:val="20"/>
              </w:rPr>
              <w:t>Last date for appealing</w:t>
            </w:r>
            <w:r>
              <w:rPr>
                <w:sz w:val="20"/>
                <w:vertAlign w:val="superscript"/>
              </w:rPr>
              <w:t>1</w:t>
            </w:r>
          </w:p>
        </w:tc>
        <w:tc>
          <w:tcPr>
            <w:tcW w:w="5460" w:type="dxa"/>
            <w:gridSpan w:val="3"/>
            <w:tcBorders>
              <w:top w:val="single" w:sz="4" w:space="0" w:color="auto"/>
              <w:bottom w:val="nil"/>
            </w:tcBorders>
          </w:tcPr>
          <w:p>
            <w:pPr>
              <w:pStyle w:val="yTableNAm"/>
              <w:spacing w:before="40"/>
              <w:rPr>
                <w:sz w:val="20"/>
              </w:rPr>
            </w:pPr>
            <w:r>
              <w:rPr>
                <w:sz w:val="20"/>
              </w:rPr>
              <w:t>Last date:</w:t>
            </w:r>
          </w:p>
          <w:p>
            <w:pPr>
              <w:pStyle w:val="yTableNAm"/>
              <w:spacing w:before="40"/>
              <w:rPr>
                <w:sz w:val="20"/>
              </w:rPr>
            </w:pPr>
            <w:r>
              <w:rPr>
                <w:sz w:val="20"/>
              </w:rPr>
              <w:t>Is an extension of time needed? Yes/No</w:t>
            </w:r>
          </w:p>
        </w:tc>
      </w:tr>
      <w:tr>
        <w:trPr>
          <w:cantSplit/>
        </w:trPr>
        <w:tc>
          <w:tcPr>
            <w:tcW w:w="1620" w:type="dxa"/>
            <w:tcBorders>
              <w:bottom w:val="nil"/>
            </w:tcBorders>
          </w:tcPr>
          <w:p>
            <w:pPr>
              <w:pStyle w:val="yTableNAm"/>
              <w:spacing w:before="40"/>
              <w:rPr>
                <w:sz w:val="20"/>
              </w:rPr>
            </w:pPr>
            <w:r>
              <w:rPr>
                <w:sz w:val="20"/>
              </w:rPr>
              <w:t>Leave to appeal</w:t>
            </w:r>
            <w:r>
              <w:rPr>
                <w:sz w:val="20"/>
                <w:vertAlign w:val="superscript"/>
              </w:rPr>
              <w:t>1</w:t>
            </w:r>
          </w:p>
        </w:tc>
        <w:tc>
          <w:tcPr>
            <w:tcW w:w="5460" w:type="dxa"/>
            <w:gridSpan w:val="3"/>
            <w:tcBorders>
              <w:bottom w:val="nil"/>
            </w:tcBorders>
          </w:tcPr>
          <w:p>
            <w:pPr>
              <w:pStyle w:val="yTableNAm"/>
              <w:spacing w:before="40"/>
              <w:rPr>
                <w:sz w:val="20"/>
              </w:rPr>
            </w:pPr>
            <w:r>
              <w:rPr>
                <w:sz w:val="20"/>
              </w:rPr>
              <w:t>Is leave to appeal needed? Yes/No</w:t>
            </w:r>
          </w:p>
          <w:p>
            <w:pPr>
              <w:pStyle w:val="yTableNAm"/>
              <w:spacing w:before="40"/>
              <w:rPr>
                <w:sz w:val="20"/>
              </w:rPr>
            </w:pPr>
            <w:r>
              <w:rPr>
                <w:sz w:val="20"/>
              </w:rPr>
              <w:t>If yes, state the Act and section requiring leave:</w:t>
            </w:r>
          </w:p>
        </w:tc>
      </w:tr>
      <w:tr>
        <w:trPr>
          <w:cantSplit/>
        </w:trPr>
        <w:tc>
          <w:tcPr>
            <w:tcW w:w="1620" w:type="dxa"/>
            <w:tcBorders>
              <w:bottom w:val="nil"/>
            </w:tcBorders>
          </w:tcPr>
          <w:p>
            <w:pPr>
              <w:pStyle w:val="yTableNAm"/>
              <w:spacing w:before="40"/>
              <w:rPr>
                <w:sz w:val="20"/>
              </w:rPr>
            </w:pPr>
            <w:r>
              <w:rPr>
                <w:sz w:val="20"/>
              </w:rPr>
              <w:t>Legal representation</w:t>
            </w:r>
          </w:p>
        </w:tc>
        <w:tc>
          <w:tcPr>
            <w:tcW w:w="5460" w:type="dxa"/>
            <w:gridSpan w:val="3"/>
            <w:tcBorders>
              <w:bottom w:val="nil"/>
            </w:tcBorders>
          </w:tcPr>
          <w:p>
            <w:pPr>
              <w:pStyle w:val="yTableNAm"/>
              <w:spacing w:before="40"/>
              <w:rPr>
                <w:sz w:val="20"/>
              </w:rPr>
            </w:pPr>
            <w:r>
              <w:rPr>
                <w:sz w:val="20"/>
              </w:rPr>
              <w:t>Is the respondent legally represented in this appeal? Yes/No</w:t>
            </w:r>
          </w:p>
          <w:p>
            <w:pPr>
              <w:pStyle w:val="yTableNAm"/>
              <w:spacing w:before="40"/>
              <w:rPr>
                <w:sz w:val="20"/>
              </w:rPr>
            </w:pPr>
            <w:r>
              <w:rPr>
                <w:sz w:val="20"/>
              </w:rPr>
              <w:t>Is the respondent applying for legal aid? Yes/No</w:t>
            </w:r>
          </w:p>
        </w:tc>
      </w:tr>
      <w:tr>
        <w:trPr>
          <w:cantSplit/>
        </w:trPr>
        <w:tc>
          <w:tcPr>
            <w:tcW w:w="7080" w:type="dxa"/>
            <w:gridSpan w:val="4"/>
            <w:tcBorders>
              <w:bottom w:val="single" w:sz="4" w:space="0" w:color="auto"/>
            </w:tcBorders>
          </w:tcPr>
          <w:p>
            <w:pPr>
              <w:pStyle w:val="yTableNAm"/>
              <w:spacing w:before="40"/>
              <w:rPr>
                <w:b/>
                <w:sz w:val="20"/>
              </w:rPr>
            </w:pPr>
            <w:r>
              <w:rPr>
                <w:b/>
                <w:sz w:val="20"/>
              </w:rPr>
              <w:t>Respondent’s details</w:t>
            </w:r>
          </w:p>
        </w:tc>
      </w:tr>
      <w:tr>
        <w:trPr>
          <w:cantSplit/>
        </w:trPr>
        <w:tc>
          <w:tcPr>
            <w:tcW w:w="1620" w:type="dxa"/>
            <w:tcBorders>
              <w:bottom w:val="single" w:sz="4" w:space="0" w:color="auto"/>
            </w:tcBorders>
          </w:tcPr>
          <w:p>
            <w:pPr>
              <w:pStyle w:val="yTableNAm"/>
              <w:spacing w:before="40"/>
              <w:rPr>
                <w:sz w:val="20"/>
              </w:rPr>
            </w:pPr>
            <w:r>
              <w:rPr>
                <w:sz w:val="20"/>
              </w:rPr>
              <w:t>Respondent’s geographical address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1620" w:type="dxa"/>
            <w:tcBorders>
              <w:bottom w:val="single" w:sz="4" w:space="0" w:color="auto"/>
            </w:tcBorders>
          </w:tcPr>
          <w:p>
            <w:pPr>
              <w:pStyle w:val="yTableNAm"/>
              <w:spacing w:before="40"/>
              <w:rPr>
                <w:sz w:val="20"/>
              </w:rPr>
            </w:pPr>
            <w:r>
              <w:rPr>
                <w:sz w:val="20"/>
              </w:rPr>
              <w:t>Respondent’s service details</w:t>
            </w:r>
            <w:r>
              <w:rPr>
                <w:sz w:val="20"/>
                <w:vertAlign w:val="superscript"/>
              </w:rPr>
              <w:t>3</w:t>
            </w:r>
          </w:p>
        </w:tc>
        <w:tc>
          <w:tcPr>
            <w:tcW w:w="5460" w:type="dxa"/>
            <w:gridSpan w:val="3"/>
            <w:tcBorders>
              <w:bottom w:val="single" w:sz="4" w:space="0" w:color="auto"/>
            </w:tcBorders>
          </w:tcPr>
          <w:p>
            <w:pPr>
              <w:pStyle w:val="yTableNAm"/>
              <w:spacing w:before="40"/>
              <w:rPr>
                <w:sz w:val="20"/>
              </w:rPr>
            </w:pPr>
          </w:p>
        </w:tc>
      </w:tr>
      <w:tr>
        <w:trPr>
          <w:cantSplit/>
        </w:trPr>
        <w:tc>
          <w:tcPr>
            <w:tcW w:w="7080" w:type="dxa"/>
            <w:gridSpan w:val="4"/>
            <w:tcBorders>
              <w:bottom w:val="nil"/>
            </w:tcBorders>
          </w:tcPr>
          <w:p>
            <w:pPr>
              <w:pStyle w:val="yTableNAm"/>
              <w:spacing w:before="40"/>
              <w:rPr>
                <w:b/>
                <w:sz w:val="20"/>
              </w:rPr>
            </w:pPr>
            <w:r>
              <w:rPr>
                <w:b/>
                <w:sz w:val="20"/>
              </w:rPr>
              <w:t>Signature and date</w:t>
            </w:r>
          </w:p>
        </w:tc>
      </w:tr>
      <w:tr>
        <w:trPr>
          <w:cantSplit/>
        </w:trPr>
        <w:tc>
          <w:tcPr>
            <w:tcW w:w="1620" w:type="dxa"/>
            <w:tcBorders>
              <w:bottom w:val="single" w:sz="4" w:space="0" w:color="auto"/>
            </w:tcBorders>
          </w:tcPr>
          <w:p>
            <w:pPr>
              <w:pStyle w:val="yTableNAm"/>
              <w:spacing w:before="40"/>
              <w:rPr>
                <w:sz w:val="20"/>
              </w:rPr>
            </w:pPr>
            <w:r>
              <w:rPr>
                <w:sz w:val="20"/>
              </w:rPr>
              <w:t>Signature of respondent or lawyer</w:t>
            </w:r>
          </w:p>
        </w:tc>
        <w:tc>
          <w:tcPr>
            <w:tcW w:w="4173" w:type="dxa"/>
            <w:gridSpan w:val="2"/>
            <w:tcBorders>
              <w:bottom w:val="single" w:sz="4" w:space="0" w:color="auto"/>
            </w:tcBorders>
          </w:tcPr>
          <w:p>
            <w:pPr>
              <w:pStyle w:val="yTableNAm"/>
              <w:spacing w:before="40"/>
              <w:rPr>
                <w:sz w:val="20"/>
              </w:rPr>
            </w:pPr>
          </w:p>
          <w:p>
            <w:pPr>
              <w:pStyle w:val="yTableNAm"/>
              <w:spacing w:before="40"/>
              <w:rPr>
                <w:sz w:val="20"/>
              </w:rPr>
            </w:pPr>
          </w:p>
          <w:p>
            <w:pPr>
              <w:pStyle w:val="yTableNAm"/>
              <w:spacing w:before="40"/>
              <w:rPr>
                <w:sz w:val="20"/>
              </w:rPr>
            </w:pPr>
            <w:r>
              <w:rPr>
                <w:sz w:val="20"/>
              </w:rPr>
              <w:t>Respondent/Respondent’s lawyer</w:t>
            </w:r>
          </w:p>
        </w:tc>
        <w:tc>
          <w:tcPr>
            <w:tcW w:w="1287" w:type="dxa"/>
            <w:tcBorders>
              <w:bottom w:val="single" w:sz="4" w:space="0" w:color="auto"/>
            </w:tcBorders>
          </w:tcPr>
          <w:p>
            <w:pPr>
              <w:pStyle w:val="yTableNAm"/>
              <w:spacing w:before="4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provided unless otherwise ordered by the Court.  See Order 71A r. 2 and 3A.</w:t>
      </w:r>
    </w:p>
    <w:p>
      <w:pPr>
        <w:pStyle w:val="yMiscellaneousBody"/>
        <w:spacing w:before="0"/>
        <w:ind w:left="540" w:hanging="540"/>
        <w:rPr>
          <w:sz w:val="20"/>
        </w:rPr>
      </w:pPr>
      <w:r>
        <w:rPr>
          <w:sz w:val="20"/>
        </w:rPr>
        <w:t>3.</w:t>
      </w:r>
      <w:r>
        <w:rPr>
          <w:sz w:val="20"/>
        </w:rPr>
        <w:tab/>
        <w:t>Must be in accordance with Order 71A.</w:t>
      </w:r>
    </w:p>
    <w:p>
      <w:pPr>
        <w:pStyle w:val="yFootnotesection"/>
      </w:pPr>
      <w:r>
        <w:tab/>
        <w:t>[Form 85 inserted: Gazette 21 Feb 2007 p. 574; amended: Gazette 13 Nov 2015 p. 4655.]</w:t>
      </w:r>
    </w:p>
    <w:p>
      <w:pPr>
        <w:pStyle w:val="yHeading5"/>
        <w:pageBreakBefore/>
        <w:spacing w:before="0" w:after="120"/>
      </w:pPr>
      <w:bookmarkStart w:id="1658" w:name="_Toc163121882"/>
      <w:r>
        <w:rPr>
          <w:rStyle w:val="CharSClsNo"/>
        </w:rPr>
        <w:lastRenderedPageBreak/>
        <w:t>86</w:t>
      </w:r>
      <w:r>
        <w:t>.</w:t>
      </w:r>
      <w:r>
        <w:tab/>
        <w:t>Application in an appeal (O. 65 r. 13)</w:t>
      </w:r>
      <w:bookmarkEnd w:id="165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410"/>
      </w:tblGrid>
      <w:tr>
        <w:trPr>
          <w:cantSplit/>
          <w:trHeight w:val="329"/>
        </w:trPr>
        <w:tc>
          <w:tcPr>
            <w:tcW w:w="3686" w:type="dxa"/>
            <w:gridSpan w:val="2"/>
            <w:vMerge w:val="restart"/>
          </w:tcPr>
          <w:p>
            <w:pPr>
              <w:pStyle w:val="yTableNAm"/>
              <w:spacing w:before="0"/>
              <w:rPr>
                <w:sz w:val="20"/>
              </w:rPr>
            </w:pPr>
            <w:r>
              <w:rPr>
                <w:sz w:val="20"/>
              </w:rPr>
              <w:t>Supreme Court of Western Australia</w:t>
            </w:r>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nil"/>
            </w:tcBorders>
          </w:tcPr>
          <w:p>
            <w:pPr>
              <w:pStyle w:val="yTableNAm"/>
              <w:spacing w:before="0"/>
              <w:rPr>
                <w:sz w:val="20"/>
              </w:rPr>
            </w:pPr>
          </w:p>
        </w:tc>
        <w:tc>
          <w:tcPr>
            <w:tcW w:w="3394" w:type="dxa"/>
            <w:gridSpan w:val="2"/>
            <w:tcBorders>
              <w:bottom w:val="nil"/>
            </w:tcBorders>
          </w:tcPr>
          <w:p>
            <w:pPr>
              <w:pStyle w:val="yTableNAm"/>
              <w:spacing w:before="0"/>
              <w:rPr>
                <w:sz w:val="20"/>
              </w:rPr>
            </w:pPr>
            <w:r>
              <w:rPr>
                <w:b/>
                <w:sz w:val="20"/>
              </w:rPr>
              <w:t>Application in an appeal</w:t>
            </w:r>
          </w:p>
        </w:tc>
      </w:tr>
      <w:tr>
        <w:trPr>
          <w:cantSplit/>
        </w:trPr>
        <w:tc>
          <w:tcPr>
            <w:tcW w:w="1620" w:type="dxa"/>
            <w:tcBorders>
              <w:bottom w:val="nil"/>
            </w:tcBorders>
          </w:tcPr>
          <w:p>
            <w:pPr>
              <w:pStyle w:val="yTableNAm"/>
              <w:spacing w:before="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spacing w:before="0"/>
              <w:rPr>
                <w:sz w:val="20"/>
              </w:rPr>
            </w:pPr>
            <w:r>
              <w:rPr>
                <w:sz w:val="20"/>
              </w:rPr>
              <w:t>Applicant</w:t>
            </w:r>
          </w:p>
        </w:tc>
        <w:tc>
          <w:tcPr>
            <w:tcW w:w="5460" w:type="dxa"/>
            <w:gridSpan w:val="3"/>
          </w:tcPr>
          <w:p>
            <w:pPr>
              <w:pStyle w:val="yTableNAm"/>
              <w:spacing w:before="0"/>
              <w:rPr>
                <w:sz w:val="20"/>
              </w:rPr>
            </w:pPr>
            <w:r>
              <w:rPr>
                <w:sz w:val="20"/>
              </w:rPr>
              <w:t>Appellant/Respondent</w:t>
            </w:r>
          </w:p>
        </w:tc>
      </w:tr>
      <w:tr>
        <w:trPr>
          <w:cantSplit/>
        </w:trPr>
        <w:tc>
          <w:tcPr>
            <w:tcW w:w="1620" w:type="dxa"/>
            <w:tcBorders>
              <w:bottom w:val="single" w:sz="4" w:space="0" w:color="auto"/>
            </w:tcBorders>
          </w:tcPr>
          <w:p>
            <w:pPr>
              <w:pStyle w:val="yTableNAm"/>
              <w:spacing w:before="0"/>
              <w:rPr>
                <w:sz w:val="20"/>
              </w:rPr>
            </w:pPr>
            <w:r>
              <w:rPr>
                <w:sz w:val="20"/>
              </w:rPr>
              <w:t>Application</w:t>
            </w:r>
            <w:r>
              <w:rPr>
                <w:sz w:val="20"/>
                <w:vertAlign w:val="superscript"/>
              </w:rPr>
              <w:t>1</w:t>
            </w:r>
          </w:p>
        </w:tc>
        <w:tc>
          <w:tcPr>
            <w:tcW w:w="5460" w:type="dxa"/>
            <w:gridSpan w:val="3"/>
            <w:tcBorders>
              <w:bottom w:val="single" w:sz="4" w:space="0" w:color="auto"/>
            </w:tcBorders>
          </w:tcPr>
          <w:p>
            <w:pPr>
              <w:pStyle w:val="yTableNAm"/>
              <w:spacing w:before="0"/>
              <w:rPr>
                <w:sz w:val="20"/>
              </w:rPr>
            </w:pPr>
            <w:r>
              <w:rPr>
                <w:sz w:val="20"/>
              </w:rPr>
              <w:t xml:space="preserve">The applicant applies for —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Conference between parties</w:t>
            </w:r>
          </w:p>
          <w:p>
            <w:pPr>
              <w:pStyle w:val="yTableNAm"/>
              <w:spacing w:before="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conferred about the issues giving rise to this application and have not resolved them.</w:t>
            </w:r>
          </w:p>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1410"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1"/>
        </w:numPr>
        <w:tabs>
          <w:tab w:val="clear" w:pos="1260"/>
          <w:tab w:val="num" w:pos="1080"/>
        </w:tabs>
        <w:spacing w:before="0"/>
        <w:ind w:left="540" w:firstLine="0"/>
        <w:rPr>
          <w:sz w:val="20"/>
        </w:rPr>
      </w:pPr>
      <w:r>
        <w:rPr>
          <w:sz w:val="20"/>
        </w:rPr>
        <w:t>the order or orders sought; and</w:t>
      </w:r>
    </w:p>
    <w:p>
      <w:pPr>
        <w:pStyle w:val="yMiscellaneousBody"/>
        <w:numPr>
          <w:ilvl w:val="0"/>
          <w:numId w:val="1"/>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r>
        <w:tab/>
        <w:t>[Form 86 inserted: Gazette 21 Feb 2007 p. 574</w:t>
      </w:r>
      <w:r>
        <w:noBreakHyphen/>
        <w:t>5.]</w:t>
      </w:r>
    </w:p>
    <w:p>
      <w:pPr>
        <w:pStyle w:val="yHeading5"/>
        <w:spacing w:before="480" w:after="120"/>
      </w:pPr>
      <w:bookmarkStart w:id="1659" w:name="_Toc163121883"/>
      <w:r>
        <w:rPr>
          <w:rStyle w:val="CharSClsNo"/>
        </w:rPr>
        <w:t>87</w:t>
      </w:r>
      <w:r>
        <w:t>.</w:t>
      </w:r>
      <w:r>
        <w:tab/>
        <w:t>Consent notice (O. 65 r. 15 &amp; 18)</w:t>
      </w:r>
      <w:bookmarkEnd w:id="165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0"/>
              <w:rPr>
                <w:sz w:val="20"/>
              </w:rPr>
            </w:pPr>
            <w:r>
              <w:rPr>
                <w:sz w:val="20"/>
              </w:rPr>
              <w:t>Supreme Court of Western Australia</w:t>
            </w:r>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NAm"/>
              <w:spacing w:before="0"/>
              <w:rPr>
                <w:sz w:val="20"/>
              </w:rPr>
            </w:pPr>
          </w:p>
        </w:tc>
        <w:tc>
          <w:tcPr>
            <w:tcW w:w="3394" w:type="dxa"/>
            <w:gridSpan w:val="2"/>
            <w:tcBorders>
              <w:bottom w:val="single" w:sz="4" w:space="0" w:color="auto"/>
            </w:tcBorders>
          </w:tcPr>
          <w:p>
            <w:pPr>
              <w:pStyle w:val="yTableNAm"/>
              <w:spacing w:before="0"/>
              <w:rPr>
                <w:sz w:val="20"/>
              </w:rPr>
            </w:pPr>
            <w:r>
              <w:rPr>
                <w:b/>
                <w:sz w:val="20"/>
              </w:rPr>
              <w:t>Consent notice</w:t>
            </w:r>
          </w:p>
        </w:tc>
      </w:tr>
      <w:tr>
        <w:trPr>
          <w:cantSplit/>
        </w:trPr>
        <w:tc>
          <w:tcPr>
            <w:tcW w:w="1620" w:type="dxa"/>
            <w:tcBorders>
              <w:bottom w:val="single" w:sz="4" w:space="0" w:color="auto"/>
            </w:tcBorders>
          </w:tcPr>
          <w:p>
            <w:pPr>
              <w:pStyle w:val="yTableNAm"/>
              <w:spacing w:before="0"/>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spacing w:before="0"/>
              <w:rPr>
                <w:sz w:val="20"/>
              </w:rPr>
            </w:pPr>
            <w:r>
              <w:rPr>
                <w:sz w:val="20"/>
              </w:rPr>
              <w:t>Consent</w:t>
            </w:r>
          </w:p>
        </w:tc>
        <w:tc>
          <w:tcPr>
            <w:tcW w:w="5460" w:type="dxa"/>
            <w:gridSpan w:val="3"/>
            <w:tcBorders>
              <w:top w:val="single" w:sz="4" w:space="0" w:color="auto"/>
            </w:tcBorders>
          </w:tcPr>
          <w:p>
            <w:pPr>
              <w:pStyle w:val="yTableNAm"/>
              <w:spacing w:before="0"/>
              <w:rPr>
                <w:sz w:val="20"/>
              </w:rPr>
            </w:pPr>
            <w:r>
              <w:rPr>
                <w:sz w:val="20"/>
              </w:rPr>
              <w:t>We consent to the following order being made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Signature of appellant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spacing w:before="0"/>
              <w:rPr>
                <w:sz w:val="20"/>
              </w:rPr>
            </w:pPr>
            <w:r>
              <w:rPr>
                <w:sz w:val="20"/>
              </w:rPr>
              <w:t>Date:</w:t>
            </w:r>
          </w:p>
        </w:tc>
      </w:tr>
      <w:tr>
        <w:trPr>
          <w:cantSplit/>
        </w:trPr>
        <w:tc>
          <w:tcPr>
            <w:tcW w:w="1620" w:type="dxa"/>
            <w:tcBorders>
              <w:bottom w:val="single" w:sz="4" w:space="0" w:color="auto"/>
            </w:tcBorders>
          </w:tcPr>
          <w:p>
            <w:pPr>
              <w:pStyle w:val="yTableNAm"/>
              <w:spacing w:before="0"/>
              <w:rPr>
                <w:sz w:val="20"/>
              </w:rPr>
            </w:pPr>
            <w:r>
              <w:rPr>
                <w:sz w:val="20"/>
              </w:rPr>
              <w:t>Signature of respondent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lawyer</w:t>
            </w:r>
          </w:p>
        </w:tc>
        <w:tc>
          <w:tcPr>
            <w:tcW w:w="1287" w:type="dxa"/>
            <w:tcBorders>
              <w:bottom w:val="single" w:sz="4" w:space="0" w:color="auto"/>
            </w:tcBorders>
          </w:tcPr>
          <w:p>
            <w:pPr>
              <w:pStyle w:val="yTableNAm"/>
              <w:spacing w:before="0"/>
              <w:rPr>
                <w:sz w:val="20"/>
              </w:rPr>
            </w:pPr>
            <w:r>
              <w:rPr>
                <w:sz w:val="20"/>
              </w:rPr>
              <w:t>Date:</w:t>
            </w:r>
          </w:p>
        </w:tc>
      </w:tr>
    </w:tbl>
    <w:p>
      <w:pPr>
        <w:pStyle w:val="yFootnotesection"/>
      </w:pPr>
      <w:r>
        <w:tab/>
        <w:t>[Form 87 inserted: Gazette 21 Feb 2007 p. 575.]</w:t>
      </w:r>
    </w:p>
    <w:p>
      <w:pPr>
        <w:pStyle w:val="yHeading5"/>
        <w:spacing w:after="120"/>
      </w:pPr>
      <w:bookmarkStart w:id="1660" w:name="_Toc163121884"/>
      <w:r>
        <w:rPr>
          <w:rStyle w:val="CharSClsNo"/>
        </w:rPr>
        <w:lastRenderedPageBreak/>
        <w:t>88</w:t>
      </w:r>
      <w:r>
        <w:t>.</w:t>
      </w:r>
      <w:r>
        <w:tab/>
        <w:t>Request for hearing (O. 65 r. 7)</w:t>
      </w:r>
      <w:bookmarkEnd w:id="166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NAm"/>
              <w:rPr>
                <w:sz w:val="20"/>
              </w:rPr>
            </w:pPr>
            <w:r>
              <w:rPr>
                <w:sz w:val="20"/>
              </w:rPr>
              <w:t>Supreme Court of Western Australia</w:t>
            </w:r>
          </w:p>
          <w:p>
            <w:pPr>
              <w:pStyle w:val="yTableNAm"/>
              <w:spacing w:before="0"/>
              <w:rPr>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b/>
                <w:bCs/>
                <w:sz w:val="20"/>
              </w:rPr>
            </w:pPr>
            <w:r>
              <w:rPr>
                <w:b/>
                <w:bCs/>
                <w:sz w:val="20"/>
              </w:rPr>
              <w:t>Request for hearing</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ind w:left="4" w:hanging="4"/>
              <w:rPr>
                <w:sz w:val="20"/>
              </w:rPr>
            </w:pPr>
            <w:r>
              <w:rPr>
                <w:sz w:val="20"/>
              </w:rPr>
              <w:tab/>
            </w:r>
            <w:r>
              <w:rPr>
                <w:sz w:val="20"/>
              </w:rPr>
              <w:tab/>
              <w:t>Appellant</w:t>
            </w:r>
          </w:p>
          <w:p>
            <w:pPr>
              <w:pStyle w:val="yTableNAm"/>
              <w:tabs>
                <w:tab w:val="clear" w:pos="567"/>
                <w:tab w:val="left" w:pos="2884"/>
              </w:tabs>
              <w:spacing w:before="0"/>
              <w:ind w:left="4" w:hanging="4"/>
              <w:rPr>
                <w:sz w:val="20"/>
              </w:rPr>
            </w:pPr>
            <w:r>
              <w:rPr>
                <w:sz w:val="20"/>
              </w:rPr>
              <w:tab/>
            </w:r>
            <w:r>
              <w:rPr>
                <w:sz w:val="20"/>
              </w:rPr>
              <w:tab/>
              <w:t>Respondent</w:t>
            </w:r>
          </w:p>
        </w:tc>
      </w:tr>
      <w:tr>
        <w:trPr>
          <w:cantSplit/>
        </w:trPr>
        <w:tc>
          <w:tcPr>
            <w:tcW w:w="1620" w:type="dxa"/>
          </w:tcPr>
          <w:p>
            <w:pPr>
              <w:pStyle w:val="yTableNAm"/>
              <w:rPr>
                <w:sz w:val="20"/>
              </w:rPr>
            </w:pPr>
            <w:r>
              <w:rPr>
                <w:sz w:val="20"/>
              </w:rPr>
              <w:t>Request</w:t>
            </w:r>
          </w:p>
        </w:tc>
        <w:tc>
          <w:tcPr>
            <w:tcW w:w="5184" w:type="dxa"/>
            <w:gridSpan w:val="3"/>
          </w:tcPr>
          <w:p>
            <w:pPr>
              <w:pStyle w:val="yTableNAm"/>
              <w:rPr>
                <w:sz w:val="20"/>
              </w:rPr>
            </w:pPr>
            <w:r>
              <w:rPr>
                <w:sz w:val="20"/>
              </w:rPr>
              <w:t>The appellant/respondent requests a hearing of the matter decided provisionally by [</w:t>
            </w:r>
            <w:r>
              <w:rPr>
                <w:i/>
                <w:iCs/>
                <w:sz w:val="20"/>
              </w:rPr>
              <w:t>name of judge</w:t>
            </w:r>
            <w:r>
              <w:rPr>
                <w:sz w:val="20"/>
              </w:rPr>
              <w:t>] on [</w:t>
            </w:r>
            <w:r>
              <w:rPr>
                <w:i/>
                <w:iCs/>
                <w:sz w:val="20"/>
              </w:rPr>
              <w:t>date</w:t>
            </w:r>
            <w:r>
              <w:rPr>
                <w:sz w:val="20"/>
              </w:rPr>
              <w:t>] in this appeal.</w:t>
            </w:r>
          </w:p>
        </w:tc>
      </w:tr>
      <w:tr>
        <w:trPr>
          <w:cantSplit/>
        </w:trPr>
        <w:tc>
          <w:tcPr>
            <w:tcW w:w="1620" w:type="dxa"/>
            <w:tcBorders>
              <w:bottom w:val="single" w:sz="4" w:space="0" w:color="auto"/>
            </w:tcBorders>
          </w:tcPr>
          <w:p>
            <w:pPr>
              <w:pStyle w:val="yTableNAm"/>
              <w:rPr>
                <w:sz w:val="20"/>
              </w:rPr>
            </w:pPr>
            <w:r>
              <w:rPr>
                <w:sz w:val="20"/>
              </w:rPr>
              <w:t>Signature of party requesting or lawyer</w:t>
            </w:r>
          </w:p>
        </w:tc>
        <w:tc>
          <w:tcPr>
            <w:tcW w:w="4305" w:type="dxa"/>
            <w:gridSpan w:val="2"/>
            <w:tcBorders>
              <w:bottom w:val="single" w:sz="4" w:space="0" w:color="auto"/>
            </w:tcBorders>
          </w:tcPr>
          <w:p>
            <w:pPr>
              <w:pStyle w:val="yTableNAm"/>
              <w:rPr>
                <w:sz w:val="20"/>
              </w:rPr>
            </w:pPr>
          </w:p>
          <w:p>
            <w:pPr>
              <w:pStyle w:val="yTableNAm"/>
              <w:spacing w:before="0"/>
              <w:rPr>
                <w:sz w:val="20"/>
              </w:rPr>
            </w:pPr>
            <w:r>
              <w:rPr>
                <w:sz w:val="20"/>
              </w:rPr>
              <w:t>Appellant/Respondent/</w:t>
            </w:r>
          </w:p>
          <w:p>
            <w:pPr>
              <w:pStyle w:val="yTableNAm"/>
              <w:spacing w:before="0"/>
              <w:rPr>
                <w:sz w:val="20"/>
              </w:rPr>
            </w:pPr>
            <w:r>
              <w:rPr>
                <w:sz w:val="20"/>
              </w:rPr>
              <w:t>Appellant’s lawyer/Respondent’s lawyer</w:t>
            </w:r>
          </w:p>
        </w:tc>
        <w:tc>
          <w:tcPr>
            <w:tcW w:w="879" w:type="dxa"/>
            <w:tcBorders>
              <w:bottom w:val="single" w:sz="4" w:space="0" w:color="auto"/>
            </w:tcBorders>
          </w:tcPr>
          <w:p>
            <w:pPr>
              <w:pStyle w:val="yTableNAm"/>
              <w:rPr>
                <w:sz w:val="20"/>
              </w:rPr>
            </w:pPr>
            <w:r>
              <w:rPr>
                <w:sz w:val="20"/>
              </w:rPr>
              <w:t>Date:</w:t>
            </w:r>
          </w:p>
        </w:tc>
      </w:tr>
    </w:tbl>
    <w:p>
      <w:pPr>
        <w:pStyle w:val="yFootnotesection"/>
      </w:pPr>
      <w:r>
        <w:tab/>
        <w:t>[Form 88 inserted: Gazette 21 Feb 2007 p. 575.]</w:t>
      </w:r>
    </w:p>
    <w:p>
      <w:pPr>
        <w:pStyle w:val="yHeading5"/>
        <w:spacing w:before="480" w:after="120"/>
      </w:pPr>
      <w:bookmarkStart w:id="1661" w:name="_Toc163121885"/>
      <w:r>
        <w:rPr>
          <w:rStyle w:val="CharSClsNo"/>
        </w:rPr>
        <w:t>89</w:t>
      </w:r>
      <w:r>
        <w:t>.</w:t>
      </w:r>
      <w:r>
        <w:tab/>
        <w:t>Discontinuance notice (O. 65 r. 17)</w:t>
      </w:r>
      <w:bookmarkEnd w:id="166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NAm"/>
              <w:rPr>
                <w:sz w:val="20"/>
              </w:rPr>
            </w:pPr>
            <w:r>
              <w:rPr>
                <w:sz w:val="20"/>
              </w:rPr>
              <w:t>Supreme Court of Western Australia</w:t>
            </w:r>
          </w:p>
          <w:p>
            <w:pPr>
              <w:pStyle w:val="yTableNAm"/>
              <w:spacing w:before="0"/>
              <w:rPr>
                <w:b/>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sz w:val="20"/>
              </w:rPr>
            </w:pPr>
            <w:r>
              <w:rPr>
                <w:b/>
                <w:sz w:val="20"/>
              </w:rPr>
              <w:t>Discontinuance notice</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rPr>
                <w:sz w:val="20"/>
              </w:rPr>
            </w:pPr>
            <w:r>
              <w:rPr>
                <w:sz w:val="20"/>
              </w:rPr>
              <w:t>Notice</w:t>
            </w:r>
          </w:p>
        </w:tc>
        <w:tc>
          <w:tcPr>
            <w:tcW w:w="5184" w:type="dxa"/>
            <w:gridSpan w:val="3"/>
          </w:tcPr>
          <w:p>
            <w:pPr>
              <w:pStyle w:val="yTableNAm"/>
              <w:rPr>
                <w:sz w:val="20"/>
              </w:rPr>
            </w:pPr>
            <w:r>
              <w:rPr>
                <w:sz w:val="20"/>
              </w:rPr>
              <w:t>The appellant discontinues this appeal.</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011" w:type="dxa"/>
            <w:tcBorders>
              <w:bottom w:val="single" w:sz="4" w:space="0" w:color="auto"/>
            </w:tcBorders>
          </w:tcPr>
          <w:p>
            <w:pPr>
              <w:pStyle w:val="yTableNAm"/>
              <w:rPr>
                <w:sz w:val="20"/>
              </w:rPr>
            </w:pPr>
            <w:r>
              <w:rPr>
                <w:sz w:val="20"/>
              </w:rPr>
              <w:t>Date:</w:t>
            </w:r>
          </w:p>
        </w:tc>
      </w:tr>
    </w:tbl>
    <w:p>
      <w:pPr>
        <w:pStyle w:val="yFootnotesection"/>
      </w:pPr>
      <w:r>
        <w:tab/>
        <w:t>[Form 89 inserted: Gazette 21 Feb 2007 p. 575.]</w:t>
      </w:r>
    </w:p>
    <w:p>
      <w:pPr>
        <w:pStyle w:val="yEdnotedivision"/>
        <w:outlineLvl w:val="9"/>
      </w:pPr>
      <w:r>
        <w:t>[Forms 90</w:t>
      </w:r>
      <w:r>
        <w:noBreakHyphen/>
        <w:t>93 deleted: Gazette 21 Feb 2007 p. 572.]</w:t>
      </w:r>
    </w:p>
    <w:p>
      <w:pPr>
        <w:pStyle w:val="yHeading5"/>
        <w:pageBreakBefore/>
        <w:spacing w:after="120"/>
      </w:pPr>
      <w:bookmarkStart w:id="1662" w:name="_Toc163121886"/>
      <w:r>
        <w:rPr>
          <w:rStyle w:val="CharSClsNo"/>
        </w:rPr>
        <w:lastRenderedPageBreak/>
        <w:t>93A</w:t>
      </w:r>
      <w:r>
        <w:t>.</w:t>
      </w:r>
      <w:r>
        <w:rPr>
          <w:b w:val="0"/>
        </w:rPr>
        <w:tab/>
      </w:r>
      <w:r>
        <w:rPr>
          <w:i/>
        </w:rPr>
        <w:t>Public Notaries Act 1979</w:t>
      </w:r>
      <w:r>
        <w:t xml:space="preserve"> s. 8, certificate (O. 76 r. 2)</w:t>
      </w:r>
      <w:bookmarkEnd w:id="1662"/>
    </w:p>
    <w:p>
      <w:pPr>
        <w:pStyle w:val="yMiscellaneousBody"/>
        <w:spacing w:before="120"/>
        <w:rPr>
          <w:sz w:val="20"/>
        </w:rPr>
      </w:pPr>
      <w:r>
        <w:rPr>
          <w:sz w:val="20"/>
        </w:rPr>
        <w:t>IN THE SUPREME COURT</w:t>
      </w:r>
      <w:r>
        <w:rPr>
          <w:sz w:val="20"/>
        </w:rPr>
        <w:br/>
        <w:t>OF WESTERN AUSTRALIA</w:t>
      </w:r>
    </w:p>
    <w:p>
      <w:pPr>
        <w:pStyle w:val="yMiscellaneousBody"/>
        <w:spacing w:before="120"/>
        <w:ind w:left="3600"/>
        <w:rPr>
          <w:sz w:val="20"/>
        </w:rPr>
      </w:pPr>
      <w:r>
        <w:rPr>
          <w:sz w:val="20"/>
        </w:rPr>
        <w:t xml:space="preserve">IN THE MATTER of the </w:t>
      </w:r>
      <w:r>
        <w:rPr>
          <w:i/>
          <w:sz w:val="20"/>
        </w:rPr>
        <w:t>Public Notaries Act 1979</w:t>
      </w:r>
    </w:p>
    <w:p>
      <w:pPr>
        <w:pStyle w:val="yMiscellaneousBody"/>
        <w:spacing w:before="120"/>
        <w:ind w:left="3600"/>
        <w:jc w:val="center"/>
        <w:rPr>
          <w:sz w:val="20"/>
        </w:rPr>
      </w:pPr>
      <w:r>
        <w:rPr>
          <w:sz w:val="20"/>
        </w:rPr>
        <w:t>and</w:t>
      </w:r>
    </w:p>
    <w:p>
      <w:pPr>
        <w:pStyle w:val="yMiscellaneousBody"/>
        <w:spacing w:before="120"/>
        <w:ind w:left="3600"/>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pPr>
        <w:pStyle w:val="yMiscellaneousBody"/>
        <w:spacing w:before="120"/>
        <w:rPr>
          <w:sz w:val="20"/>
        </w:rPr>
      </w:pPr>
      <w:r>
        <w:rPr>
          <w:sz w:val="20"/>
        </w:rPr>
        <w:t xml:space="preserve">PURSUANT to section 8 of the </w:t>
      </w:r>
      <w:r>
        <w:rPr>
          <w:i/>
          <w:sz w:val="20"/>
        </w:rPr>
        <w:t>Public Notaries Act 1979</w:t>
      </w:r>
      <w:r>
        <w:rPr>
          <w:sz w:val="20"/>
        </w:rPr>
        <w:t>, I HEREBY CERTIFY that A.B. of                                                                          , a Legal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pPr>
        <w:pStyle w:val="yMiscellaneousBody"/>
        <w:spacing w:before="120"/>
        <w:rPr>
          <w:sz w:val="20"/>
        </w:rPr>
      </w:pPr>
      <w:r>
        <w:rPr>
          <w:sz w:val="20"/>
        </w:rPr>
        <w:t>Dated the                                     day of                          20         .</w:t>
      </w:r>
    </w:p>
    <w:p>
      <w:pPr>
        <w:pStyle w:val="yMiscellaneousBody"/>
        <w:spacing w:before="120"/>
        <w:jc w:val="right"/>
        <w:rPr>
          <w:sz w:val="20"/>
        </w:rPr>
      </w:pPr>
      <w:r>
        <w:rPr>
          <w:sz w:val="20"/>
        </w:rPr>
        <w:t>Chief Justice of Western Australia.</w:t>
      </w:r>
    </w:p>
    <w:p>
      <w:pPr>
        <w:pStyle w:val="yFootnotesection"/>
      </w:pPr>
      <w:r>
        <w:tab/>
        <w:t>[Form 93A inserted: Gazette 18 Jul 1980 p. 2386; amended: Gazette 21 Feb 2007 p. 584; 22 Feb 2008 p. 649; 28 Jun 2011 p. 2561; SL 2022/74 r. 15.]</w:t>
      </w:r>
    </w:p>
    <w:p>
      <w:pPr>
        <w:pStyle w:val="yHeading5"/>
        <w:spacing w:after="120"/>
      </w:pPr>
      <w:bookmarkStart w:id="1663" w:name="_Toc163121887"/>
      <w:r>
        <w:rPr>
          <w:rStyle w:val="CharSClsNo"/>
        </w:rPr>
        <w:t>93B</w:t>
      </w:r>
      <w:r>
        <w:t>.</w:t>
      </w:r>
      <w:r>
        <w:rPr>
          <w:b w:val="0"/>
        </w:rPr>
        <w:tab/>
      </w:r>
      <w:r>
        <w:t>Notice of intention to apply for appointment as public notary (O. 76 r. 3)</w:t>
      </w:r>
      <w:bookmarkEnd w:id="1663"/>
    </w:p>
    <w:p>
      <w:pPr>
        <w:pStyle w:val="yMiscellaneousBody"/>
        <w:spacing w:before="120"/>
        <w:jc w:val="center"/>
        <w:rPr>
          <w:sz w:val="20"/>
        </w:rPr>
      </w:pPr>
      <w:r>
        <w:rPr>
          <w:sz w:val="20"/>
        </w:rPr>
        <w:t>(</w:t>
      </w:r>
      <w:r>
        <w:rPr>
          <w:i/>
          <w:sz w:val="20"/>
        </w:rPr>
        <w:t>Heading as in Form No. 93A</w:t>
      </w:r>
      <w:r>
        <w:rPr>
          <w:sz w:val="20"/>
        </w:rPr>
        <w:t>)</w:t>
      </w:r>
    </w:p>
    <w:p>
      <w:pPr>
        <w:pStyle w:val="yMiscellaneousBody"/>
        <w:spacing w:before="120"/>
        <w:rPr>
          <w:sz w:val="20"/>
        </w:rPr>
      </w:pPr>
      <w:r>
        <w:rPr>
          <w:sz w:val="20"/>
        </w:rPr>
        <w:t xml:space="preserve">NOTICE is hereby given that (name and address), a Legal Practitioner of the Supreme Court of Western Australia, intends to apply to the Supreme Court (full bench) on the </w:t>
      </w:r>
      <w:r>
        <w:rPr>
          <w:sz w:val="20"/>
        </w:rPr>
        <w:br/>
        <w:t xml:space="preserv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pPr>
        <w:pStyle w:val="yMiscellaneousBody"/>
        <w:spacing w:before="120"/>
        <w:rPr>
          <w:sz w:val="20"/>
        </w:rPr>
      </w:pPr>
      <w:r>
        <w:rPr>
          <w:sz w:val="20"/>
        </w:rPr>
        <w:t>Any person desiring to object to the appointment of the applicant may be heard before the Supreme Court (full bench) by himself or counsel; but written notice, stating the grounds of objection, must be filed not less than 7 days before the day fixed for the hearing of the application.</w:t>
      </w:r>
    </w:p>
    <w:p>
      <w:pPr>
        <w:pStyle w:val="yMiscellaneousBody"/>
        <w:spacing w:before="120"/>
        <w:rPr>
          <w:sz w:val="20"/>
        </w:rPr>
      </w:pPr>
      <w:r>
        <w:rPr>
          <w:sz w:val="20"/>
        </w:rPr>
        <w:t>Dated the                           day of                             20      .</w:t>
      </w:r>
    </w:p>
    <w:p>
      <w:pPr>
        <w:pStyle w:val="yFootnotesection"/>
      </w:pPr>
      <w:r>
        <w:lastRenderedPageBreak/>
        <w:tab/>
        <w:t>[Form 93B inserted: Gazette 18 Jul 1980 p. 2386; amended: Gazette 29 Apr 2005 p. 1794; 21 Feb 2007 p. 584; 28 Jun 2011 p. 2562; 27 Feb 2018 p. 623; SL 2022/74 r. 15.]</w:t>
      </w:r>
    </w:p>
    <w:p>
      <w:pPr>
        <w:pStyle w:val="yHeading5"/>
        <w:spacing w:before="480" w:after="120"/>
      </w:pPr>
      <w:bookmarkStart w:id="1664" w:name="_Toc163121888"/>
      <w:r>
        <w:rPr>
          <w:rStyle w:val="CharSClsNo"/>
        </w:rPr>
        <w:t>93C</w:t>
      </w:r>
      <w:r>
        <w:t>.</w:t>
      </w:r>
      <w:r>
        <w:rPr>
          <w:b w:val="0"/>
        </w:rPr>
        <w:tab/>
      </w:r>
      <w:r>
        <w:t>Certificate of appointment as public notary Western Australia (O. 76 r. 5(1))</w:t>
      </w:r>
      <w:bookmarkEnd w:id="1664"/>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has this day been appointed as a General Public Notary for the State of Western Australia [</w:t>
      </w:r>
      <w:r>
        <w:rPr>
          <w:i/>
          <w:sz w:val="20"/>
        </w:rPr>
        <w:t>or</w:t>
      </w:r>
      <w:r>
        <w:rPr>
          <w:sz w:val="20"/>
        </w:rPr>
        <w:t xml:space="preserve"> as a District Public Notary for the</w:t>
      </w:r>
      <w:r>
        <w:rPr>
          <w:i/>
          <w:sz w:val="20"/>
        </w:rPr>
        <w:t xml:space="preserve"> (name of district) </w:t>
      </w:r>
      <w:r>
        <w:rPr>
          <w:iCs/>
          <w:sz w:val="20"/>
        </w:rPr>
        <w:t>in the State of Western Australia]</w:t>
      </w:r>
      <w:r>
        <w:rPr>
          <w:sz w:val="20"/>
        </w:rPr>
        <w:t xml:space="preserve"> and that his name has been entered on the Roll of Public Notaries.</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93C inserted: Gazette 18 Jul 1980 p. 2386; amended: Gazette 21 Feb 2007 p. 584; 28 Jun 2011 p. 2562.]</w:t>
      </w:r>
    </w:p>
    <w:p>
      <w:pPr>
        <w:pStyle w:val="yHeading5"/>
        <w:spacing w:after="120"/>
      </w:pPr>
      <w:bookmarkStart w:id="1665" w:name="_Toc163121889"/>
      <w:r>
        <w:rPr>
          <w:rStyle w:val="CharSClsNo"/>
        </w:rPr>
        <w:t>93D</w:t>
      </w:r>
      <w:r>
        <w:t>.</w:t>
      </w:r>
      <w:r>
        <w:rPr>
          <w:b w:val="0"/>
        </w:rPr>
        <w:tab/>
      </w:r>
      <w:r>
        <w:t>Certificate that name of public notary remains on roll (O. 76 r. 5(2))</w:t>
      </w:r>
      <w:bookmarkEnd w:id="1665"/>
    </w:p>
    <w:p>
      <w:pPr>
        <w:pStyle w:val="yMiscellaneousBody"/>
        <w:jc w:val="center"/>
        <w:rPr>
          <w:sz w:val="20"/>
        </w:rPr>
      </w:pPr>
      <w:r>
        <w:rPr>
          <w:sz w:val="20"/>
        </w:rPr>
        <w:t>Western Australia</w:t>
      </w:r>
    </w:p>
    <w:p>
      <w:pPr>
        <w:pStyle w:val="yMiscellaneousBody"/>
        <w:rPr>
          <w:sz w:val="20"/>
        </w:rPr>
      </w:pPr>
      <w:r>
        <w:rPr>
          <w:sz w:val="20"/>
        </w:rPr>
        <w:t>IN THE SUPREME COURT</w:t>
      </w:r>
    </w:p>
    <w:p>
      <w:pPr>
        <w:pStyle w:val="yMiscellaneousBody"/>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was duly appointed as a General Public Notary for the State of Western Australia [</w:t>
      </w:r>
      <w:r>
        <w:rPr>
          <w:i/>
          <w:sz w:val="20"/>
        </w:rPr>
        <w:t>or</w:t>
      </w:r>
      <w:r>
        <w:rPr>
          <w:sz w:val="20"/>
        </w:rPr>
        <w:t xml:space="preserve"> as a District Public Notary for the</w:t>
      </w:r>
      <w:r>
        <w:rPr>
          <w:i/>
          <w:sz w:val="20"/>
        </w:rPr>
        <w:t xml:space="preserve"> (name of district) </w:t>
      </w:r>
      <w:r>
        <w:rPr>
          <w:iCs/>
          <w:sz w:val="20"/>
        </w:rPr>
        <w:t xml:space="preserve">in the State of Western Australia] </w:t>
      </w:r>
      <w:r>
        <w:rPr>
          <w:sz w:val="20"/>
        </w:rPr>
        <w:t xml:space="preserve">and that his name was entered on the Roll of Public Notaries on the                     day of </w:t>
      </w:r>
      <w:r>
        <w:rPr>
          <w:sz w:val="20"/>
        </w:rPr>
        <w:br/>
        <w:t xml:space="preserve">                       20       , and still remains on the Roll.</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93D inserted: Gazette 18 Jul 1980 p. 2387; amended: Gazette 21 Feb 2007 p. 584; 28 Jun 2011 p. 2562.]</w:t>
      </w:r>
    </w:p>
    <w:p>
      <w:pPr>
        <w:pStyle w:val="yEdnotedivision"/>
        <w:spacing w:before="240"/>
        <w:outlineLvl w:val="9"/>
      </w:pPr>
      <w:r>
        <w:t>[Form 94 deleted: Gazette 21 Feb 2007 p. 584.]</w:t>
      </w:r>
    </w:p>
    <w:p>
      <w:pPr>
        <w:pStyle w:val="yEdnotedivision"/>
        <w:spacing w:before="240"/>
        <w:outlineLvl w:val="9"/>
      </w:pPr>
      <w:r>
        <w:lastRenderedPageBreak/>
        <w:t>[Forms 95, 96, 97, 98 and 98A deleted: Gazette 29 Apr 2005 p. 1801.]</w:t>
      </w:r>
    </w:p>
    <w:p>
      <w:pPr>
        <w:pStyle w:val="yHeading5"/>
        <w:pageBreakBefore/>
        <w:spacing w:before="0" w:after="120"/>
      </w:pPr>
      <w:bookmarkStart w:id="1666" w:name="_Toc163121890"/>
      <w:r>
        <w:rPr>
          <w:rStyle w:val="CharSClsNo"/>
        </w:rPr>
        <w:lastRenderedPageBreak/>
        <w:t>99</w:t>
      </w:r>
      <w:r>
        <w:t>.</w:t>
      </w:r>
      <w:r>
        <w:rPr>
          <w:b w:val="0"/>
        </w:rPr>
        <w:tab/>
      </w:r>
      <w:r>
        <w:rPr>
          <w:i/>
        </w:rPr>
        <w:t>Escheat (Procedure) Act 1940</w:t>
      </w:r>
      <w:r>
        <w:t>, notice of application under (O. 80 r. 3)</w:t>
      </w:r>
      <w:bookmarkEnd w:id="1666"/>
    </w:p>
    <w:p>
      <w:pPr>
        <w:pStyle w:val="yMiscellaneousBody"/>
        <w:keepNext/>
        <w:spacing w:before="120"/>
        <w:rPr>
          <w:sz w:val="20"/>
        </w:rPr>
      </w:pPr>
      <w:r>
        <w:rPr>
          <w:sz w:val="20"/>
        </w:rPr>
        <w:t>IN THE SUPREME COURT</w:t>
      </w:r>
      <w:r>
        <w:rPr>
          <w:sz w:val="20"/>
        </w:rPr>
        <w:br/>
        <w:t>OF WESTERN AUSTRALIA.</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80"/>
        <w:ind w:left="3840"/>
        <w:rPr>
          <w:sz w:val="20"/>
        </w:rPr>
      </w:pPr>
      <w:r>
        <w:rPr>
          <w:sz w:val="20"/>
        </w:rPr>
        <w:t>The State of Western Australia.</w:t>
      </w:r>
    </w:p>
    <w:p>
      <w:pPr>
        <w:pStyle w:val="yMiscellaneousBody"/>
        <w:spacing w:before="120"/>
        <w:jc w:val="center"/>
        <w:rPr>
          <w:sz w:val="20"/>
        </w:rPr>
      </w:pPr>
      <w:r>
        <w:rPr>
          <w:sz w:val="20"/>
        </w:rPr>
        <w:t>Notice of Application for Order of Escheat.</w:t>
      </w:r>
    </w:p>
    <w:p>
      <w:pPr>
        <w:pStyle w:val="yMiscellaneousBody"/>
        <w:spacing w:before="120"/>
        <w:rPr>
          <w:sz w:val="20"/>
        </w:rPr>
      </w:pPr>
      <w:r>
        <w:rPr>
          <w:sz w:val="20"/>
        </w:rPr>
        <w:t>TAKE NOTICE that an application will be made on the             day of                            , 20      , at                      o’clock in the                       noon, to the judge in chambers at the Supreme Court, David Malcolm Justice Centre, 28 Barrack Street, Perth, for an Order that the property mentioned hereunder, viz:                          shall be and become the property of the State by way of Escheat.</w:t>
      </w:r>
    </w:p>
    <w:p>
      <w:pPr>
        <w:pStyle w:val="yMiscellaneousBody"/>
        <w:spacing w:before="120"/>
        <w:rPr>
          <w:sz w:val="20"/>
        </w:rPr>
      </w:pPr>
      <w:r>
        <w:rPr>
          <w:sz w:val="20"/>
        </w:rPr>
        <w:t>Any person claiming title to the abovementioned property or premises may appear at the time and place abovementioned in support of the claim.</w:t>
      </w:r>
    </w:p>
    <w:p>
      <w:pPr>
        <w:pStyle w:val="yMiscellaneousBody"/>
        <w:spacing w:before="120"/>
        <w:jc w:val="right"/>
        <w:rPr>
          <w:sz w:val="20"/>
        </w:rPr>
      </w:pPr>
      <w:r>
        <w:rPr>
          <w:sz w:val="20"/>
        </w:rPr>
        <w:t>State Solicitor.</w:t>
      </w:r>
    </w:p>
    <w:p>
      <w:pPr>
        <w:pStyle w:val="yFootnotesection"/>
      </w:pPr>
      <w:r>
        <w:tab/>
        <w:t>[Form 99 amended: Gazette 19 Apr 2005 p. 1301; 28 Jun 2011 p. 2562; 16 Nov 2016 p. 5216.]</w:t>
      </w:r>
    </w:p>
    <w:p>
      <w:pPr>
        <w:pStyle w:val="yHeading5"/>
        <w:keepNext w:val="0"/>
        <w:widowControl w:val="0"/>
      </w:pPr>
      <w:bookmarkStart w:id="1667" w:name="_Toc163121891"/>
      <w:r>
        <w:rPr>
          <w:rStyle w:val="CharSClsNo"/>
        </w:rPr>
        <w:t>100</w:t>
      </w:r>
      <w:r>
        <w:t>.</w:t>
      </w:r>
      <w:r>
        <w:rPr>
          <w:b w:val="0"/>
        </w:rPr>
        <w:tab/>
      </w:r>
      <w:r>
        <w:rPr>
          <w:i/>
        </w:rPr>
        <w:t>Escheat (Procedure) Act 1940</w:t>
      </w:r>
      <w:r>
        <w:t>, order of escheat (O. 80 r. 7)</w:t>
      </w:r>
      <w:bookmarkEnd w:id="1667"/>
    </w:p>
    <w:p>
      <w:pPr>
        <w:pStyle w:val="yMiscellaneousBody"/>
        <w:spacing w:before="120"/>
        <w:rPr>
          <w:sz w:val="20"/>
        </w:rPr>
      </w:pPr>
      <w:r>
        <w:rPr>
          <w:sz w:val="20"/>
        </w:rPr>
        <w:t>IN THE SUPREME COURT</w:t>
      </w:r>
      <w:r>
        <w:rPr>
          <w:sz w:val="20"/>
        </w:rPr>
        <w:br/>
        <w:t>OF WESTERN AUSTRALIA.</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120"/>
        <w:ind w:left="3840"/>
        <w:rPr>
          <w:sz w:val="20"/>
        </w:rPr>
      </w:pPr>
      <w:r>
        <w:rPr>
          <w:sz w:val="20"/>
        </w:rPr>
        <w:t>The State of Western Australia.</w:t>
      </w:r>
    </w:p>
    <w:p>
      <w:pPr>
        <w:pStyle w:val="yMiscellaneousBody"/>
        <w:spacing w:before="120"/>
        <w:rPr>
          <w:sz w:val="20"/>
        </w:rPr>
      </w:pPr>
      <w:r>
        <w:rPr>
          <w:sz w:val="20"/>
        </w:rPr>
        <w:t xml:space="preserve">UPON hearing                                          and upon reading the affidavit of                         </w:t>
      </w:r>
      <w:r>
        <w:rPr>
          <w:sz w:val="20"/>
        </w:rPr>
        <w:br/>
        <w:t xml:space="preserve">                           , filed the                   day of                       20     , and having taken into consideration the application of the State Solicitor dated the             day of                        20      , the Court orders that the property mentioned in the said application, viz:                            shall be and become the property of the State by way of Escheat [</w:t>
      </w:r>
      <w:r>
        <w:rPr>
          <w:i/>
          <w:sz w:val="20"/>
        </w:rPr>
        <w:t>or as the case may be</w:t>
      </w:r>
      <w:r>
        <w:rPr>
          <w:sz w:val="20"/>
        </w:rPr>
        <w:t>].</w:t>
      </w:r>
    </w:p>
    <w:p>
      <w:pPr>
        <w:pStyle w:val="yMiscellaneousBody"/>
        <w:spacing w:before="120"/>
        <w:rPr>
          <w:sz w:val="20"/>
        </w:rPr>
      </w:pPr>
      <w:r>
        <w:rPr>
          <w:sz w:val="20"/>
        </w:rPr>
        <w:t>Dated this                     day of                          20     .</w:t>
      </w:r>
    </w:p>
    <w:p>
      <w:pPr>
        <w:pStyle w:val="yFootnotesection"/>
        <w:spacing w:before="40"/>
      </w:pPr>
      <w:r>
        <w:tab/>
        <w:t>[Form 100 amended: Gazette 19 Apr 2005 p. 1301; 28 Jun 2011 p. 2562; 16 Aug 2017 p. 4424.]</w:t>
      </w:r>
    </w:p>
    <w:p>
      <w:pPr>
        <w:pStyle w:val="yHeading5"/>
        <w:pageBreakBefore/>
        <w:spacing w:after="120"/>
      </w:pPr>
      <w:bookmarkStart w:id="1668" w:name="_Toc163121892"/>
      <w:r>
        <w:rPr>
          <w:rStyle w:val="CharSClsNo"/>
        </w:rPr>
        <w:lastRenderedPageBreak/>
        <w:t>101</w:t>
      </w:r>
      <w:r>
        <w:t>.</w:t>
      </w:r>
      <w:r>
        <w:tab/>
        <w:t>Application for extraordinary licence (O. 81C r. 2(1))</w:t>
      </w:r>
      <w:bookmarkEnd w:id="166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980"/>
        <w:gridCol w:w="1558"/>
        <w:gridCol w:w="709"/>
        <w:gridCol w:w="1213"/>
      </w:tblGrid>
      <w:tr>
        <w:trPr>
          <w:cantSplit/>
        </w:trPr>
        <w:tc>
          <w:tcPr>
            <w:tcW w:w="3600" w:type="dxa"/>
            <w:gridSpan w:val="2"/>
            <w:tcBorders>
              <w:bottom w:val="single" w:sz="4" w:space="0" w:color="auto"/>
            </w:tcBorders>
          </w:tcPr>
          <w:p>
            <w:pPr>
              <w:pStyle w:val="yTableNAm"/>
              <w:spacing w:before="80"/>
              <w:rPr>
                <w:iCs/>
                <w:sz w:val="20"/>
              </w:rPr>
            </w:pPr>
            <w:r>
              <w:rPr>
                <w:i/>
                <w:iCs/>
                <w:sz w:val="20"/>
              </w:rPr>
              <w:t>Road Traffic (Authorisation to Drive) Act 2008</w:t>
            </w:r>
            <w:r>
              <w:rPr>
                <w:iCs/>
                <w:sz w:val="20"/>
              </w:rPr>
              <w:t xml:space="preserve"> s. 27</w:t>
            </w:r>
          </w:p>
          <w:p>
            <w:pPr>
              <w:pStyle w:val="yTableNAm"/>
              <w:spacing w:before="80"/>
              <w:rPr>
                <w:sz w:val="20"/>
              </w:rPr>
            </w:pPr>
            <w:r>
              <w:rPr>
                <w:sz w:val="20"/>
              </w:rPr>
              <w:t>Supreme Court of Western Australia</w:t>
            </w:r>
          </w:p>
          <w:p>
            <w:pPr>
              <w:pStyle w:val="yTableNAm"/>
              <w:spacing w:before="0"/>
              <w:rPr>
                <w:b/>
                <w:sz w:val="20"/>
              </w:rPr>
            </w:pPr>
            <w:r>
              <w:rPr>
                <w:sz w:val="20"/>
              </w:rPr>
              <w:t>No:</w:t>
            </w:r>
          </w:p>
        </w:tc>
        <w:tc>
          <w:tcPr>
            <w:tcW w:w="3480" w:type="dxa"/>
            <w:gridSpan w:val="3"/>
            <w:tcBorders>
              <w:bottom w:val="single" w:sz="4" w:space="0" w:color="auto"/>
            </w:tcBorders>
          </w:tcPr>
          <w:p>
            <w:pPr>
              <w:pStyle w:val="yTableNAm"/>
              <w:spacing w:before="0"/>
              <w:rPr>
                <w:b/>
                <w:sz w:val="20"/>
              </w:rPr>
            </w:pPr>
            <w:r>
              <w:rPr>
                <w:b/>
                <w:sz w:val="20"/>
              </w:rPr>
              <w:t>Application for extraordinary licence</w:t>
            </w:r>
          </w:p>
        </w:tc>
      </w:tr>
      <w:tr>
        <w:trPr>
          <w:cantSplit/>
          <w:trHeight w:val="90"/>
        </w:trPr>
        <w:tc>
          <w:tcPr>
            <w:tcW w:w="1620" w:type="dxa"/>
            <w:vMerge w:val="restart"/>
          </w:tcPr>
          <w:p>
            <w:pPr>
              <w:pStyle w:val="yTableNAm"/>
              <w:spacing w:before="0"/>
              <w:rPr>
                <w:sz w:val="20"/>
              </w:rPr>
            </w:pPr>
            <w:r>
              <w:rPr>
                <w:sz w:val="20"/>
              </w:rPr>
              <w:t>Applicant</w:t>
            </w:r>
          </w:p>
        </w:tc>
        <w:tc>
          <w:tcPr>
            <w:tcW w:w="1980" w:type="dxa"/>
            <w:tcBorders>
              <w:bottom w:val="single" w:sz="4" w:space="0" w:color="auto"/>
            </w:tcBorders>
          </w:tcPr>
          <w:p>
            <w:pPr>
              <w:pStyle w:val="yTableNAm"/>
              <w:spacing w:before="0"/>
              <w:rPr>
                <w:sz w:val="20"/>
              </w:rPr>
            </w:pPr>
            <w:r>
              <w:rPr>
                <w:sz w:val="20"/>
              </w:rPr>
              <w:t>Full name</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Address</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Date of birth</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Occupation</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Employment</w:t>
            </w:r>
          </w:p>
          <w:p>
            <w:pPr>
              <w:pStyle w:val="yTableNAm"/>
              <w:spacing w:before="0"/>
              <w:rPr>
                <w:sz w:val="16"/>
                <w:szCs w:val="16"/>
              </w:rPr>
            </w:pPr>
            <w:r>
              <w:rPr>
                <w:sz w:val="16"/>
                <w:szCs w:val="16"/>
              </w:rPr>
              <w:t>[Tick one box]</w:t>
            </w:r>
          </w:p>
        </w:tc>
        <w:tc>
          <w:tcPr>
            <w:tcW w:w="3480" w:type="dxa"/>
            <w:gridSpan w:val="3"/>
          </w:tcPr>
          <w:p>
            <w:pPr>
              <w:pStyle w:val="yTableNAm"/>
              <w:tabs>
                <w:tab w:val="clear" w:pos="567"/>
                <w:tab w:val="left" w:pos="338"/>
              </w:tabs>
              <w:spacing w:before="0"/>
              <w:ind w:left="338" w:hanging="338"/>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338"/>
              </w:tabs>
              <w:spacing w:before="0"/>
              <w:ind w:left="338" w:hanging="338"/>
              <w:rPr>
                <w:sz w:val="20"/>
              </w:rPr>
            </w:pPr>
            <w:r>
              <w:rPr>
                <w:sz w:val="20"/>
              </w:rPr>
              <w:sym w:font="Monotype Sorts" w:char="F070"/>
            </w:r>
            <w:r>
              <w:rPr>
                <w:sz w:val="20"/>
              </w:rPr>
              <w:tab/>
              <w:t>Employed by the employer below</w:t>
            </w: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Employer’s name and address</w:t>
            </w:r>
          </w:p>
        </w:tc>
        <w:tc>
          <w:tcPr>
            <w:tcW w:w="3480"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980" w:type="dxa"/>
            <w:tcBorders>
              <w:bottom w:val="single" w:sz="4" w:space="0" w:color="auto"/>
            </w:tcBorders>
          </w:tcPr>
          <w:p>
            <w:pPr>
              <w:pStyle w:val="yTableNAm"/>
              <w:spacing w:before="0"/>
              <w:rPr>
                <w:sz w:val="20"/>
              </w:rPr>
            </w:pPr>
            <w:r>
              <w:rPr>
                <w:sz w:val="20"/>
              </w:rPr>
              <w:t>Date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Period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vertAlign w:val="superscript"/>
              </w:rPr>
            </w:pPr>
            <w:r>
              <w:rPr>
                <w:sz w:val="20"/>
              </w:rPr>
              <w:t>Reason</w:t>
            </w:r>
            <w:r>
              <w:rPr>
                <w:sz w:val="20"/>
                <w:vertAlign w:val="superscript"/>
              </w:rPr>
              <w:t>1</w:t>
            </w:r>
          </w:p>
        </w:tc>
        <w:tc>
          <w:tcPr>
            <w:tcW w:w="3480" w:type="dxa"/>
            <w:gridSpan w:val="3"/>
            <w:tcBorders>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Application</w:t>
            </w:r>
          </w:p>
        </w:tc>
        <w:tc>
          <w:tcPr>
            <w:tcW w:w="5460" w:type="dxa"/>
            <w:gridSpan w:val="4"/>
            <w:tcBorders>
              <w:bottom w:val="single" w:sz="4" w:space="0" w:color="auto"/>
            </w:tcBorders>
          </w:tcPr>
          <w:p>
            <w:pPr>
              <w:pStyle w:val="yTableNAm"/>
              <w:spacing w:before="0"/>
              <w:rPr>
                <w:sz w:val="20"/>
              </w:rPr>
            </w:pPr>
            <w:r>
              <w:rPr>
                <w:sz w:val="20"/>
              </w:rPr>
              <w:t xml:space="preserve">Under the </w:t>
            </w:r>
            <w:r>
              <w:rPr>
                <w:i/>
                <w:iCs/>
                <w:sz w:val="20"/>
              </w:rPr>
              <w:t>Road Traffic (Authorisation to Drive) Act 2008</w:t>
            </w:r>
            <w:r>
              <w:rPr>
                <w:iCs/>
                <w:sz w:val="20"/>
              </w:rPr>
              <w:t xml:space="preserve"> s. 27</w:t>
            </w:r>
            <w:r>
              <w:rPr>
                <w:sz w:val="20"/>
              </w:rPr>
              <w:t xml:space="preserve"> I apply for an order directing the CEO to issue an extraordinary licence that allows me to drive —</w:t>
            </w:r>
          </w:p>
          <w:p>
            <w:pPr>
              <w:pStyle w:val="yTableNAm"/>
              <w:numPr>
                <w:ilvl w:val="0"/>
                <w:numId w:val="14"/>
              </w:numPr>
              <w:spacing w:before="0"/>
              <w:rPr>
                <w:sz w:val="20"/>
              </w:rPr>
            </w:pPr>
            <w:r>
              <w:rPr>
                <w:sz w:val="20"/>
              </w:rPr>
              <w:t>vehicles of class:</w:t>
            </w:r>
          </w:p>
          <w:p>
            <w:pPr>
              <w:pStyle w:val="yTableNAm"/>
              <w:numPr>
                <w:ilvl w:val="0"/>
                <w:numId w:val="14"/>
              </w:numPr>
              <w:spacing w:before="0"/>
              <w:rPr>
                <w:sz w:val="20"/>
              </w:rPr>
            </w:pPr>
            <w:r>
              <w:rPr>
                <w:sz w:val="20"/>
              </w:rPr>
              <w:t>in these localities:</w:t>
            </w:r>
          </w:p>
          <w:p>
            <w:pPr>
              <w:pStyle w:val="yTableNAm"/>
              <w:numPr>
                <w:ilvl w:val="0"/>
                <w:numId w:val="14"/>
              </w:numPr>
              <w:spacing w:before="0"/>
              <w:rPr>
                <w:sz w:val="20"/>
              </w:rPr>
            </w:pPr>
            <w:r>
              <w:rPr>
                <w:sz w:val="20"/>
              </w:rPr>
              <w:t>on these days at these times:</w:t>
            </w:r>
          </w:p>
          <w:p>
            <w:pPr>
              <w:pStyle w:val="yTableNAm"/>
              <w:numPr>
                <w:ilvl w:val="0"/>
                <w:numId w:val="14"/>
              </w:numPr>
              <w:spacing w:before="0"/>
              <w:rPr>
                <w:sz w:val="20"/>
              </w:rPr>
            </w:pPr>
            <w:r>
              <w:rPr>
                <w:sz w:val="20"/>
              </w:rPr>
              <w:t>for these purposes:</w:t>
            </w:r>
          </w:p>
        </w:tc>
      </w:tr>
      <w:tr>
        <w:trPr>
          <w:cantSplit/>
        </w:trPr>
        <w:tc>
          <w:tcPr>
            <w:tcW w:w="1620" w:type="dxa"/>
            <w:tcBorders>
              <w:bottom w:val="single" w:sz="4" w:space="0" w:color="auto"/>
            </w:tcBorders>
          </w:tcPr>
          <w:p>
            <w:pPr>
              <w:pStyle w:val="yTableNAm"/>
              <w:spacing w:before="0"/>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spacing w:before="0"/>
              <w:rPr>
                <w:sz w:val="20"/>
              </w:rPr>
            </w:pPr>
            <w:r>
              <w:rPr>
                <w:sz w:val="20"/>
              </w:rPr>
              <w:t>1.</w:t>
            </w:r>
          </w:p>
        </w:tc>
      </w:tr>
      <w:tr>
        <w:trPr>
          <w:cantSplit/>
        </w:trPr>
        <w:tc>
          <w:tcPr>
            <w:tcW w:w="1620" w:type="dxa"/>
            <w:tcBorders>
              <w:top w:val="single" w:sz="4" w:space="0" w:color="auto"/>
            </w:tcBorders>
          </w:tcPr>
          <w:p>
            <w:pPr>
              <w:pStyle w:val="yTableNAm"/>
              <w:spacing w:before="0"/>
              <w:rPr>
                <w:sz w:val="20"/>
              </w:rPr>
            </w:pPr>
            <w:r>
              <w:rPr>
                <w:sz w:val="20"/>
              </w:rPr>
              <w:t>Certificate by applicant</w:t>
            </w:r>
          </w:p>
          <w:p>
            <w:pPr>
              <w:pStyle w:val="yTableNAm"/>
              <w:spacing w:before="0"/>
              <w:rPr>
                <w:sz w:val="16"/>
                <w:szCs w:val="16"/>
              </w:rPr>
            </w:pPr>
            <w:r>
              <w:rPr>
                <w:sz w:val="16"/>
                <w:szCs w:val="16"/>
              </w:rPr>
              <w:t>[Tick one box]</w:t>
            </w:r>
          </w:p>
        </w:tc>
        <w:tc>
          <w:tcPr>
            <w:tcW w:w="5460" w:type="dxa"/>
            <w:gridSpan w:val="4"/>
            <w:tcBorders>
              <w:top w:val="single" w:sz="4" w:space="0" w:color="auto"/>
            </w:tcBorders>
          </w:tcPr>
          <w:p>
            <w:pPr>
              <w:pStyle w:val="yTableNAm"/>
              <w:spacing w:before="0"/>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yTableNAm"/>
              <w:tabs>
                <w:tab w:val="clear" w:pos="567"/>
                <w:tab w:val="left" w:pos="364"/>
              </w:tabs>
              <w:spacing w:before="0"/>
              <w:ind w:left="364" w:hanging="364"/>
              <w:rPr>
                <w:sz w:val="20"/>
              </w:rPr>
            </w:pPr>
            <w:r>
              <w:rPr>
                <w:sz w:val="20"/>
              </w:rPr>
              <w:sym w:font="Monotype Sorts" w:char="F070"/>
            </w:r>
            <w:r>
              <w:rPr>
                <w:sz w:val="20"/>
              </w:rPr>
              <w:tab/>
              <w:t>I have not been refused an extraordinary licence by a court within the 6 months before the date of this application.</w:t>
            </w:r>
          </w:p>
          <w:p>
            <w:pPr>
              <w:pStyle w:val="yTableNAm"/>
              <w:tabs>
                <w:tab w:val="clear" w:pos="567"/>
                <w:tab w:val="left" w:pos="364"/>
              </w:tabs>
              <w:spacing w:before="0"/>
              <w:ind w:left="364" w:hanging="364"/>
              <w:rPr>
                <w:sz w:val="20"/>
              </w:rPr>
            </w:pPr>
            <w:r>
              <w:rPr>
                <w:sz w:val="20"/>
              </w:rPr>
              <w:sym w:font="Monotype Sorts" w:char="F070"/>
            </w:r>
            <w:r>
              <w:rPr>
                <w:sz w:val="20"/>
              </w:rPr>
              <w:tab/>
              <w:t>I made a special application for an extraordinary licence that was refused by the [</w:t>
            </w:r>
            <w:r>
              <w:rPr>
                <w:i/>
                <w:iCs/>
                <w:sz w:val="20"/>
              </w:rPr>
              <w:t>name of</w:t>
            </w:r>
            <w:r>
              <w:rPr>
                <w:sz w:val="20"/>
              </w:rPr>
              <w:t>] Court on [</w:t>
            </w:r>
            <w:r>
              <w:rPr>
                <w:i/>
                <w:iCs/>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538"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213"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lastRenderedPageBreak/>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Part V Division 2 (including s. 63, 64, 64AB, 64B, 67, 67AA, 67AD and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Note the </w:t>
      </w:r>
      <w:r>
        <w:rPr>
          <w:i/>
          <w:sz w:val="20"/>
        </w:rPr>
        <w:t>Road Traffic (Authorisation to Drive) Act 2008</w:t>
      </w:r>
      <w:r>
        <w:rPr>
          <w:iCs/>
          <w:sz w:val="20"/>
        </w:rPr>
        <w:t xml:space="preserve"> s. 30.</w:t>
      </w:r>
      <w:r>
        <w:rPr>
          <w:sz w:val="20"/>
        </w:rPr>
        <w:t xml:space="preserve"> Use numbered paragraphs.</w:t>
      </w:r>
    </w:p>
    <w:p>
      <w:pPr>
        <w:pStyle w:val="yFootnotesection"/>
      </w:pPr>
      <w:r>
        <w:tab/>
        <w:t>[Form 101 inserted: Gazette 21 Feb 2007 p. 588; amended: Gazette 19 Dec 2014 p. 4848; SL 2021/65 r. 4.]</w:t>
      </w:r>
    </w:p>
    <w:p>
      <w:pPr>
        <w:pStyle w:val="yHeading5"/>
        <w:spacing w:before="480" w:after="120"/>
        <w:outlineLvl w:val="9"/>
      </w:pPr>
      <w:bookmarkStart w:id="1669" w:name="_Toc163121893"/>
      <w:r>
        <w:rPr>
          <w:rStyle w:val="CharSClsNo"/>
        </w:rPr>
        <w:t>102</w:t>
      </w:r>
      <w:r>
        <w:t>.</w:t>
      </w:r>
      <w:r>
        <w:tab/>
        <w:t>Application by holder to vary extraordinary licence (O. 81C r. 2(2))</w:t>
      </w:r>
      <w:bookmarkEnd w:id="166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409"/>
      </w:tblGrid>
      <w:tr>
        <w:trPr>
          <w:cantSplit/>
        </w:trPr>
        <w:tc>
          <w:tcPr>
            <w:tcW w:w="3969" w:type="dxa"/>
            <w:gridSpan w:val="2"/>
            <w:tcBorders>
              <w:bottom w:val="single" w:sz="4" w:space="0" w:color="auto"/>
            </w:tcBorders>
          </w:tcPr>
          <w:p>
            <w:pPr>
              <w:pStyle w:val="yTableNAm"/>
              <w:spacing w:before="0"/>
              <w:rPr>
                <w:sz w:val="20"/>
              </w:rPr>
            </w:pPr>
            <w:r>
              <w:rPr>
                <w:i/>
                <w:iCs/>
                <w:sz w:val="20"/>
              </w:rPr>
              <w:t xml:space="preserve">Road Traffic (Authorisation to Drive) Act 2008 </w:t>
            </w:r>
            <w:r>
              <w:rPr>
                <w:iCs/>
                <w:sz w:val="20"/>
              </w:rPr>
              <w:t>s. 35(1)</w:t>
            </w:r>
          </w:p>
          <w:p>
            <w:pPr>
              <w:pStyle w:val="yTableNAm"/>
              <w:spacing w:before="80"/>
              <w:rPr>
                <w:sz w:val="20"/>
              </w:rPr>
            </w:pPr>
            <w:r>
              <w:rPr>
                <w:sz w:val="20"/>
              </w:rPr>
              <w:t>Supreme Court of Western Australia</w:t>
            </w:r>
          </w:p>
          <w:p>
            <w:pPr>
              <w:pStyle w:val="yTableNAm"/>
              <w:spacing w:before="0"/>
              <w:rPr>
                <w:b/>
                <w:sz w:val="20"/>
              </w:rPr>
            </w:pPr>
            <w:r>
              <w:rPr>
                <w:sz w:val="20"/>
              </w:rPr>
              <w:t>No:</w:t>
            </w:r>
          </w:p>
        </w:tc>
        <w:tc>
          <w:tcPr>
            <w:tcW w:w="3111" w:type="dxa"/>
            <w:gridSpan w:val="3"/>
            <w:tcBorders>
              <w:bottom w:val="single" w:sz="4" w:space="0" w:color="auto"/>
            </w:tcBorders>
          </w:tcPr>
          <w:p>
            <w:pPr>
              <w:pStyle w:val="yTableNAm"/>
              <w:spacing w:before="0"/>
              <w:rPr>
                <w:b/>
                <w:sz w:val="20"/>
              </w:rPr>
            </w:pPr>
            <w:r>
              <w:rPr>
                <w:b/>
                <w:sz w:val="20"/>
              </w:rPr>
              <w:t>Application by holder to vary extraordinary licence</w:t>
            </w:r>
          </w:p>
        </w:tc>
      </w:tr>
      <w:tr>
        <w:trPr>
          <w:cantSplit/>
          <w:trHeight w:val="90"/>
        </w:trPr>
        <w:tc>
          <w:tcPr>
            <w:tcW w:w="1620" w:type="dxa"/>
            <w:vMerge w:val="restart"/>
            <w:tcBorders>
              <w:bottom w:val="single" w:sz="4" w:space="0" w:color="auto"/>
            </w:tcBorders>
          </w:tcPr>
          <w:p>
            <w:pPr>
              <w:pStyle w:val="yTableNAm"/>
              <w:spacing w:before="0"/>
              <w:rPr>
                <w:sz w:val="20"/>
              </w:rPr>
            </w:pPr>
            <w:r>
              <w:rPr>
                <w:sz w:val="20"/>
              </w:rPr>
              <w:t>Applicant</w:t>
            </w:r>
          </w:p>
        </w:tc>
        <w:tc>
          <w:tcPr>
            <w:tcW w:w="2349" w:type="dxa"/>
            <w:tcBorders>
              <w:bottom w:val="single" w:sz="4" w:space="0" w:color="auto"/>
            </w:tcBorders>
          </w:tcPr>
          <w:p>
            <w:pPr>
              <w:pStyle w:val="yTableNAm"/>
              <w:spacing w:before="0"/>
              <w:rPr>
                <w:sz w:val="20"/>
              </w:rPr>
            </w:pPr>
            <w:r>
              <w:rPr>
                <w:sz w:val="20"/>
              </w:rPr>
              <w:t>Full name</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Address</w:t>
            </w:r>
          </w:p>
        </w:tc>
        <w:tc>
          <w:tcPr>
            <w:tcW w:w="3111"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 xml:space="preserve">Extraordinary licence details </w:t>
            </w:r>
          </w:p>
        </w:tc>
        <w:tc>
          <w:tcPr>
            <w:tcW w:w="2349" w:type="dxa"/>
            <w:tcBorders>
              <w:bottom w:val="single" w:sz="4" w:space="0" w:color="auto"/>
            </w:tcBorders>
          </w:tcPr>
          <w:p>
            <w:pPr>
              <w:pStyle w:val="yTableNAm"/>
              <w:spacing w:before="0"/>
              <w:rPr>
                <w:sz w:val="20"/>
              </w:rPr>
            </w:pPr>
            <w:r>
              <w:rPr>
                <w:sz w:val="20"/>
              </w:rPr>
              <w:t>Court that ordered it</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Date of court order</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Licence’s limitations and conditions</w:t>
            </w:r>
          </w:p>
        </w:tc>
        <w:tc>
          <w:tcPr>
            <w:tcW w:w="3111" w:type="dxa"/>
            <w:gridSpan w:val="3"/>
            <w:tcBorders>
              <w:bottom w:val="single" w:sz="4" w:space="0" w:color="auto"/>
            </w:tcBorders>
          </w:tcPr>
          <w:p>
            <w:pPr>
              <w:pStyle w:val="yTableNAm"/>
              <w:spacing w:before="0"/>
              <w:rPr>
                <w:sz w:val="20"/>
              </w:rPr>
            </w:pPr>
          </w:p>
        </w:tc>
      </w:tr>
      <w:tr>
        <w:trPr>
          <w:cantSplit/>
        </w:trPr>
        <w:tc>
          <w:tcPr>
            <w:tcW w:w="1620" w:type="dxa"/>
          </w:tcPr>
          <w:p>
            <w:pPr>
              <w:pStyle w:val="yTableNAm"/>
              <w:spacing w:before="0"/>
              <w:rPr>
                <w:sz w:val="20"/>
              </w:rPr>
            </w:pPr>
            <w:r>
              <w:rPr>
                <w:sz w:val="20"/>
              </w:rPr>
              <w:t>Application</w:t>
            </w:r>
          </w:p>
          <w:p>
            <w:pPr>
              <w:pStyle w:val="yTableNAm"/>
              <w:spacing w:before="0"/>
              <w:rPr>
                <w:sz w:val="16"/>
                <w:szCs w:val="16"/>
              </w:rPr>
            </w:pPr>
            <w:r>
              <w:rPr>
                <w:sz w:val="16"/>
                <w:szCs w:val="16"/>
              </w:rPr>
              <w:t>[Tick one box]</w:t>
            </w:r>
          </w:p>
        </w:tc>
        <w:tc>
          <w:tcPr>
            <w:tcW w:w="5460" w:type="dxa"/>
            <w:gridSpan w:val="4"/>
          </w:tcPr>
          <w:p>
            <w:pPr>
              <w:pStyle w:val="yTableNAm"/>
              <w:spacing w:before="0"/>
              <w:rPr>
                <w:sz w:val="20"/>
              </w:rPr>
            </w:pPr>
            <w:r>
              <w:rPr>
                <w:sz w:val="20"/>
              </w:rPr>
              <w:t xml:space="preserve">I hold the above extraordinary licence. Under the </w:t>
            </w:r>
            <w:r>
              <w:rPr>
                <w:i/>
                <w:iCs/>
                <w:sz w:val="20"/>
              </w:rPr>
              <w:t>Road Traffic (Authorisation to Drive) Act 2008</w:t>
            </w:r>
            <w:r>
              <w:rPr>
                <w:iCs/>
                <w:sz w:val="20"/>
              </w:rPr>
              <w:t xml:space="preserve"> s. 35(1)</w:t>
            </w:r>
            <w:r>
              <w:rPr>
                <w:sz w:val="20"/>
              </w:rPr>
              <w:t xml:space="preserve"> I apply for —</w:t>
            </w:r>
          </w:p>
          <w:p>
            <w:pPr>
              <w:pStyle w:val="yTableNAm"/>
              <w:tabs>
                <w:tab w:val="clear" w:pos="567"/>
                <w:tab w:val="left" w:pos="364"/>
              </w:tabs>
              <w:spacing w:before="0"/>
              <w:ind w:left="364" w:hanging="364"/>
              <w:rPr>
                <w:sz w:val="20"/>
              </w:rPr>
            </w:pPr>
            <w:r>
              <w:rPr>
                <w:sz w:val="20"/>
              </w:rPr>
              <w:sym w:font="Monotype Sorts" w:char="F070"/>
            </w:r>
            <w:r>
              <w:rPr>
                <w:sz w:val="20"/>
              </w:rPr>
              <w:tab/>
              <w:t>An order that varies the above limitations and conditions by:</w:t>
            </w:r>
            <w:r>
              <w:rPr>
                <w:sz w:val="20"/>
              </w:rPr>
              <w:br/>
            </w:r>
          </w:p>
          <w:p>
            <w:pPr>
              <w:pStyle w:val="yTableNAm"/>
              <w:tabs>
                <w:tab w:val="clear" w:pos="567"/>
                <w:tab w:val="left" w:pos="364"/>
              </w:tabs>
              <w:spacing w:before="0"/>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620" w:type="dxa"/>
          </w:tcPr>
          <w:p>
            <w:pPr>
              <w:pStyle w:val="yTableNAm"/>
              <w:spacing w:before="0"/>
              <w:rPr>
                <w:sz w:val="20"/>
              </w:rPr>
            </w:pPr>
            <w:r>
              <w:rPr>
                <w:sz w:val="20"/>
              </w:rPr>
              <w:t>Grounds for this application</w:t>
            </w:r>
            <w:r>
              <w:rPr>
                <w:sz w:val="20"/>
                <w:vertAlign w:val="superscript"/>
              </w:rPr>
              <w:t>1</w:t>
            </w:r>
          </w:p>
        </w:tc>
        <w:tc>
          <w:tcPr>
            <w:tcW w:w="5460" w:type="dxa"/>
            <w:gridSpan w:val="4"/>
          </w:tcPr>
          <w:p>
            <w:pPr>
              <w:pStyle w:val="yTableNAm"/>
              <w:spacing w:before="0"/>
              <w:rPr>
                <w:sz w:val="20"/>
              </w:rPr>
            </w:pPr>
            <w:r>
              <w:rPr>
                <w:sz w:val="20"/>
              </w:rPr>
              <w:t>1.</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342"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09"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lastRenderedPageBreak/>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102 inserted: Gazette 21 Feb 2007 p. 589; amended: Gazette 19 Dec 2014 p. 4848.]</w:t>
      </w:r>
    </w:p>
    <w:p>
      <w:pPr>
        <w:pStyle w:val="yHeading5"/>
        <w:spacing w:after="120"/>
      </w:pPr>
      <w:bookmarkStart w:id="1670" w:name="_Toc163121894"/>
      <w:r>
        <w:rPr>
          <w:rStyle w:val="CharSClsNo"/>
        </w:rPr>
        <w:t>103</w:t>
      </w:r>
      <w:r>
        <w:t>.</w:t>
      </w:r>
      <w:r>
        <w:tab/>
        <w:t>Application by CEO to vary, cancel extraordinary licence (O. 81C r. 2(3))</w:t>
      </w:r>
      <w:bookmarkEnd w:id="167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277"/>
      </w:tblGrid>
      <w:tr>
        <w:trPr>
          <w:cantSplit/>
        </w:trPr>
        <w:tc>
          <w:tcPr>
            <w:tcW w:w="3960" w:type="dxa"/>
            <w:gridSpan w:val="2"/>
            <w:tcBorders>
              <w:bottom w:val="single" w:sz="4" w:space="0" w:color="auto"/>
            </w:tcBorders>
          </w:tcPr>
          <w:p>
            <w:pPr>
              <w:pStyle w:val="yTableNAm"/>
              <w:rPr>
                <w:sz w:val="20"/>
              </w:rPr>
            </w:pPr>
            <w:r>
              <w:rPr>
                <w:i/>
                <w:iCs/>
                <w:sz w:val="20"/>
              </w:rPr>
              <w:t xml:space="preserve">Road Traffic (Authorisation to Drive) Act 2008 </w:t>
            </w:r>
            <w:r>
              <w:rPr>
                <w:iCs/>
                <w:sz w:val="20"/>
              </w:rPr>
              <w:t>s. 35(2)</w:t>
            </w:r>
          </w:p>
          <w:p>
            <w:pPr>
              <w:pStyle w:val="yTableNAm"/>
              <w:rPr>
                <w:sz w:val="20"/>
              </w:rPr>
            </w:pPr>
            <w:r>
              <w:rPr>
                <w:sz w:val="20"/>
              </w:rPr>
              <w:t>Supreme Court of Western Australia</w:t>
            </w:r>
          </w:p>
          <w:p>
            <w:pPr>
              <w:pStyle w:val="yTableNAm"/>
              <w:spacing w:before="0"/>
              <w:rPr>
                <w:b/>
                <w:sz w:val="20"/>
              </w:rPr>
            </w:pPr>
            <w:r>
              <w:rPr>
                <w:sz w:val="20"/>
              </w:rPr>
              <w:t>No:</w:t>
            </w:r>
          </w:p>
        </w:tc>
        <w:tc>
          <w:tcPr>
            <w:tcW w:w="3120" w:type="dxa"/>
            <w:gridSpan w:val="3"/>
            <w:tcBorders>
              <w:bottom w:val="single" w:sz="4" w:space="0" w:color="auto"/>
            </w:tcBorders>
          </w:tcPr>
          <w:p>
            <w:pPr>
              <w:pStyle w:val="yTableNAm"/>
              <w:rPr>
                <w:b/>
                <w:sz w:val="20"/>
              </w:rPr>
            </w:pPr>
            <w:r>
              <w:rPr>
                <w:b/>
                <w:sz w:val="20"/>
              </w:rPr>
              <w:t>Application by CEO to vary extraordinary licence</w:t>
            </w:r>
          </w:p>
        </w:tc>
      </w:tr>
      <w:tr>
        <w:trPr>
          <w:cantSplit/>
          <w:trHeight w:val="90"/>
        </w:trPr>
        <w:tc>
          <w:tcPr>
            <w:tcW w:w="1620" w:type="dxa"/>
            <w:vMerge w:val="restart"/>
          </w:tcPr>
          <w:p>
            <w:pPr>
              <w:pStyle w:val="yTableNAm"/>
              <w:rPr>
                <w:sz w:val="20"/>
              </w:rPr>
            </w:pPr>
            <w:r>
              <w:rPr>
                <w:sz w:val="20"/>
              </w:rPr>
              <w:t xml:space="preserve">Extraordinary licence details </w:t>
            </w:r>
          </w:p>
        </w:tc>
        <w:tc>
          <w:tcPr>
            <w:tcW w:w="2340" w:type="dxa"/>
            <w:tcBorders>
              <w:bottom w:val="single" w:sz="4" w:space="0" w:color="auto"/>
            </w:tcBorders>
          </w:tcPr>
          <w:p>
            <w:pPr>
              <w:pStyle w:val="yTableNAm"/>
              <w:rPr>
                <w:sz w:val="20"/>
              </w:rPr>
            </w:pPr>
            <w:r>
              <w:rPr>
                <w:sz w:val="20"/>
              </w:rPr>
              <w:t>Holder’s name</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Holder’s address</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Court that ordered it</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Date of court order</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340" w:type="dxa"/>
            <w:tcBorders>
              <w:bottom w:val="single" w:sz="4" w:space="0" w:color="auto"/>
            </w:tcBorders>
          </w:tcPr>
          <w:p>
            <w:pPr>
              <w:pStyle w:val="yTableNAm"/>
              <w:rPr>
                <w:sz w:val="20"/>
              </w:rPr>
            </w:pPr>
            <w:r>
              <w:rPr>
                <w:sz w:val="20"/>
              </w:rPr>
              <w:t>Licence’s limitations and conditions</w:t>
            </w:r>
          </w:p>
        </w:tc>
        <w:tc>
          <w:tcPr>
            <w:tcW w:w="3120"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p>
            <w:pPr>
              <w:pStyle w:val="yTableNAm"/>
              <w:rPr>
                <w:sz w:val="16"/>
                <w:szCs w:val="16"/>
              </w:rPr>
            </w:pPr>
            <w:r>
              <w:rPr>
                <w:sz w:val="16"/>
                <w:szCs w:val="16"/>
              </w:rPr>
              <w:t>[Tick one box]</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35(2)</w:t>
            </w:r>
            <w:r>
              <w:rPr>
                <w:sz w:val="20"/>
              </w:rPr>
              <w:t xml:space="preserve"> the CEO applies for —</w:t>
            </w:r>
          </w:p>
          <w:p>
            <w:pPr>
              <w:pStyle w:val="yTableNAm"/>
              <w:tabs>
                <w:tab w:val="clear" w:pos="567"/>
                <w:tab w:val="left" w:pos="364"/>
              </w:tabs>
              <w:ind w:left="364" w:hanging="364"/>
              <w:rPr>
                <w:sz w:val="20"/>
              </w:rPr>
            </w:pPr>
            <w:r>
              <w:rPr>
                <w:sz w:val="20"/>
              </w:rPr>
              <w:sym w:font="Monotype Sorts" w:char="F070"/>
            </w:r>
            <w:r>
              <w:rPr>
                <w:sz w:val="20"/>
              </w:rPr>
              <w:tab/>
              <w:t>An order that varies the above limitations and conditions by:</w:t>
            </w:r>
          </w:p>
          <w:p>
            <w:pPr>
              <w:pStyle w:val="yTableNAm"/>
              <w:tabs>
                <w:tab w:val="clear" w:pos="567"/>
                <w:tab w:val="left" w:pos="364"/>
              </w:tabs>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4"/>
              </w:tabs>
              <w:ind w:left="364" w:hanging="364"/>
              <w:rPr>
                <w:sz w:val="20"/>
              </w:rPr>
            </w:pPr>
            <w:r>
              <w:rPr>
                <w:sz w:val="20"/>
              </w:rPr>
              <w:sym w:font="Monotype Sorts" w:char="F070"/>
            </w:r>
            <w:r>
              <w:rPr>
                <w:sz w:val="20"/>
              </w:rPr>
              <w:tab/>
              <w:t>An order that cancels the above extraordinary licence.</w:t>
            </w:r>
          </w:p>
        </w:tc>
      </w:tr>
      <w:tr>
        <w:trPr>
          <w:cantSplit/>
        </w:trPr>
        <w:tc>
          <w:tcPr>
            <w:tcW w:w="1620" w:type="dxa"/>
            <w:tcBorders>
              <w:top w:val="single" w:sz="4" w:space="0" w:color="auto"/>
            </w:tcBorders>
          </w:tcPr>
          <w:p>
            <w:pPr>
              <w:pStyle w:val="yTableNAm"/>
              <w:rPr>
                <w:sz w:val="20"/>
              </w:rPr>
            </w:pPr>
            <w:r>
              <w:rPr>
                <w:sz w:val="20"/>
              </w:rPr>
              <w:t>Grounds for this application</w:t>
            </w:r>
            <w:r>
              <w:rPr>
                <w:sz w:val="20"/>
                <w:vertAlign w:val="superscript"/>
              </w:rPr>
              <w:t>1</w:t>
            </w:r>
          </w:p>
        </w:tc>
        <w:tc>
          <w:tcPr>
            <w:tcW w:w="5460" w:type="dxa"/>
            <w:gridSpan w:val="4"/>
            <w:tcBorders>
              <w:top w:val="single" w:sz="4" w:space="0" w:color="auto"/>
            </w:tcBorders>
          </w:tcPr>
          <w:p>
            <w:pPr>
              <w:pStyle w:val="yTableNAm"/>
              <w:rPr>
                <w:sz w:val="20"/>
              </w:rPr>
            </w:pPr>
            <w:r>
              <w:rPr>
                <w:sz w:val="20"/>
              </w:rPr>
              <w:t>1.</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474" w:type="dxa"/>
            <w:gridSpan w:val="2"/>
            <w:tcBorders>
              <w:top w:val="single" w:sz="4" w:space="0" w:color="auto"/>
              <w:bottom w:val="single" w:sz="4" w:space="0" w:color="auto"/>
            </w:tcBorders>
          </w:tcPr>
          <w:p>
            <w:pPr>
              <w:pStyle w:val="yTableNAm"/>
              <w:rPr>
                <w:sz w:val="20"/>
              </w:rPr>
            </w:pPr>
          </w:p>
          <w:p>
            <w:pPr>
              <w:pStyle w:val="yTableNAm"/>
              <w:rPr>
                <w:sz w:val="20"/>
              </w:rPr>
            </w:pPr>
            <w:r>
              <w:rPr>
                <w:sz w:val="20"/>
              </w:rPr>
              <w:t>for CEO</w:t>
            </w:r>
          </w:p>
        </w:tc>
        <w:tc>
          <w:tcPr>
            <w:tcW w:w="709" w:type="dxa"/>
            <w:tcBorders>
              <w:top w:val="single" w:sz="4" w:space="0" w:color="auto"/>
              <w:bottom w:val="single" w:sz="4" w:space="0" w:color="auto"/>
            </w:tcBorders>
          </w:tcPr>
          <w:p>
            <w:pPr>
              <w:pStyle w:val="yTableNAm"/>
              <w:rPr>
                <w:sz w:val="20"/>
              </w:rPr>
            </w:pPr>
            <w:r>
              <w:rPr>
                <w:sz w:val="20"/>
              </w:rPr>
              <w:t>Date</w:t>
            </w:r>
          </w:p>
        </w:tc>
        <w:tc>
          <w:tcPr>
            <w:tcW w:w="1277"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lastRenderedPageBreak/>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103 inserted: Gazette 21 Feb 2007 p. 589</w:t>
      </w:r>
      <w:r>
        <w:noBreakHyphen/>
        <w:t>90; amended: Gazette 19 Dec 2014 p. 4848</w:t>
      </w:r>
      <w:r>
        <w:noBreakHyphen/>
        <w:t>9.]</w:t>
      </w:r>
    </w:p>
    <w:p>
      <w:pPr>
        <w:pStyle w:val="yHeading5"/>
        <w:spacing w:after="80"/>
      </w:pPr>
      <w:bookmarkStart w:id="1671" w:name="_Toc163121895"/>
      <w:r>
        <w:rPr>
          <w:rStyle w:val="CharSClsNo"/>
        </w:rPr>
        <w:t>104</w:t>
      </w:r>
      <w:r>
        <w:t>.</w:t>
      </w:r>
      <w:r>
        <w:tab/>
        <w:t>Application for removal of disqualification (O. 81C r. 2(4))</w:t>
      </w:r>
      <w:bookmarkEnd w:id="167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1213"/>
      </w:tblGrid>
      <w:tr>
        <w:trPr>
          <w:cantSplit/>
        </w:trPr>
        <w:tc>
          <w:tcPr>
            <w:tcW w:w="3686" w:type="dxa"/>
            <w:gridSpan w:val="2"/>
            <w:tcBorders>
              <w:bottom w:val="single" w:sz="4" w:space="0" w:color="auto"/>
            </w:tcBorders>
          </w:tcPr>
          <w:p>
            <w:pPr>
              <w:pStyle w:val="yTableNAm"/>
              <w:rPr>
                <w:sz w:val="20"/>
              </w:rPr>
            </w:pPr>
            <w:r>
              <w:rPr>
                <w:i/>
                <w:sz w:val="20"/>
              </w:rPr>
              <w:t>Road Traffic (Authorisation to Drive) Act 2008</w:t>
            </w:r>
            <w:r>
              <w:rPr>
                <w:iCs/>
                <w:sz w:val="20"/>
              </w:rPr>
              <w:t xml:space="preserve"> s. 24(1)</w:t>
            </w:r>
          </w:p>
          <w:p>
            <w:pPr>
              <w:pStyle w:val="yTableNAm"/>
              <w:rPr>
                <w:sz w:val="20"/>
              </w:rPr>
            </w:pPr>
            <w:r>
              <w:rPr>
                <w:sz w:val="20"/>
              </w:rPr>
              <w:t>Supreme Court of Western Australia</w:t>
            </w:r>
          </w:p>
          <w:p>
            <w:pPr>
              <w:pStyle w:val="yTableNAm"/>
              <w:spacing w:before="0"/>
              <w:rPr>
                <w:b/>
                <w:sz w:val="20"/>
              </w:rPr>
            </w:pPr>
            <w:r>
              <w:rPr>
                <w:sz w:val="20"/>
              </w:rPr>
              <w:t>No:</w:t>
            </w:r>
          </w:p>
        </w:tc>
        <w:tc>
          <w:tcPr>
            <w:tcW w:w="3394" w:type="dxa"/>
            <w:gridSpan w:val="3"/>
            <w:tcBorders>
              <w:bottom w:val="single" w:sz="4" w:space="0" w:color="auto"/>
            </w:tcBorders>
          </w:tcPr>
          <w:p>
            <w:pPr>
              <w:pStyle w:val="yTableNAm"/>
              <w:rPr>
                <w:b/>
                <w:sz w:val="20"/>
              </w:rPr>
            </w:pPr>
            <w:r>
              <w:rPr>
                <w:b/>
                <w:sz w:val="20"/>
              </w:rPr>
              <w:t>Application for removal of disqualification</w:t>
            </w:r>
          </w:p>
        </w:tc>
      </w:tr>
      <w:tr>
        <w:trPr>
          <w:cantSplit/>
          <w:trHeight w:val="90"/>
        </w:trPr>
        <w:tc>
          <w:tcPr>
            <w:tcW w:w="1620" w:type="dxa"/>
            <w:vMerge w:val="restart"/>
          </w:tcPr>
          <w:p>
            <w:pPr>
              <w:pStyle w:val="yTableNAm"/>
              <w:rPr>
                <w:sz w:val="20"/>
              </w:rPr>
            </w:pPr>
            <w:r>
              <w:rPr>
                <w:sz w:val="20"/>
              </w:rPr>
              <w:t>Applicant</w:t>
            </w:r>
          </w:p>
        </w:tc>
        <w:tc>
          <w:tcPr>
            <w:tcW w:w="2066" w:type="dxa"/>
            <w:tcBorders>
              <w:bottom w:val="single" w:sz="4" w:space="0" w:color="auto"/>
            </w:tcBorders>
          </w:tcPr>
          <w:p>
            <w:pPr>
              <w:pStyle w:val="yTableNAm"/>
              <w:rPr>
                <w:sz w:val="20"/>
              </w:rPr>
            </w:pPr>
            <w:r>
              <w:rPr>
                <w:sz w:val="20"/>
              </w:rPr>
              <w:t>Full name</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Address</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Date of birth</w:t>
            </w:r>
          </w:p>
        </w:tc>
        <w:tc>
          <w:tcPr>
            <w:tcW w:w="3394" w:type="dxa"/>
            <w:gridSpan w:val="3"/>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Occupation</w:t>
            </w:r>
          </w:p>
        </w:tc>
        <w:tc>
          <w:tcPr>
            <w:tcW w:w="3394" w:type="dxa"/>
            <w:gridSpan w:val="3"/>
          </w:tcPr>
          <w:p>
            <w:pPr>
              <w:pStyle w:val="yTableNAm"/>
              <w:rPr>
                <w:sz w:val="20"/>
              </w:rPr>
            </w:pPr>
          </w:p>
        </w:tc>
      </w:tr>
      <w:tr>
        <w:trPr>
          <w:cantSplit/>
          <w:trHeight w:val="90"/>
        </w:trPr>
        <w:tc>
          <w:tcPr>
            <w:tcW w:w="1620" w:type="dxa"/>
            <w:vMerge w:val="restart"/>
          </w:tcPr>
          <w:p>
            <w:pPr>
              <w:pStyle w:val="yTableNAm"/>
              <w:rPr>
                <w:sz w:val="20"/>
              </w:rPr>
            </w:pPr>
            <w:r>
              <w:rPr>
                <w:sz w:val="20"/>
              </w:rPr>
              <w:t>Details of order disqualifying applicant from holding or obtaining a driver’s licence</w:t>
            </w:r>
          </w:p>
        </w:tc>
        <w:tc>
          <w:tcPr>
            <w:tcW w:w="2066" w:type="dxa"/>
            <w:tcBorders>
              <w:bottom w:val="single" w:sz="4" w:space="0" w:color="auto"/>
            </w:tcBorders>
          </w:tcPr>
          <w:p>
            <w:pPr>
              <w:pStyle w:val="yTableNAm"/>
              <w:rPr>
                <w:sz w:val="20"/>
              </w:rPr>
            </w:pPr>
            <w:r>
              <w:rPr>
                <w:sz w:val="20"/>
              </w:rPr>
              <w:t>Court that made the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Date of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Period disqualified</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066" w:type="dxa"/>
            <w:tcBorders>
              <w:bottom w:val="single" w:sz="4" w:space="0" w:color="auto"/>
            </w:tcBorders>
          </w:tcPr>
          <w:p>
            <w:pPr>
              <w:pStyle w:val="yTableNAm"/>
              <w:rPr>
                <w:sz w:val="20"/>
                <w:vertAlign w:val="superscript"/>
              </w:rPr>
            </w:pPr>
            <w:r>
              <w:rPr>
                <w:sz w:val="20"/>
              </w:rPr>
              <w:t>Reason</w:t>
            </w:r>
            <w:r>
              <w:rPr>
                <w:sz w:val="20"/>
                <w:vertAlign w:val="superscript"/>
              </w:rPr>
              <w:t>1</w:t>
            </w:r>
          </w:p>
        </w:tc>
        <w:tc>
          <w:tcPr>
            <w:tcW w:w="3394"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24(1),</w:t>
            </w:r>
            <w:r>
              <w:rPr>
                <w:sz w:val="20"/>
              </w:rPr>
              <w:t xml:space="preserve"> I apply for an order removing the above disqualification.</w:t>
            </w:r>
          </w:p>
        </w:tc>
      </w:tr>
      <w:tr>
        <w:trPr>
          <w:cantSplit/>
        </w:trPr>
        <w:tc>
          <w:tcPr>
            <w:tcW w:w="1620" w:type="dxa"/>
            <w:tcBorders>
              <w:bottom w:val="single" w:sz="4" w:space="0" w:color="auto"/>
            </w:tcBorders>
          </w:tcPr>
          <w:p>
            <w:pPr>
              <w:pStyle w:val="yTableNAm"/>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rPr>
                <w:sz w:val="20"/>
              </w:rPr>
            </w:pPr>
            <w:r>
              <w:rPr>
                <w:sz w:val="20"/>
              </w:rPr>
              <w:t>1.</w:t>
            </w:r>
          </w:p>
        </w:tc>
      </w:tr>
      <w:tr>
        <w:trPr>
          <w:cantSplit/>
        </w:trPr>
        <w:tc>
          <w:tcPr>
            <w:tcW w:w="1620" w:type="dxa"/>
            <w:tcBorders>
              <w:top w:val="single" w:sz="4" w:space="0" w:color="auto"/>
            </w:tcBorders>
          </w:tcPr>
          <w:p>
            <w:pPr>
              <w:pStyle w:val="yTableNAm"/>
              <w:rPr>
                <w:sz w:val="20"/>
              </w:rPr>
            </w:pPr>
            <w:r>
              <w:rPr>
                <w:sz w:val="20"/>
              </w:rPr>
              <w:t>Certificate by applicant</w:t>
            </w:r>
          </w:p>
        </w:tc>
        <w:tc>
          <w:tcPr>
            <w:tcW w:w="5460" w:type="dxa"/>
            <w:gridSpan w:val="4"/>
            <w:tcBorders>
              <w:top w:val="single" w:sz="4" w:space="0" w:color="auto"/>
            </w:tcBorders>
          </w:tcPr>
          <w:p>
            <w:pPr>
              <w:pStyle w:val="yTableNAm"/>
              <w:rPr>
                <w:sz w:val="20"/>
              </w:rPr>
            </w:pPr>
            <w:r>
              <w:rPr>
                <w:sz w:val="20"/>
              </w:rPr>
              <w:t xml:space="preserve">An application made under the </w:t>
            </w:r>
            <w:r>
              <w:rPr>
                <w:i/>
                <w:sz w:val="20"/>
              </w:rPr>
              <w:t>Road Traffic (Authorisation to Drive) Act 2008</w:t>
            </w:r>
            <w:r>
              <w:rPr>
                <w:iCs/>
                <w:sz w:val="20"/>
              </w:rPr>
              <w:t xml:space="preserve"> s. 24(1)</w:t>
            </w:r>
            <w:r>
              <w:rPr>
                <w:sz w:val="20"/>
              </w:rPr>
              <w:t xml:space="preserve">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538" w:type="dxa"/>
            <w:gridSpan w:val="2"/>
            <w:tcBorders>
              <w:top w:val="single" w:sz="4" w:space="0" w:color="auto"/>
              <w:bottom w:val="single" w:sz="4" w:space="0" w:color="auto"/>
            </w:tcBorders>
          </w:tcPr>
          <w:p>
            <w:pPr>
              <w:pStyle w:val="yTableNAm"/>
              <w:rPr>
                <w:sz w:val="20"/>
              </w:rPr>
            </w:pPr>
          </w:p>
        </w:tc>
        <w:tc>
          <w:tcPr>
            <w:tcW w:w="709" w:type="dxa"/>
            <w:tcBorders>
              <w:top w:val="single" w:sz="4" w:space="0" w:color="auto"/>
              <w:bottom w:val="single" w:sz="4" w:space="0" w:color="auto"/>
            </w:tcBorders>
          </w:tcPr>
          <w:p>
            <w:pPr>
              <w:pStyle w:val="yTableNAm"/>
              <w:rPr>
                <w:sz w:val="20"/>
              </w:rPr>
            </w:pPr>
            <w:r>
              <w:rPr>
                <w:sz w:val="20"/>
              </w:rPr>
              <w:t>Date</w:t>
            </w:r>
          </w:p>
        </w:tc>
        <w:tc>
          <w:tcPr>
            <w:tcW w:w="1213"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lastRenderedPageBreak/>
        <w:t>Notes to Form No. 104 —</w:t>
      </w:r>
    </w:p>
    <w:p>
      <w:pPr>
        <w:pStyle w:val="yMiscellaneousBody"/>
        <w:tabs>
          <w:tab w:val="left" w:pos="540"/>
        </w:tabs>
        <w:spacing w:before="80"/>
        <w:ind w:left="539" w:hanging="539"/>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Part V Division 2 (including s. 63, 64, 64AB, 64B, 67, 67AA, 67AD and 67A), state whether the conviction was the applicant’s first, second or subsequent for the offence. If disqualified for some other reason, give details.</w:t>
      </w:r>
    </w:p>
    <w:p>
      <w:pPr>
        <w:pStyle w:val="yMiscellaneousBody"/>
        <w:tabs>
          <w:tab w:val="left" w:pos="540"/>
        </w:tabs>
        <w:spacing w:before="80"/>
        <w:ind w:left="539" w:hanging="539"/>
        <w:rPr>
          <w:sz w:val="20"/>
        </w:rPr>
      </w:pPr>
      <w:r>
        <w:rPr>
          <w:sz w:val="20"/>
        </w:rPr>
        <w:t>2.</w:t>
      </w:r>
      <w:r>
        <w:rPr>
          <w:sz w:val="20"/>
        </w:rPr>
        <w:tab/>
        <w:t xml:space="preserve">Note the </w:t>
      </w:r>
      <w:r>
        <w:rPr>
          <w:i/>
          <w:sz w:val="20"/>
        </w:rPr>
        <w:t>Road Traffic (Authorisation to Drive) Act 2008</w:t>
      </w:r>
      <w:r>
        <w:rPr>
          <w:iCs/>
          <w:sz w:val="20"/>
        </w:rPr>
        <w:t xml:space="preserve"> s. 24(5).</w:t>
      </w:r>
      <w:r>
        <w:rPr>
          <w:sz w:val="20"/>
        </w:rPr>
        <w:t xml:space="preserve"> Use numbered paragraphs.</w:t>
      </w:r>
    </w:p>
    <w:p>
      <w:pPr>
        <w:pStyle w:val="yFootnotesection"/>
      </w:pPr>
      <w:r>
        <w:tab/>
        <w:t>[Form 104 inserted: Gazette 21 Feb 2007 p. 590; amended: Gazette 19 Dec 2014 p. 4849; SL 2021/65 r. 5.]</w:t>
      </w:r>
    </w:p>
    <w:p>
      <w:pPr>
        <w:pStyle w:val="yEdnotedivision"/>
        <w:spacing w:before="160"/>
      </w:pPr>
      <w:r>
        <w:t>[Forms 105-107 deleted: Gazette 15 Mar 2013 p. 1207.]</w:t>
      </w:r>
    </w:p>
    <w:p>
      <w:pPr>
        <w:pStyle w:val="yHeading5"/>
        <w:spacing w:after="120"/>
      </w:pPr>
      <w:bookmarkStart w:id="1672" w:name="_Toc163121896"/>
      <w:r>
        <w:rPr>
          <w:rStyle w:val="CharSClsNo"/>
        </w:rPr>
        <w:t>108</w:t>
      </w:r>
      <w:r>
        <w:t>.</w:t>
      </w:r>
      <w:r>
        <w:tab/>
      </w:r>
      <w:r>
        <w:rPr>
          <w:i/>
        </w:rPr>
        <w:t>Criminal and Found Property Disposal Act 2006</w:t>
      </w:r>
      <w:r>
        <w:t>, claim under (O. 81G r. 3)</w:t>
      </w:r>
      <w:bookmarkEnd w:id="1672"/>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287"/>
      </w:tblGrid>
      <w:tr>
        <w:trPr>
          <w:cantSplit/>
          <w:trHeight w:val="329"/>
        </w:trPr>
        <w:tc>
          <w:tcPr>
            <w:tcW w:w="3686" w:type="dxa"/>
            <w:gridSpan w:val="2"/>
            <w:vMerge w:val="restart"/>
          </w:tcPr>
          <w:p>
            <w:pPr>
              <w:pStyle w:val="yTableNAm"/>
              <w:spacing w:before="20"/>
              <w:rPr>
                <w:sz w:val="20"/>
              </w:rPr>
            </w:pPr>
            <w:r>
              <w:rPr>
                <w:sz w:val="20"/>
              </w:rPr>
              <w:t>Supreme Court of Western Australia</w:t>
            </w:r>
          </w:p>
          <w:p>
            <w:pPr>
              <w:pStyle w:val="yTableNAm"/>
              <w:spacing w:before="20"/>
              <w:rPr>
                <w:b/>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tcPr>
          <w:p>
            <w:pPr>
              <w:pStyle w:val="yTableNAm"/>
              <w:spacing w:before="20"/>
              <w:rPr>
                <w:sz w:val="20"/>
              </w:rPr>
            </w:pPr>
            <w:r>
              <w:rPr>
                <w:b/>
                <w:i/>
                <w:iCs/>
                <w:sz w:val="20"/>
              </w:rPr>
              <w:t xml:space="preserve">Criminal and Found Property Disposal Act 2006 </w:t>
            </w:r>
            <w:r>
              <w:rPr>
                <w:b/>
                <w:sz w:val="20"/>
              </w:rPr>
              <w:t>claim</w:t>
            </w:r>
          </w:p>
        </w:tc>
      </w:tr>
      <w:tr>
        <w:trPr>
          <w:cantSplit/>
        </w:trPr>
        <w:tc>
          <w:tcPr>
            <w:tcW w:w="1560" w:type="dxa"/>
            <w:tcBorders>
              <w:bottom w:val="nil"/>
            </w:tcBorders>
          </w:tcPr>
          <w:p>
            <w:pPr>
              <w:pStyle w:val="yTableNAm"/>
              <w:spacing w:before="20"/>
              <w:rPr>
                <w:sz w:val="20"/>
              </w:rPr>
            </w:pPr>
            <w:r>
              <w:rPr>
                <w:sz w:val="20"/>
              </w:rPr>
              <w:t>Parties</w:t>
            </w:r>
          </w:p>
        </w:tc>
        <w:tc>
          <w:tcPr>
            <w:tcW w:w="5520" w:type="dxa"/>
            <w:gridSpan w:val="3"/>
            <w:tcBorders>
              <w:bottom w:val="nil"/>
            </w:tcBorders>
          </w:tcPr>
          <w:p>
            <w:pPr>
              <w:pStyle w:val="yTableNAm"/>
              <w:tabs>
                <w:tab w:val="clear" w:pos="567"/>
                <w:tab w:val="left" w:pos="2944"/>
              </w:tabs>
              <w:spacing w:before="20"/>
              <w:rPr>
                <w:sz w:val="20"/>
              </w:rPr>
            </w:pPr>
            <w:r>
              <w:rPr>
                <w:sz w:val="20"/>
              </w:rPr>
              <w:tab/>
              <w:t>Claimant</w:t>
            </w:r>
          </w:p>
          <w:p>
            <w:pPr>
              <w:pStyle w:val="yTableNAm"/>
              <w:tabs>
                <w:tab w:val="clear" w:pos="567"/>
                <w:tab w:val="left" w:pos="2944"/>
              </w:tabs>
              <w:spacing w:before="20"/>
              <w:rPr>
                <w:sz w:val="20"/>
              </w:rPr>
            </w:pPr>
            <w:r>
              <w:rPr>
                <w:sz w:val="20"/>
              </w:rPr>
              <w:tab/>
              <w:t>Defendant</w:t>
            </w:r>
          </w:p>
        </w:tc>
      </w:tr>
      <w:tr>
        <w:trPr>
          <w:cantSplit/>
        </w:trPr>
        <w:tc>
          <w:tcPr>
            <w:tcW w:w="1560" w:type="dxa"/>
            <w:tcBorders>
              <w:bottom w:val="single" w:sz="4" w:space="0" w:color="auto"/>
            </w:tcBorders>
          </w:tcPr>
          <w:p>
            <w:pPr>
              <w:pStyle w:val="yTableNAm"/>
              <w:spacing w:before="20"/>
              <w:rPr>
                <w:sz w:val="20"/>
              </w:rPr>
            </w:pPr>
            <w:r>
              <w:rPr>
                <w:sz w:val="20"/>
              </w:rPr>
              <w:t>Claim</w:t>
            </w:r>
            <w:r>
              <w:rPr>
                <w:sz w:val="20"/>
                <w:vertAlign w:val="superscript"/>
              </w:rPr>
              <w:t>1</w:t>
            </w:r>
          </w:p>
        </w:tc>
        <w:tc>
          <w:tcPr>
            <w:tcW w:w="5520" w:type="dxa"/>
            <w:gridSpan w:val="3"/>
            <w:tcBorders>
              <w:bottom w:val="single" w:sz="4" w:space="0" w:color="auto"/>
            </w:tcBorders>
          </w:tcPr>
          <w:p>
            <w:pPr>
              <w:pStyle w:val="yTableNAm"/>
              <w:spacing w:before="2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NAm"/>
              <w:spacing w:before="20"/>
              <w:rPr>
                <w:sz w:val="20"/>
              </w:rPr>
            </w:pPr>
            <w:r>
              <w:rPr>
                <w:sz w:val="20"/>
              </w:rPr>
              <w:t>In relation to the property described below, the claimant applies for —</w:t>
            </w:r>
          </w:p>
          <w:p>
            <w:pPr>
              <w:pStyle w:val="yTableNAm"/>
              <w:spacing w:before="20"/>
              <w:rPr>
                <w:sz w:val="20"/>
              </w:rPr>
            </w:pPr>
            <w:r>
              <w:rPr>
                <w:sz w:val="20"/>
              </w:rPr>
              <w:t>1.</w:t>
            </w:r>
          </w:p>
        </w:tc>
      </w:tr>
      <w:tr>
        <w:trPr>
          <w:cantSplit/>
        </w:trPr>
        <w:tc>
          <w:tcPr>
            <w:tcW w:w="1560" w:type="dxa"/>
            <w:tcBorders>
              <w:bottom w:val="single" w:sz="4" w:space="0" w:color="auto"/>
            </w:tcBorders>
          </w:tcPr>
          <w:p>
            <w:pPr>
              <w:pStyle w:val="yTableNAm"/>
              <w:spacing w:before="20"/>
              <w:rPr>
                <w:sz w:val="20"/>
              </w:rPr>
            </w:pPr>
            <w:r>
              <w:rPr>
                <w:sz w:val="20"/>
              </w:rPr>
              <w:t>Property to which claim relates</w:t>
            </w:r>
            <w:r>
              <w:rPr>
                <w:sz w:val="20"/>
                <w:vertAlign w:val="superscript"/>
              </w:rPr>
              <w:t>2</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Estimated value</w:t>
            </w:r>
            <w:r>
              <w:rPr>
                <w:sz w:val="20"/>
                <w:vertAlign w:val="superscript"/>
              </w:rPr>
              <w:t>3</w:t>
            </w:r>
          </w:p>
        </w:tc>
        <w:tc>
          <w:tcPr>
            <w:tcW w:w="5520" w:type="dxa"/>
            <w:gridSpan w:val="3"/>
            <w:tcBorders>
              <w:bottom w:val="single" w:sz="4" w:space="0" w:color="auto"/>
            </w:tcBorders>
          </w:tcPr>
          <w:p>
            <w:pPr>
              <w:pStyle w:val="yTableNAm"/>
              <w:spacing w:before="20"/>
              <w:rPr>
                <w:sz w:val="20"/>
              </w:rPr>
            </w:pPr>
            <w:r>
              <w:rPr>
                <w:sz w:val="20"/>
              </w:rPr>
              <w:t>$</w:t>
            </w:r>
          </w:p>
        </w:tc>
      </w:tr>
      <w:tr>
        <w:trPr>
          <w:cantSplit/>
        </w:trPr>
        <w:tc>
          <w:tcPr>
            <w:tcW w:w="1560" w:type="dxa"/>
            <w:tcBorders>
              <w:bottom w:val="single" w:sz="4" w:space="0" w:color="auto"/>
            </w:tcBorders>
          </w:tcPr>
          <w:p>
            <w:pPr>
              <w:pStyle w:val="yTableNAm"/>
              <w:spacing w:before="20"/>
              <w:rPr>
                <w:sz w:val="20"/>
              </w:rPr>
            </w:pPr>
            <w:r>
              <w:rPr>
                <w:sz w:val="20"/>
              </w:rPr>
              <w:t>Hearing details</w:t>
            </w:r>
          </w:p>
        </w:tc>
        <w:tc>
          <w:tcPr>
            <w:tcW w:w="5520" w:type="dxa"/>
            <w:gridSpan w:val="3"/>
            <w:tcBorders>
              <w:bottom w:val="single" w:sz="4" w:space="0" w:color="auto"/>
            </w:tcBorders>
          </w:tcPr>
          <w:p>
            <w:pPr>
              <w:pStyle w:val="yTableNAm"/>
              <w:tabs>
                <w:tab w:val="clear" w:pos="567"/>
                <w:tab w:val="left" w:pos="3904"/>
              </w:tabs>
              <w:spacing w:before="20"/>
              <w:rPr>
                <w:sz w:val="20"/>
              </w:rPr>
            </w:pPr>
            <w:r>
              <w:rPr>
                <w:sz w:val="20"/>
              </w:rPr>
              <w:t>This claim will be heard on</w:t>
            </w:r>
            <w:r>
              <w:rPr>
                <w:sz w:val="20"/>
              </w:rPr>
              <w:tab/>
              <w:t>20</w:t>
            </w:r>
          </w:p>
          <w:p>
            <w:pPr>
              <w:pStyle w:val="yTableNAm"/>
              <w:spacing w:before="20"/>
              <w:rPr>
                <w:sz w:val="20"/>
              </w:rPr>
            </w:pPr>
            <w:r>
              <w:rPr>
                <w:sz w:val="20"/>
              </w:rPr>
              <w:t>not before</w:t>
            </w:r>
            <w:r>
              <w:rPr>
                <w:sz w:val="20"/>
              </w:rPr>
              <w:tab/>
              <w:t>a.m./p.m. at the Supreme Court, David Malcolm Justice Centre, 28 Barrack Street, Perth.</w:t>
            </w:r>
          </w:p>
        </w:tc>
      </w:tr>
      <w:tr>
        <w:trPr>
          <w:cantSplit/>
        </w:trPr>
        <w:tc>
          <w:tcPr>
            <w:tcW w:w="7080" w:type="dxa"/>
            <w:gridSpan w:val="4"/>
            <w:tcBorders>
              <w:bottom w:val="single" w:sz="4" w:space="0" w:color="auto"/>
            </w:tcBorders>
          </w:tcPr>
          <w:p>
            <w:pPr>
              <w:pStyle w:val="yTableNAm"/>
              <w:spacing w:before="20"/>
              <w:rPr>
                <w:b/>
                <w:sz w:val="20"/>
              </w:rPr>
            </w:pPr>
            <w:r>
              <w:rPr>
                <w:b/>
                <w:sz w:val="20"/>
              </w:rPr>
              <w:t>Claimant’s details</w:t>
            </w:r>
          </w:p>
        </w:tc>
      </w:tr>
      <w:tr>
        <w:trPr>
          <w:cantSplit/>
        </w:trPr>
        <w:tc>
          <w:tcPr>
            <w:tcW w:w="1560" w:type="dxa"/>
            <w:tcBorders>
              <w:bottom w:val="single" w:sz="4" w:space="0" w:color="auto"/>
            </w:tcBorders>
          </w:tcPr>
          <w:p>
            <w:pPr>
              <w:pStyle w:val="yTableNAm"/>
              <w:spacing w:before="20"/>
              <w:rPr>
                <w:sz w:val="20"/>
              </w:rPr>
            </w:pPr>
            <w:r>
              <w:rPr>
                <w:sz w:val="20"/>
              </w:rPr>
              <w:t>Claimant’s geographical address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Claimant’s service details</w:t>
            </w:r>
            <w:r>
              <w:rPr>
                <w:sz w:val="20"/>
                <w:vertAlign w:val="superscript"/>
              </w:rPr>
              <w:t>5</w:t>
            </w:r>
          </w:p>
        </w:tc>
        <w:tc>
          <w:tcPr>
            <w:tcW w:w="552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spacing w:before="2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NAm"/>
              <w:spacing w:before="20"/>
              <w:rPr>
                <w:sz w:val="20"/>
              </w:rPr>
            </w:pPr>
            <w:r>
              <w:rPr>
                <w:sz w:val="20"/>
              </w:rPr>
              <w:lastRenderedPageBreak/>
              <w:t>Signature of claimant or solicitor</w:t>
            </w:r>
          </w:p>
        </w:tc>
        <w:tc>
          <w:tcPr>
            <w:tcW w:w="4233" w:type="dxa"/>
            <w:gridSpan w:val="2"/>
            <w:tcBorders>
              <w:top w:val="single" w:sz="4" w:space="0" w:color="auto"/>
              <w:bottom w:val="single" w:sz="4" w:space="0" w:color="auto"/>
            </w:tcBorders>
          </w:tcPr>
          <w:p>
            <w:pPr>
              <w:pStyle w:val="yTableNAm"/>
              <w:spacing w:before="20"/>
              <w:rPr>
                <w:sz w:val="20"/>
              </w:rPr>
            </w:pPr>
          </w:p>
          <w:p>
            <w:pPr>
              <w:pStyle w:val="yTableNAm"/>
              <w:spacing w:before="0"/>
              <w:rPr>
                <w:sz w:val="20"/>
              </w:rPr>
            </w:pPr>
          </w:p>
          <w:p>
            <w:pPr>
              <w:pStyle w:val="yTableNAm"/>
              <w:spacing w:before="0"/>
              <w:rPr>
                <w:sz w:val="20"/>
              </w:rPr>
            </w:pPr>
            <w:r>
              <w:rPr>
                <w:sz w:val="20"/>
              </w:rPr>
              <w:t>Claimant/Claimant’s solicitor</w:t>
            </w:r>
          </w:p>
        </w:tc>
        <w:tc>
          <w:tcPr>
            <w:tcW w:w="1287" w:type="dxa"/>
            <w:tcBorders>
              <w:top w:val="single" w:sz="4" w:space="0" w:color="auto"/>
              <w:bottom w:val="single" w:sz="4" w:space="0" w:color="auto"/>
            </w:tcBorders>
          </w:tcPr>
          <w:p>
            <w:pPr>
              <w:pStyle w:val="yTableNAm"/>
              <w:spacing w:before="20"/>
              <w:rPr>
                <w:sz w:val="20"/>
              </w:rPr>
            </w:pPr>
            <w:r>
              <w:rPr>
                <w:sz w:val="20"/>
              </w:rPr>
              <w:t>Date:</w:t>
            </w:r>
          </w:p>
        </w:tc>
      </w:tr>
    </w:tbl>
    <w:p>
      <w:pPr>
        <w:pStyle w:val="yMiscellaneousBody"/>
        <w:tabs>
          <w:tab w:val="left" w:pos="540"/>
        </w:tabs>
        <w:spacing w:before="120"/>
        <w:ind w:left="539" w:hanging="539"/>
        <w:rPr>
          <w:sz w:val="20"/>
        </w:rPr>
      </w:pPr>
      <w:r>
        <w:rPr>
          <w:sz w:val="20"/>
        </w:rPr>
        <w:t>Notes to Form No. 108 —</w:t>
      </w:r>
    </w:p>
    <w:p>
      <w:pPr>
        <w:pStyle w:val="yMiscellaneousBody"/>
        <w:tabs>
          <w:tab w:val="left" w:pos="540"/>
        </w:tabs>
        <w:spacing w:before="4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40"/>
        <w:ind w:left="540" w:hanging="540"/>
        <w:rPr>
          <w:sz w:val="20"/>
        </w:rPr>
      </w:pPr>
      <w:r>
        <w:rPr>
          <w:sz w:val="20"/>
        </w:rPr>
        <w:tab/>
        <w:t>State the order(s) the claimant wants the Court to make in numbered paragraphs.</w:t>
      </w:r>
    </w:p>
    <w:p>
      <w:pPr>
        <w:pStyle w:val="yMiscellaneousBody"/>
        <w:tabs>
          <w:tab w:val="left" w:pos="540"/>
        </w:tabs>
        <w:spacing w:before="40"/>
        <w:ind w:left="539" w:hanging="539"/>
        <w:rPr>
          <w:sz w:val="20"/>
        </w:rPr>
      </w:pPr>
      <w:r>
        <w:rPr>
          <w:sz w:val="20"/>
        </w:rPr>
        <w:t>2.</w:t>
      </w:r>
      <w:r>
        <w:rPr>
          <w:sz w:val="20"/>
        </w:rPr>
        <w:tab/>
        <w:t>Describe the property to which the claim relates.</w:t>
      </w:r>
    </w:p>
    <w:p>
      <w:pPr>
        <w:pStyle w:val="yMiscellaneousBody"/>
        <w:tabs>
          <w:tab w:val="left" w:pos="540"/>
        </w:tabs>
        <w:spacing w:before="40"/>
        <w:ind w:left="540" w:hanging="540"/>
        <w:rPr>
          <w:sz w:val="20"/>
        </w:rPr>
      </w:pPr>
      <w:r>
        <w:rPr>
          <w:sz w:val="20"/>
        </w:rPr>
        <w:t>3.</w:t>
      </w:r>
      <w:r>
        <w:rPr>
          <w:sz w:val="20"/>
        </w:rPr>
        <w:tab/>
        <w:t>State the estimated value of the property.</w:t>
      </w:r>
    </w:p>
    <w:p>
      <w:pPr>
        <w:pStyle w:val="yMiscellaneousBody"/>
        <w:tabs>
          <w:tab w:val="left" w:pos="540"/>
        </w:tabs>
        <w:spacing w:before="40"/>
        <w:ind w:left="540" w:hanging="540"/>
        <w:rPr>
          <w:sz w:val="20"/>
        </w:rPr>
      </w:pPr>
      <w:r>
        <w:rPr>
          <w:sz w:val="20"/>
        </w:rPr>
        <w:t>4.</w:t>
      </w:r>
      <w:r>
        <w:rPr>
          <w:sz w:val="20"/>
        </w:rPr>
        <w:tab/>
        <w:t>Must be provided unless otherwise ordered by the Court.  See Order 71A r. 2 and 3A.</w:t>
      </w:r>
    </w:p>
    <w:p>
      <w:pPr>
        <w:pStyle w:val="yMiscellaneousBody"/>
        <w:tabs>
          <w:tab w:val="left" w:pos="540"/>
        </w:tabs>
        <w:spacing w:before="40"/>
        <w:ind w:left="540" w:hanging="540"/>
        <w:rPr>
          <w:sz w:val="20"/>
        </w:rPr>
      </w:pPr>
      <w:r>
        <w:rPr>
          <w:sz w:val="20"/>
        </w:rPr>
        <w:t>5.</w:t>
      </w:r>
      <w:r>
        <w:rPr>
          <w:sz w:val="20"/>
        </w:rPr>
        <w:tab/>
        <w:t>Must be in accordance with Order 71A.</w:t>
      </w:r>
    </w:p>
    <w:p>
      <w:pPr>
        <w:pStyle w:val="yFootnotesection"/>
        <w:spacing w:before="80"/>
      </w:pPr>
      <w:r>
        <w:tab/>
        <w:t>[Form 108 inserted: Gazette 22 Feb 2008 p. 648</w:t>
      </w:r>
      <w:r>
        <w:noBreakHyphen/>
        <w:t>9; amended: Gazette 13 Nov 2015 p. 4655; 16 Nov 2016 p. 5216.]</w:t>
      </w:r>
    </w:p>
    <w:p>
      <w:pPr>
        <w:sectPr>
          <w:headerReference w:type="even" r:id="rId24"/>
          <w:headerReference w:type="default" r:id="rId25"/>
          <w:headerReference w:type="first" r:id="rId26"/>
          <w:type w:val="continuous"/>
          <w:pgSz w:w="11907" w:h="16840" w:code="9"/>
          <w:pgMar w:top="2376" w:right="2405" w:bottom="3542" w:left="2405" w:header="706" w:footer="3544" w:gutter="0"/>
          <w:cols w:space="720"/>
          <w:noEndnote/>
          <w:docGrid w:linePitch="326"/>
        </w:sectPr>
      </w:pPr>
    </w:p>
    <w:p>
      <w:pPr>
        <w:pStyle w:val="yScheduleHeading"/>
      </w:pPr>
      <w:bookmarkStart w:id="1674" w:name="_Toc162941433"/>
      <w:bookmarkStart w:id="1675" w:name="_Toc162954224"/>
      <w:bookmarkStart w:id="1676" w:name="_Toc163121897"/>
      <w:r>
        <w:rPr>
          <w:rStyle w:val="CharSchNo"/>
        </w:rPr>
        <w:lastRenderedPageBreak/>
        <w:t>Schedule 3</w:t>
      </w:r>
      <w:r>
        <w:rPr>
          <w:rStyle w:val="CharDivNo"/>
        </w:rPr>
        <w:t> </w:t>
      </w:r>
      <w:r>
        <w:t>—</w:t>
      </w:r>
      <w:r>
        <w:rPr>
          <w:rStyle w:val="CharSDivText"/>
        </w:rPr>
        <w:t> </w:t>
      </w:r>
      <w:r>
        <w:rPr>
          <w:rStyle w:val="CharSchText"/>
        </w:rPr>
        <w:t>Payment into and out of court</w:t>
      </w:r>
      <w:bookmarkEnd w:id="1674"/>
      <w:bookmarkEnd w:id="1675"/>
      <w:bookmarkEnd w:id="1676"/>
    </w:p>
    <w:p>
      <w:pPr>
        <w:pStyle w:val="yShoulderClause"/>
      </w:pPr>
      <w:r>
        <w:t>[O. 24 r. 12]</w:t>
      </w:r>
    </w:p>
    <w:p>
      <w:pPr>
        <w:pStyle w:val="yFootnoteheading"/>
      </w:pPr>
      <w:r>
        <w:tab/>
        <w:t>[Heading inserted: Gazette 28 Jun 2011 p. 2563.]</w:t>
      </w:r>
    </w:p>
    <w:p>
      <w:pPr>
        <w:pStyle w:val="yEdnotesection"/>
        <w:outlineLvl w:val="9"/>
      </w:pPr>
      <w:r>
        <w:t>[</w:t>
      </w:r>
      <w:r>
        <w:rPr>
          <w:b/>
        </w:rPr>
        <w:t>1.</w:t>
      </w:r>
      <w:r>
        <w:tab/>
        <w:t>Deleted: Gazette 21 Feb 2007 p. 596.]</w:t>
      </w:r>
    </w:p>
    <w:p>
      <w:pPr>
        <w:pStyle w:val="ySubsection"/>
      </w:pPr>
      <w:r>
        <w:rPr>
          <w:b/>
          <w:bCs/>
        </w:rPr>
        <w:t>2.</w:t>
      </w:r>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r>
        <w:rPr>
          <w:b/>
          <w:bCs/>
        </w:rPr>
        <w:t>3.</w:t>
      </w:r>
      <w:r>
        <w:tab/>
      </w:r>
      <w:r>
        <w:tab/>
        <w:t>Money paid into court shall be paid by the Accountant to the Treasurer, except when the money is to be invested by the Public Trustee, in which case it shall be transferred to the Public Trustee.</w:t>
      </w:r>
    </w:p>
    <w:p>
      <w:pPr>
        <w:pStyle w:val="ySubsection"/>
      </w:pPr>
      <w:r>
        <w:rPr>
          <w:b/>
          <w:bCs/>
        </w:rPr>
        <w:t>4.</w:t>
      </w:r>
      <w:r>
        <w:tab/>
      </w:r>
      <w:r>
        <w:tab/>
        <w:t>Where money is paid into court under a judgment or order, a copy of the judgment or order shall be lodged with the Accountant forthwith by the person or party making the payment in or his solicitor.  If the money or any part of the money is transferred to the Public Trustee for investment the copy of the judgment or order shall be forwarded by the Accountant to the Public Trustee.</w:t>
      </w:r>
    </w:p>
    <w:p>
      <w:pPr>
        <w:pStyle w:val="yFootnotesection"/>
      </w:pPr>
      <w:r>
        <w:tab/>
        <w:t>[Clause 4 amended: Gazette 27 Feb 2018 p. 624.]</w:t>
      </w:r>
    </w:p>
    <w:p>
      <w:pPr>
        <w:pStyle w:val="yFootnotesection"/>
        <w:rPr>
          <w:b/>
        </w:rPr>
      </w:pPr>
      <w:r>
        <w:t>[</w:t>
      </w:r>
      <w:r>
        <w:rPr>
          <w:b/>
        </w:rPr>
        <w:t>5.</w:t>
      </w:r>
      <w:r>
        <w:tab/>
        <w:t>Deleted: Gazette 5 Apr 1991 p. 1401.]</w:t>
      </w:r>
    </w:p>
    <w:p>
      <w:pPr>
        <w:pStyle w:val="ySubsection"/>
      </w:pPr>
      <w:r>
        <w:rPr>
          <w:b/>
          <w:bCs/>
        </w:rPr>
        <w:t>6.</w:t>
      </w:r>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r>
        <w:rPr>
          <w:b/>
          <w:bCs/>
        </w:rPr>
        <w:t>7.</w:t>
      </w:r>
      <w:r>
        <w:tab/>
      </w:r>
      <w:r>
        <w:tab/>
        <w:t xml:space="preserve">On bespeaking payment out of court of money paid in on a notice or pleading, a copy of the original receipted notice or pleading must be </w:t>
      </w:r>
      <w:r>
        <w:lastRenderedPageBreak/>
        <w:t>lodged at the office of the Accountant.</w:t>
      </w:r>
    </w:p>
    <w:p>
      <w:pPr>
        <w:pStyle w:val="yFootnotesection"/>
      </w:pPr>
      <w:r>
        <w:tab/>
        <w:t>[Clause 7 amended: Gazette 27 Feb 2018 p. 624.]</w:t>
      </w:r>
    </w:p>
    <w:p>
      <w:pPr>
        <w:pStyle w:val="ySubsection"/>
      </w:pPr>
      <w:r>
        <w:rPr>
          <w:b/>
          <w:bCs/>
        </w:rPr>
        <w:t>8.</w:t>
      </w:r>
      <w:r>
        <w:tab/>
      </w:r>
      <w:r>
        <w:tab/>
        <w:t>Where money is to be paid out under an order or authority, on bespeaking the payment out, the order or authority must be lodged at the Central Office, and after having been examined by the Principal Registrar must be filed. A copy of the order or authority shall also be lodged with the Accountant by the solicitor or party seeking the payment out.</w:t>
      </w:r>
    </w:p>
    <w:p>
      <w:pPr>
        <w:pStyle w:val="yFootnotesection"/>
      </w:pPr>
      <w:r>
        <w:tab/>
        <w:t>[Clause 8 amended: Gazette 14 Dec 1979 p. 3872; 27 Feb 2018 p. 624.]</w:t>
      </w:r>
    </w:p>
    <w:p>
      <w:pPr>
        <w:pStyle w:val="ySubsection"/>
      </w:pPr>
      <w:r>
        <w:rPr>
          <w:b/>
          <w:bCs/>
        </w:rPr>
        <w:t>9.</w:t>
      </w:r>
      <w:r>
        <w:tab/>
      </w:r>
      <w:r>
        <w:tab/>
        <w:t>Where the money to be paid out has been transferred to the Public Trustee for investment, the documents required under regulations 7 and 8 to be lodged with the Accountant, shall be lodged instead with the Public Trustee, and the Public Trustee shall pay such money to the person entitled thereto.</w:t>
      </w:r>
    </w:p>
    <w:p>
      <w:pPr>
        <w:pStyle w:val="yFootnotesection"/>
      </w:pPr>
      <w:r>
        <w:tab/>
        <w:t>[Clause 9 amended: Gazette 28 Jun 2011 p. 2555.]</w:t>
      </w:r>
    </w:p>
    <w:p>
      <w:pPr>
        <w:pStyle w:val="ySubsection"/>
      </w:pPr>
      <w:r>
        <w:rPr>
          <w:b/>
          <w:bCs/>
        </w:rPr>
        <w:t>10.</w:t>
      </w:r>
      <w:r>
        <w:tab/>
      </w:r>
      <w:r>
        <w:tab/>
        <w:t>Every authority for the payment of money out of court must be attested by a witness, whose residence and description must be added to his attestation.</w:t>
      </w:r>
    </w:p>
    <w:p>
      <w:pPr>
        <w:pStyle w:val="ySubsection"/>
      </w:pPr>
      <w:r>
        <w:rPr>
          <w:b/>
          <w:bCs/>
        </w:rPr>
        <w:t>11.</w:t>
      </w:r>
      <w:r>
        <w:tab/>
      </w:r>
      <w:r>
        <w:tab/>
        <w:t>Each sum paid into court shall, as regards its payment out of court, be deemed when the time for payment out arrives, to be money standing to the credit of the Supreme Court.</w:t>
      </w:r>
    </w:p>
    <w:p>
      <w:pPr>
        <w:pStyle w:val="ySubsection"/>
      </w:pPr>
      <w:r>
        <w:rPr>
          <w:b/>
          <w:bCs/>
        </w:rPr>
        <w:t>12.</w:t>
      </w:r>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[Clause 12 amended: Gazette 14 Dec 1979 p. 3872; 26 Aug 1984 p. 4415.]</w:t>
      </w:r>
    </w:p>
    <w:p>
      <w:pPr>
        <w:pStyle w:val="ySubsection"/>
      </w:pPr>
      <w:r>
        <w:rPr>
          <w:b/>
          <w:bCs/>
        </w:rPr>
        <w:t>13.</w:t>
      </w:r>
      <w:r>
        <w:tab/>
      </w:r>
      <w:r>
        <w:tab/>
        <w:t xml:space="preserve">Whenever the order is required to be drawn in favour of any person not a solicitor of the Supreme Court, the Accountant or Public Trustee as the case may be, may require him to be identified by a solicitor. If </w:t>
      </w:r>
      <w:r>
        <w:lastRenderedPageBreak/>
        <w:t>such person shall be represented in the cause or matter by a solicitor, the identifying solicitor must be such solicitor.</w:t>
      </w:r>
    </w:p>
    <w:p>
      <w:pPr>
        <w:pStyle w:val="ySubsection"/>
      </w:pPr>
      <w:r>
        <w:rPr>
          <w:b/>
          <w:bCs/>
        </w:rPr>
        <w:t>14.</w:t>
      </w:r>
      <w:r>
        <w:tab/>
      </w:r>
      <w:r>
        <w:tab/>
        <w:t>Where an order directs that money paid into court is to be invested, the Public Trustee shall make the investment.</w:t>
      </w:r>
    </w:p>
    <w:p>
      <w:pPr>
        <w:pStyle w:val="ySubsection"/>
      </w:pPr>
      <w:r>
        <w:rPr>
          <w:b/>
          <w:bCs/>
        </w:rPr>
        <w:t>15.</w:t>
      </w:r>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[Regulation 15 amended: Gazette 14 Dec 1979 p. 3872.]</w:t>
      </w:r>
    </w:p>
    <w:p>
      <w:pPr>
        <w:pStyle w:val="ySubsection"/>
      </w:pPr>
      <w:r>
        <w:rPr>
          <w:b/>
          <w:bCs/>
        </w:rPr>
        <w:t>16.</w:t>
      </w:r>
      <w:r>
        <w:tab/>
      </w:r>
      <w:r>
        <w:tab/>
        <w:t>The Principal Registrar shall furnish to the Accountant or Public Trustee, free of charge a copy of any document filed with the Principal Registrar, which the Accountant or Public Trustee may reasonably require for the purpose of carrying out his duties under this Schedule.</w:t>
      </w:r>
    </w:p>
    <w:p>
      <w:pPr>
        <w:pStyle w:val="yFootnotesection"/>
      </w:pPr>
      <w:r>
        <w:tab/>
        <w:t>[Regulation 16 amended: Gazette 14 Dec 1979 p. 3872; 27 Feb 2018 p. 624.]</w:t>
      </w:r>
    </w:p>
    <w:p>
      <w:pPr>
        <w:pStyle w:val="yEdnoteschedule"/>
      </w:pPr>
      <w:r>
        <w:t>[Fourth Schedule deleted: Gazette 21 Feb 2007 p. 596.]</w:t>
      </w:r>
    </w:p>
    <w:p>
      <w:pPr>
        <w:pStyle w:val="yEdnoteschedule"/>
      </w:pPr>
      <w:r>
        <w:t>[Fifth Schedule deleted: Gazette 27 Jul 2001 p. 3895.]</w:t>
      </w:r>
    </w:p>
    <w:p>
      <w:pPr>
        <w:pStyle w:val="yEdnoteschedule"/>
        <w:keepNext/>
      </w:pPr>
      <w:r>
        <w:lastRenderedPageBreak/>
        <w:t>[Sixth Schedule deleted: Gazette 16 Jul 1999 p. 3201.]</w:t>
      </w:r>
    </w:p>
    <w:p>
      <w:pPr>
        <w:pStyle w:val="Ednotesection"/>
        <w:ind w:left="890" w:hanging="890"/>
        <w:rPr>
          <w:sz w:val="22"/>
        </w:rPr>
      </w:pPr>
      <w:r>
        <w:rPr>
          <w:sz w:val="22"/>
        </w:rPr>
        <w:t>[Seventh Schedule deleted: Gazette 21 May 2004 p. 1712.]</w:t>
      </w:r>
    </w:p>
    <w:p>
      <w:pPr>
        <w:pStyle w:val="CentredBaseLine"/>
        <w:jc w:val="center"/>
      </w:pPr>
      <w:r>
        <w:rPr>
          <w:noProof/>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pPr>
      <w:bookmarkStart w:id="1677" w:name="_Toc162941434"/>
      <w:bookmarkStart w:id="1678" w:name="_Toc162954225"/>
      <w:bookmarkStart w:id="1679" w:name="_Toc163121898"/>
      <w:r>
        <w:lastRenderedPageBreak/>
        <w:t>Notes</w:t>
      </w:r>
      <w:bookmarkEnd w:id="1677"/>
      <w:bookmarkEnd w:id="1678"/>
      <w:bookmarkEnd w:id="1679"/>
    </w:p>
    <w:p>
      <w:pPr>
        <w:pStyle w:val="nStatement"/>
      </w:pPr>
      <w:r>
        <w:t xml:space="preserve">This is a compilation of the </w:t>
      </w:r>
      <w:r>
        <w:rPr>
          <w:i/>
          <w:noProof/>
        </w:rPr>
        <w:t>Rules of the Supreme Court 1971</w:t>
      </w:r>
      <w:r>
        <w:t xml:space="preserve"> and includes amendments made by other written laws. For provisions that have come into operation, and for information about any reprints, see the compilation table.</w:t>
      </w:r>
    </w:p>
    <w:p>
      <w:pPr>
        <w:pStyle w:val="nHeading3"/>
      </w:pPr>
      <w:bookmarkStart w:id="1680" w:name="_Toc163121899"/>
      <w:r>
        <w:t>Compilation table</w:t>
      </w:r>
      <w:bookmarkEnd w:id="1680"/>
    </w:p>
    <w:tbl>
      <w:tblPr>
        <w:tblW w:w="7090"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6"/>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6"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Rules of the Supreme Court 1971</w:t>
            </w:r>
          </w:p>
        </w:tc>
        <w:tc>
          <w:tcPr>
            <w:tcW w:w="1276" w:type="dxa"/>
          </w:tcPr>
          <w:p>
            <w:pPr>
              <w:pStyle w:val="nTable"/>
              <w:spacing w:after="40"/>
            </w:pPr>
            <w:r>
              <w:t>18 Nov 1971 p. 4397</w:t>
            </w:r>
            <w:r>
              <w:noBreakHyphen/>
              <w:t>758</w:t>
            </w:r>
          </w:p>
        </w:tc>
        <w:tc>
          <w:tcPr>
            <w:tcW w:w="2696" w:type="dxa"/>
          </w:tcPr>
          <w:p>
            <w:pPr>
              <w:pStyle w:val="nTable"/>
              <w:spacing w:after="40"/>
            </w:pPr>
            <w:r>
              <w:t>14 Feb 1972 (see O. 1 r. 2(1))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rules</w:t>
            </w:r>
          </w:p>
        </w:tc>
        <w:tc>
          <w:tcPr>
            <w:tcW w:w="1276" w:type="dxa"/>
          </w:tcPr>
          <w:p>
            <w:pPr>
              <w:pStyle w:val="nTable"/>
              <w:spacing w:after="40"/>
            </w:pPr>
            <w:r>
              <w:t>17 Dec 1971 p. 5266</w:t>
            </w:r>
          </w:p>
        </w:tc>
        <w:tc>
          <w:tcPr>
            <w:tcW w:w="2696" w:type="dxa"/>
          </w:tcPr>
          <w:p>
            <w:pPr>
              <w:pStyle w:val="nTable"/>
              <w:spacing w:after="40"/>
            </w:pPr>
            <w:r>
              <w:t>14 Feb 1972 (see r. 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rules</w:t>
            </w:r>
          </w:p>
        </w:tc>
        <w:tc>
          <w:tcPr>
            <w:tcW w:w="1276" w:type="dxa"/>
          </w:tcPr>
          <w:p>
            <w:pPr>
              <w:pStyle w:val="nTable"/>
              <w:spacing w:after="40"/>
            </w:pPr>
            <w:r>
              <w:t xml:space="preserve">7 Jun 1972 </w:t>
            </w:r>
            <w:r>
              <w:br/>
              <w:t>p. 1703</w:t>
            </w:r>
          </w:p>
        </w:tc>
        <w:tc>
          <w:tcPr>
            <w:tcW w:w="2696" w:type="dxa"/>
          </w:tcPr>
          <w:p>
            <w:pPr>
              <w:pStyle w:val="nTable"/>
              <w:spacing w:after="40"/>
            </w:pPr>
            <w:r>
              <w:t>7 Jun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rules</w:t>
            </w:r>
          </w:p>
        </w:tc>
        <w:tc>
          <w:tcPr>
            <w:tcW w:w="1276" w:type="dxa"/>
          </w:tcPr>
          <w:p>
            <w:pPr>
              <w:pStyle w:val="nTable"/>
              <w:spacing w:after="40"/>
            </w:pPr>
            <w:r>
              <w:t>15 Jun 1973 p. 2247</w:t>
            </w:r>
            <w:r>
              <w:noBreakHyphen/>
              <w:t>52</w:t>
            </w:r>
          </w:p>
        </w:tc>
        <w:tc>
          <w:tcPr>
            <w:tcW w:w="2696" w:type="dxa"/>
          </w:tcPr>
          <w:p>
            <w:pPr>
              <w:pStyle w:val="nTable"/>
              <w:spacing w:after="40"/>
            </w:pPr>
            <w:r>
              <w:t>15 Jun 1973</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10 Sep 1973</w:t>
            </w:r>
            <w:r>
              <w:br/>
              <w:t>p. 3425</w:t>
            </w:r>
            <w:r>
              <w:noBreakHyphen/>
              <w:t>36</w:t>
            </w:r>
          </w:p>
        </w:tc>
        <w:tc>
          <w:tcPr>
            <w:tcW w:w="2696" w:type="dxa"/>
          </w:tcPr>
          <w:p>
            <w:pPr>
              <w:pStyle w:val="nTable"/>
              <w:spacing w:after="40"/>
            </w:pPr>
            <w:r>
              <w:t>1 Oct 1973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9 Nov 1973</w:t>
            </w:r>
            <w:r>
              <w:br/>
              <w:t>p. 4162</w:t>
            </w:r>
            <w:r>
              <w:noBreakHyphen/>
              <w:t>6</w:t>
            </w:r>
          </w:p>
        </w:tc>
        <w:tc>
          <w:tcPr>
            <w:tcW w:w="2696" w:type="dxa"/>
          </w:tcPr>
          <w:p>
            <w:pPr>
              <w:pStyle w:val="nTable"/>
              <w:spacing w:after="40"/>
            </w:pPr>
            <w:r>
              <w:t>Rules other than r. 5 and 6: 9 Nov 1973 (see r. 2(1));</w:t>
            </w:r>
            <w:r>
              <w:br/>
              <w:t xml:space="preserve">r. 5 and 6: 1 Jan 1974 (see r. 2(2) and </w:t>
            </w:r>
            <w:r>
              <w:rPr>
                <w:i/>
              </w:rPr>
              <w:t>Gazette</w:t>
            </w:r>
            <w:r>
              <w:t xml:space="preserve"> 14 Dec 1973 p. 4528)</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7 Dec 1973</w:t>
            </w:r>
            <w:r>
              <w:br/>
              <w:t>p. 4488</w:t>
            </w:r>
            <w:r>
              <w:noBreakHyphen/>
              <w:t>9</w:t>
            </w:r>
          </w:p>
        </w:tc>
        <w:tc>
          <w:tcPr>
            <w:tcW w:w="2696" w:type="dxa"/>
          </w:tcPr>
          <w:p>
            <w:pPr>
              <w:pStyle w:val="nTable"/>
              <w:spacing w:after="40"/>
            </w:pPr>
            <w:r>
              <w:t>1 Jan 1974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29 Mar 1974</w:t>
            </w:r>
            <w:r>
              <w:br/>
              <w:t>p. 1037</w:t>
            </w:r>
            <w:r>
              <w:noBreakHyphen/>
              <w:t>40</w:t>
            </w:r>
          </w:p>
        </w:tc>
        <w:tc>
          <w:tcPr>
            <w:tcW w:w="2696" w:type="dxa"/>
          </w:tcPr>
          <w:p>
            <w:pPr>
              <w:pStyle w:val="nTable"/>
              <w:spacing w:after="40"/>
            </w:pPr>
            <w:r>
              <w:t>15 Apr 1974 (see r. 2)</w:t>
            </w:r>
          </w:p>
        </w:tc>
      </w:tr>
      <w:tr>
        <w:tblPrEx>
          <w:tblBorders>
            <w:top w:val="none" w:sz="0" w:space="0" w:color="auto"/>
            <w:bottom w:val="none" w:sz="0" w:space="0" w:color="auto"/>
            <w:insideH w:val="none" w:sz="0" w:space="0" w:color="auto"/>
          </w:tblBorders>
        </w:tblPrEx>
        <w:trPr>
          <w:cantSplit/>
          <w:trHeight w:val="1245"/>
        </w:trPr>
        <w:tc>
          <w:tcPr>
            <w:tcW w:w="3118" w:type="dxa"/>
            <w:tcBorders>
              <w:bottom w:val="nil"/>
            </w:tcBorders>
          </w:tcPr>
          <w:p>
            <w:pPr>
              <w:pStyle w:val="nTable"/>
              <w:spacing w:after="40"/>
            </w:pPr>
            <w:r>
              <w:t>Untitled rules</w:t>
            </w:r>
          </w:p>
        </w:tc>
        <w:tc>
          <w:tcPr>
            <w:tcW w:w="1276" w:type="dxa"/>
            <w:tcBorders>
              <w:bottom w:val="nil"/>
            </w:tcBorders>
          </w:tcPr>
          <w:p>
            <w:pPr>
              <w:pStyle w:val="nTable"/>
              <w:spacing w:after="40"/>
            </w:pPr>
            <w:r>
              <w:t>29 Mar 1974</w:t>
            </w:r>
            <w:r>
              <w:br/>
              <w:t>p. 1041</w:t>
            </w:r>
            <w:r>
              <w:noBreakHyphen/>
              <w:t>2</w:t>
            </w:r>
            <w:r>
              <w:br/>
              <w:t>(erratum 5 Apr 1974 p. 1195)</w:t>
            </w:r>
          </w:p>
        </w:tc>
        <w:tc>
          <w:tcPr>
            <w:tcW w:w="2696" w:type="dxa"/>
            <w:tcBorders>
              <w:bottom w:val="nil"/>
            </w:tcBorders>
          </w:tcPr>
          <w:p>
            <w:pPr>
              <w:pStyle w:val="nTable"/>
              <w:spacing w:after="40"/>
            </w:pPr>
            <w:r>
              <w:t>29 Mar 1974</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1974</w:t>
            </w:r>
          </w:p>
        </w:tc>
        <w:tc>
          <w:tcPr>
            <w:tcW w:w="1276" w:type="dxa"/>
          </w:tcPr>
          <w:p>
            <w:pPr>
              <w:pStyle w:val="nTable"/>
              <w:spacing w:after="40"/>
            </w:pPr>
            <w:r>
              <w:t>30 Aug 1974</w:t>
            </w:r>
            <w:r>
              <w:br/>
              <w:t>p. 3242</w:t>
            </w:r>
            <w:r>
              <w:noBreakHyphen/>
              <w:t>3</w:t>
            </w:r>
          </w:p>
        </w:tc>
        <w:tc>
          <w:tcPr>
            <w:tcW w:w="2696" w:type="dxa"/>
          </w:tcPr>
          <w:p>
            <w:pPr>
              <w:pStyle w:val="nTable"/>
              <w:spacing w:after="40"/>
            </w:pPr>
            <w:r>
              <w:t>30 Aug 1974 (see r. 1)</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10 Jan 1975</w:t>
            </w:r>
            <w:r>
              <w:br/>
              <w:t>p. 50</w:t>
            </w:r>
            <w:r>
              <w:noBreakHyphen/>
              <w:t>5</w:t>
            </w:r>
          </w:p>
        </w:tc>
        <w:tc>
          <w:tcPr>
            <w:tcW w:w="2696" w:type="dxa"/>
          </w:tcPr>
          <w:p>
            <w:pPr>
              <w:pStyle w:val="nTable"/>
              <w:spacing w:after="40"/>
            </w:pPr>
            <w:r>
              <w:t xml:space="preserve">1 Mar 1975 (see r. 2 and </w:t>
            </w:r>
            <w:r>
              <w:rPr>
                <w:i/>
              </w:rPr>
              <w:t>Gazette</w:t>
            </w:r>
            <w:r>
              <w:t xml:space="preserve"> 14 Feb 1975 p. 505)</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23 May 1975</w:t>
            </w:r>
            <w:r>
              <w:br/>
              <w:t>p. 1404</w:t>
            </w:r>
          </w:p>
        </w:tc>
        <w:tc>
          <w:tcPr>
            <w:tcW w:w="2696" w:type="dxa"/>
          </w:tcPr>
          <w:p>
            <w:pPr>
              <w:pStyle w:val="nTable"/>
              <w:spacing w:after="40"/>
            </w:pPr>
            <w:r>
              <w:t>1 Jun 1975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rules</w:t>
            </w:r>
          </w:p>
        </w:tc>
        <w:tc>
          <w:tcPr>
            <w:tcW w:w="1276" w:type="dxa"/>
          </w:tcPr>
          <w:p>
            <w:pPr>
              <w:pStyle w:val="nTable"/>
              <w:spacing w:after="40"/>
            </w:pPr>
            <w:r>
              <w:t>3 Oct 1975</w:t>
            </w:r>
            <w:r>
              <w:br/>
              <w:t>p. 3769</w:t>
            </w:r>
            <w:r>
              <w:noBreakHyphen/>
              <w:t>71</w:t>
            </w:r>
          </w:p>
        </w:tc>
        <w:tc>
          <w:tcPr>
            <w:tcW w:w="2696" w:type="dxa"/>
          </w:tcPr>
          <w:p>
            <w:pPr>
              <w:pStyle w:val="nTable"/>
              <w:spacing w:after="40"/>
            </w:pPr>
            <w:r>
              <w:t>1 Nov 1975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lastRenderedPageBreak/>
              <w:t>Untitled rules</w:t>
            </w:r>
          </w:p>
        </w:tc>
        <w:tc>
          <w:tcPr>
            <w:tcW w:w="1276" w:type="dxa"/>
          </w:tcPr>
          <w:p>
            <w:pPr>
              <w:pStyle w:val="nTable"/>
              <w:spacing w:after="40"/>
            </w:pPr>
            <w:r>
              <w:t>19 Dec 1975</w:t>
            </w:r>
            <w:r>
              <w:br/>
              <w:t>p. 4571</w:t>
            </w:r>
            <w:r>
              <w:noBreakHyphen/>
              <w:t>7</w:t>
            </w:r>
          </w:p>
        </w:tc>
        <w:tc>
          <w:tcPr>
            <w:tcW w:w="2696" w:type="dxa"/>
          </w:tcPr>
          <w:p>
            <w:pPr>
              <w:pStyle w:val="nTable"/>
              <w:spacing w:after="40"/>
            </w:pPr>
            <w:r>
              <w:t>1 Jan 1976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keepLines/>
              <w:spacing w:after="40"/>
            </w:pPr>
            <w:r>
              <w:t>2 Apr 1976</w:t>
            </w:r>
            <w:r>
              <w:br/>
              <w:t>p. 1039</w:t>
            </w:r>
            <w:r>
              <w:noBreakHyphen/>
              <w:t>41</w:t>
            </w:r>
          </w:p>
        </w:tc>
        <w:tc>
          <w:tcPr>
            <w:tcW w:w="2696" w:type="dxa"/>
          </w:tcPr>
          <w:p>
            <w:pPr>
              <w:pStyle w:val="nTable"/>
              <w:spacing w:after="40"/>
            </w:pPr>
            <w:r>
              <w:t>2 Apr 1976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keepNext/>
              <w:keepLines/>
              <w:spacing w:after="40"/>
            </w:pPr>
            <w:r>
              <w:t>14 May 1976</w:t>
            </w:r>
            <w:r>
              <w:br/>
              <w:t>p. 1431</w:t>
            </w:r>
          </w:p>
        </w:tc>
        <w:tc>
          <w:tcPr>
            <w:tcW w:w="2696" w:type="dxa"/>
          </w:tcPr>
          <w:p>
            <w:pPr>
              <w:pStyle w:val="nTable"/>
              <w:keepNext/>
              <w:keepLines/>
              <w:spacing w:after="40"/>
            </w:pPr>
            <w:r>
              <w:t>1 Jun 1976 (see r. 2)</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keepNext/>
              <w:keepLines/>
              <w:spacing w:after="40"/>
            </w:pPr>
            <w:r>
              <w:rPr>
                <w:b/>
              </w:rPr>
              <w:t xml:space="preserve">Reprint of the </w:t>
            </w:r>
            <w:r>
              <w:rPr>
                <w:b/>
                <w:i/>
              </w:rPr>
              <w:t>Rules of the Supreme Court 1971</w:t>
            </w:r>
            <w:r>
              <w:rPr>
                <w:b/>
              </w:rPr>
              <w:t xml:space="preserve"> dated 25 May 1976</w:t>
            </w:r>
            <w:r>
              <w:t xml:space="preserve"> (see </w:t>
            </w:r>
            <w:r>
              <w:rPr>
                <w:i/>
              </w:rPr>
              <w:t>Gazette</w:t>
            </w:r>
            <w:r>
              <w:t xml:space="preserve"> 9 Aug 1976 p. 2725</w:t>
            </w:r>
            <w:r>
              <w:noBreakHyphen/>
              <w:t xml:space="preserve">3030) (includes amendments listed above except those in </w:t>
            </w:r>
            <w:r>
              <w:rPr>
                <w:i/>
              </w:rPr>
              <w:t>Gazette</w:t>
            </w:r>
            <w:r>
              <w:t xml:space="preserve"> 14 May 1976)</w:t>
            </w:r>
          </w:p>
        </w:tc>
      </w:tr>
      <w:tr>
        <w:tblPrEx>
          <w:tblBorders>
            <w:top w:val="none" w:sz="0" w:space="0" w:color="auto"/>
            <w:bottom w:val="none" w:sz="0" w:space="0" w:color="auto"/>
            <w:insideH w:val="none" w:sz="0" w:space="0" w:color="auto"/>
          </w:tblBorders>
        </w:tblPrEx>
        <w:tc>
          <w:tcPr>
            <w:tcW w:w="3118" w:type="dxa"/>
          </w:tcPr>
          <w:p>
            <w:pPr>
              <w:pStyle w:val="nTable"/>
              <w:widowControl w:val="0"/>
              <w:spacing w:after="40"/>
            </w:pPr>
            <w:r>
              <w:t>Untitled rules</w:t>
            </w:r>
          </w:p>
        </w:tc>
        <w:tc>
          <w:tcPr>
            <w:tcW w:w="1276" w:type="dxa"/>
          </w:tcPr>
          <w:p>
            <w:pPr>
              <w:pStyle w:val="nTable"/>
              <w:spacing w:after="40"/>
            </w:pPr>
            <w:r>
              <w:t>27 Aug 1976</w:t>
            </w:r>
            <w:r>
              <w:br/>
              <w:t>p. 3223</w:t>
            </w:r>
            <w:r>
              <w:noBreakHyphen/>
              <w:t>6</w:t>
            </w:r>
          </w:p>
        </w:tc>
        <w:tc>
          <w:tcPr>
            <w:tcW w:w="2696" w:type="dxa"/>
          </w:tcPr>
          <w:p>
            <w:pPr>
              <w:pStyle w:val="nTable"/>
              <w:spacing w:after="40"/>
            </w:pPr>
            <w:r>
              <w:t>13 Sep 1976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12 Nov 1976</w:t>
            </w:r>
            <w:r>
              <w:br/>
              <w:t>p. 4275</w:t>
            </w:r>
            <w:r>
              <w:noBreakHyphen/>
              <w:t>7</w:t>
            </w:r>
          </w:p>
        </w:tc>
        <w:tc>
          <w:tcPr>
            <w:tcW w:w="2696" w:type="dxa"/>
          </w:tcPr>
          <w:p>
            <w:pPr>
              <w:pStyle w:val="nTable"/>
              <w:spacing w:after="40"/>
            </w:pPr>
            <w:r>
              <w:t xml:space="preserve">17 Jun 1977 (see r. 2 and </w:t>
            </w:r>
            <w:r>
              <w:rPr>
                <w:i/>
              </w:rPr>
              <w:t>Gazette</w:t>
            </w:r>
            <w:r>
              <w:t xml:space="preserve"> 17 Jun 1977 p. 1811)</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24 Jun 1977</w:t>
            </w:r>
            <w:r>
              <w:br/>
              <w:t>p. 1914</w:t>
            </w:r>
            <w:r>
              <w:noBreakHyphen/>
              <w:t>16</w:t>
            </w:r>
          </w:p>
        </w:tc>
        <w:tc>
          <w:tcPr>
            <w:tcW w:w="2696" w:type="dxa"/>
          </w:tcPr>
          <w:p>
            <w:pPr>
              <w:pStyle w:val="nTable"/>
              <w:spacing w:after="40"/>
            </w:pPr>
            <w:r>
              <w:t>1 Sep 1977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7 Oct 1977</w:t>
            </w:r>
            <w:r>
              <w:br/>
              <w:t>p. 3602</w:t>
            </w:r>
            <w:r>
              <w:noBreakHyphen/>
              <w:t>3</w:t>
            </w:r>
          </w:p>
        </w:tc>
        <w:tc>
          <w:tcPr>
            <w:tcW w:w="2696" w:type="dxa"/>
          </w:tcPr>
          <w:p>
            <w:pPr>
              <w:pStyle w:val="nTable"/>
              <w:spacing w:after="40"/>
            </w:pPr>
            <w:r>
              <w:t>1 Nov 1977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Supreme Court (Costs) Rules 1978</w:t>
            </w:r>
          </w:p>
        </w:tc>
        <w:tc>
          <w:tcPr>
            <w:tcW w:w="1276" w:type="dxa"/>
          </w:tcPr>
          <w:p>
            <w:pPr>
              <w:pStyle w:val="nTable"/>
              <w:spacing w:after="40"/>
            </w:pPr>
            <w:r>
              <w:t>13 Jan 1978</w:t>
            </w:r>
            <w:r>
              <w:br/>
              <w:t>p. 117</w:t>
            </w:r>
          </w:p>
        </w:tc>
        <w:tc>
          <w:tcPr>
            <w:tcW w:w="2696" w:type="dxa"/>
          </w:tcPr>
          <w:p>
            <w:pPr>
              <w:pStyle w:val="nTable"/>
              <w:spacing w:after="40"/>
            </w:pPr>
            <w:r>
              <w:t>13 Jan 1978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23 Jun 1978</w:t>
            </w:r>
            <w:r>
              <w:br/>
              <w:t>p. 2025</w:t>
            </w:r>
            <w:r>
              <w:noBreakHyphen/>
              <w:t>30</w:t>
            </w:r>
          </w:p>
        </w:tc>
        <w:tc>
          <w:tcPr>
            <w:tcW w:w="2696" w:type="dxa"/>
          </w:tcPr>
          <w:p>
            <w:pPr>
              <w:pStyle w:val="nTable"/>
              <w:spacing w:after="40"/>
            </w:pPr>
            <w:r>
              <w:t>1 Aug 1978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13 Oct 1978</w:t>
            </w:r>
            <w:r>
              <w:br/>
              <w:t>p. 3698</w:t>
            </w:r>
            <w:r>
              <w:noBreakHyphen/>
              <w:t>704</w:t>
            </w:r>
          </w:p>
        </w:tc>
        <w:tc>
          <w:tcPr>
            <w:tcW w:w="2696" w:type="dxa"/>
          </w:tcPr>
          <w:p>
            <w:pPr>
              <w:pStyle w:val="nTable"/>
              <w:spacing w:after="40"/>
            </w:pPr>
            <w:r>
              <w:t>Rules other than r. 3</w:t>
            </w:r>
            <w:r>
              <w:noBreakHyphen/>
              <w:t>5, 9</w:t>
            </w:r>
            <w:r>
              <w:noBreakHyphen/>
              <w:t>11: 13 Oct 1978 (see r. 2);</w:t>
            </w:r>
            <w:r>
              <w:br/>
              <w:t>r. 3-5 and 9-11: 1 Jan 1979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(Miscellaneous Amendments) Rules 1979</w:t>
            </w:r>
          </w:p>
        </w:tc>
        <w:tc>
          <w:tcPr>
            <w:tcW w:w="1276" w:type="dxa"/>
          </w:tcPr>
          <w:p>
            <w:pPr>
              <w:pStyle w:val="nTable"/>
              <w:spacing w:after="40"/>
            </w:pPr>
            <w:r>
              <w:t>14 Dec 1979</w:t>
            </w:r>
            <w:r>
              <w:br/>
              <w:t>p. 3869</w:t>
            </w:r>
            <w:r>
              <w:noBreakHyphen/>
              <w:t>76</w:t>
            </w:r>
          </w:p>
        </w:tc>
        <w:tc>
          <w:tcPr>
            <w:tcW w:w="2696" w:type="dxa"/>
          </w:tcPr>
          <w:p>
            <w:pPr>
              <w:pStyle w:val="nTable"/>
              <w:spacing w:after="40"/>
            </w:pPr>
            <w:r>
              <w:t xml:space="preserve">11 Feb 1980 (see r. 1 and </w:t>
            </w:r>
            <w:r>
              <w:rPr>
                <w:i/>
              </w:rPr>
              <w:t>Gazette</w:t>
            </w:r>
            <w:r>
              <w:t xml:space="preserve"> 8 Feb 1980 p. 383)</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1980</w:t>
            </w:r>
          </w:p>
        </w:tc>
        <w:tc>
          <w:tcPr>
            <w:tcW w:w="1276" w:type="dxa"/>
          </w:tcPr>
          <w:p>
            <w:pPr>
              <w:pStyle w:val="nTable"/>
              <w:spacing w:after="40"/>
            </w:pPr>
            <w:r>
              <w:t>21 Mar 1980</w:t>
            </w:r>
            <w:r>
              <w:br/>
              <w:t>p. 960</w:t>
            </w:r>
            <w:r>
              <w:noBreakHyphen/>
              <w:t>2</w:t>
            </w:r>
          </w:p>
        </w:tc>
        <w:tc>
          <w:tcPr>
            <w:tcW w:w="2696" w:type="dxa"/>
          </w:tcPr>
          <w:p>
            <w:pPr>
              <w:pStyle w:val="nTable"/>
              <w:spacing w:after="40"/>
            </w:pPr>
            <w:r>
              <w:t>21 Mar 1980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13 Jun 1980</w:t>
            </w:r>
            <w:r>
              <w:br/>
              <w:t>p. 1719</w:t>
            </w:r>
            <w:r>
              <w:noBreakHyphen/>
              <w:t>22</w:t>
            </w:r>
          </w:p>
        </w:tc>
        <w:tc>
          <w:tcPr>
            <w:tcW w:w="2696" w:type="dxa"/>
          </w:tcPr>
          <w:p>
            <w:pPr>
              <w:pStyle w:val="nTable"/>
              <w:spacing w:after="40"/>
            </w:pPr>
            <w:r>
              <w:t>1 Jul 1980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18 Jul 1980</w:t>
            </w:r>
            <w:r>
              <w:br/>
              <w:t>p. 2384</w:t>
            </w:r>
            <w:r>
              <w:noBreakHyphen/>
              <w:t>8</w:t>
            </w:r>
          </w:p>
        </w:tc>
        <w:tc>
          <w:tcPr>
            <w:tcW w:w="2696" w:type="dxa"/>
          </w:tcPr>
          <w:p>
            <w:pPr>
              <w:pStyle w:val="nTable"/>
              <w:spacing w:after="40"/>
            </w:pPr>
            <w:r>
              <w:t xml:space="preserve">1 Aug 1980 (see r. 2 and </w:t>
            </w:r>
            <w:r>
              <w:rPr>
                <w:i/>
              </w:rPr>
              <w:t>Gazette</w:t>
            </w:r>
            <w:r>
              <w:t xml:space="preserve"> 1 Aug 1980 p. 2537)</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 Aug 1980</w:t>
            </w:r>
            <w:r>
              <w:br/>
              <w:t>p. 2550</w:t>
            </w:r>
            <w:r>
              <w:noBreakHyphen/>
              <w:t>6</w:t>
            </w:r>
          </w:p>
        </w:tc>
        <w:tc>
          <w:tcPr>
            <w:tcW w:w="2696" w:type="dxa"/>
          </w:tcPr>
          <w:p>
            <w:pPr>
              <w:pStyle w:val="nTable"/>
              <w:spacing w:after="40"/>
            </w:pPr>
            <w:r>
              <w:t>1 Aug 1980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 Aug 1980</w:t>
            </w:r>
            <w:r>
              <w:br/>
              <w:t>p. 2558</w:t>
            </w:r>
          </w:p>
        </w:tc>
        <w:tc>
          <w:tcPr>
            <w:tcW w:w="2696" w:type="dxa"/>
          </w:tcPr>
          <w:p>
            <w:pPr>
              <w:pStyle w:val="nTable"/>
              <w:spacing w:after="40"/>
            </w:pPr>
            <w:r>
              <w:t>1 Aug 1980 (see r. 2)</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lastRenderedPageBreak/>
              <w:t xml:space="preserve">Reprint of the </w:t>
            </w:r>
            <w:r>
              <w:rPr>
                <w:b/>
                <w:i/>
              </w:rPr>
              <w:t>Rules of the Supreme Court 1971</w:t>
            </w:r>
            <w:r>
              <w:rPr>
                <w:b/>
              </w:rPr>
              <w:t xml:space="preserve"> dated 11 May 1981</w:t>
            </w:r>
            <w:r>
              <w:t xml:space="preserve"> (see </w:t>
            </w:r>
            <w:r>
              <w:rPr>
                <w:i/>
              </w:rPr>
              <w:t>Gazette</w:t>
            </w:r>
            <w:r>
              <w:t xml:space="preserve"> 11 Jun 1981 p. 1731</w:t>
            </w:r>
            <w:r>
              <w:noBreakHyphen/>
              <w:t>2046)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rules</w:t>
            </w:r>
          </w:p>
        </w:tc>
        <w:tc>
          <w:tcPr>
            <w:tcW w:w="1276" w:type="dxa"/>
          </w:tcPr>
          <w:p>
            <w:pPr>
              <w:pStyle w:val="nTable"/>
              <w:keepLines/>
              <w:spacing w:after="40"/>
            </w:pPr>
            <w:r>
              <w:t>20 Nov 1981</w:t>
            </w:r>
            <w:r>
              <w:br/>
              <w:t>p. 4724</w:t>
            </w:r>
            <w:r>
              <w:noBreakHyphen/>
              <w:t>9</w:t>
            </w:r>
          </w:p>
        </w:tc>
        <w:tc>
          <w:tcPr>
            <w:tcW w:w="2696" w:type="dxa"/>
          </w:tcPr>
          <w:p>
            <w:pPr>
              <w:pStyle w:val="nTable"/>
              <w:spacing w:after="40"/>
            </w:pPr>
            <w:r>
              <w:t>20 Nov 1981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 Jul 1982</w:t>
            </w:r>
            <w:r>
              <w:br/>
              <w:t>p. 2315</w:t>
            </w:r>
            <w:r>
              <w:noBreakHyphen/>
              <w:t>20</w:t>
            </w:r>
          </w:p>
        </w:tc>
        <w:tc>
          <w:tcPr>
            <w:tcW w:w="2696" w:type="dxa"/>
          </w:tcPr>
          <w:p>
            <w:pPr>
              <w:pStyle w:val="nTable"/>
              <w:spacing w:after="40"/>
            </w:pPr>
            <w:r>
              <w:t>2 Jul 1982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1982</w:t>
            </w:r>
          </w:p>
        </w:tc>
        <w:tc>
          <w:tcPr>
            <w:tcW w:w="1276" w:type="dxa"/>
          </w:tcPr>
          <w:p>
            <w:pPr>
              <w:pStyle w:val="nTable"/>
              <w:spacing w:after="40"/>
            </w:pPr>
            <w:r>
              <w:t>2 Jul 1982</w:t>
            </w:r>
            <w:r>
              <w:br/>
              <w:t>p. 2320</w:t>
            </w:r>
            <w:r>
              <w:noBreakHyphen/>
              <w:t>1</w:t>
            </w:r>
          </w:p>
        </w:tc>
        <w:tc>
          <w:tcPr>
            <w:tcW w:w="2696" w:type="dxa"/>
          </w:tcPr>
          <w:p>
            <w:pPr>
              <w:pStyle w:val="nTable"/>
              <w:spacing w:after="40"/>
            </w:pPr>
            <w:r>
              <w:t>2 Jul 1982</w:t>
            </w:r>
            <w:r>
              <w:rPr>
                <w:vertAlign w:val="superscript"/>
              </w:rPr>
              <w:t> 5</w:t>
            </w:r>
            <w:r>
              <w:t xml:space="preserve"> (see r. 1)</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30 Jul 1982</w:t>
            </w:r>
            <w:r>
              <w:br/>
              <w:t>p. 2946</w:t>
            </w:r>
            <w:r>
              <w:noBreakHyphen/>
              <w:t>7</w:t>
            </w:r>
          </w:p>
        </w:tc>
        <w:tc>
          <w:tcPr>
            <w:tcW w:w="2696" w:type="dxa"/>
          </w:tcPr>
          <w:p>
            <w:pPr>
              <w:pStyle w:val="nTable"/>
              <w:spacing w:after="40"/>
            </w:pPr>
            <w:r>
              <w:t>30 Jul 1982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31 Mar 1983</w:t>
            </w:r>
            <w:r>
              <w:br/>
              <w:t>p. 1090</w:t>
            </w:r>
            <w:r>
              <w:noBreakHyphen/>
              <w:t>1</w:t>
            </w:r>
          </w:p>
        </w:tc>
        <w:tc>
          <w:tcPr>
            <w:tcW w:w="2696" w:type="dxa"/>
          </w:tcPr>
          <w:p>
            <w:pPr>
              <w:pStyle w:val="nTable"/>
              <w:spacing w:after="40"/>
            </w:pPr>
            <w:r>
              <w:t xml:space="preserve">20 Jun 1983 (see r. 2 and </w:t>
            </w:r>
            <w:r>
              <w:rPr>
                <w:i/>
              </w:rPr>
              <w:t>Gazette</w:t>
            </w:r>
            <w:r>
              <w:t xml:space="preserve"> 3 Jun 1983 p. 1675)</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23 Sep 1983</w:t>
            </w:r>
            <w:r>
              <w:br/>
              <w:t>p. 3797</w:t>
            </w:r>
            <w:r>
              <w:noBreakHyphen/>
              <w:t>8</w:t>
            </w:r>
          </w:p>
        </w:tc>
        <w:tc>
          <w:tcPr>
            <w:tcW w:w="2696" w:type="dxa"/>
          </w:tcPr>
          <w:p>
            <w:pPr>
              <w:pStyle w:val="nTable"/>
              <w:spacing w:after="40"/>
            </w:pPr>
            <w:r>
              <w:t>23 Sep 1983</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20 Jan 1984</w:t>
            </w:r>
            <w:r>
              <w:br/>
              <w:t>p. 129</w:t>
            </w:r>
            <w:r>
              <w:noBreakHyphen/>
              <w:t>34</w:t>
            </w:r>
          </w:p>
        </w:tc>
        <w:tc>
          <w:tcPr>
            <w:tcW w:w="2696" w:type="dxa"/>
          </w:tcPr>
          <w:p>
            <w:pPr>
              <w:pStyle w:val="nTable"/>
              <w:spacing w:after="40"/>
            </w:pPr>
            <w:r>
              <w:t>20 Jan 1984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30 Nov 1984</w:t>
            </w:r>
            <w:r>
              <w:br/>
              <w:t>p. 3951</w:t>
            </w:r>
            <w:r>
              <w:noBreakHyphen/>
              <w:t>6</w:t>
            </w:r>
          </w:p>
        </w:tc>
        <w:tc>
          <w:tcPr>
            <w:tcW w:w="2696" w:type="dxa"/>
          </w:tcPr>
          <w:p>
            <w:pPr>
              <w:pStyle w:val="nTable"/>
              <w:spacing w:after="40"/>
            </w:pPr>
            <w:r>
              <w:t>30 Nov 1984</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1985</w:t>
            </w:r>
          </w:p>
        </w:tc>
        <w:tc>
          <w:tcPr>
            <w:tcW w:w="1276" w:type="dxa"/>
          </w:tcPr>
          <w:p>
            <w:pPr>
              <w:pStyle w:val="nTable"/>
              <w:spacing w:after="40"/>
            </w:pPr>
            <w:r>
              <w:t>15 Feb 1985</w:t>
            </w:r>
            <w:r>
              <w:br/>
              <w:t>p. 583</w:t>
            </w:r>
            <w:r>
              <w:noBreakHyphen/>
              <w:t>7</w:t>
            </w:r>
            <w:r>
              <w:br/>
              <w:t>(erratum 22 Feb 1985 p. 658)</w:t>
            </w:r>
          </w:p>
        </w:tc>
        <w:tc>
          <w:tcPr>
            <w:tcW w:w="2696" w:type="dxa"/>
          </w:tcPr>
          <w:p>
            <w:pPr>
              <w:pStyle w:val="nTable"/>
              <w:spacing w:after="40"/>
            </w:pPr>
            <w:r>
              <w:t>15 Feb 1985(see r. 1)</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12 Dec 1985</w:t>
            </w:r>
            <w:r>
              <w:t xml:space="preserve"> (see </w:t>
            </w:r>
            <w:r>
              <w:rPr>
                <w:i/>
              </w:rPr>
              <w:t>Gazette</w:t>
            </w:r>
            <w:r>
              <w:t xml:space="preserve"> 18 Mar 1986 p. 779</w:t>
            </w:r>
            <w:r>
              <w:noBreakHyphen/>
              <w:t>1179)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(Costs) Rules No. 2 1985</w:t>
            </w:r>
          </w:p>
        </w:tc>
        <w:tc>
          <w:tcPr>
            <w:tcW w:w="1276" w:type="dxa"/>
          </w:tcPr>
          <w:p>
            <w:pPr>
              <w:pStyle w:val="nTable"/>
              <w:spacing w:after="40"/>
            </w:pPr>
            <w:r>
              <w:t>13 Dec 1985 p. 4760-4 (erratum 3 Jan 1986 p. 11)</w:t>
            </w:r>
          </w:p>
        </w:tc>
        <w:tc>
          <w:tcPr>
            <w:tcW w:w="2696" w:type="dxa"/>
          </w:tcPr>
          <w:p>
            <w:pPr>
              <w:pStyle w:val="nTable"/>
              <w:spacing w:after="40"/>
            </w:pPr>
            <w:r>
              <w:t>1 Jan 1986 (see r. 1)</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t>Untitled rules</w:t>
            </w:r>
          </w:p>
        </w:tc>
        <w:tc>
          <w:tcPr>
            <w:tcW w:w="1276" w:type="dxa"/>
          </w:tcPr>
          <w:p>
            <w:pPr>
              <w:pStyle w:val="nTable"/>
              <w:spacing w:after="40"/>
            </w:pPr>
            <w:r>
              <w:t>20 Jun 1986 p. 2040</w:t>
            </w:r>
            <w:r>
              <w:noBreakHyphen/>
              <w:t>5</w:t>
            </w:r>
          </w:p>
        </w:tc>
        <w:tc>
          <w:tcPr>
            <w:tcW w:w="2696" w:type="dxa"/>
          </w:tcPr>
          <w:p>
            <w:pPr>
              <w:pStyle w:val="nTable"/>
              <w:spacing w:after="40"/>
            </w:pPr>
            <w:r>
              <w:t>20 Jun 1986</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rPr>
                <w:i/>
              </w:rPr>
              <w:t>Rules of the Supreme Court 1971 Amendment Rules (No. 2) 1986</w:t>
            </w:r>
          </w:p>
        </w:tc>
        <w:tc>
          <w:tcPr>
            <w:tcW w:w="1276" w:type="dxa"/>
          </w:tcPr>
          <w:p>
            <w:pPr>
              <w:pStyle w:val="nTable"/>
              <w:spacing w:after="40"/>
            </w:pPr>
            <w:r>
              <w:t>4 Jul 1986 p. 2280-6</w:t>
            </w:r>
          </w:p>
        </w:tc>
        <w:tc>
          <w:tcPr>
            <w:tcW w:w="2696" w:type="dxa"/>
          </w:tcPr>
          <w:p>
            <w:pPr>
              <w:pStyle w:val="nTable"/>
              <w:spacing w:after="40"/>
            </w:pPr>
            <w:r>
              <w:t>4 Jul 1986 (see r. 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Rules of the Supreme Court 1971 Amendment Rules 1987</w:t>
            </w:r>
          </w:p>
        </w:tc>
        <w:tc>
          <w:tcPr>
            <w:tcW w:w="1276" w:type="dxa"/>
          </w:tcPr>
          <w:p>
            <w:pPr>
              <w:pStyle w:val="nTable"/>
              <w:spacing w:after="40"/>
            </w:pPr>
            <w:r>
              <w:t>18 Dec 1987 p. 4456-7</w:t>
            </w:r>
          </w:p>
        </w:tc>
        <w:tc>
          <w:tcPr>
            <w:tcW w:w="2696" w:type="dxa"/>
          </w:tcPr>
          <w:p>
            <w:pPr>
              <w:pStyle w:val="nTable"/>
              <w:spacing w:after="40"/>
            </w:pPr>
            <w:r>
              <w:t>1 Jan 1988 (see r. 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1988</w:t>
            </w:r>
          </w:p>
        </w:tc>
        <w:tc>
          <w:tcPr>
            <w:tcW w:w="1276" w:type="dxa"/>
          </w:tcPr>
          <w:p>
            <w:pPr>
              <w:pStyle w:val="nTable"/>
              <w:spacing w:after="40"/>
            </w:pPr>
            <w:r>
              <w:t>1 Jul 1988 p. 2140-2</w:t>
            </w:r>
          </w:p>
        </w:tc>
        <w:tc>
          <w:tcPr>
            <w:tcW w:w="2696" w:type="dxa"/>
          </w:tcPr>
          <w:p>
            <w:pPr>
              <w:pStyle w:val="nTable"/>
              <w:spacing w:after="40"/>
            </w:pPr>
            <w:r>
              <w:t xml:space="preserve">1 Jul 1988 (see r. 2 and </w:t>
            </w:r>
            <w:r>
              <w:rPr>
                <w:i/>
              </w:rPr>
              <w:t xml:space="preserve">Gazette </w:t>
            </w:r>
            <w:r>
              <w:t>24 Jun 1988 p.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rPr>
                <w:i/>
              </w:rPr>
              <w:t>Supreme Court Amendment Rules 1989</w:t>
            </w:r>
          </w:p>
        </w:tc>
        <w:tc>
          <w:tcPr>
            <w:tcW w:w="1276" w:type="dxa"/>
          </w:tcPr>
          <w:p>
            <w:pPr>
              <w:pStyle w:val="nTable"/>
              <w:spacing w:after="40"/>
            </w:pPr>
            <w:r>
              <w:t>15 Dec 1989 p. 4520</w:t>
            </w:r>
          </w:p>
        </w:tc>
        <w:tc>
          <w:tcPr>
            <w:tcW w:w="2696" w:type="dxa"/>
          </w:tcPr>
          <w:p>
            <w:pPr>
              <w:pStyle w:val="nTable"/>
              <w:spacing w:after="40"/>
            </w:pPr>
            <w:r>
              <w:t>1 Jan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rPr>
                <w:i/>
              </w:rPr>
              <w:lastRenderedPageBreak/>
              <w:t>Supreme Court Amendment Rules (No. 2) 1990</w:t>
            </w:r>
          </w:p>
        </w:tc>
        <w:tc>
          <w:tcPr>
            <w:tcW w:w="1276" w:type="dxa"/>
          </w:tcPr>
          <w:p>
            <w:pPr>
              <w:pStyle w:val="nTable"/>
              <w:spacing w:after="40"/>
            </w:pPr>
            <w:r>
              <w:t>23 </w:t>
            </w:r>
            <w:r>
              <w:rPr>
                <w:iCs/>
              </w:rPr>
              <w:t>Feb</w:t>
            </w:r>
            <w:r>
              <w:t> 1990 p. 1153</w:t>
            </w:r>
            <w:r>
              <w:noBreakHyphen/>
              <w:t>6</w:t>
            </w:r>
          </w:p>
        </w:tc>
        <w:tc>
          <w:tcPr>
            <w:tcW w:w="2696" w:type="dxa"/>
          </w:tcPr>
          <w:p>
            <w:pPr>
              <w:pStyle w:val="nTable"/>
              <w:spacing w:after="40"/>
            </w:pPr>
            <w:r>
              <w:t>23 Feb 1990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1990</w:t>
            </w:r>
          </w:p>
        </w:tc>
        <w:tc>
          <w:tcPr>
            <w:tcW w:w="1276" w:type="dxa"/>
          </w:tcPr>
          <w:p>
            <w:pPr>
              <w:pStyle w:val="nTable"/>
              <w:spacing w:after="40"/>
            </w:pPr>
            <w:r>
              <w:t>30 Mar 1990 p. 1573-4</w:t>
            </w:r>
          </w:p>
        </w:tc>
        <w:tc>
          <w:tcPr>
            <w:tcW w:w="2696" w:type="dxa"/>
          </w:tcPr>
          <w:p>
            <w:pPr>
              <w:pStyle w:val="nTable"/>
              <w:spacing w:after="40"/>
            </w:pPr>
            <w:r>
              <w:t>30 Mar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1990</w:t>
            </w:r>
          </w:p>
        </w:tc>
        <w:tc>
          <w:tcPr>
            <w:tcW w:w="1276" w:type="dxa"/>
          </w:tcPr>
          <w:p>
            <w:pPr>
              <w:pStyle w:val="nTable"/>
              <w:spacing w:after="40"/>
            </w:pPr>
            <w:r>
              <w:t>17 Aug 1990 p. 4071-8</w:t>
            </w:r>
          </w:p>
        </w:tc>
        <w:tc>
          <w:tcPr>
            <w:tcW w:w="2696" w:type="dxa"/>
          </w:tcPr>
          <w:p>
            <w:pPr>
              <w:pStyle w:val="nTable"/>
              <w:spacing w:after="40"/>
            </w:pPr>
            <w:r>
              <w:t>1 Sep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7) 1990</w:t>
            </w:r>
          </w:p>
        </w:tc>
        <w:tc>
          <w:tcPr>
            <w:tcW w:w="1276" w:type="dxa"/>
          </w:tcPr>
          <w:p>
            <w:pPr>
              <w:pStyle w:val="nTable"/>
              <w:spacing w:after="40"/>
            </w:pPr>
            <w:r>
              <w:t>9 Nov 1990 p. 5526</w:t>
            </w:r>
          </w:p>
        </w:tc>
        <w:tc>
          <w:tcPr>
            <w:tcW w:w="2696" w:type="dxa"/>
          </w:tcPr>
          <w:p>
            <w:pPr>
              <w:pStyle w:val="nTable"/>
              <w:spacing w:after="40"/>
            </w:pPr>
            <w:r>
              <w:t>9 Nov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1990</w:t>
            </w:r>
          </w:p>
        </w:tc>
        <w:tc>
          <w:tcPr>
            <w:tcW w:w="1276" w:type="dxa"/>
          </w:tcPr>
          <w:p>
            <w:pPr>
              <w:pStyle w:val="nTable"/>
              <w:spacing w:after="40"/>
            </w:pPr>
            <w:r>
              <w:t>16 Nov 1990 p. 5698</w:t>
            </w:r>
            <w:r>
              <w:noBreakHyphen/>
              <w:t>9</w:t>
            </w:r>
          </w:p>
        </w:tc>
        <w:tc>
          <w:tcPr>
            <w:tcW w:w="2696" w:type="dxa"/>
          </w:tcPr>
          <w:p>
            <w:pPr>
              <w:pStyle w:val="nTable"/>
              <w:spacing w:after="40"/>
            </w:pPr>
            <w:r>
              <w:t>16 Nov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8) 1990</w:t>
            </w:r>
          </w:p>
        </w:tc>
        <w:tc>
          <w:tcPr>
            <w:tcW w:w="1276" w:type="dxa"/>
          </w:tcPr>
          <w:p>
            <w:pPr>
              <w:pStyle w:val="nTable"/>
              <w:spacing w:after="40"/>
            </w:pPr>
            <w:r>
              <w:t>30 Nov 1990 p. 5900</w:t>
            </w:r>
            <w:r>
              <w:noBreakHyphen/>
              <w:t>1</w:t>
            </w:r>
          </w:p>
        </w:tc>
        <w:tc>
          <w:tcPr>
            <w:tcW w:w="2696" w:type="dxa"/>
          </w:tcPr>
          <w:p>
            <w:pPr>
              <w:pStyle w:val="nTable"/>
              <w:spacing w:after="40"/>
            </w:pPr>
            <w:r>
              <w:t>30 Nov 1990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1990</w:t>
            </w:r>
          </w:p>
        </w:tc>
        <w:tc>
          <w:tcPr>
            <w:tcW w:w="1276" w:type="dxa"/>
          </w:tcPr>
          <w:p>
            <w:pPr>
              <w:pStyle w:val="nTable"/>
              <w:spacing w:after="40"/>
            </w:pPr>
            <w:r>
              <w:t>8 Feb 1991 p. 582</w:t>
            </w:r>
            <w:r>
              <w:noBreakHyphen/>
              <w:t>8</w:t>
            </w:r>
          </w:p>
        </w:tc>
        <w:tc>
          <w:tcPr>
            <w:tcW w:w="2696" w:type="dxa"/>
          </w:tcPr>
          <w:p>
            <w:pPr>
              <w:pStyle w:val="nTable"/>
              <w:spacing w:after="40"/>
            </w:pPr>
            <w:r>
              <w:t>8 Mar 1991 (see r. 2 and Gazette 8 Mar 1991 p. 1029</w:t>
            </w:r>
            <w:r>
              <w:noBreakHyphen/>
              <w:t>30)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1991</w:t>
            </w:r>
          </w:p>
        </w:tc>
        <w:tc>
          <w:tcPr>
            <w:tcW w:w="1276" w:type="dxa"/>
          </w:tcPr>
          <w:p>
            <w:pPr>
              <w:pStyle w:val="nTable"/>
              <w:spacing w:after="40"/>
            </w:pPr>
            <w:r>
              <w:t>5 Apr 1991 p. 1397</w:t>
            </w:r>
            <w:r>
              <w:noBreakHyphen/>
              <w:t>8</w:t>
            </w:r>
          </w:p>
        </w:tc>
        <w:tc>
          <w:tcPr>
            <w:tcW w:w="2696" w:type="dxa"/>
          </w:tcPr>
          <w:p>
            <w:pPr>
              <w:pStyle w:val="nTable"/>
              <w:spacing w:after="40"/>
            </w:pPr>
            <w:r>
              <w:t>5 Apr 1991</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1991</w:t>
            </w:r>
          </w:p>
        </w:tc>
        <w:tc>
          <w:tcPr>
            <w:tcW w:w="1276" w:type="dxa"/>
          </w:tcPr>
          <w:p>
            <w:pPr>
              <w:pStyle w:val="nTable"/>
              <w:spacing w:after="40"/>
            </w:pPr>
            <w:r>
              <w:t>5 Apr 1991 p. 1398</w:t>
            </w:r>
            <w:r>
              <w:noBreakHyphen/>
              <w:t>401</w:t>
            </w:r>
          </w:p>
        </w:tc>
        <w:tc>
          <w:tcPr>
            <w:tcW w:w="2696" w:type="dxa"/>
          </w:tcPr>
          <w:p>
            <w:pPr>
              <w:pStyle w:val="nTable"/>
              <w:spacing w:after="40"/>
            </w:pPr>
            <w:r>
              <w:t>5 Apr 1991</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1991</w:t>
            </w:r>
          </w:p>
        </w:tc>
        <w:tc>
          <w:tcPr>
            <w:tcW w:w="1276" w:type="dxa"/>
          </w:tcPr>
          <w:p>
            <w:pPr>
              <w:pStyle w:val="nTable"/>
              <w:spacing w:after="40"/>
            </w:pPr>
            <w:r>
              <w:t>19 Apr 1991 p. 1714</w:t>
            </w:r>
            <w:r>
              <w:noBreakHyphen/>
              <w:t>19</w:t>
            </w:r>
          </w:p>
        </w:tc>
        <w:tc>
          <w:tcPr>
            <w:tcW w:w="2696" w:type="dxa"/>
          </w:tcPr>
          <w:p>
            <w:pPr>
              <w:pStyle w:val="nTable"/>
              <w:spacing w:after="40"/>
            </w:pPr>
            <w:r>
              <w:t xml:space="preserve">1 Jun 1991 (see r. 2 and </w:t>
            </w:r>
            <w:r>
              <w:rPr>
                <w:i/>
              </w:rPr>
              <w:t>Gazette</w:t>
            </w:r>
            <w:r>
              <w:t xml:space="preserve"> 17 May 1991 p. 2455)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w:t>
            </w:r>
            <w:r>
              <w:rPr>
                <w:i/>
                <w:iCs/>
              </w:rPr>
              <w:t>1991</w:t>
            </w:r>
          </w:p>
        </w:tc>
        <w:tc>
          <w:tcPr>
            <w:tcW w:w="1276" w:type="dxa"/>
          </w:tcPr>
          <w:p>
            <w:pPr>
              <w:pStyle w:val="nTable"/>
              <w:spacing w:after="40"/>
            </w:pPr>
            <w:r>
              <w:t>7 Feb 1992 p. 676</w:t>
            </w:r>
            <w:r>
              <w:noBreakHyphen/>
              <w:t>93</w:t>
            </w:r>
          </w:p>
        </w:tc>
        <w:tc>
          <w:tcPr>
            <w:tcW w:w="2696" w:type="dxa"/>
          </w:tcPr>
          <w:p>
            <w:pPr>
              <w:pStyle w:val="nTable"/>
              <w:spacing w:after="40"/>
            </w:pPr>
            <w:r>
              <w:t>7 Feb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iCs/>
              </w:rPr>
              <w:t>Supreme</w:t>
            </w:r>
            <w:r>
              <w:rPr>
                <w:i/>
              </w:rPr>
              <w:t xml:space="preserve"> Court Amendment Rules (No. 6) 1991</w:t>
            </w:r>
          </w:p>
        </w:tc>
        <w:tc>
          <w:tcPr>
            <w:tcW w:w="1276" w:type="dxa"/>
          </w:tcPr>
          <w:p>
            <w:pPr>
              <w:pStyle w:val="nTable"/>
              <w:spacing w:after="40"/>
            </w:pPr>
            <w:r>
              <w:t>28 Feb 1992 p. 995</w:t>
            </w:r>
            <w:r>
              <w:noBreakHyphen/>
              <w:t>8</w:t>
            </w:r>
          </w:p>
        </w:tc>
        <w:tc>
          <w:tcPr>
            <w:tcW w:w="2696" w:type="dxa"/>
          </w:tcPr>
          <w:p>
            <w:pPr>
              <w:pStyle w:val="nTable"/>
              <w:spacing w:after="40"/>
            </w:pPr>
            <w:r>
              <w:t>28 Feb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iCs/>
              </w:rPr>
              <w:t>Supreme</w:t>
            </w:r>
            <w:r>
              <w:rPr>
                <w:i/>
              </w:rPr>
              <w:t xml:space="preserve"> Court Amendment Rules 1992</w:t>
            </w:r>
          </w:p>
        </w:tc>
        <w:tc>
          <w:tcPr>
            <w:tcW w:w="1276" w:type="dxa"/>
          </w:tcPr>
          <w:p>
            <w:pPr>
              <w:pStyle w:val="nTable"/>
              <w:spacing w:after="40"/>
            </w:pPr>
            <w:r>
              <w:t>5 Jun 1992 p. 2278</w:t>
            </w:r>
            <w:r>
              <w:noBreakHyphen/>
              <w:t>82</w:t>
            </w:r>
          </w:p>
        </w:tc>
        <w:tc>
          <w:tcPr>
            <w:tcW w:w="2696" w:type="dxa"/>
          </w:tcPr>
          <w:p>
            <w:pPr>
              <w:pStyle w:val="nTable"/>
              <w:spacing w:after="40"/>
            </w:pPr>
            <w:r>
              <w:t>5 Jun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iCs/>
              </w:rPr>
              <w:t>Supreme</w:t>
            </w:r>
            <w:r>
              <w:rPr>
                <w:i/>
              </w:rPr>
              <w:t xml:space="preserve"> Court Amendment Rules (No. 3) 1992</w:t>
            </w:r>
          </w:p>
        </w:tc>
        <w:tc>
          <w:tcPr>
            <w:tcW w:w="1276" w:type="dxa"/>
          </w:tcPr>
          <w:p>
            <w:pPr>
              <w:pStyle w:val="nTable"/>
              <w:spacing w:after="40"/>
            </w:pPr>
            <w:r>
              <w:t>21 Aug 1992 p. 4121</w:t>
            </w:r>
            <w:r>
              <w:noBreakHyphen/>
              <w:t>4</w:t>
            </w:r>
          </w:p>
        </w:tc>
        <w:tc>
          <w:tcPr>
            <w:tcW w:w="2696" w:type="dxa"/>
          </w:tcPr>
          <w:p>
            <w:pPr>
              <w:pStyle w:val="nTable"/>
              <w:spacing w:after="40"/>
            </w:pPr>
            <w:r>
              <w:t>1 Sep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1992</w:t>
            </w:r>
          </w:p>
        </w:tc>
        <w:tc>
          <w:tcPr>
            <w:tcW w:w="1276" w:type="dxa"/>
          </w:tcPr>
          <w:p>
            <w:pPr>
              <w:pStyle w:val="nTable"/>
              <w:spacing w:after="40"/>
            </w:pPr>
            <w:r>
              <w:t>30 Oct 1992 p. 5309</w:t>
            </w:r>
            <w:r>
              <w:noBreakHyphen/>
              <w:t>10</w:t>
            </w:r>
          </w:p>
        </w:tc>
        <w:tc>
          <w:tcPr>
            <w:tcW w:w="2696" w:type="dxa"/>
          </w:tcPr>
          <w:p>
            <w:pPr>
              <w:pStyle w:val="nTable"/>
              <w:spacing w:after="40"/>
            </w:pPr>
            <w:r>
              <w:t>30 Oct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1992</w:t>
            </w:r>
          </w:p>
        </w:tc>
        <w:tc>
          <w:tcPr>
            <w:tcW w:w="1276" w:type="dxa"/>
          </w:tcPr>
          <w:p>
            <w:pPr>
              <w:pStyle w:val="nTable"/>
              <w:spacing w:after="40"/>
            </w:pPr>
            <w:r>
              <w:t>30 Oct 1992 p. 5310</w:t>
            </w:r>
            <w:r>
              <w:noBreakHyphen/>
              <w:t>11</w:t>
            </w:r>
          </w:p>
        </w:tc>
        <w:tc>
          <w:tcPr>
            <w:tcW w:w="2696" w:type="dxa"/>
          </w:tcPr>
          <w:p>
            <w:pPr>
              <w:pStyle w:val="nTable"/>
              <w:spacing w:after="40"/>
            </w:pPr>
            <w:r>
              <w:t>30 Oct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1992</w:t>
            </w:r>
          </w:p>
        </w:tc>
        <w:tc>
          <w:tcPr>
            <w:tcW w:w="1276" w:type="dxa"/>
          </w:tcPr>
          <w:p>
            <w:pPr>
              <w:pStyle w:val="nTable"/>
              <w:spacing w:after="40"/>
            </w:pPr>
            <w:r>
              <w:t>26 Jan 1993 p. 823</w:t>
            </w:r>
            <w:r>
              <w:noBreakHyphen/>
              <w:t>30</w:t>
            </w:r>
          </w:p>
        </w:tc>
        <w:tc>
          <w:tcPr>
            <w:tcW w:w="2696" w:type="dxa"/>
          </w:tcPr>
          <w:p>
            <w:pPr>
              <w:pStyle w:val="nTable"/>
              <w:spacing w:after="40"/>
            </w:pPr>
            <w:r>
              <w:t>26 Jan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1993</w:t>
            </w:r>
          </w:p>
        </w:tc>
        <w:tc>
          <w:tcPr>
            <w:tcW w:w="1276" w:type="dxa"/>
          </w:tcPr>
          <w:p>
            <w:pPr>
              <w:pStyle w:val="nTable"/>
              <w:spacing w:after="40"/>
            </w:pPr>
            <w:r>
              <w:t>26 Mar 1993 p. 1840</w:t>
            </w:r>
            <w:r>
              <w:noBreakHyphen/>
              <w:t>6</w:t>
            </w:r>
          </w:p>
        </w:tc>
        <w:tc>
          <w:tcPr>
            <w:tcW w:w="2696" w:type="dxa"/>
          </w:tcPr>
          <w:p>
            <w:pPr>
              <w:pStyle w:val="nTable"/>
              <w:spacing w:after="40"/>
            </w:pPr>
            <w:r>
              <w:t>26 Mar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1993</w:t>
            </w:r>
          </w:p>
        </w:tc>
        <w:tc>
          <w:tcPr>
            <w:tcW w:w="1276" w:type="dxa"/>
          </w:tcPr>
          <w:p>
            <w:pPr>
              <w:pStyle w:val="nTable"/>
              <w:spacing w:after="40"/>
            </w:pPr>
            <w:r>
              <w:t>20 Apr 1993 p. 2103</w:t>
            </w:r>
            <w:r>
              <w:noBreakHyphen/>
              <w:t>4</w:t>
            </w:r>
          </w:p>
        </w:tc>
        <w:tc>
          <w:tcPr>
            <w:tcW w:w="2696" w:type="dxa"/>
          </w:tcPr>
          <w:p>
            <w:pPr>
              <w:pStyle w:val="nTable"/>
              <w:spacing w:after="40"/>
            </w:pPr>
            <w:r>
              <w:t>20 Apr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lastRenderedPageBreak/>
              <w:t>Supreme Court Amendment Rules (No. 3) 1993</w:t>
            </w:r>
          </w:p>
        </w:tc>
        <w:tc>
          <w:tcPr>
            <w:tcW w:w="1276" w:type="dxa"/>
          </w:tcPr>
          <w:p>
            <w:pPr>
              <w:pStyle w:val="nTable"/>
              <w:spacing w:after="40"/>
            </w:pPr>
            <w:r>
              <w:t>29 Jun 1993 p. 3166</w:t>
            </w:r>
            <w:r>
              <w:noBreakHyphen/>
              <w:t>7</w:t>
            </w:r>
          </w:p>
        </w:tc>
        <w:tc>
          <w:tcPr>
            <w:tcW w:w="2696" w:type="dxa"/>
          </w:tcPr>
          <w:p>
            <w:pPr>
              <w:pStyle w:val="nTable"/>
              <w:spacing w:after="40"/>
            </w:pPr>
            <w:r>
              <w:t>29 Jun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1993</w:t>
            </w:r>
          </w:p>
        </w:tc>
        <w:tc>
          <w:tcPr>
            <w:tcW w:w="1276" w:type="dxa"/>
          </w:tcPr>
          <w:p>
            <w:pPr>
              <w:pStyle w:val="nTable"/>
              <w:spacing w:after="40"/>
            </w:pPr>
            <w:r>
              <w:t>17 Sep 1993 p. 5054</w:t>
            </w:r>
            <w:r>
              <w:noBreakHyphen/>
              <w:t>61</w:t>
            </w:r>
          </w:p>
        </w:tc>
        <w:tc>
          <w:tcPr>
            <w:tcW w:w="2696" w:type="dxa"/>
          </w:tcPr>
          <w:p>
            <w:pPr>
              <w:pStyle w:val="nTable"/>
              <w:spacing w:after="40"/>
            </w:pPr>
            <w:r>
              <w:t>17 Sep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1993</w:t>
            </w:r>
          </w:p>
        </w:tc>
        <w:tc>
          <w:tcPr>
            <w:tcW w:w="1276" w:type="dxa"/>
          </w:tcPr>
          <w:p>
            <w:pPr>
              <w:pStyle w:val="nTable"/>
              <w:spacing w:after="40"/>
            </w:pPr>
            <w:r>
              <w:t>1 Dec 1993 p. 6451</w:t>
            </w:r>
            <w:r>
              <w:noBreakHyphen/>
              <w:t>2</w:t>
            </w:r>
          </w:p>
        </w:tc>
        <w:tc>
          <w:tcPr>
            <w:tcW w:w="2696" w:type="dxa"/>
          </w:tcPr>
          <w:p>
            <w:pPr>
              <w:pStyle w:val="nTable"/>
              <w:spacing w:after="40"/>
            </w:pPr>
            <w:r>
              <w:t xml:space="preserve">1 Dec 1993 (see r. 2 and </w:t>
            </w:r>
            <w:r>
              <w:rPr>
                <w:i/>
              </w:rPr>
              <w:t>Gazette</w:t>
            </w:r>
            <w:r>
              <w:t xml:space="preserve"> 30 Nov 1993 p. 6439)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1994</w:t>
            </w:r>
            <w:r>
              <w:rPr>
                <w:vertAlign w:val="superscript"/>
              </w:rPr>
              <w:t> 6</w:t>
            </w:r>
          </w:p>
        </w:tc>
        <w:tc>
          <w:tcPr>
            <w:tcW w:w="1276" w:type="dxa"/>
          </w:tcPr>
          <w:p>
            <w:pPr>
              <w:pStyle w:val="nTable"/>
              <w:spacing w:after="40"/>
            </w:pPr>
            <w:r>
              <w:t>1 Mar 1994 p. 784-93</w:t>
            </w:r>
          </w:p>
        </w:tc>
        <w:tc>
          <w:tcPr>
            <w:tcW w:w="2696" w:type="dxa"/>
          </w:tcPr>
          <w:p>
            <w:pPr>
              <w:pStyle w:val="nTable"/>
              <w:spacing w:after="40"/>
            </w:pPr>
            <w:r>
              <w:t>1 Mar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1994</w:t>
            </w:r>
          </w:p>
        </w:tc>
        <w:tc>
          <w:tcPr>
            <w:tcW w:w="1276" w:type="dxa"/>
          </w:tcPr>
          <w:p>
            <w:pPr>
              <w:pStyle w:val="nTable"/>
              <w:spacing w:after="40"/>
            </w:pPr>
            <w:r>
              <w:t>28 Jun 1994 p. 3047</w:t>
            </w:r>
            <w:r>
              <w:noBreakHyphen/>
              <w:t>141</w:t>
            </w:r>
          </w:p>
        </w:tc>
        <w:tc>
          <w:tcPr>
            <w:tcW w:w="2696" w:type="dxa"/>
          </w:tcPr>
          <w:p>
            <w:pPr>
              <w:pStyle w:val="nTable"/>
              <w:spacing w:after="40"/>
            </w:pPr>
            <w:r>
              <w:t>1 Aug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1994</w:t>
            </w:r>
          </w:p>
        </w:tc>
        <w:tc>
          <w:tcPr>
            <w:tcW w:w="1276" w:type="dxa"/>
          </w:tcPr>
          <w:p>
            <w:pPr>
              <w:pStyle w:val="nTable"/>
              <w:spacing w:after="40"/>
            </w:pPr>
            <w:r>
              <w:t>1 Jul 1994 p. 3238</w:t>
            </w:r>
            <w:r>
              <w:noBreakHyphen/>
              <w:t>9</w:t>
            </w:r>
          </w:p>
        </w:tc>
        <w:tc>
          <w:tcPr>
            <w:tcW w:w="2696" w:type="dxa"/>
          </w:tcPr>
          <w:p>
            <w:pPr>
              <w:pStyle w:val="nTable"/>
              <w:spacing w:after="40"/>
            </w:pPr>
            <w:r>
              <w:t>1 Jul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1994</w:t>
            </w:r>
          </w:p>
        </w:tc>
        <w:tc>
          <w:tcPr>
            <w:tcW w:w="1276" w:type="dxa"/>
          </w:tcPr>
          <w:p>
            <w:pPr>
              <w:pStyle w:val="nTable"/>
              <w:spacing w:after="40"/>
            </w:pPr>
            <w:r>
              <w:t>22 Jul 1994 p. 3746</w:t>
            </w:r>
            <w:r>
              <w:noBreakHyphen/>
              <w:t>8</w:t>
            </w:r>
          </w:p>
        </w:tc>
        <w:tc>
          <w:tcPr>
            <w:tcW w:w="2696" w:type="dxa"/>
          </w:tcPr>
          <w:p>
            <w:pPr>
              <w:pStyle w:val="nTable"/>
              <w:spacing w:after="40"/>
            </w:pPr>
            <w:r>
              <w:t>22 Jul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1994</w:t>
            </w:r>
          </w:p>
        </w:tc>
        <w:tc>
          <w:tcPr>
            <w:tcW w:w="1276" w:type="dxa"/>
          </w:tcPr>
          <w:p>
            <w:pPr>
              <w:pStyle w:val="nTable"/>
              <w:spacing w:after="40"/>
            </w:pPr>
            <w:r>
              <w:t>26 Aug 1994 p. 4410</w:t>
            </w:r>
            <w:r>
              <w:noBreakHyphen/>
              <w:t>13</w:t>
            </w:r>
          </w:p>
        </w:tc>
        <w:tc>
          <w:tcPr>
            <w:tcW w:w="2696" w:type="dxa"/>
          </w:tcPr>
          <w:p>
            <w:pPr>
              <w:pStyle w:val="nTable"/>
              <w:spacing w:after="40"/>
            </w:pPr>
            <w:r>
              <w:t>26 Aug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7) 1994</w:t>
            </w:r>
          </w:p>
        </w:tc>
        <w:tc>
          <w:tcPr>
            <w:tcW w:w="1276" w:type="dxa"/>
          </w:tcPr>
          <w:p>
            <w:pPr>
              <w:pStyle w:val="nTable"/>
              <w:spacing w:after="40"/>
            </w:pPr>
            <w:r>
              <w:t>26 Aug 1994 p. 4414</w:t>
            </w:r>
            <w:r>
              <w:noBreakHyphen/>
              <w:t>15</w:t>
            </w:r>
          </w:p>
        </w:tc>
        <w:tc>
          <w:tcPr>
            <w:tcW w:w="2696" w:type="dxa"/>
          </w:tcPr>
          <w:p>
            <w:pPr>
              <w:pStyle w:val="nTable"/>
              <w:spacing w:after="40"/>
            </w:pPr>
            <w:r>
              <w:t>26 Aug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1994</w:t>
            </w:r>
          </w:p>
        </w:tc>
        <w:tc>
          <w:tcPr>
            <w:tcW w:w="1276" w:type="dxa"/>
          </w:tcPr>
          <w:p>
            <w:pPr>
              <w:pStyle w:val="nTable"/>
              <w:spacing w:after="40"/>
            </w:pPr>
            <w:r>
              <w:t>9 Sep 1994 p. 4630</w:t>
            </w:r>
          </w:p>
        </w:tc>
        <w:tc>
          <w:tcPr>
            <w:tcW w:w="2696" w:type="dxa"/>
          </w:tcPr>
          <w:p>
            <w:pPr>
              <w:pStyle w:val="nTable"/>
              <w:spacing w:after="40"/>
            </w:pPr>
            <w:r>
              <w:t>9 Sep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8) 1994</w:t>
            </w:r>
          </w:p>
        </w:tc>
        <w:tc>
          <w:tcPr>
            <w:tcW w:w="1276" w:type="dxa"/>
          </w:tcPr>
          <w:p>
            <w:pPr>
              <w:pStyle w:val="nTable"/>
              <w:spacing w:after="40"/>
            </w:pPr>
            <w:r>
              <w:t>11 Nov 1994 p. 5701</w:t>
            </w:r>
            <w:r>
              <w:noBreakHyphen/>
              <w:t>2</w:t>
            </w:r>
          </w:p>
        </w:tc>
        <w:tc>
          <w:tcPr>
            <w:tcW w:w="2696" w:type="dxa"/>
          </w:tcPr>
          <w:p>
            <w:pPr>
              <w:pStyle w:val="nTable"/>
              <w:spacing w:after="40"/>
            </w:pPr>
            <w:r>
              <w:t>11 Nov 1994</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21 Nov 1994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1995</w:t>
            </w:r>
          </w:p>
        </w:tc>
        <w:tc>
          <w:tcPr>
            <w:tcW w:w="1276" w:type="dxa"/>
          </w:tcPr>
          <w:p>
            <w:pPr>
              <w:pStyle w:val="nTable"/>
              <w:spacing w:after="40"/>
            </w:pPr>
            <w:r>
              <w:t>24 Jan 1995 p. 269</w:t>
            </w:r>
            <w:r>
              <w:noBreakHyphen/>
              <w:t>72</w:t>
            </w:r>
          </w:p>
        </w:tc>
        <w:tc>
          <w:tcPr>
            <w:tcW w:w="2696" w:type="dxa"/>
          </w:tcPr>
          <w:p>
            <w:pPr>
              <w:pStyle w:val="nTable"/>
              <w:spacing w:after="40"/>
            </w:pPr>
            <w:r>
              <w:t>24 Jan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1995</w:t>
            </w:r>
          </w:p>
        </w:tc>
        <w:tc>
          <w:tcPr>
            <w:tcW w:w="1276" w:type="dxa"/>
          </w:tcPr>
          <w:p>
            <w:pPr>
              <w:pStyle w:val="nTable"/>
              <w:spacing w:after="40"/>
            </w:pPr>
            <w:r>
              <w:t>24 Jan 1995 p. 272</w:t>
            </w:r>
            <w:r>
              <w:noBreakHyphen/>
              <w:t>3</w:t>
            </w:r>
          </w:p>
        </w:tc>
        <w:tc>
          <w:tcPr>
            <w:tcW w:w="2696" w:type="dxa"/>
          </w:tcPr>
          <w:p>
            <w:pPr>
              <w:pStyle w:val="nTable"/>
              <w:spacing w:after="40"/>
            </w:pPr>
            <w:r>
              <w:t>24 Jan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1995</w:t>
            </w:r>
          </w:p>
        </w:tc>
        <w:tc>
          <w:tcPr>
            <w:tcW w:w="1276" w:type="dxa"/>
          </w:tcPr>
          <w:p>
            <w:pPr>
              <w:pStyle w:val="nTable"/>
              <w:spacing w:after="40"/>
            </w:pPr>
            <w:r>
              <w:t>7 Jul 1995 p. 2819</w:t>
            </w:r>
          </w:p>
        </w:tc>
        <w:tc>
          <w:tcPr>
            <w:tcW w:w="2696" w:type="dxa"/>
          </w:tcPr>
          <w:p>
            <w:pPr>
              <w:pStyle w:val="nTable"/>
              <w:spacing w:after="40"/>
            </w:pPr>
            <w:r>
              <w:t>7 Jul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1995</w:t>
            </w:r>
          </w:p>
        </w:tc>
        <w:tc>
          <w:tcPr>
            <w:tcW w:w="1276" w:type="dxa"/>
          </w:tcPr>
          <w:p>
            <w:pPr>
              <w:pStyle w:val="nTable"/>
              <w:spacing w:after="40"/>
            </w:pPr>
            <w:r>
              <w:t>24 Oct 1995 p. 4917</w:t>
            </w:r>
            <w:r>
              <w:noBreakHyphen/>
              <w:t>21</w:t>
            </w:r>
          </w:p>
        </w:tc>
        <w:tc>
          <w:tcPr>
            <w:tcW w:w="2696" w:type="dxa"/>
          </w:tcPr>
          <w:p>
            <w:pPr>
              <w:pStyle w:val="nTable"/>
              <w:spacing w:after="40"/>
            </w:pPr>
            <w:r>
              <w:t>24 Oct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1995</w:t>
            </w:r>
          </w:p>
        </w:tc>
        <w:tc>
          <w:tcPr>
            <w:tcW w:w="1276" w:type="dxa"/>
          </w:tcPr>
          <w:p>
            <w:pPr>
              <w:pStyle w:val="nTable"/>
              <w:spacing w:after="40"/>
            </w:pPr>
            <w:r>
              <w:t>10 Nov 1995 p. 5246</w:t>
            </w:r>
            <w:r>
              <w:noBreakHyphen/>
              <w:t>7</w:t>
            </w:r>
          </w:p>
        </w:tc>
        <w:tc>
          <w:tcPr>
            <w:tcW w:w="2696" w:type="dxa"/>
          </w:tcPr>
          <w:p>
            <w:pPr>
              <w:pStyle w:val="nTable"/>
              <w:spacing w:after="40"/>
            </w:pPr>
            <w:r>
              <w:t>10 Nov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1996</w:t>
            </w:r>
          </w:p>
        </w:tc>
        <w:tc>
          <w:tcPr>
            <w:tcW w:w="1276" w:type="dxa"/>
          </w:tcPr>
          <w:p>
            <w:pPr>
              <w:pStyle w:val="nTable"/>
              <w:spacing w:after="40"/>
            </w:pPr>
            <w:r>
              <w:t>9 Aug 1996 p. 3949</w:t>
            </w:r>
            <w:r>
              <w:noBreakHyphen/>
              <w:t>51</w:t>
            </w:r>
          </w:p>
        </w:tc>
        <w:tc>
          <w:tcPr>
            <w:tcW w:w="2696" w:type="dxa"/>
          </w:tcPr>
          <w:p>
            <w:pPr>
              <w:pStyle w:val="nTable"/>
              <w:spacing w:after="40"/>
            </w:pPr>
            <w:r>
              <w:t>9 Aug 1996</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1996</w:t>
            </w:r>
          </w:p>
        </w:tc>
        <w:tc>
          <w:tcPr>
            <w:tcW w:w="1276" w:type="dxa"/>
          </w:tcPr>
          <w:p>
            <w:pPr>
              <w:pStyle w:val="nTable"/>
              <w:spacing w:after="40"/>
            </w:pPr>
            <w:r>
              <w:t>13 Sep 1996 p. 4568</w:t>
            </w:r>
          </w:p>
        </w:tc>
        <w:tc>
          <w:tcPr>
            <w:tcW w:w="2696" w:type="dxa"/>
          </w:tcPr>
          <w:p>
            <w:pPr>
              <w:pStyle w:val="nTable"/>
              <w:spacing w:after="40"/>
            </w:pPr>
            <w:r>
              <w:t xml:space="preserve">7 Apr 1997 (see r.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lastRenderedPageBreak/>
              <w:t>Supreme Court Amendment Rules (No. 4) 1996</w:t>
            </w:r>
          </w:p>
        </w:tc>
        <w:tc>
          <w:tcPr>
            <w:tcW w:w="1276" w:type="dxa"/>
          </w:tcPr>
          <w:p>
            <w:pPr>
              <w:pStyle w:val="nTable"/>
              <w:spacing w:after="40"/>
            </w:pPr>
            <w:r>
              <w:t>28 Oct 1996 p. 5671</w:t>
            </w:r>
            <w:r>
              <w:noBreakHyphen/>
              <w:t>712</w:t>
            </w:r>
          </w:p>
        </w:tc>
        <w:tc>
          <w:tcPr>
            <w:tcW w:w="2696" w:type="dxa"/>
          </w:tcPr>
          <w:p>
            <w:pPr>
              <w:pStyle w:val="nTable"/>
              <w:spacing w:after="40"/>
            </w:pPr>
            <w:r>
              <w:t>1 Nov 1996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1997</w:t>
            </w:r>
            <w:r>
              <w:rPr>
                <w:vertAlign w:val="superscript"/>
              </w:rPr>
              <w:t> 7</w:t>
            </w:r>
          </w:p>
        </w:tc>
        <w:tc>
          <w:tcPr>
            <w:tcW w:w="1276" w:type="dxa"/>
          </w:tcPr>
          <w:p>
            <w:pPr>
              <w:pStyle w:val="nTable"/>
              <w:spacing w:after="40"/>
            </w:pPr>
            <w:r>
              <w:t>1 Jul 1997 p. 3258</w:t>
            </w:r>
            <w:r>
              <w:noBreakHyphen/>
              <w:t>60</w:t>
            </w:r>
          </w:p>
        </w:tc>
        <w:tc>
          <w:tcPr>
            <w:tcW w:w="2696" w:type="dxa"/>
          </w:tcPr>
          <w:p>
            <w:pPr>
              <w:pStyle w:val="nTable"/>
              <w:spacing w:after="40"/>
            </w:pPr>
            <w:r>
              <w:t xml:space="preserve">21 Jul 1997 (see r. 2 and correction in </w:t>
            </w:r>
            <w:r>
              <w:rPr>
                <w:i/>
              </w:rPr>
              <w:t>Gazette</w:t>
            </w:r>
            <w:r>
              <w:t xml:space="preserve"> 4 Jul 1997 p. 3480)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1) 1998</w:t>
            </w:r>
          </w:p>
        </w:tc>
        <w:tc>
          <w:tcPr>
            <w:tcW w:w="1276" w:type="dxa"/>
          </w:tcPr>
          <w:p>
            <w:pPr>
              <w:pStyle w:val="nTable"/>
              <w:spacing w:after="40"/>
            </w:pPr>
            <w:r>
              <w:t>6 Mar 1998  p. 1177</w:t>
            </w:r>
          </w:p>
        </w:tc>
        <w:tc>
          <w:tcPr>
            <w:tcW w:w="2696" w:type="dxa"/>
          </w:tcPr>
          <w:p>
            <w:pPr>
              <w:pStyle w:val="nTable"/>
              <w:spacing w:after="40"/>
            </w:pPr>
            <w:r>
              <w:t>6 Mar 1998</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1998</w:t>
            </w:r>
          </w:p>
        </w:tc>
        <w:tc>
          <w:tcPr>
            <w:tcW w:w="1276" w:type="dxa"/>
          </w:tcPr>
          <w:p>
            <w:pPr>
              <w:pStyle w:val="nTable"/>
              <w:spacing w:after="40"/>
            </w:pPr>
            <w:r>
              <w:t>6 Mar 1998  p. 1178</w:t>
            </w:r>
          </w:p>
        </w:tc>
        <w:tc>
          <w:tcPr>
            <w:tcW w:w="2696" w:type="dxa"/>
          </w:tcPr>
          <w:p>
            <w:pPr>
              <w:pStyle w:val="nTable"/>
              <w:spacing w:after="40"/>
            </w:pPr>
            <w:r>
              <w:t>6 Mar 1998</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1999</w:t>
            </w:r>
          </w:p>
        </w:tc>
        <w:tc>
          <w:tcPr>
            <w:tcW w:w="1276" w:type="dxa"/>
          </w:tcPr>
          <w:p>
            <w:pPr>
              <w:pStyle w:val="nTable"/>
              <w:spacing w:after="40"/>
            </w:pPr>
            <w:r>
              <w:t>16 Jul 1999 p. 3187</w:t>
            </w:r>
            <w:r>
              <w:noBreakHyphen/>
              <w:t>200</w:t>
            </w:r>
            <w:r>
              <w:br/>
              <w:t>(as amended 5 Nov 1999 p. 5632)</w:t>
            </w:r>
          </w:p>
        </w:tc>
        <w:tc>
          <w:tcPr>
            <w:tcW w:w="2696" w:type="dxa"/>
          </w:tcPr>
          <w:p>
            <w:pPr>
              <w:pStyle w:val="nTable"/>
              <w:spacing w:after="40"/>
            </w:pPr>
            <w:r>
              <w:t>16 Jul 1999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1999</w:t>
            </w:r>
          </w:p>
        </w:tc>
        <w:tc>
          <w:tcPr>
            <w:tcW w:w="1276" w:type="dxa"/>
          </w:tcPr>
          <w:p>
            <w:pPr>
              <w:pStyle w:val="nTable"/>
              <w:spacing w:after="40"/>
            </w:pPr>
            <w:r>
              <w:t>16 Jul 1999 p. 3201</w:t>
            </w:r>
          </w:p>
        </w:tc>
        <w:tc>
          <w:tcPr>
            <w:tcW w:w="2696" w:type="dxa"/>
          </w:tcPr>
          <w:p>
            <w:pPr>
              <w:pStyle w:val="nTable"/>
              <w:spacing w:after="40"/>
            </w:pPr>
            <w:r>
              <w:t xml:space="preserve">8 Jan 2000 (see r. 2 and </w:t>
            </w:r>
            <w:r>
              <w:rPr>
                <w:i/>
              </w:rPr>
              <w:t>Gazette</w:t>
            </w:r>
            <w:r>
              <w:t xml:space="preserve"> 7 Jan 2000 p. 19)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1999</w:t>
            </w:r>
          </w:p>
        </w:tc>
        <w:tc>
          <w:tcPr>
            <w:tcW w:w="1276" w:type="dxa"/>
          </w:tcPr>
          <w:p>
            <w:pPr>
              <w:pStyle w:val="nTable"/>
              <w:spacing w:after="40"/>
            </w:pPr>
            <w:r>
              <w:t>5 Nov 1999 p. 5625</w:t>
            </w:r>
            <w:r>
              <w:noBreakHyphen/>
              <w:t>33</w:t>
            </w:r>
          </w:p>
        </w:tc>
        <w:tc>
          <w:tcPr>
            <w:tcW w:w="2696" w:type="dxa"/>
          </w:tcPr>
          <w:p>
            <w:pPr>
              <w:pStyle w:val="nTable"/>
              <w:spacing w:after="40"/>
            </w:pPr>
            <w:r>
              <w:t>5 Nov 1999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1999</w:t>
            </w:r>
          </w:p>
        </w:tc>
        <w:tc>
          <w:tcPr>
            <w:tcW w:w="1276" w:type="dxa"/>
          </w:tcPr>
          <w:p>
            <w:pPr>
              <w:pStyle w:val="nTable"/>
              <w:spacing w:after="40"/>
            </w:pPr>
            <w:r>
              <w:t>26 Nov 1999 p. 5903</w:t>
            </w:r>
            <w:r>
              <w:noBreakHyphen/>
              <w:t>5</w:t>
            </w:r>
          </w:p>
        </w:tc>
        <w:tc>
          <w:tcPr>
            <w:tcW w:w="2696" w:type="dxa"/>
          </w:tcPr>
          <w:p>
            <w:pPr>
              <w:pStyle w:val="nTable"/>
              <w:spacing w:after="40"/>
            </w:pPr>
            <w:r>
              <w:t>26 Nov 1999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2000</w:t>
            </w:r>
          </w:p>
        </w:tc>
        <w:tc>
          <w:tcPr>
            <w:tcW w:w="1276" w:type="dxa"/>
          </w:tcPr>
          <w:p>
            <w:pPr>
              <w:pStyle w:val="nTable"/>
              <w:widowControl w:val="0"/>
              <w:spacing w:after="40"/>
              <w:ind w:right="113"/>
              <w:rPr>
                <w:i/>
              </w:rPr>
            </w:pPr>
            <w:r>
              <w:t>10 Mar 2000 p. 1121</w:t>
            </w:r>
          </w:p>
        </w:tc>
        <w:tc>
          <w:tcPr>
            <w:tcW w:w="2696" w:type="dxa"/>
          </w:tcPr>
          <w:p>
            <w:pPr>
              <w:pStyle w:val="nTable"/>
              <w:widowControl w:val="0"/>
              <w:spacing w:after="40"/>
              <w:ind w:right="113"/>
              <w:rPr>
                <w:i/>
              </w:rPr>
            </w:pPr>
            <w:r>
              <w:t>10 Mar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2000</w:t>
            </w:r>
          </w:p>
        </w:tc>
        <w:tc>
          <w:tcPr>
            <w:tcW w:w="1276" w:type="dxa"/>
          </w:tcPr>
          <w:p>
            <w:pPr>
              <w:pStyle w:val="nTable"/>
              <w:spacing w:after="40"/>
            </w:pPr>
            <w:r>
              <w:t>8 May 2000 p. 2159</w:t>
            </w:r>
            <w:r>
              <w:noBreakHyphen/>
              <w:t>232</w:t>
            </w:r>
          </w:p>
        </w:tc>
        <w:tc>
          <w:tcPr>
            <w:tcW w:w="2696" w:type="dxa"/>
          </w:tcPr>
          <w:p>
            <w:pPr>
              <w:pStyle w:val="nTable"/>
              <w:spacing w:after="40"/>
            </w:pPr>
            <w:r>
              <w:t>1 Jun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2000</w:t>
            </w:r>
          </w:p>
        </w:tc>
        <w:tc>
          <w:tcPr>
            <w:tcW w:w="1276" w:type="dxa"/>
          </w:tcPr>
          <w:p>
            <w:pPr>
              <w:pStyle w:val="nTable"/>
              <w:spacing w:after="40"/>
            </w:pPr>
            <w:r>
              <w:t>30 Jun 2000</w:t>
            </w:r>
            <w:r>
              <w:br/>
              <w:t>p. 3417</w:t>
            </w:r>
            <w:r>
              <w:noBreakHyphen/>
              <w:t>19</w:t>
            </w:r>
          </w:p>
        </w:tc>
        <w:tc>
          <w:tcPr>
            <w:tcW w:w="2696" w:type="dxa"/>
          </w:tcPr>
          <w:p>
            <w:pPr>
              <w:pStyle w:val="nTable"/>
              <w:spacing w:after="40"/>
            </w:pPr>
            <w:r>
              <w:t>30 Jun 2000</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 Dec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5) 2000</w:t>
            </w:r>
          </w:p>
        </w:tc>
        <w:tc>
          <w:tcPr>
            <w:tcW w:w="1276" w:type="dxa"/>
          </w:tcPr>
          <w:p>
            <w:pPr>
              <w:pStyle w:val="nTable"/>
              <w:spacing w:after="40"/>
            </w:pPr>
            <w:r>
              <w:t>29 Dec 2000 p. 7917</w:t>
            </w:r>
            <w:r>
              <w:noBreakHyphen/>
              <w:t>19</w:t>
            </w:r>
          </w:p>
        </w:tc>
        <w:tc>
          <w:tcPr>
            <w:tcW w:w="2696" w:type="dxa"/>
          </w:tcPr>
          <w:p>
            <w:pPr>
              <w:pStyle w:val="nTable"/>
              <w:spacing w:after="40"/>
            </w:pPr>
            <w:r>
              <w:t xml:space="preserve">5 Feb 2001 (see r. 2 and </w:t>
            </w:r>
            <w:r>
              <w:rPr>
                <w:i/>
              </w:rPr>
              <w:t xml:space="preserve">Gazette </w:t>
            </w:r>
            <w:r>
              <w:t>2 Jan 2001 p. 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2001</w:t>
            </w:r>
          </w:p>
        </w:tc>
        <w:tc>
          <w:tcPr>
            <w:tcW w:w="1276" w:type="dxa"/>
          </w:tcPr>
          <w:p>
            <w:pPr>
              <w:pStyle w:val="nTable"/>
              <w:spacing w:after="40"/>
            </w:pPr>
            <w:r>
              <w:t>23 Jan 2001 p. 555</w:t>
            </w:r>
            <w:r>
              <w:noBreakHyphen/>
              <w:t>61</w:t>
            </w:r>
          </w:p>
        </w:tc>
        <w:tc>
          <w:tcPr>
            <w:tcW w:w="2696" w:type="dxa"/>
          </w:tcPr>
          <w:p>
            <w:pPr>
              <w:pStyle w:val="nTable"/>
              <w:spacing w:after="40"/>
            </w:pPr>
            <w:r>
              <w:t>23 Jan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2001</w:t>
            </w:r>
          </w:p>
        </w:tc>
        <w:tc>
          <w:tcPr>
            <w:tcW w:w="1276" w:type="dxa"/>
          </w:tcPr>
          <w:p>
            <w:pPr>
              <w:pStyle w:val="nTable"/>
              <w:spacing w:after="40"/>
            </w:pPr>
            <w:r>
              <w:t>23 Jan 2001 p. 561</w:t>
            </w:r>
            <w:r>
              <w:noBreakHyphen/>
              <w:t>3</w:t>
            </w:r>
          </w:p>
        </w:tc>
        <w:tc>
          <w:tcPr>
            <w:tcW w:w="2696" w:type="dxa"/>
          </w:tcPr>
          <w:p>
            <w:pPr>
              <w:pStyle w:val="nTable"/>
              <w:spacing w:after="40"/>
            </w:pPr>
            <w:r>
              <w:t>23 Jan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2001</w:t>
            </w:r>
          </w:p>
        </w:tc>
        <w:tc>
          <w:tcPr>
            <w:tcW w:w="1276" w:type="dxa"/>
          </w:tcPr>
          <w:p>
            <w:pPr>
              <w:pStyle w:val="nTable"/>
              <w:spacing w:after="40"/>
            </w:pPr>
            <w:r>
              <w:t>2 Feb 2001 p. 697</w:t>
            </w:r>
            <w:r>
              <w:noBreakHyphen/>
              <w:t>701</w:t>
            </w:r>
          </w:p>
        </w:tc>
        <w:tc>
          <w:tcPr>
            <w:tcW w:w="2696" w:type="dxa"/>
          </w:tcPr>
          <w:p>
            <w:pPr>
              <w:pStyle w:val="nTable"/>
              <w:spacing w:after="40"/>
            </w:pPr>
            <w:r>
              <w:t>2 Feb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7) 2001</w:t>
            </w:r>
          </w:p>
        </w:tc>
        <w:tc>
          <w:tcPr>
            <w:tcW w:w="1276" w:type="dxa"/>
          </w:tcPr>
          <w:p>
            <w:pPr>
              <w:pStyle w:val="nTable"/>
              <w:spacing w:after="40"/>
            </w:pPr>
            <w:r>
              <w:t>29 May 2001 p. 2701</w:t>
            </w:r>
            <w:r>
              <w:noBreakHyphen/>
              <w:t>3</w:t>
            </w:r>
          </w:p>
        </w:tc>
        <w:tc>
          <w:tcPr>
            <w:tcW w:w="2696" w:type="dxa"/>
          </w:tcPr>
          <w:p>
            <w:pPr>
              <w:pStyle w:val="nTable"/>
              <w:spacing w:after="40"/>
            </w:pPr>
            <w:r>
              <w:t>30 Jun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lastRenderedPageBreak/>
              <w:t>Supreme Court Amendment Rules (No. 5) 2001</w:t>
            </w:r>
          </w:p>
        </w:tc>
        <w:tc>
          <w:tcPr>
            <w:tcW w:w="1276" w:type="dxa"/>
          </w:tcPr>
          <w:p>
            <w:pPr>
              <w:pStyle w:val="nTable"/>
              <w:spacing w:after="40"/>
            </w:pPr>
            <w:r>
              <w:t>27 Jul 2001 p. 3895</w:t>
            </w:r>
            <w:r>
              <w:noBreakHyphen/>
              <w:t>6</w:t>
            </w:r>
          </w:p>
        </w:tc>
        <w:tc>
          <w:tcPr>
            <w:tcW w:w="2696" w:type="dxa"/>
          </w:tcPr>
          <w:p>
            <w:pPr>
              <w:pStyle w:val="nTable"/>
              <w:spacing w:after="40"/>
            </w:pPr>
            <w:r>
              <w:t>27 Jul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8) 2001</w:t>
            </w:r>
          </w:p>
        </w:tc>
        <w:tc>
          <w:tcPr>
            <w:tcW w:w="1276" w:type="dxa"/>
          </w:tcPr>
          <w:p>
            <w:pPr>
              <w:pStyle w:val="nTable"/>
              <w:spacing w:after="40"/>
            </w:pPr>
            <w:r>
              <w:t>5 Oct 2001 p. 5474</w:t>
            </w:r>
            <w:r>
              <w:noBreakHyphen/>
              <w:t>5</w:t>
            </w:r>
          </w:p>
        </w:tc>
        <w:tc>
          <w:tcPr>
            <w:tcW w:w="2696" w:type="dxa"/>
          </w:tcPr>
          <w:p>
            <w:pPr>
              <w:pStyle w:val="nTable"/>
              <w:spacing w:after="40"/>
            </w:pPr>
            <w:r>
              <w:t>5 Oct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2002</w:t>
            </w:r>
          </w:p>
        </w:tc>
        <w:tc>
          <w:tcPr>
            <w:tcW w:w="1276" w:type="dxa"/>
          </w:tcPr>
          <w:p>
            <w:pPr>
              <w:pStyle w:val="nTable"/>
              <w:keepNext/>
              <w:spacing w:after="40"/>
            </w:pPr>
            <w:r>
              <w:t>12 Apr 2002 p. 1903</w:t>
            </w:r>
            <w:r>
              <w:noBreakHyphen/>
              <w:t>4</w:t>
            </w:r>
          </w:p>
        </w:tc>
        <w:tc>
          <w:tcPr>
            <w:tcW w:w="2696" w:type="dxa"/>
          </w:tcPr>
          <w:p>
            <w:pPr>
              <w:pStyle w:val="nTable"/>
              <w:keepNext/>
              <w:spacing w:after="40"/>
            </w:pPr>
            <w:r>
              <w:t>12 Apr 2002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2002</w:t>
            </w:r>
          </w:p>
        </w:tc>
        <w:tc>
          <w:tcPr>
            <w:tcW w:w="1276" w:type="dxa"/>
          </w:tcPr>
          <w:p>
            <w:pPr>
              <w:pStyle w:val="nTable"/>
              <w:keepNext/>
              <w:spacing w:after="40"/>
            </w:pPr>
            <w:r>
              <w:t>27 Sep 2002 p. 4829</w:t>
            </w:r>
            <w:r>
              <w:noBreakHyphen/>
              <w:t>34</w:t>
            </w:r>
          </w:p>
        </w:tc>
        <w:tc>
          <w:tcPr>
            <w:tcW w:w="2696" w:type="dxa"/>
          </w:tcPr>
          <w:p>
            <w:pPr>
              <w:pStyle w:val="nTable"/>
              <w:keepNext/>
              <w:spacing w:after="40"/>
            </w:pPr>
            <w:r>
              <w:t>27 Sep 2002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Equality of Status Subsidiary Legislation Amendment Regulations 2003</w:t>
            </w:r>
            <w:r>
              <w:t xml:space="preserve"> Pt. 36</w:t>
            </w:r>
          </w:p>
        </w:tc>
        <w:tc>
          <w:tcPr>
            <w:tcW w:w="1276" w:type="dxa"/>
          </w:tcPr>
          <w:p>
            <w:pPr>
              <w:pStyle w:val="nTable"/>
              <w:keepNext/>
              <w:spacing w:after="40"/>
            </w:pPr>
            <w:r>
              <w:t>30 Jun 2003 p. 2581</w:t>
            </w:r>
            <w:r>
              <w:noBreakHyphen/>
              <w:t>638</w:t>
            </w:r>
          </w:p>
        </w:tc>
        <w:tc>
          <w:tcPr>
            <w:tcW w:w="2696" w:type="dxa"/>
          </w:tcPr>
          <w:p>
            <w:pPr>
              <w:pStyle w:val="nTable"/>
              <w:keepNext/>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vertAlign w:val="superscript"/>
              </w:rPr>
            </w:pPr>
            <w:r>
              <w:rPr>
                <w:i/>
              </w:rPr>
              <w:t>Labour Relations Reform (Consequential Amendments) Regulations 2003</w:t>
            </w:r>
            <w:r>
              <w:t xml:space="preserve"> r. 16</w:t>
            </w:r>
          </w:p>
        </w:tc>
        <w:tc>
          <w:tcPr>
            <w:tcW w:w="1276" w:type="dxa"/>
          </w:tcPr>
          <w:p>
            <w:pPr>
              <w:pStyle w:val="nTable"/>
              <w:keepNext/>
              <w:spacing w:after="40"/>
            </w:pPr>
            <w:r>
              <w:t>15 Aug 2003 p. 3685</w:t>
            </w:r>
            <w:r>
              <w:noBreakHyphen/>
              <w:t>92</w:t>
            </w:r>
          </w:p>
        </w:tc>
        <w:tc>
          <w:tcPr>
            <w:tcW w:w="2696" w:type="dxa"/>
          </w:tcPr>
          <w:p>
            <w:pPr>
              <w:pStyle w:val="nTable"/>
              <w:keepNext/>
              <w:spacing w:after="40"/>
            </w:pPr>
            <w:r>
              <w:t>15 Sep 2003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2004</w:t>
            </w:r>
          </w:p>
        </w:tc>
        <w:tc>
          <w:tcPr>
            <w:tcW w:w="1276" w:type="dxa"/>
          </w:tcPr>
          <w:p>
            <w:pPr>
              <w:pStyle w:val="nTable"/>
              <w:keepNext/>
              <w:spacing w:after="40"/>
            </w:pPr>
            <w:r>
              <w:t>21 May 2004 p. 1712</w:t>
            </w:r>
          </w:p>
        </w:tc>
        <w:tc>
          <w:tcPr>
            <w:tcW w:w="2696" w:type="dxa"/>
          </w:tcPr>
          <w:p>
            <w:pPr>
              <w:pStyle w:val="nTable"/>
              <w:keepNext/>
              <w:spacing w:after="40"/>
            </w:pPr>
            <w:r>
              <w:t>1 Jun 2004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(No. 4) 2004</w:t>
            </w:r>
          </w:p>
        </w:tc>
        <w:tc>
          <w:tcPr>
            <w:tcW w:w="1276" w:type="dxa"/>
          </w:tcPr>
          <w:p>
            <w:pPr>
              <w:pStyle w:val="nTable"/>
              <w:keepNext/>
              <w:spacing w:after="40"/>
            </w:pPr>
            <w:r>
              <w:t>10 Aug 2004 p. 3185</w:t>
            </w:r>
          </w:p>
        </w:tc>
        <w:tc>
          <w:tcPr>
            <w:tcW w:w="2696" w:type="dxa"/>
          </w:tcPr>
          <w:p>
            <w:pPr>
              <w:pStyle w:val="nTable"/>
              <w:keepNext/>
              <w:spacing w:after="40"/>
            </w:pPr>
            <w:r>
              <w:t>10 Aug 2004</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6: The </w:t>
            </w:r>
            <w:r>
              <w:rPr>
                <w:b/>
                <w:i/>
              </w:rPr>
              <w:t>Rules of the Supreme Court 1971</w:t>
            </w:r>
            <w:r>
              <w:rPr>
                <w:b/>
              </w:rPr>
              <w:t xml:space="preserve"> as at 15 Oct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pPr>
            <w:r>
              <w:rPr>
                <w:i/>
              </w:rPr>
              <w:t>Courts and Legal Practice (Consequential Amendments) Regulations 2005</w:t>
            </w:r>
            <w:r>
              <w:t xml:space="preserve"> r. 12</w:t>
            </w:r>
          </w:p>
        </w:tc>
        <w:tc>
          <w:tcPr>
            <w:tcW w:w="1276" w:type="dxa"/>
          </w:tcPr>
          <w:p>
            <w:pPr>
              <w:pStyle w:val="nTable"/>
              <w:keepNext/>
              <w:spacing w:after="40"/>
            </w:pPr>
            <w:r>
              <w:t>19 Apr 2005 p. 1294</w:t>
            </w:r>
            <w:r>
              <w:noBreakHyphen/>
              <w:t>302</w:t>
            </w:r>
          </w:p>
        </w:tc>
        <w:tc>
          <w:tcPr>
            <w:tcW w:w="2696" w:type="dxa"/>
          </w:tcPr>
          <w:p>
            <w:pPr>
              <w:pStyle w:val="nTable"/>
              <w:keepNext/>
              <w:spacing w:after="40"/>
            </w:pPr>
            <w:r>
              <w:t>19 Apr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2005</w:t>
            </w:r>
          </w:p>
        </w:tc>
        <w:tc>
          <w:tcPr>
            <w:tcW w:w="1276" w:type="dxa"/>
          </w:tcPr>
          <w:p>
            <w:pPr>
              <w:pStyle w:val="nTable"/>
              <w:keepNext/>
              <w:spacing w:after="40"/>
            </w:pPr>
            <w:r>
              <w:t>29 Apr 2005 p. 1791</w:t>
            </w:r>
            <w:r>
              <w:noBreakHyphen/>
              <w:t>6</w:t>
            </w:r>
          </w:p>
        </w:tc>
        <w:tc>
          <w:tcPr>
            <w:tcW w:w="2696" w:type="dxa"/>
          </w:tcPr>
          <w:p>
            <w:pPr>
              <w:pStyle w:val="nTable"/>
              <w:keepNext/>
              <w:spacing w:after="40"/>
            </w:pPr>
            <w:r>
              <w:t>2 May 2005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(No. 2) 2005</w:t>
            </w:r>
          </w:p>
        </w:tc>
        <w:tc>
          <w:tcPr>
            <w:tcW w:w="1276" w:type="dxa"/>
          </w:tcPr>
          <w:p>
            <w:pPr>
              <w:pStyle w:val="nTable"/>
              <w:keepNext/>
              <w:spacing w:after="40"/>
            </w:pPr>
            <w:r>
              <w:t>29 Apr 2005 p. 1797</w:t>
            </w:r>
            <w:r>
              <w:noBreakHyphen/>
              <w:t>802</w:t>
            </w:r>
          </w:p>
        </w:tc>
        <w:tc>
          <w:tcPr>
            <w:tcW w:w="2696" w:type="dxa"/>
          </w:tcPr>
          <w:p>
            <w:pPr>
              <w:pStyle w:val="nTable"/>
              <w:keepNext/>
              <w:spacing w:after="40"/>
            </w:pPr>
            <w:r>
              <w:t>2 May 2005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2007</w:t>
            </w:r>
          </w:p>
        </w:tc>
        <w:tc>
          <w:tcPr>
            <w:tcW w:w="1276" w:type="dxa"/>
          </w:tcPr>
          <w:p>
            <w:pPr>
              <w:pStyle w:val="nTable"/>
              <w:keepNext/>
              <w:spacing w:after="40"/>
            </w:pPr>
            <w:r>
              <w:t>21 Feb 2007 p. 531</w:t>
            </w:r>
            <w:r>
              <w:noBreakHyphen/>
              <w:t>96</w:t>
            </w:r>
          </w:p>
        </w:tc>
        <w:tc>
          <w:tcPr>
            <w:tcW w:w="2696" w:type="dxa"/>
          </w:tcPr>
          <w:p>
            <w:pPr>
              <w:pStyle w:val="nTable"/>
              <w:keepNext/>
              <w:spacing w:after="40"/>
            </w:pPr>
            <w:r>
              <w:t>1 Mar 2007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Cs/>
              </w:rPr>
            </w:pPr>
            <w:r>
              <w:rPr>
                <w:i/>
              </w:rPr>
              <w:t>Supreme Court Amendment Rules 2008</w:t>
            </w:r>
          </w:p>
        </w:tc>
        <w:tc>
          <w:tcPr>
            <w:tcW w:w="1276" w:type="dxa"/>
          </w:tcPr>
          <w:p>
            <w:pPr>
              <w:pStyle w:val="nTable"/>
              <w:keepNext/>
              <w:spacing w:after="40"/>
            </w:pPr>
            <w:r>
              <w:t>22 Feb 2008 p. 629</w:t>
            </w:r>
            <w:r>
              <w:noBreakHyphen/>
              <w:t>56</w:t>
            </w:r>
          </w:p>
        </w:tc>
        <w:tc>
          <w:tcPr>
            <w:tcW w:w="2696" w:type="dxa"/>
          </w:tcPr>
          <w:p>
            <w:pPr>
              <w:pStyle w:val="nTable"/>
              <w:keepNext/>
              <w:spacing w:after="40"/>
            </w:pPr>
            <w:r>
              <w:t>Pt. 1: 22 Feb 2008 (see r. 2(a));</w:t>
            </w:r>
            <w:r>
              <w:br/>
              <w:t>Pt. 2: 23 Feb 2008 (see r. 2(b));</w:t>
            </w:r>
            <w:r>
              <w:br/>
              <w:t>Pt. 3: 25 Feb 2008 (see r. 2(c))</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7: The </w:t>
            </w:r>
            <w:r>
              <w:rPr>
                <w:b/>
                <w:i/>
              </w:rPr>
              <w:t>Rules of the Supreme Court 1971</w:t>
            </w:r>
            <w:r>
              <w:rPr>
                <w:b/>
              </w:rPr>
              <w:t xml:space="preserve"> as at 11 Apr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highlight w:val="yellow"/>
                <w:vertAlign w:val="superscript"/>
              </w:rPr>
            </w:pPr>
            <w:r>
              <w:rPr>
                <w:i/>
              </w:rPr>
              <w:t>Supreme Court Amendment Rules 2009 </w:t>
            </w:r>
          </w:p>
        </w:tc>
        <w:tc>
          <w:tcPr>
            <w:tcW w:w="1276" w:type="dxa"/>
          </w:tcPr>
          <w:p>
            <w:pPr>
              <w:pStyle w:val="nTable"/>
              <w:spacing w:after="40"/>
            </w:pPr>
            <w:r>
              <w:t>6 Feb 2009 p. 243</w:t>
            </w:r>
            <w:r>
              <w:noBreakHyphen/>
              <w:t>5</w:t>
            </w:r>
          </w:p>
        </w:tc>
        <w:tc>
          <w:tcPr>
            <w:tcW w:w="2696" w:type="dxa"/>
          </w:tcPr>
          <w:p>
            <w:pPr>
              <w:pStyle w:val="nTable"/>
              <w:spacing w:after="40"/>
            </w:pPr>
            <w:r>
              <w:rPr>
                <w:snapToGrid w:val="0"/>
              </w:rPr>
              <w:t>r. 1 and 2: 6 Feb 2009 (see r. 2(a));</w:t>
            </w:r>
            <w:r>
              <w:rPr>
                <w:snapToGrid w:val="0"/>
              </w:rPr>
              <w:br/>
              <w:t xml:space="preserve">Rules other than r. 1 and 2: 1 Mar 2009 (see r. 2(b) and </w:t>
            </w:r>
            <w:r>
              <w:rPr>
                <w:i/>
                <w:iCs/>
                <w:snapToGrid w:val="0"/>
              </w:rPr>
              <w:t xml:space="preserve">Gazette </w:t>
            </w:r>
            <w:r>
              <w:rPr>
                <w:snapToGrid w:val="0"/>
              </w:rPr>
              <w:t>27 Feb 2009 p. 511)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Cs/>
              </w:rPr>
            </w:pPr>
            <w:r>
              <w:rPr>
                <w:i/>
              </w:rPr>
              <w:lastRenderedPageBreak/>
              <w:t>Supreme Court Amendment Rules (No. 2) 2009</w:t>
            </w:r>
            <w:r>
              <w:rPr>
                <w:iCs/>
              </w:rPr>
              <w:t xml:space="preserve"> </w:t>
            </w:r>
          </w:p>
        </w:tc>
        <w:tc>
          <w:tcPr>
            <w:tcW w:w="1276" w:type="dxa"/>
          </w:tcPr>
          <w:p>
            <w:pPr>
              <w:pStyle w:val="nTable"/>
              <w:spacing w:after="40"/>
            </w:pPr>
            <w:r>
              <w:t>3 Jul 2009 p. 2682</w:t>
            </w:r>
            <w:r>
              <w:noBreakHyphen/>
              <w:t>700 (printer’s correction 7 Jul 2009 p. 2719)</w:t>
            </w:r>
          </w:p>
        </w:tc>
        <w:tc>
          <w:tcPr>
            <w:tcW w:w="2696" w:type="dxa"/>
          </w:tcPr>
          <w:p>
            <w:pPr>
              <w:pStyle w:val="nTable"/>
              <w:spacing w:after="40"/>
              <w:rPr>
                <w:snapToGrid w:val="0"/>
              </w:rPr>
            </w:pPr>
            <w:r>
              <w:rPr>
                <w:snapToGrid w:val="0"/>
              </w:rPr>
              <w:t>Pt. 1: 3 Jul 2009 (see r. 2(a));</w:t>
            </w:r>
            <w:r>
              <w:rPr>
                <w:snapToGrid w:val="0"/>
              </w:rPr>
              <w:br/>
              <w:t>Pt. 3: 4 Jul 2009 (see r. 2(c));</w:t>
            </w:r>
            <w:r>
              <w:rPr>
                <w:snapToGrid w:val="0"/>
              </w:rPr>
              <w:br/>
              <w:t xml:space="preserve">Pt. 2: 1 Nov 2010 (see r. 2(b) and the </w:t>
            </w:r>
            <w:r>
              <w:rPr>
                <w:i/>
                <w:iCs/>
                <w:snapToGrid w:val="0"/>
              </w:rPr>
              <w:t>Hague Convention on the Service Abroad of Judicial Extrajudicial Documents in Civil or Commercial Matters 1965</w:t>
            </w:r>
            <w:r>
              <w:rPr>
                <w:snapToGrid w:val="0"/>
              </w:rPr>
              <w: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2009</w:t>
            </w:r>
          </w:p>
        </w:tc>
        <w:tc>
          <w:tcPr>
            <w:tcW w:w="1276" w:type="dxa"/>
          </w:tcPr>
          <w:p>
            <w:pPr>
              <w:pStyle w:val="nTable"/>
              <w:spacing w:after="40"/>
            </w:pPr>
            <w:r>
              <w:t>22 Dec 2009 p. 5273-4</w:t>
            </w:r>
          </w:p>
        </w:tc>
        <w:tc>
          <w:tcPr>
            <w:tcW w:w="2696" w:type="dxa"/>
          </w:tcPr>
          <w:p>
            <w:pPr>
              <w:pStyle w:val="nTable"/>
              <w:spacing w:after="40"/>
              <w:rPr>
                <w:snapToGrid w:val="0"/>
              </w:rPr>
            </w:pPr>
            <w:r>
              <w:rPr>
                <w:snapToGrid w:val="0"/>
              </w:rPr>
              <w:t xml:space="preserve">1 Jan 2010 (see r. 2 and </w:t>
            </w:r>
            <w:r>
              <w:rPr>
                <w:i/>
                <w:iCs/>
                <w:snapToGrid w:val="0"/>
              </w:rPr>
              <w:t>Gazette</w:t>
            </w:r>
            <w:r>
              <w:rPr>
                <w:snapToGrid w:val="0"/>
              </w:rPr>
              <w:t xml:space="preserve"> 31 Dec 2009 p. 5327)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2010</w:t>
            </w:r>
          </w:p>
        </w:tc>
        <w:tc>
          <w:tcPr>
            <w:tcW w:w="1276" w:type="dxa"/>
          </w:tcPr>
          <w:p>
            <w:pPr>
              <w:pStyle w:val="nTable"/>
              <w:spacing w:after="40"/>
            </w:pPr>
            <w:r>
              <w:t>28 Jul 2010 p. 3433-90</w:t>
            </w:r>
          </w:p>
        </w:tc>
        <w:tc>
          <w:tcPr>
            <w:tcW w:w="2696" w:type="dxa"/>
          </w:tcPr>
          <w:p>
            <w:pPr>
              <w:pStyle w:val="nTable"/>
              <w:spacing w:after="40"/>
              <w:rPr>
                <w:snapToGrid w:val="0"/>
              </w:rPr>
            </w:pPr>
            <w:r>
              <w:rPr>
                <w:snapToGrid w:val="0"/>
              </w:rPr>
              <w:t>Pt. 1: 28 Jul 2010 (see r. 2(a));</w:t>
            </w:r>
            <w:r>
              <w:rPr>
                <w:snapToGrid w:val="0"/>
              </w:rPr>
              <w:br/>
              <w:t>Rules other than Pt. 1: 29 Jul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2011</w:t>
            </w:r>
          </w:p>
        </w:tc>
        <w:tc>
          <w:tcPr>
            <w:tcW w:w="1276" w:type="dxa"/>
          </w:tcPr>
          <w:p>
            <w:pPr>
              <w:pStyle w:val="nTable"/>
              <w:spacing w:after="40"/>
            </w:pPr>
            <w:r>
              <w:t>28 Jun 2011 p. 2551</w:t>
            </w:r>
            <w:r>
              <w:noBreakHyphen/>
              <w:t>63</w:t>
            </w:r>
          </w:p>
        </w:tc>
        <w:tc>
          <w:tcPr>
            <w:tcW w:w="2696" w:type="dxa"/>
          </w:tcPr>
          <w:p>
            <w:pPr>
              <w:pStyle w:val="nTable"/>
              <w:spacing w:after="40"/>
              <w:rPr>
                <w:snapToGrid w:val="0"/>
              </w:rPr>
            </w:pPr>
            <w:r>
              <w:rPr>
                <w:snapToGrid w:val="0"/>
              </w:rPr>
              <w:t xml:space="preserve">r. 1 and 2: </w:t>
            </w:r>
            <w:r>
              <w:t>28 Jun 2011 (see r. 2(a));</w:t>
            </w:r>
            <w:r>
              <w:br/>
              <w:t>Rules other than r. 1 and 2: 12 Jul 2011 (see r. 2(b))</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widowControl w:val="0"/>
              <w:spacing w:after="40"/>
              <w:rPr>
                <w:snapToGrid w:val="0"/>
                <w:spacing w:val="-2"/>
              </w:rPr>
            </w:pPr>
            <w:r>
              <w:rPr>
                <w:b/>
              </w:rPr>
              <w:t xml:space="preserve">Reprint 8: The </w:t>
            </w:r>
            <w:r>
              <w:rPr>
                <w:b/>
                <w:i/>
              </w:rPr>
              <w:t>Rules of the Supreme Court 1971</w:t>
            </w:r>
            <w:r>
              <w:rPr>
                <w:b/>
              </w:rPr>
              <w:t xml:space="preserve"> as at 15 Jul 2011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2012</w:t>
            </w:r>
          </w:p>
        </w:tc>
        <w:tc>
          <w:tcPr>
            <w:tcW w:w="1276" w:type="dxa"/>
          </w:tcPr>
          <w:p>
            <w:pPr>
              <w:pStyle w:val="nTable"/>
              <w:spacing w:after="40"/>
            </w:pPr>
            <w:r>
              <w:t>12 Jun 2012 p. 2445</w:t>
            </w:r>
            <w:r>
              <w:noBreakHyphen/>
              <w:t>53</w:t>
            </w:r>
          </w:p>
        </w:tc>
        <w:tc>
          <w:tcPr>
            <w:tcW w:w="2696" w:type="dxa"/>
          </w:tcPr>
          <w:p>
            <w:pPr>
              <w:pStyle w:val="nTable"/>
              <w:spacing w:after="40"/>
              <w:rPr>
                <w:snapToGrid w:val="0"/>
              </w:rPr>
            </w:pPr>
            <w:r>
              <w:rPr>
                <w:snapToGrid w:val="0"/>
              </w:rPr>
              <w:t>r. 1 and 2: 12 Jun 2012 (see r. 2(a));</w:t>
            </w:r>
            <w:r>
              <w:rPr>
                <w:snapToGrid w:val="0"/>
              </w:rPr>
              <w:br/>
              <w:t>Rules other than r. 1 and 2: 26 Jun 2012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Supreme Court Amendment Rules (No. 3) 2012 </w:t>
            </w:r>
          </w:p>
        </w:tc>
        <w:tc>
          <w:tcPr>
            <w:tcW w:w="1276" w:type="dxa"/>
          </w:tcPr>
          <w:p>
            <w:pPr>
              <w:pStyle w:val="nTable"/>
              <w:spacing w:after="40"/>
            </w:pPr>
            <w:r>
              <w:t>3 Aug 2012 p. 3748</w:t>
            </w:r>
            <w:r>
              <w:noBreakHyphen/>
              <w:t>56</w:t>
            </w:r>
          </w:p>
        </w:tc>
        <w:tc>
          <w:tcPr>
            <w:tcW w:w="2696" w:type="dxa"/>
          </w:tcPr>
          <w:p>
            <w:pPr>
              <w:pStyle w:val="nTable"/>
              <w:spacing w:after="40"/>
              <w:rPr>
                <w:snapToGrid w:val="0"/>
              </w:rPr>
            </w:pPr>
            <w:r>
              <w:t>r. 1 and 2: 3 Aug 2012 (see r. 2(a));</w:t>
            </w:r>
            <w:r>
              <w:br/>
              <w:t>Rules other than r. 1 and 2: 11 Oct 2013 (see r. 2(b) and Cwlth Legislative Instrument No. F2013L01445 registered 26 Jul 2013)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2013</w:t>
            </w:r>
          </w:p>
        </w:tc>
        <w:tc>
          <w:tcPr>
            <w:tcW w:w="1276" w:type="dxa"/>
          </w:tcPr>
          <w:p>
            <w:pPr>
              <w:pStyle w:val="nTable"/>
              <w:spacing w:after="40"/>
            </w:pPr>
            <w:r>
              <w:t>15 Mar 2013 p. 1205-7</w:t>
            </w:r>
          </w:p>
        </w:tc>
        <w:tc>
          <w:tcPr>
            <w:tcW w:w="2696" w:type="dxa"/>
          </w:tcPr>
          <w:p>
            <w:pPr>
              <w:pStyle w:val="nTable"/>
              <w:spacing w:after="40"/>
              <w:rPr>
                <w:snapToGrid w:val="0"/>
              </w:rPr>
            </w:pPr>
            <w:r>
              <w:t>r. 1 and 2: 15 Mar 2013 (see r. 2(a));</w:t>
            </w:r>
            <w:r>
              <w:br/>
              <w:t xml:space="preserve">Rules other than r. 1 and 2: 7 Aug 2013 (see r. 2(b) and </w:t>
            </w:r>
            <w:r>
              <w:rPr>
                <w:i/>
              </w:rPr>
              <w:t>Gazette</w:t>
            </w:r>
            <w:r>
              <w:t xml:space="preserve"> 6 Aug 2013 p. 3677)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Supreme Court Amendment Rules 2013</w:t>
            </w:r>
            <w:r>
              <w:rPr>
                <w:vertAlign w:val="superscript"/>
              </w:rPr>
              <w:t> 8</w:t>
            </w:r>
          </w:p>
        </w:tc>
        <w:tc>
          <w:tcPr>
            <w:tcW w:w="1276" w:type="dxa"/>
          </w:tcPr>
          <w:p>
            <w:pPr>
              <w:pStyle w:val="nTable"/>
              <w:spacing w:after="40"/>
            </w:pPr>
            <w:r>
              <w:t>23 Apr 2013 p. 1590-7</w:t>
            </w:r>
          </w:p>
        </w:tc>
        <w:tc>
          <w:tcPr>
            <w:tcW w:w="2696" w:type="dxa"/>
          </w:tcPr>
          <w:p>
            <w:pPr>
              <w:pStyle w:val="nTable"/>
              <w:spacing w:after="40"/>
            </w:pPr>
            <w:r>
              <w:rPr>
                <w:snapToGrid w:val="0"/>
              </w:rPr>
              <w:t>r. 1 and 2: 23 Apr 2013 (see r. 2(a));</w:t>
            </w:r>
            <w:r>
              <w:rPr>
                <w:snapToGrid w:val="0"/>
              </w:rPr>
              <w:br/>
              <w:t xml:space="preserve">Rules other than r. 1 and 2: </w:t>
            </w:r>
            <w:r>
              <w:t>7 May 2013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lastRenderedPageBreak/>
              <w:t>Supreme Court Amendment Rules (No. 4) 2013</w:t>
            </w:r>
          </w:p>
        </w:tc>
        <w:tc>
          <w:tcPr>
            <w:tcW w:w="1276" w:type="dxa"/>
          </w:tcPr>
          <w:p>
            <w:pPr>
              <w:pStyle w:val="nTable"/>
              <w:spacing w:after="40"/>
            </w:pPr>
            <w:r>
              <w:t>3 May 2013 p. 1718-19</w:t>
            </w:r>
          </w:p>
        </w:tc>
        <w:tc>
          <w:tcPr>
            <w:tcW w:w="2696" w:type="dxa"/>
          </w:tcPr>
          <w:p>
            <w:pPr>
              <w:pStyle w:val="nTable"/>
              <w:spacing w:after="40"/>
            </w:pPr>
            <w:r>
              <w:rPr>
                <w:snapToGrid w:val="0"/>
              </w:rPr>
              <w:t>r. 1 and 2: 3 May 2013 (see r. 2(a));</w:t>
            </w:r>
            <w:r>
              <w:rPr>
                <w:snapToGrid w:val="0"/>
              </w:rPr>
              <w:br/>
              <w:t xml:space="preserve">Rules other than r. 1 and 2: </w:t>
            </w:r>
            <w:r>
              <w:t>17 May 2013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2013</w:t>
            </w:r>
          </w:p>
        </w:tc>
        <w:tc>
          <w:tcPr>
            <w:tcW w:w="1276" w:type="dxa"/>
          </w:tcPr>
          <w:p>
            <w:pPr>
              <w:pStyle w:val="nTable"/>
              <w:spacing w:after="40"/>
            </w:pPr>
            <w:r>
              <w:t>17 Dec 2013 p. 6231</w:t>
            </w:r>
            <w:r>
              <w:noBreakHyphen/>
              <w:t>7</w:t>
            </w:r>
          </w:p>
        </w:tc>
        <w:tc>
          <w:tcPr>
            <w:tcW w:w="2696" w:type="dxa"/>
          </w:tcPr>
          <w:p>
            <w:pPr>
              <w:pStyle w:val="nTable"/>
              <w:spacing w:after="40"/>
              <w:rPr>
                <w:snapToGrid w:val="0"/>
              </w:rPr>
            </w:pPr>
            <w:r>
              <w:rPr>
                <w:snapToGrid w:val="0"/>
              </w:rPr>
              <w:t>r. 1 and 2: 17 Dec 2013 (see r. 2(a));</w:t>
            </w:r>
            <w:r>
              <w:rPr>
                <w:snapToGrid w:val="0"/>
              </w:rPr>
              <w:br/>
              <w:t xml:space="preserve">Rules other than r. 1 and 2: </w:t>
            </w:r>
            <w:r>
              <w:t>18 Dec 2013 (see r. 2(b))</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rPr>
                <w:snapToGrid w:val="0"/>
              </w:rPr>
            </w:pPr>
            <w:r>
              <w:rPr>
                <w:b/>
              </w:rPr>
              <w:t xml:space="preserve">Reprint 9: The </w:t>
            </w:r>
            <w:r>
              <w:rPr>
                <w:b/>
                <w:i/>
              </w:rPr>
              <w:t>Rules of the Supreme Court 1971</w:t>
            </w:r>
            <w:r>
              <w:rPr>
                <w:b/>
              </w:rPr>
              <w:t xml:space="preserve"> as at 4 Apr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2014</w:t>
            </w:r>
          </w:p>
        </w:tc>
        <w:tc>
          <w:tcPr>
            <w:tcW w:w="1276" w:type="dxa"/>
          </w:tcPr>
          <w:p>
            <w:pPr>
              <w:pStyle w:val="nTable"/>
              <w:spacing w:after="40"/>
            </w:pPr>
            <w:r>
              <w:t>26 Sep 2014 p. 3559</w:t>
            </w:r>
            <w:r>
              <w:noBreakHyphen/>
              <w:t>62</w:t>
            </w:r>
          </w:p>
        </w:tc>
        <w:tc>
          <w:tcPr>
            <w:tcW w:w="2696" w:type="dxa"/>
          </w:tcPr>
          <w:p>
            <w:pPr>
              <w:pStyle w:val="nTable"/>
              <w:spacing w:after="40"/>
              <w:rPr>
                <w:snapToGrid w:val="0"/>
              </w:rPr>
            </w:pPr>
            <w:r>
              <w:rPr>
                <w:snapToGrid w:val="0"/>
              </w:rPr>
              <w:t xml:space="preserve">r. 1 and 2: </w:t>
            </w:r>
            <w:r>
              <w:t xml:space="preserve">26 Sep 2014 </w:t>
            </w:r>
            <w:r>
              <w:rPr>
                <w:snapToGrid w:val="0"/>
              </w:rPr>
              <w:t>(see r. 2(a));</w:t>
            </w:r>
            <w:r>
              <w:rPr>
                <w:snapToGrid w:val="0"/>
              </w:rPr>
              <w:br/>
              <w:t xml:space="preserve">Rules other than r. 1 and 2: </w:t>
            </w:r>
            <w:r>
              <w:t>27 Sep 2014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2014</w:t>
            </w:r>
          </w:p>
        </w:tc>
        <w:tc>
          <w:tcPr>
            <w:tcW w:w="1276" w:type="dxa"/>
          </w:tcPr>
          <w:p>
            <w:pPr>
              <w:pStyle w:val="nTable"/>
              <w:spacing w:after="40"/>
            </w:pPr>
            <w:r>
              <w:t>19 Dec 2014 p. 4845-9</w:t>
            </w:r>
          </w:p>
        </w:tc>
        <w:tc>
          <w:tcPr>
            <w:tcW w:w="2696" w:type="dxa"/>
          </w:tcPr>
          <w:p>
            <w:pPr>
              <w:pStyle w:val="nTable"/>
              <w:spacing w:after="40"/>
              <w:rPr>
                <w:snapToGrid w:val="0"/>
              </w:rPr>
            </w:pPr>
            <w:r>
              <w:rPr>
                <w:snapToGrid w:val="0"/>
                <w:spacing w:val="-2"/>
              </w:rPr>
              <w:t>r. 1 and 2: 19 Dec 2014 (see r. 2(a));</w:t>
            </w:r>
            <w:r>
              <w:rPr>
                <w:snapToGrid w:val="0"/>
                <w:spacing w:val="-2"/>
              </w:rPr>
              <w:br/>
              <w:t xml:space="preserve">Rules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4) 2015</w:t>
            </w:r>
          </w:p>
        </w:tc>
        <w:tc>
          <w:tcPr>
            <w:tcW w:w="1276" w:type="dxa"/>
          </w:tcPr>
          <w:p>
            <w:pPr>
              <w:pStyle w:val="nTable"/>
              <w:spacing w:after="40"/>
            </w:pPr>
            <w:r>
              <w:t>4 Sep 2015 p. 3696</w:t>
            </w:r>
            <w:r>
              <w:noBreakHyphen/>
              <w:t>8</w:t>
            </w:r>
          </w:p>
        </w:tc>
        <w:tc>
          <w:tcPr>
            <w:tcW w:w="2696" w:type="dxa"/>
          </w:tcPr>
          <w:p>
            <w:pPr>
              <w:pStyle w:val="nTable"/>
              <w:spacing w:after="40"/>
              <w:rPr>
                <w:snapToGrid w:val="0"/>
                <w:spacing w:val="-2"/>
              </w:rPr>
            </w:pPr>
            <w:r>
              <w:rPr>
                <w:snapToGrid w:val="0"/>
                <w:spacing w:val="-2"/>
              </w:rPr>
              <w:t>r. 1 and 2: 4 Sep 2015 (see r. 2(a));</w:t>
            </w:r>
            <w:r>
              <w:rPr>
                <w:snapToGrid w:val="0"/>
                <w:spacing w:val="-2"/>
              </w:rPr>
              <w:br/>
              <w:t xml:space="preserve">Rules other than r. 1 and 2: </w:t>
            </w:r>
            <w:r>
              <w:t>18 Sep 2015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2015</w:t>
            </w:r>
          </w:p>
        </w:tc>
        <w:tc>
          <w:tcPr>
            <w:tcW w:w="1276" w:type="dxa"/>
          </w:tcPr>
          <w:p>
            <w:pPr>
              <w:pStyle w:val="nTable"/>
              <w:spacing w:after="40"/>
            </w:pPr>
            <w:r>
              <w:t>13 Nov 2015 p. 4644-55</w:t>
            </w:r>
          </w:p>
        </w:tc>
        <w:tc>
          <w:tcPr>
            <w:tcW w:w="2696" w:type="dxa"/>
          </w:tcPr>
          <w:p>
            <w:pPr>
              <w:pStyle w:val="nTable"/>
              <w:spacing w:after="40"/>
              <w:rPr>
                <w:snapToGrid w:val="0"/>
                <w:spacing w:val="-2"/>
              </w:rPr>
            </w:pPr>
            <w:r>
              <w:rPr>
                <w:snapToGrid w:val="0"/>
                <w:spacing w:val="-2"/>
              </w:rPr>
              <w:t>r. 1 and 2: 13 Nov 2015 (see r. 2(a));</w:t>
            </w:r>
            <w:r>
              <w:rPr>
                <w:snapToGrid w:val="0"/>
                <w:spacing w:val="-2"/>
              </w:rPr>
              <w:br/>
              <w:t xml:space="preserve">Rules other than r. 1 and 2: </w:t>
            </w:r>
            <w:r>
              <w:t>27 Nov 2015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2016</w:t>
            </w:r>
          </w:p>
        </w:tc>
        <w:tc>
          <w:tcPr>
            <w:tcW w:w="1276" w:type="dxa"/>
          </w:tcPr>
          <w:p>
            <w:pPr>
              <w:pStyle w:val="nTable"/>
              <w:spacing w:after="40"/>
            </w:pPr>
            <w:r>
              <w:t>16 Nov 2016 p. 5185-216</w:t>
            </w:r>
          </w:p>
        </w:tc>
        <w:tc>
          <w:tcPr>
            <w:tcW w:w="2696" w:type="dxa"/>
          </w:tcPr>
          <w:p>
            <w:pPr>
              <w:pStyle w:val="nTable"/>
              <w:spacing w:after="40"/>
              <w:rPr>
                <w:snapToGrid w:val="0"/>
                <w:spacing w:val="-2"/>
              </w:rPr>
            </w:pPr>
            <w:r>
              <w:t>r. 1 and 2: 16 Nov 2016 (see r 2(a));</w:t>
            </w:r>
            <w:r>
              <w:br/>
              <w:t>Rules other than r. 1 and 2: 23 Nov 2016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 xml:space="preserve">Supreme Court (Arbitration) Rules 2016 </w:t>
            </w:r>
            <w:r>
              <w:t>r. 26</w:t>
            </w:r>
          </w:p>
        </w:tc>
        <w:tc>
          <w:tcPr>
            <w:tcW w:w="1276" w:type="dxa"/>
          </w:tcPr>
          <w:p>
            <w:pPr>
              <w:pStyle w:val="nTable"/>
              <w:spacing w:after="40"/>
            </w:pPr>
            <w:r>
              <w:t>20 Dec 2016 p. 5819</w:t>
            </w:r>
            <w:r>
              <w:noBreakHyphen/>
              <w:t>85</w:t>
            </w:r>
          </w:p>
        </w:tc>
        <w:tc>
          <w:tcPr>
            <w:tcW w:w="2696" w:type="dxa"/>
          </w:tcPr>
          <w:p>
            <w:pPr>
              <w:pStyle w:val="nTable"/>
              <w:spacing w:after="40"/>
            </w:pPr>
            <w:r>
              <w:t>3 Jan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(Subpoenas) Rules 2017</w:t>
            </w:r>
          </w:p>
        </w:tc>
        <w:tc>
          <w:tcPr>
            <w:tcW w:w="1276" w:type="dxa"/>
          </w:tcPr>
          <w:p>
            <w:pPr>
              <w:pStyle w:val="nTable"/>
              <w:spacing w:after="40"/>
            </w:pPr>
            <w:r>
              <w:t>24 May 2017 p. 2565</w:t>
            </w:r>
            <w:r>
              <w:noBreakHyphen/>
              <w:t>607</w:t>
            </w:r>
          </w:p>
        </w:tc>
        <w:tc>
          <w:tcPr>
            <w:tcW w:w="2696" w:type="dxa"/>
          </w:tcPr>
          <w:p>
            <w:pPr>
              <w:pStyle w:val="nTable"/>
              <w:spacing w:after="40"/>
            </w:pPr>
            <w:r>
              <w:t>Pt. 1: 24 May 2017 (see r. 2(a));</w:t>
            </w:r>
            <w:r>
              <w:br/>
              <w:t>Rules other than Pt. 1: 7 Jun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2017</w:t>
            </w:r>
          </w:p>
        </w:tc>
        <w:tc>
          <w:tcPr>
            <w:tcW w:w="1276" w:type="dxa"/>
          </w:tcPr>
          <w:p>
            <w:pPr>
              <w:pStyle w:val="nTable"/>
              <w:spacing w:after="40"/>
            </w:pPr>
            <w:r>
              <w:t>30 Jun 2017 p. 3575</w:t>
            </w:r>
            <w:r>
              <w:noBreakHyphen/>
              <w:t>6</w:t>
            </w:r>
          </w:p>
        </w:tc>
        <w:tc>
          <w:tcPr>
            <w:tcW w:w="2696" w:type="dxa"/>
          </w:tcPr>
          <w:p>
            <w:pPr>
              <w:pStyle w:val="nTable"/>
              <w:spacing w:after="40"/>
            </w:pPr>
            <w:r>
              <w:rPr>
                <w:bCs/>
                <w:snapToGrid w:val="0"/>
                <w:spacing w:val="-2"/>
              </w:rPr>
              <w:t xml:space="preserve">r. 1 and 2: </w:t>
            </w:r>
            <w:r>
              <w:rPr>
                <w:bCs/>
                <w:snapToGrid w:val="0"/>
              </w:rPr>
              <w:t>30 Jun 2017</w:t>
            </w:r>
            <w:r>
              <w:rPr>
                <w:bCs/>
                <w:snapToGrid w:val="0"/>
                <w:spacing w:val="-2"/>
              </w:rPr>
              <w:t xml:space="preserve"> (see r. 2(a));</w:t>
            </w:r>
            <w:r>
              <w:rPr>
                <w:bCs/>
                <w:snapToGrid w:val="0"/>
                <w:spacing w:val="-2"/>
              </w:rPr>
              <w:br/>
              <w:t xml:space="preserve">Rules other than r. 1 and 2: </w:t>
            </w:r>
            <w:r>
              <w:rPr>
                <w:bCs/>
                <w:snapToGrid w:val="0"/>
              </w:rPr>
              <w:t>1 Jul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lastRenderedPageBreak/>
              <w:t>Supreme Court Rules Amendment Rules 2017</w:t>
            </w:r>
            <w:r>
              <w:t xml:space="preserve"> Pt. 2</w:t>
            </w:r>
          </w:p>
        </w:tc>
        <w:tc>
          <w:tcPr>
            <w:tcW w:w="1276" w:type="dxa"/>
          </w:tcPr>
          <w:p>
            <w:pPr>
              <w:pStyle w:val="nTable"/>
              <w:spacing w:after="40"/>
            </w:pPr>
            <w:r>
              <w:t>16 Aug 2017 p. 4391</w:t>
            </w:r>
            <w:r>
              <w:noBreakHyphen/>
              <w:t>427</w:t>
            </w:r>
          </w:p>
        </w:tc>
        <w:tc>
          <w:tcPr>
            <w:tcW w:w="2696" w:type="dxa"/>
          </w:tcPr>
          <w:p>
            <w:pPr>
              <w:pStyle w:val="nTable"/>
              <w:spacing w:after="40"/>
              <w:rPr>
                <w:bCs/>
                <w:snapToGrid w:val="0"/>
                <w:spacing w:val="-2"/>
              </w:rPr>
            </w:pPr>
            <w:r>
              <w:rPr>
                <w:bCs/>
                <w:snapToGrid w:val="0"/>
                <w:spacing w:val="-2"/>
              </w:rPr>
              <w:t>Pt. 2 (other than r. 30): 30 Aug 2017 (see r. 2(c));</w:t>
            </w:r>
            <w:r>
              <w:rPr>
                <w:bCs/>
                <w:snapToGrid w:val="0"/>
                <w:spacing w:val="-2"/>
              </w:rPr>
              <w:br/>
              <w:t xml:space="preserve">r. 30: </w:t>
            </w:r>
            <w:r>
              <w:t>4 Sep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2017</w:t>
            </w:r>
          </w:p>
        </w:tc>
        <w:tc>
          <w:tcPr>
            <w:tcW w:w="1276" w:type="dxa"/>
          </w:tcPr>
          <w:p>
            <w:pPr>
              <w:pStyle w:val="nTable"/>
              <w:spacing w:after="40"/>
            </w:pPr>
            <w:r>
              <w:t>1 Dec 2017 p. 5732</w:t>
            </w:r>
            <w:r>
              <w:noBreakHyphen/>
              <w:t>3</w:t>
            </w:r>
          </w:p>
        </w:tc>
        <w:tc>
          <w:tcPr>
            <w:tcW w:w="2696" w:type="dxa"/>
          </w:tcPr>
          <w:p>
            <w:pPr>
              <w:pStyle w:val="nTable"/>
              <w:spacing w:after="40"/>
              <w:rPr>
                <w:bCs/>
                <w:snapToGrid w:val="0"/>
                <w:spacing w:val="-2"/>
              </w:rPr>
            </w:pPr>
            <w:r>
              <w:rPr>
                <w:bCs/>
                <w:snapToGrid w:val="0"/>
                <w:spacing w:val="-2"/>
              </w:rPr>
              <w:t>r. 1 and 2: 1 Dec 2017 (see r. 2(a));</w:t>
            </w:r>
            <w:r>
              <w:rPr>
                <w:bCs/>
                <w:snapToGrid w:val="0"/>
                <w:spacing w:val="-2"/>
              </w:rPr>
              <w:br/>
              <w:t>Rules other than r. 1 and 2: 2 Dec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2018</w:t>
            </w:r>
          </w:p>
        </w:tc>
        <w:tc>
          <w:tcPr>
            <w:tcW w:w="1276" w:type="dxa"/>
          </w:tcPr>
          <w:p>
            <w:pPr>
              <w:pStyle w:val="nTable"/>
              <w:spacing w:after="40"/>
            </w:pPr>
            <w:r>
              <w:t>27 Feb 2018 p. 551</w:t>
            </w:r>
            <w:r>
              <w:noBreakHyphen/>
              <w:t>624</w:t>
            </w:r>
          </w:p>
        </w:tc>
        <w:tc>
          <w:tcPr>
            <w:tcW w:w="2696" w:type="dxa"/>
          </w:tcPr>
          <w:p>
            <w:pPr>
              <w:pStyle w:val="nTable"/>
              <w:spacing w:after="40"/>
              <w:rPr>
                <w:bCs/>
                <w:snapToGrid w:val="0"/>
                <w:spacing w:val="-2"/>
              </w:rPr>
            </w:pPr>
            <w:r>
              <w:rPr>
                <w:bCs/>
                <w:snapToGrid w:val="0"/>
                <w:spacing w:val="-2"/>
              </w:rPr>
              <w:t>r. 1 and 2: 27 Feb 2018 (see r. 2(a));</w:t>
            </w:r>
            <w:r>
              <w:rPr>
                <w:bCs/>
                <w:snapToGrid w:val="0"/>
                <w:spacing w:val="-2"/>
              </w:rPr>
              <w:br/>
              <w:t>Rules other than r. 1 and 2: 1 Mar 2018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2018</w:t>
            </w:r>
          </w:p>
        </w:tc>
        <w:tc>
          <w:tcPr>
            <w:tcW w:w="1276" w:type="dxa"/>
          </w:tcPr>
          <w:p>
            <w:pPr>
              <w:pStyle w:val="nTable"/>
              <w:spacing w:after="40"/>
            </w:pPr>
            <w:r>
              <w:t>29 Jun 2018 p. 2437</w:t>
            </w:r>
            <w:r>
              <w:noBreakHyphen/>
              <w:t>8</w:t>
            </w:r>
          </w:p>
        </w:tc>
        <w:tc>
          <w:tcPr>
            <w:tcW w:w="2696" w:type="dxa"/>
          </w:tcPr>
          <w:p>
            <w:pPr>
              <w:pStyle w:val="nTable"/>
              <w:spacing w:after="40"/>
              <w:rPr>
                <w:bCs/>
                <w:snapToGrid w:val="0"/>
                <w:spacing w:val="-2"/>
              </w:rPr>
            </w:pPr>
            <w:r>
              <w:rPr>
                <w:bCs/>
                <w:snapToGrid w:val="0"/>
                <w:spacing w:val="-2"/>
              </w:rPr>
              <w:t>r. 1 and 2: 29 Jun 2018 (see r. 2(a));</w:t>
            </w:r>
            <w:r>
              <w:rPr>
                <w:bCs/>
                <w:snapToGrid w:val="0"/>
                <w:spacing w:val="-2"/>
              </w:rPr>
              <w:br/>
              <w:t>Rules other than r. 1 and 2: 30 Jun 2018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2018</w:t>
            </w:r>
          </w:p>
        </w:tc>
        <w:tc>
          <w:tcPr>
            <w:tcW w:w="1276" w:type="dxa"/>
          </w:tcPr>
          <w:p>
            <w:pPr>
              <w:pStyle w:val="nTable"/>
              <w:spacing w:after="40"/>
            </w:pPr>
            <w:r>
              <w:t>28 Aug 2018 p. 2991</w:t>
            </w:r>
            <w:r>
              <w:noBreakHyphen/>
              <w:t>2</w:t>
            </w:r>
          </w:p>
        </w:tc>
        <w:tc>
          <w:tcPr>
            <w:tcW w:w="2696" w:type="dxa"/>
          </w:tcPr>
          <w:p>
            <w:pPr>
              <w:pStyle w:val="nTable"/>
              <w:spacing w:after="40"/>
              <w:rPr>
                <w:bCs/>
                <w:snapToGrid w:val="0"/>
                <w:spacing w:val="-2"/>
              </w:rPr>
            </w:pPr>
            <w:r>
              <w:rPr>
                <w:bCs/>
                <w:snapToGrid w:val="0"/>
                <w:spacing w:val="-2"/>
              </w:rPr>
              <w:t>r. 1 and 2: 28 Aug 2018 (see r. 2(a));</w:t>
            </w:r>
            <w:r>
              <w:rPr>
                <w:bCs/>
                <w:snapToGrid w:val="0"/>
                <w:spacing w:val="-2"/>
              </w:rPr>
              <w:br/>
              <w:t xml:space="preserve">Rules other than r. 1 and 2: 1 Sep 2018 (see r. 2(b) and </w:t>
            </w:r>
            <w:r>
              <w:rPr>
                <w:bCs/>
                <w:i/>
                <w:snapToGrid w:val="0"/>
                <w:spacing w:val="-2"/>
              </w:rPr>
              <w:t xml:space="preserve">Gazette </w:t>
            </w:r>
            <w:r>
              <w:rPr>
                <w:snapToGrid w:val="0"/>
                <w:spacing w:val="-2"/>
              </w:rPr>
              <w:t>17 Aug 2018 p. 2894</w:t>
            </w:r>
            <w:r>
              <w:rPr>
                <w:bCs/>
                <w:snapToGrid w:val="0"/>
                <w:spacing w:val="-2"/>
              </w:rPr>
              <w:t>)</w:t>
            </w:r>
          </w:p>
        </w:tc>
      </w:tr>
      <w:tr>
        <w:trPr>
          <w:cantSplit/>
        </w:trPr>
        <w:tc>
          <w:tcPr>
            <w:tcW w:w="3118" w:type="dxa"/>
            <w:tcBorders>
              <w:top w:val="nil"/>
              <w:bottom w:val="nil"/>
            </w:tcBorders>
          </w:tcPr>
          <w:p>
            <w:pPr>
              <w:pStyle w:val="nTable"/>
              <w:spacing w:after="40"/>
              <w:ind w:right="113"/>
              <w:rPr>
                <w:i/>
              </w:rPr>
            </w:pPr>
            <w:r>
              <w:rPr>
                <w:i/>
              </w:rPr>
              <w:t>Supreme Court Amendment Rules (No. 3) 2019</w:t>
            </w:r>
          </w:p>
        </w:tc>
        <w:tc>
          <w:tcPr>
            <w:tcW w:w="1276" w:type="dxa"/>
            <w:tcBorders>
              <w:top w:val="nil"/>
              <w:bottom w:val="nil"/>
            </w:tcBorders>
          </w:tcPr>
          <w:p>
            <w:pPr>
              <w:pStyle w:val="nTable"/>
              <w:spacing w:after="40"/>
            </w:pPr>
            <w:r>
              <w:t>31 Dec 2019 p. 4677-8</w:t>
            </w:r>
          </w:p>
        </w:tc>
        <w:tc>
          <w:tcPr>
            <w:tcW w:w="2696" w:type="dxa"/>
            <w:tcBorders>
              <w:top w:val="nil"/>
              <w:bottom w:val="nil"/>
            </w:tcBorders>
          </w:tcPr>
          <w:p>
            <w:pPr>
              <w:pStyle w:val="nTable"/>
              <w:spacing w:after="40"/>
              <w:rPr>
                <w:bCs/>
                <w:snapToGrid w:val="0"/>
                <w:spacing w:val="-2"/>
              </w:rPr>
            </w:pPr>
            <w:r>
              <w:rPr>
                <w:bCs/>
                <w:snapToGrid w:val="0"/>
                <w:spacing w:val="-2"/>
              </w:rPr>
              <w:t>r. 1 and 2: 31 Dec 2019 (see r. 2(a));</w:t>
            </w:r>
            <w:r>
              <w:rPr>
                <w:bCs/>
                <w:snapToGrid w:val="0"/>
                <w:spacing w:val="-2"/>
              </w:rPr>
              <w:br/>
              <w:t>Rules other than r. 1 and 2: 1 Jan 2020 (see r. 2(b))</w:t>
            </w:r>
          </w:p>
        </w:tc>
      </w:tr>
      <w:tr>
        <w:trPr>
          <w:cantSplit/>
        </w:trPr>
        <w:tc>
          <w:tcPr>
            <w:tcW w:w="3118" w:type="dxa"/>
            <w:tcBorders>
              <w:top w:val="nil"/>
              <w:bottom w:val="nil"/>
            </w:tcBorders>
          </w:tcPr>
          <w:p>
            <w:pPr>
              <w:pStyle w:val="nTable"/>
              <w:spacing w:after="40"/>
              <w:ind w:right="113"/>
              <w:rPr>
                <w:i/>
              </w:rPr>
            </w:pPr>
            <w:r>
              <w:rPr>
                <w:i/>
              </w:rPr>
              <w:t>Supreme Court Amendment Rules (No. 5) 2020</w:t>
            </w:r>
          </w:p>
        </w:tc>
        <w:tc>
          <w:tcPr>
            <w:tcW w:w="1276" w:type="dxa"/>
            <w:tcBorders>
              <w:top w:val="nil"/>
              <w:bottom w:val="nil"/>
            </w:tcBorders>
          </w:tcPr>
          <w:p>
            <w:pPr>
              <w:pStyle w:val="nTable"/>
              <w:spacing w:after="40"/>
            </w:pPr>
            <w:r>
              <w:t>SL 2020/228 27 Nov 2020</w:t>
            </w:r>
          </w:p>
        </w:tc>
        <w:tc>
          <w:tcPr>
            <w:tcW w:w="2696" w:type="dxa"/>
            <w:tcBorders>
              <w:top w:val="nil"/>
              <w:bottom w:val="nil"/>
            </w:tcBorders>
          </w:tcPr>
          <w:p>
            <w:pPr>
              <w:pStyle w:val="nTable"/>
              <w:spacing w:after="40"/>
              <w:rPr>
                <w:bCs/>
                <w:snapToGrid w:val="0"/>
                <w:spacing w:val="-2"/>
              </w:rPr>
            </w:pPr>
            <w:r>
              <w:rPr>
                <w:bCs/>
                <w:snapToGrid w:val="0"/>
                <w:spacing w:val="-2"/>
              </w:rPr>
              <w:t xml:space="preserve">r. 1 and 2: </w:t>
            </w:r>
            <w:r>
              <w:t>27 Nov 2020</w:t>
            </w:r>
            <w:r>
              <w:rPr>
                <w:bCs/>
                <w:snapToGrid w:val="0"/>
                <w:spacing w:val="-2"/>
              </w:rPr>
              <w:t xml:space="preserve"> (see r. 2(a));</w:t>
            </w:r>
            <w:r>
              <w:rPr>
                <w:bCs/>
                <w:snapToGrid w:val="0"/>
                <w:spacing w:val="-2"/>
              </w:rPr>
              <w:br/>
              <w:t xml:space="preserve">Rules other than r. 1 and 2: </w:t>
            </w:r>
            <w:r>
              <w:t>28 Nov 2020</w:t>
            </w:r>
            <w:r>
              <w:rPr>
                <w:bCs/>
                <w:snapToGrid w:val="0"/>
                <w:spacing w:val="-2"/>
              </w:rPr>
              <w:t xml:space="preserve"> (see r. 2(b))</w:t>
            </w:r>
          </w:p>
        </w:tc>
      </w:tr>
      <w:tr>
        <w:trPr>
          <w:cantSplit/>
        </w:trPr>
        <w:tc>
          <w:tcPr>
            <w:tcW w:w="3118" w:type="dxa"/>
            <w:tcBorders>
              <w:top w:val="nil"/>
              <w:bottom w:val="nil"/>
            </w:tcBorders>
          </w:tcPr>
          <w:p>
            <w:pPr>
              <w:pStyle w:val="nTable"/>
              <w:spacing w:after="40"/>
              <w:ind w:right="113"/>
              <w:rPr>
                <w:i/>
              </w:rPr>
            </w:pPr>
            <w:r>
              <w:rPr>
                <w:i/>
              </w:rPr>
              <w:t>Supreme Court Amendment Rules (No. 2) 2020</w:t>
            </w:r>
          </w:p>
        </w:tc>
        <w:tc>
          <w:tcPr>
            <w:tcW w:w="1276" w:type="dxa"/>
            <w:tcBorders>
              <w:top w:val="nil"/>
              <w:bottom w:val="nil"/>
            </w:tcBorders>
          </w:tcPr>
          <w:p>
            <w:pPr>
              <w:pStyle w:val="nTable"/>
              <w:spacing w:after="40"/>
            </w:pPr>
            <w:r>
              <w:t>SL 2020/242 18 Dec 2020</w:t>
            </w:r>
          </w:p>
        </w:tc>
        <w:tc>
          <w:tcPr>
            <w:tcW w:w="2696" w:type="dxa"/>
            <w:tcBorders>
              <w:top w:val="nil"/>
              <w:bottom w:val="nil"/>
            </w:tcBorders>
          </w:tcPr>
          <w:p>
            <w:pPr>
              <w:pStyle w:val="nTable"/>
              <w:spacing w:after="40"/>
              <w:rPr>
                <w:bCs/>
                <w:snapToGrid w:val="0"/>
                <w:spacing w:val="-2"/>
              </w:rPr>
            </w:pPr>
            <w:r>
              <w:rPr>
                <w:bCs/>
                <w:snapToGrid w:val="0"/>
                <w:spacing w:val="-2"/>
              </w:rPr>
              <w:t>r. 1 and 2: 18 Dec 2020 (see r. 2(a));</w:t>
            </w:r>
            <w:r>
              <w:rPr>
                <w:bCs/>
                <w:snapToGrid w:val="0"/>
                <w:spacing w:val="-2"/>
              </w:rPr>
              <w:br/>
              <w:t>Rules other than  r. 1 and 2: 19 Dec 2020 (see r. 2(b))</w:t>
            </w:r>
          </w:p>
        </w:tc>
      </w:tr>
      <w:tr>
        <w:trPr>
          <w:cantSplit/>
        </w:trPr>
        <w:tc>
          <w:tcPr>
            <w:tcW w:w="3118" w:type="dxa"/>
            <w:tcBorders>
              <w:top w:val="nil"/>
              <w:bottom w:val="nil"/>
            </w:tcBorders>
          </w:tcPr>
          <w:p>
            <w:pPr>
              <w:pStyle w:val="nTable"/>
              <w:spacing w:after="40"/>
              <w:ind w:right="113"/>
              <w:rPr>
                <w:i/>
              </w:rPr>
            </w:pPr>
            <w:r>
              <w:rPr>
                <w:i/>
              </w:rPr>
              <w:t>Supreme Court Rules Amendment (Court of Appeal) Rules 2021</w:t>
            </w:r>
            <w:r>
              <w:t xml:space="preserve"> Pt. 3</w:t>
            </w:r>
          </w:p>
        </w:tc>
        <w:tc>
          <w:tcPr>
            <w:tcW w:w="1276" w:type="dxa"/>
            <w:tcBorders>
              <w:top w:val="nil"/>
              <w:bottom w:val="nil"/>
            </w:tcBorders>
          </w:tcPr>
          <w:p>
            <w:pPr>
              <w:pStyle w:val="nTable"/>
              <w:spacing w:after="40"/>
            </w:pPr>
            <w:r>
              <w:t>SL 2021/34 30 Mar 2021</w:t>
            </w:r>
          </w:p>
        </w:tc>
        <w:tc>
          <w:tcPr>
            <w:tcW w:w="2696" w:type="dxa"/>
            <w:tcBorders>
              <w:top w:val="nil"/>
              <w:bottom w:val="nil"/>
            </w:tcBorders>
          </w:tcPr>
          <w:p>
            <w:pPr>
              <w:pStyle w:val="nTable"/>
              <w:spacing w:after="40"/>
              <w:rPr>
                <w:bCs/>
                <w:snapToGrid w:val="0"/>
                <w:spacing w:val="-2"/>
              </w:rPr>
            </w:pPr>
            <w:r>
              <w:t>3 May 2021 (see r. 2(b))</w:t>
            </w:r>
          </w:p>
        </w:tc>
      </w:tr>
      <w:tr>
        <w:trPr>
          <w:cantSplit/>
        </w:trPr>
        <w:tc>
          <w:tcPr>
            <w:tcW w:w="3118" w:type="dxa"/>
            <w:tcBorders>
              <w:top w:val="nil"/>
              <w:bottom w:val="nil"/>
            </w:tcBorders>
          </w:tcPr>
          <w:p>
            <w:pPr>
              <w:pStyle w:val="nTable"/>
              <w:spacing w:after="40"/>
              <w:ind w:right="113"/>
              <w:rPr>
                <w:i/>
              </w:rPr>
            </w:pPr>
            <w:r>
              <w:rPr>
                <w:i/>
              </w:rPr>
              <w:t>Supreme Court Amendment Rules (No. 2) 2021</w:t>
            </w:r>
          </w:p>
        </w:tc>
        <w:tc>
          <w:tcPr>
            <w:tcW w:w="1276" w:type="dxa"/>
            <w:tcBorders>
              <w:top w:val="nil"/>
              <w:bottom w:val="nil"/>
            </w:tcBorders>
          </w:tcPr>
          <w:p>
            <w:pPr>
              <w:pStyle w:val="nTable"/>
              <w:spacing w:after="40"/>
            </w:pPr>
            <w:r>
              <w:t>SL 2021/65 1 Jun 2021</w:t>
            </w:r>
          </w:p>
        </w:tc>
        <w:tc>
          <w:tcPr>
            <w:tcW w:w="2696" w:type="dxa"/>
            <w:tcBorders>
              <w:top w:val="nil"/>
              <w:bottom w:val="nil"/>
            </w:tcBorders>
          </w:tcPr>
          <w:p>
            <w:pPr>
              <w:pStyle w:val="nTable"/>
              <w:spacing w:after="40"/>
            </w:pPr>
            <w:r>
              <w:t>r. 1 and 2: 1 Jun 2021 (see r. 2(a));</w:t>
            </w:r>
            <w:r>
              <w:br/>
              <w:t>Rules other than r. 1 and 2: 1 Jul 2021 (see r. 2(b) and SL 2021/54 cl. 2(a))</w:t>
            </w:r>
          </w:p>
        </w:tc>
      </w:tr>
      <w:tr>
        <w:trPr>
          <w:cantSplit/>
        </w:trPr>
        <w:tc>
          <w:tcPr>
            <w:tcW w:w="3118" w:type="dxa"/>
            <w:tcBorders>
              <w:top w:val="nil"/>
              <w:bottom w:val="nil"/>
            </w:tcBorders>
          </w:tcPr>
          <w:p>
            <w:pPr>
              <w:pStyle w:val="nTable"/>
              <w:spacing w:after="40"/>
              <w:ind w:right="113"/>
              <w:rPr>
                <w:i/>
              </w:rPr>
            </w:pPr>
            <w:r>
              <w:rPr>
                <w:i/>
              </w:rPr>
              <w:lastRenderedPageBreak/>
              <w:t>Supreme Court Amendment Rules 2022</w:t>
            </w:r>
          </w:p>
        </w:tc>
        <w:tc>
          <w:tcPr>
            <w:tcW w:w="1276" w:type="dxa"/>
            <w:tcBorders>
              <w:top w:val="nil"/>
              <w:bottom w:val="nil"/>
            </w:tcBorders>
          </w:tcPr>
          <w:p>
            <w:pPr>
              <w:pStyle w:val="nTable"/>
              <w:spacing w:after="40"/>
            </w:pPr>
            <w:r>
              <w:t>SL 2022/53 6 May 2022</w:t>
            </w:r>
          </w:p>
        </w:tc>
        <w:tc>
          <w:tcPr>
            <w:tcW w:w="2696" w:type="dxa"/>
            <w:tcBorders>
              <w:top w:val="nil"/>
              <w:bottom w:val="nil"/>
            </w:tcBorders>
          </w:tcPr>
          <w:p>
            <w:pPr>
              <w:pStyle w:val="nTable"/>
              <w:spacing w:after="40"/>
            </w:pPr>
            <w:r>
              <w:t>r. 1 and 2: 6 May 2022 (see r. 2(a));</w:t>
            </w:r>
            <w:r>
              <w:br/>
              <w:t>Rules other than r. 1 and 2: 20 May 2022 (see r. 2(b))</w:t>
            </w:r>
          </w:p>
        </w:tc>
      </w:tr>
      <w:tr>
        <w:trPr>
          <w:cantSplit/>
        </w:trPr>
        <w:tc>
          <w:tcPr>
            <w:tcW w:w="3118" w:type="dxa"/>
            <w:tcBorders>
              <w:top w:val="nil"/>
              <w:bottom w:val="nil"/>
            </w:tcBorders>
          </w:tcPr>
          <w:p>
            <w:pPr>
              <w:pStyle w:val="nTable"/>
              <w:spacing w:after="40"/>
              <w:ind w:right="113"/>
              <w:rPr>
                <w:i/>
              </w:rPr>
            </w:pPr>
            <w:r>
              <w:rPr>
                <w:i/>
              </w:rPr>
              <w:t>Supreme Court Rules Amendment (Legal Profession) Rules 2022</w:t>
            </w:r>
            <w:r>
              <w:t xml:space="preserve"> Pt. 4</w:t>
            </w:r>
          </w:p>
        </w:tc>
        <w:tc>
          <w:tcPr>
            <w:tcW w:w="1276" w:type="dxa"/>
            <w:tcBorders>
              <w:top w:val="nil"/>
              <w:bottom w:val="nil"/>
            </w:tcBorders>
          </w:tcPr>
          <w:p>
            <w:pPr>
              <w:pStyle w:val="nTable"/>
              <w:spacing w:after="40"/>
            </w:pPr>
            <w:r>
              <w:t>SL 2022/74 14 Jun 2022</w:t>
            </w:r>
          </w:p>
        </w:tc>
        <w:tc>
          <w:tcPr>
            <w:tcW w:w="2696" w:type="dxa"/>
            <w:tcBorders>
              <w:top w:val="nil"/>
              <w:bottom w:val="nil"/>
            </w:tcBorders>
          </w:tcPr>
          <w:p>
            <w:pPr>
              <w:pStyle w:val="nTable"/>
              <w:spacing w:after="40"/>
            </w:pPr>
            <w:r>
              <w:t>1 Jul 2022 (see r. 2(b) and SL 2022/113 cl. 2)</w:t>
            </w:r>
          </w:p>
        </w:tc>
      </w:tr>
      <w:tr>
        <w:trPr>
          <w:cantSplit/>
        </w:trPr>
        <w:tc>
          <w:tcPr>
            <w:tcW w:w="3118" w:type="dxa"/>
            <w:tcBorders>
              <w:top w:val="nil"/>
              <w:bottom w:val="nil"/>
            </w:tcBorders>
          </w:tcPr>
          <w:p>
            <w:pPr>
              <w:pStyle w:val="nTable"/>
              <w:spacing w:after="40"/>
              <w:ind w:right="113"/>
              <w:rPr>
                <w:i/>
              </w:rPr>
            </w:pPr>
            <w:r>
              <w:rPr>
                <w:i/>
              </w:rPr>
              <w:t>Supreme Court Amendment Rules 2023</w:t>
            </w:r>
          </w:p>
        </w:tc>
        <w:tc>
          <w:tcPr>
            <w:tcW w:w="1276" w:type="dxa"/>
            <w:tcBorders>
              <w:top w:val="nil"/>
              <w:bottom w:val="nil"/>
            </w:tcBorders>
          </w:tcPr>
          <w:p>
            <w:pPr>
              <w:pStyle w:val="nTable"/>
              <w:spacing w:after="40"/>
            </w:pPr>
            <w:r>
              <w:t>SL 2023/16 10 Mar 2023</w:t>
            </w:r>
          </w:p>
        </w:tc>
        <w:tc>
          <w:tcPr>
            <w:tcW w:w="2696" w:type="dxa"/>
            <w:tcBorders>
              <w:top w:val="nil"/>
              <w:bottom w:val="nil"/>
            </w:tcBorders>
          </w:tcPr>
          <w:p>
            <w:pPr>
              <w:pStyle w:val="nTable"/>
              <w:spacing w:after="40"/>
            </w:pPr>
            <w:r>
              <w:t>r. 1 and 2: 10 Mar 2023 (see r. 2(a));</w:t>
            </w:r>
            <w:r>
              <w:br/>
              <w:t>Rules other than r. 1 and 2: 25 Mar 2023 (see r. 2(b) and SL 2023/21 cl. 2)</w:t>
            </w:r>
          </w:p>
        </w:tc>
      </w:tr>
      <w:tr>
        <w:trPr>
          <w:cantSplit/>
        </w:trPr>
        <w:tc>
          <w:tcPr>
            <w:tcW w:w="3118" w:type="dxa"/>
            <w:tcBorders>
              <w:top w:val="nil"/>
              <w:bottom w:val="single" w:sz="4" w:space="0" w:color="auto"/>
            </w:tcBorders>
          </w:tcPr>
          <w:p>
            <w:pPr>
              <w:pStyle w:val="nTable"/>
              <w:spacing w:after="40"/>
              <w:ind w:right="113"/>
              <w:rPr>
                <w:i/>
              </w:rPr>
            </w:pPr>
            <w:r>
              <w:rPr>
                <w:i/>
              </w:rPr>
              <w:t>Supreme Court Amendment Rules 2024</w:t>
            </w:r>
          </w:p>
        </w:tc>
        <w:tc>
          <w:tcPr>
            <w:tcW w:w="1276" w:type="dxa"/>
            <w:tcBorders>
              <w:top w:val="nil"/>
              <w:bottom w:val="single" w:sz="4" w:space="0" w:color="auto"/>
            </w:tcBorders>
          </w:tcPr>
          <w:p>
            <w:pPr>
              <w:pStyle w:val="nTable"/>
              <w:spacing w:after="40"/>
            </w:pPr>
            <w:r>
              <w:t xml:space="preserve">SL 2024/38 26 Mar 2024 </w:t>
            </w:r>
          </w:p>
        </w:tc>
        <w:tc>
          <w:tcPr>
            <w:tcW w:w="2696" w:type="dxa"/>
            <w:tcBorders>
              <w:top w:val="nil"/>
              <w:bottom w:val="single" w:sz="4" w:space="0" w:color="auto"/>
            </w:tcBorders>
          </w:tcPr>
          <w:p>
            <w:pPr>
              <w:pStyle w:val="nTable"/>
              <w:spacing w:after="40"/>
            </w:pPr>
            <w:r>
              <w:t>r. 1 and 2: 26 Mar 2024 (see r. 2(a));</w:t>
            </w:r>
            <w:r>
              <w:br/>
              <w:t>Rules other than r. 1 and 2: 9 Apr 2024 (see r. 2(b))</w:t>
            </w:r>
          </w:p>
        </w:tc>
      </w:tr>
    </w:tbl>
    <w:p>
      <w:pPr>
        <w:pStyle w:val="nHeading3"/>
      </w:pPr>
      <w:bookmarkStart w:id="1681" w:name="_Toc163121900"/>
      <w:r>
        <w:t>Other notes</w:t>
      </w:r>
      <w:bookmarkEnd w:id="1681"/>
    </w:p>
    <w:p>
      <w:pPr>
        <w:pStyle w:val="nNote"/>
        <w:spacing w:before="160"/>
      </w:pPr>
      <w:r>
        <w:rPr>
          <w:vertAlign w:val="superscript"/>
        </w:rPr>
        <w:t>1</w:t>
      </w:r>
      <w:r>
        <w:tab/>
        <w:t xml:space="preserve">Formerly referred to </w:t>
      </w:r>
      <w:r>
        <w:rPr>
          <w:i/>
        </w:rPr>
        <w:t>The Electoral Rules of 1908</w:t>
      </w:r>
      <w:r>
        <w:t xml:space="preserve">, the citation of which was changed to the </w:t>
      </w:r>
      <w:r>
        <w:rPr>
          <w:i/>
        </w:rPr>
        <w:t>Electoral Rules 1908</w:t>
      </w:r>
      <w:r>
        <w:t xml:space="preserve"> by the </w:t>
      </w:r>
      <w:r>
        <w:rPr>
          <w:i/>
        </w:rPr>
        <w:t xml:space="preserve">Electoral Amendment Rules 2009 </w:t>
      </w:r>
      <w:r>
        <w:t xml:space="preserve">r. 4. The reference was changed under the </w:t>
      </w:r>
      <w:r>
        <w:rPr>
          <w:i/>
        </w:rPr>
        <w:t>Reprints Act 1984</w:t>
      </w:r>
      <w:r>
        <w:t xml:space="preserve"> s. 7(3)(gb). </w:t>
      </w:r>
    </w:p>
    <w:p>
      <w:pPr>
        <w:pStyle w:val="nNote"/>
      </w:pPr>
      <w:r>
        <w:rPr>
          <w:vertAlign w:val="superscript"/>
        </w:rPr>
        <w:t>2</w:t>
      </w:r>
      <w:r>
        <w:tab/>
        <w:t>This rule is merely declaratory of an Order in Council gazetted 16 Sep 1983 whereby the vacations of the Supreme Court are regulated.</w:t>
      </w:r>
    </w:p>
    <w:p>
      <w:pPr>
        <w:pStyle w:val="nNote"/>
      </w:pPr>
      <w:r>
        <w:rPr>
          <w:vertAlign w:val="superscript"/>
        </w:rPr>
        <w:t>3</w:t>
      </w:r>
      <w:r>
        <w:tab/>
        <w:t xml:space="preserve">Formerly referred to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Note"/>
        <w:rPr>
          <w:vertAlign w:val="superscript"/>
        </w:rPr>
      </w:pPr>
      <w:r>
        <w:rPr>
          <w:vertAlign w:val="superscript"/>
        </w:rPr>
        <w:t>4</w:t>
      </w:r>
      <w:r>
        <w:tab/>
        <w:t>Formerly referred to the</w:t>
      </w:r>
      <w:r>
        <w:rPr>
          <w:i/>
        </w:rPr>
        <w:t xml:space="preserve"> Inheritance (Family and Dependants Provision) Act 1972</w:t>
      </w:r>
      <w:r>
        <w:t xml:space="preserve">, the short title of which was changed to the </w:t>
      </w:r>
      <w:r>
        <w:rPr>
          <w:i/>
        </w:rPr>
        <w:t>Family Provision Act 1972</w:t>
      </w:r>
      <w:r>
        <w:t xml:space="preserve"> by the </w:t>
      </w:r>
      <w:r>
        <w:rPr>
          <w:i/>
          <w:snapToGrid w:val="0"/>
        </w:rPr>
        <w:t xml:space="preserve">Inheritance (Family and Dependants Provision) Amendment Act 2011 </w:t>
      </w:r>
      <w:r>
        <w:rPr>
          <w:snapToGrid w:val="0"/>
        </w:rPr>
        <w:t xml:space="preserve">s. 4. The reference was changed under the </w:t>
      </w:r>
      <w:r>
        <w:rPr>
          <w:i/>
          <w:snapToGrid w:val="0"/>
        </w:rPr>
        <w:t>Reprints Act 1984</w:t>
      </w:r>
      <w:r>
        <w:rPr>
          <w:snapToGrid w:val="0"/>
        </w:rPr>
        <w:t xml:space="preserve"> s. 7(3)(gb).</w:t>
      </w:r>
    </w:p>
    <w:p>
      <w:pPr>
        <w:pStyle w:val="nNote"/>
        <w:spacing w:before="100"/>
      </w:pPr>
      <w:r>
        <w:rPr>
          <w:vertAlign w:val="superscript"/>
        </w:rPr>
        <w:t>5</w:t>
      </w:r>
      <w:r>
        <w:tab/>
        <w:t>The commencement date of 1 Jul 1982 that was specified was before the date of gazettal.</w:t>
      </w:r>
    </w:p>
    <w:p>
      <w:pPr>
        <w:pStyle w:val="nNote"/>
        <w:keepNext/>
        <w:keepLines/>
        <w:rPr>
          <w:u w:val="single"/>
        </w:rPr>
      </w:pPr>
      <w:r>
        <w:rPr>
          <w:vertAlign w:val="superscript"/>
        </w:rPr>
        <w:t>6</w:t>
      </w:r>
      <w:r>
        <w:tab/>
        <w:t xml:space="preserve">The </w:t>
      </w:r>
      <w:r>
        <w:rPr>
          <w:i/>
        </w:rPr>
        <w:t>Supreme Court Amendment Rules 1994</w:t>
      </w:r>
      <w:r>
        <w:t xml:space="preserve"> r. 14 is a transitional provision that has no further effect. </w:t>
      </w:r>
    </w:p>
    <w:p>
      <w:pPr>
        <w:pStyle w:val="nNote"/>
      </w:pPr>
      <w:r>
        <w:rPr>
          <w:vertAlign w:val="superscript"/>
        </w:rPr>
        <w:t>7</w:t>
      </w:r>
      <w:r>
        <w:tab/>
        <w:t xml:space="preserve">Disallowed on 10 Mar 1998, see </w:t>
      </w:r>
      <w:r>
        <w:rPr>
          <w:i/>
        </w:rPr>
        <w:t>Gazette</w:t>
      </w:r>
      <w:r>
        <w:t xml:space="preserve"> 13 Mar 1998 p. 1389.</w:t>
      </w:r>
    </w:p>
    <w:p>
      <w:pPr>
        <w:pStyle w:val="nNote"/>
      </w:pPr>
      <w:r>
        <w:rPr>
          <w:vertAlign w:val="superscript"/>
        </w:rPr>
        <w:t>8</w:t>
      </w:r>
      <w:r>
        <w:tab/>
        <w:t xml:space="preserve">Disallowed on 29 Oct 2013, see </w:t>
      </w:r>
      <w:r>
        <w:rPr>
          <w:i/>
        </w:rPr>
        <w:t>Gazette</w:t>
      </w:r>
      <w:r>
        <w:t xml:space="preserve"> 1 Nov 2013 p. 4910.</w:t>
      </w:r>
    </w:p>
    <w:p/>
    <w:p>
      <w:pPr>
        <w:sectPr>
          <w:headerReference w:type="even" r:id="rId30"/>
          <w:headerReference w:type="default" r:id="rId31"/>
          <w:pgSz w:w="11907" w:h="16840" w:code="9"/>
          <w:pgMar w:top="2376" w:right="2404" w:bottom="3544" w:left="2404" w:header="720" w:footer="3544" w:gutter="0"/>
          <w:cols w:space="720"/>
          <w:noEndnote/>
          <w:docGrid w:linePitch="326"/>
        </w:sectPr>
      </w:pPr>
    </w:p>
    <w:p>
      <w:pPr>
        <w:pStyle w:val="nHeading2"/>
        <w:rPr>
          <w:sz w:val="28"/>
        </w:rPr>
      </w:pPr>
      <w:bookmarkStart w:id="1683" w:name="_Toc162941438"/>
      <w:bookmarkStart w:id="1684" w:name="_Toc162954228"/>
      <w:bookmarkStart w:id="1685" w:name="_Toc163121901"/>
      <w:r>
        <w:rPr>
          <w:sz w:val="28"/>
        </w:rPr>
        <w:lastRenderedPageBreak/>
        <w:t>Defined terms</w:t>
      </w:r>
      <w:bookmarkEnd w:id="1683"/>
      <w:bookmarkEnd w:id="1684"/>
      <w:bookmarkEnd w:id="168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O. 4A r. 2(2)(n)</w:t>
      </w:r>
    </w:p>
    <w:p>
      <w:pPr>
        <w:pStyle w:val="DefinedTerms"/>
      </w:pPr>
      <w:r>
        <w:t>Accountant</w:t>
      </w:r>
      <w:r>
        <w:tab/>
        <w:t>O. 1 r. 4(1)</w:t>
      </w:r>
    </w:p>
    <w:p>
      <w:pPr>
        <w:pStyle w:val="DefinedTerms"/>
        <w:tabs>
          <w:tab w:val="clear" w:pos="7070"/>
          <w:tab w:val="right" w:leader="dot" w:pos="7080"/>
        </w:tabs>
        <w:ind w:left="600" w:right="16" w:hanging="22"/>
        <w:jc w:val="right"/>
        <w:rPr>
          <w:rStyle w:val="CharDivText"/>
        </w:rPr>
      </w:pPr>
      <w:r>
        <w:rPr>
          <w:rStyle w:val="CharDivText"/>
        </w:rPr>
        <w:t>Act</w:t>
      </w:r>
      <w:r>
        <w:rPr>
          <w:rStyle w:val="CharDivText"/>
        </w:rPr>
        <w:tab/>
        <w:t>O. 1 r. 4(1), O. 38A r. 1(a), O. 39 r. 1(a), O. 39A r. 1(1), O. 44A r. 1(a),</w:t>
      </w:r>
      <w:r>
        <w:rPr>
          <w:rStyle w:val="CharDivText"/>
        </w:rPr>
        <w:br/>
        <w:t>O.</w:t>
      </w:r>
      <w:r>
        <w:t xml:space="preserve"> 46 r. 1, </w:t>
      </w:r>
      <w:r>
        <w:rPr>
          <w:rStyle w:val="CharDivText"/>
        </w:rPr>
        <w:t>O. 75 r. 1, O. 76 r. 1, O. 80A r. 1, O. 81B r. 1(1),</w:t>
      </w:r>
      <w:r>
        <w:rPr>
          <w:rStyle w:val="CharDivText"/>
        </w:rPr>
        <w:br/>
        <w:t xml:space="preserve">O. 81E r. 1, </w:t>
      </w:r>
      <w:r>
        <w:t xml:space="preserve">O. 81F r. 1(1), O. 81G r. 1(1), </w:t>
      </w:r>
      <w:r>
        <w:rPr>
          <w:rStyle w:val="CharDivText"/>
        </w:rPr>
        <w:t>O. 81H r. 1, O. 85 r. 1(1)</w:t>
      </w:r>
    </w:p>
    <w:p>
      <w:pPr>
        <w:pStyle w:val="DefinedTerms"/>
      </w:pPr>
      <w:r>
        <w:t>action for personal injuries</w:t>
      </w:r>
      <w:r>
        <w:tab/>
      </w:r>
      <w:r>
        <w:rPr>
          <w:rStyle w:val="CharDivText"/>
        </w:rPr>
        <w:t>O.</w:t>
      </w:r>
      <w:r>
        <w:t xml:space="preserve"> 36A r. 1</w:t>
      </w:r>
    </w:p>
    <w:p>
      <w:pPr>
        <w:pStyle w:val="DefinedTerms"/>
      </w:pPr>
      <w:r>
        <w:t>additional authority</w:t>
      </w:r>
      <w:r>
        <w:tab/>
      </w:r>
      <w:r>
        <w:rPr>
          <w:rStyle w:val="CharDivText"/>
        </w:rPr>
        <w:t>O.</w:t>
      </w:r>
      <w:r>
        <w:t xml:space="preserve"> 11A r. 1</w:t>
      </w:r>
    </w:p>
    <w:p>
      <w:pPr>
        <w:pStyle w:val="DefinedTerms"/>
      </w:pPr>
      <w:r>
        <w:t>addressee</w:t>
      </w:r>
      <w:r>
        <w:tab/>
      </w:r>
      <w:r>
        <w:rPr>
          <w:rStyle w:val="CharDivText"/>
        </w:rPr>
        <w:t>O.</w:t>
      </w:r>
      <w:r>
        <w:t xml:space="preserve"> 36B r. 1(1)</w:t>
      </w:r>
    </w:p>
    <w:p>
      <w:pPr>
        <w:pStyle w:val="DefinedTerms"/>
      </w:pPr>
      <w:r>
        <w:t>Admiralty Rules</w:t>
      </w:r>
      <w:r>
        <w:tab/>
      </w:r>
      <w:r>
        <w:rPr>
          <w:rStyle w:val="CharDivText"/>
        </w:rPr>
        <w:t>O.</w:t>
      </w:r>
      <w:r>
        <w:t xml:space="preserve"> 84 r. 9(1)</w:t>
      </w:r>
    </w:p>
    <w:p>
      <w:pPr>
        <w:pStyle w:val="DefinedTerms"/>
      </w:pPr>
      <w:r>
        <w:t>ancillary order</w:t>
      </w:r>
      <w:r>
        <w:tab/>
      </w:r>
      <w:r>
        <w:rPr>
          <w:rStyle w:val="CharDivText"/>
        </w:rPr>
        <w:t>O.</w:t>
      </w:r>
      <w:r>
        <w:t xml:space="preserve"> 52A r. 1</w:t>
      </w:r>
    </w:p>
    <w:p>
      <w:pPr>
        <w:pStyle w:val="DefinedTerms"/>
      </w:pPr>
      <w:r>
        <w:t>another court</w:t>
      </w:r>
      <w:r>
        <w:tab/>
      </w:r>
      <w:r>
        <w:rPr>
          <w:rStyle w:val="CharDivText"/>
        </w:rPr>
        <w:t>O.</w:t>
      </w:r>
      <w:r>
        <w:t xml:space="preserve"> 52A r. 1</w:t>
      </w:r>
    </w:p>
    <w:p>
      <w:pPr>
        <w:pStyle w:val="DefinedTerms"/>
      </w:pPr>
      <w:r>
        <w:t>any relevant scale</w:t>
      </w:r>
      <w:r>
        <w:tab/>
      </w:r>
      <w:r>
        <w:rPr>
          <w:rStyle w:val="CharDivText"/>
        </w:rPr>
        <w:t>O.</w:t>
      </w:r>
      <w:r>
        <w:t xml:space="preserve"> 66 r. 11(1)</w:t>
      </w:r>
    </w:p>
    <w:p>
      <w:pPr>
        <w:pStyle w:val="DefinedTerms"/>
      </w:pPr>
      <w:r>
        <w:t>appeal</w:t>
      </w:r>
      <w:r>
        <w:tab/>
      </w:r>
      <w:r>
        <w:rPr>
          <w:rStyle w:val="CharDivText"/>
        </w:rPr>
        <w:t>O.</w:t>
      </w:r>
      <w:r>
        <w:t xml:space="preserve"> 65 r. 1</w:t>
      </w:r>
    </w:p>
    <w:p>
      <w:pPr>
        <w:pStyle w:val="DefinedTerms"/>
      </w:pPr>
      <w:r>
        <w:t>appeal notice</w:t>
      </w:r>
      <w:r>
        <w:tab/>
      </w:r>
      <w:r>
        <w:rPr>
          <w:rStyle w:val="CharDivText"/>
        </w:rPr>
        <w:t>O.</w:t>
      </w:r>
      <w:r>
        <w:t xml:space="preserve"> 65 r. 1</w:t>
      </w:r>
    </w:p>
    <w:p>
      <w:pPr>
        <w:pStyle w:val="DefinedTerms"/>
        <w:rPr>
          <w:rStyle w:val="CharDivText"/>
        </w:rPr>
      </w:pPr>
      <w:r>
        <w:t>applicant</w:t>
      </w:r>
      <w:r>
        <w:tab/>
      </w:r>
      <w:r>
        <w:rPr>
          <w:rStyle w:val="CharDivText"/>
        </w:rPr>
        <w:t>O.</w:t>
      </w:r>
      <w:r>
        <w:t xml:space="preserve"> 11A r. 1, </w:t>
      </w:r>
      <w:r>
        <w:rPr>
          <w:rStyle w:val="CharDivText"/>
        </w:rPr>
        <w:t>O.</w:t>
      </w:r>
      <w:r>
        <w:t xml:space="preserve"> 52A r. 1, </w:t>
      </w:r>
      <w:r>
        <w:rPr>
          <w:rStyle w:val="CharDivText"/>
        </w:rPr>
        <w:t>O.</w:t>
      </w:r>
      <w:r>
        <w:t xml:space="preserve"> 52B r. 1, O. 75A r. 1</w:t>
      </w:r>
    </w:p>
    <w:p>
      <w:pPr>
        <w:pStyle w:val="DefinedTerms"/>
      </w:pPr>
      <w:r>
        <w:rPr>
          <w:rStyle w:val="CharDivText"/>
        </w:rPr>
        <w:t>application</w:t>
      </w:r>
      <w:r>
        <w:t xml:space="preserve"> </w:t>
      </w:r>
      <w:r>
        <w:tab/>
        <w:t>O. 56 r. 1(1)</w:t>
      </w:r>
    </w:p>
    <w:p>
      <w:pPr>
        <w:pStyle w:val="DefinedTerms"/>
      </w:pPr>
      <w:r>
        <w:t>approved mediator</w:t>
      </w:r>
      <w:r>
        <w:tab/>
      </w:r>
      <w:r>
        <w:rPr>
          <w:rStyle w:val="CharDivText"/>
        </w:rPr>
        <w:t>O.</w:t>
      </w:r>
      <w:r>
        <w:t> 4A r. 1</w:t>
      </w:r>
    </w:p>
    <w:p>
      <w:pPr>
        <w:pStyle w:val="DefinedTerms"/>
      </w:pPr>
      <w:r>
        <w:t>arbitration law</w:t>
      </w:r>
      <w:r>
        <w:tab/>
        <w:t>O. 81D r. 1</w:t>
      </w:r>
    </w:p>
    <w:p>
      <w:pPr>
        <w:pStyle w:val="DefinedTerms"/>
      </w:pPr>
      <w:r>
        <w:t>arbitrator</w:t>
      </w:r>
      <w:r>
        <w:tab/>
        <w:t>O. 81D r. 1</w:t>
      </w:r>
    </w:p>
    <w:p>
      <w:pPr>
        <w:pStyle w:val="DefinedTerms"/>
      </w:pPr>
      <w:r>
        <w:t>Australian diplomatic or consular agent</w:t>
      </w:r>
      <w:r>
        <w:tab/>
      </w:r>
      <w:r>
        <w:rPr>
          <w:rStyle w:val="CharDivText"/>
        </w:rPr>
        <w:t>O.</w:t>
      </w:r>
      <w:r>
        <w:t xml:space="preserve"> 1 r. 4(1)</w:t>
      </w:r>
    </w:p>
    <w:p>
      <w:pPr>
        <w:pStyle w:val="DefinedTerms"/>
      </w:pPr>
      <w:r>
        <w:t>B</w:t>
      </w:r>
      <w:r>
        <w:tab/>
      </w:r>
      <w:r>
        <w:rPr>
          <w:rStyle w:val="CharDivText"/>
        </w:rPr>
        <w:t>O.</w:t>
      </w:r>
      <w:r>
        <w:t xml:space="preserve"> 4A r. 2(2)(n)</w:t>
      </w:r>
    </w:p>
    <w:p>
      <w:pPr>
        <w:pStyle w:val="DefinedTerms"/>
      </w:pPr>
      <w:r>
        <w:t>Board</w:t>
      </w:r>
      <w:r>
        <w:tab/>
        <w:t>O. 75A r. 1</w:t>
      </w:r>
    </w:p>
    <w:p>
      <w:pPr>
        <w:pStyle w:val="DefinedTerms"/>
      </w:pPr>
      <w:r>
        <w:t>case</w:t>
      </w:r>
      <w:r>
        <w:tab/>
      </w:r>
      <w:r>
        <w:rPr>
          <w:rStyle w:val="CharDivText"/>
        </w:rPr>
        <w:t>O.</w:t>
      </w:r>
      <w:r>
        <w:t xml:space="preserve"> 1 r. 4(1), </w:t>
      </w:r>
      <w:r>
        <w:rPr>
          <w:rStyle w:val="CharDivText"/>
        </w:rPr>
        <w:t>O.</w:t>
      </w:r>
      <w:r>
        <w:t xml:space="preserve"> 4A r. 1, </w:t>
      </w:r>
      <w:r>
        <w:rPr>
          <w:rStyle w:val="CharDivText"/>
        </w:rPr>
        <w:t>O.</w:t>
      </w:r>
      <w:r>
        <w:t> 9A r. 1</w:t>
      </w:r>
    </w:p>
    <w:p>
      <w:pPr>
        <w:pStyle w:val="DefinedTerms"/>
      </w:pPr>
      <w:r>
        <w:t>case management direction</w:t>
      </w:r>
      <w:r>
        <w:tab/>
      </w:r>
      <w:r>
        <w:rPr>
          <w:rStyle w:val="CharDivText"/>
        </w:rPr>
        <w:t>O.</w:t>
      </w:r>
      <w:r>
        <w:t> 4A r. 1</w:t>
      </w:r>
    </w:p>
    <w:p>
      <w:pPr>
        <w:pStyle w:val="DefinedTerms"/>
      </w:pPr>
      <w:r>
        <w:t>case management registrar</w:t>
      </w:r>
      <w:r>
        <w:tab/>
      </w:r>
      <w:r>
        <w:rPr>
          <w:rStyle w:val="CharDivText"/>
        </w:rPr>
        <w:t>O.</w:t>
      </w:r>
      <w:r>
        <w:t xml:space="preserve"> 1 r. 4(1)</w:t>
      </w:r>
    </w:p>
    <w:p>
      <w:pPr>
        <w:pStyle w:val="DefinedTerms"/>
      </w:pPr>
      <w:r>
        <w:t>case manager</w:t>
      </w:r>
      <w:r>
        <w:tab/>
      </w:r>
      <w:r>
        <w:rPr>
          <w:rStyle w:val="CharDivText"/>
        </w:rPr>
        <w:t>O.</w:t>
      </w:r>
      <w:r>
        <w:t xml:space="preserve"> 1 r. 4(1), </w:t>
      </w:r>
      <w:r>
        <w:rPr>
          <w:rStyle w:val="CharDivText"/>
        </w:rPr>
        <w:t>O.</w:t>
      </w:r>
      <w:r>
        <w:t> 4A r. 1</w:t>
      </w:r>
    </w:p>
    <w:p>
      <w:pPr>
        <w:pStyle w:val="DefinedTerms"/>
      </w:pPr>
      <w:r>
        <w:t>Cause Book</w:t>
      </w:r>
      <w:r>
        <w:tab/>
      </w:r>
      <w:r>
        <w:rPr>
          <w:rStyle w:val="CharDivText"/>
        </w:rPr>
        <w:t>O.</w:t>
      </w:r>
      <w:r>
        <w:t xml:space="preserve"> 1 r. 4(1)</w:t>
      </w:r>
    </w:p>
    <w:p>
      <w:pPr>
        <w:pStyle w:val="DefinedTerms"/>
      </w:pPr>
      <w:r>
        <w:t>Central Authority</w:t>
      </w:r>
      <w:r>
        <w:tab/>
      </w:r>
      <w:r>
        <w:rPr>
          <w:rStyle w:val="CharDivText"/>
        </w:rPr>
        <w:t>O.</w:t>
      </w:r>
      <w:r>
        <w:t xml:space="preserve"> 11A r. 1</w:t>
      </w:r>
    </w:p>
    <w:p>
      <w:pPr>
        <w:pStyle w:val="DefinedTerms"/>
      </w:pPr>
      <w:r>
        <w:t>Central Office</w:t>
      </w:r>
      <w:r>
        <w:tab/>
      </w:r>
      <w:r>
        <w:rPr>
          <w:rStyle w:val="CharDivText"/>
        </w:rPr>
        <w:t>O.</w:t>
      </w:r>
      <w:r>
        <w:t xml:space="preserve"> 1 r. 4(1)</w:t>
      </w:r>
    </w:p>
    <w:p>
      <w:pPr>
        <w:pStyle w:val="DefinedTerms"/>
      </w:pPr>
      <w:r>
        <w:t xml:space="preserve">certificate </w:t>
      </w:r>
      <w:r>
        <w:tab/>
        <w:t>O. 39A r. 5(1A)</w:t>
      </w:r>
    </w:p>
    <w:p>
      <w:pPr>
        <w:pStyle w:val="DefinedTerms"/>
      </w:pPr>
      <w:r>
        <w:t xml:space="preserve">certificate of service </w:t>
      </w:r>
      <w:r>
        <w:tab/>
        <w:t>O. 11A r. 1</w:t>
      </w:r>
    </w:p>
    <w:p>
      <w:pPr>
        <w:pStyle w:val="DefinedTerms"/>
      </w:pPr>
      <w:r>
        <w:t>certifying authority</w:t>
      </w:r>
      <w:r>
        <w:tab/>
        <w:t>O. 11A r. 1</w:t>
      </w:r>
    </w:p>
    <w:p>
      <w:pPr>
        <w:pStyle w:val="DefinedTerms"/>
      </w:pPr>
      <w:r>
        <w:t xml:space="preserve">challenged conduct </w:t>
      </w:r>
      <w:r>
        <w:tab/>
        <w:t>O. 56 r. 1(1)</w:t>
      </w:r>
    </w:p>
    <w:p>
      <w:pPr>
        <w:pStyle w:val="DefinedTerms"/>
      </w:pPr>
      <w:r>
        <w:t xml:space="preserve">challenged decision </w:t>
      </w:r>
      <w:r>
        <w:tab/>
        <w:t>O. 56 r. 1(1)</w:t>
      </w:r>
    </w:p>
    <w:p>
      <w:pPr>
        <w:pStyle w:val="DefinedTerms"/>
      </w:pPr>
      <w:r>
        <w:t>charge</w:t>
      </w:r>
      <w:r>
        <w:tab/>
      </w:r>
      <w:r>
        <w:rPr>
          <w:rStyle w:val="CharDivText"/>
        </w:rPr>
        <w:t>O.</w:t>
      </w:r>
      <w:r>
        <w:t xml:space="preserve"> 62A r. 1(3)</w:t>
      </w:r>
    </w:p>
    <w:p>
      <w:pPr>
        <w:pStyle w:val="DefinedTerms"/>
      </w:pPr>
      <w:r>
        <w:t>civil proceedings</w:t>
      </w:r>
      <w:r>
        <w:tab/>
      </w:r>
      <w:r>
        <w:rPr>
          <w:rStyle w:val="CharDivText"/>
        </w:rPr>
        <w:t>O.</w:t>
      </w:r>
      <w:r>
        <w:t xml:space="preserve"> 11A r. 1</w:t>
      </w:r>
    </w:p>
    <w:p>
      <w:pPr>
        <w:pStyle w:val="DefinedTerms"/>
      </w:pPr>
      <w:r>
        <w:t>claim</w:t>
      </w:r>
      <w:r>
        <w:tab/>
        <w:t>O. 81G r. 1(1)</w:t>
      </w:r>
    </w:p>
    <w:p>
      <w:pPr>
        <w:pStyle w:val="DefinedTerms"/>
      </w:pPr>
      <w:r>
        <w:t>CMC List</w:t>
      </w:r>
      <w:r>
        <w:tab/>
        <w:t>O. 4A r. 1</w:t>
      </w:r>
    </w:p>
    <w:p>
      <w:pPr>
        <w:pStyle w:val="DefinedTerms"/>
      </w:pPr>
      <w:r>
        <w:t>CMC List case</w:t>
      </w:r>
      <w:r>
        <w:tab/>
        <w:t>O. 4A r. 1</w:t>
      </w:r>
    </w:p>
    <w:p>
      <w:pPr>
        <w:pStyle w:val="DefinedTerms"/>
      </w:pPr>
      <w:r>
        <w:lastRenderedPageBreak/>
        <w:t>CMC List judge</w:t>
      </w:r>
      <w:r>
        <w:tab/>
        <w:t>O. 4A r. 1</w:t>
      </w:r>
    </w:p>
    <w:p>
      <w:pPr>
        <w:pStyle w:val="DefinedTerms"/>
      </w:pPr>
      <w:r>
        <w:t>concluded</w:t>
      </w:r>
      <w:r>
        <w:tab/>
        <w:t>O. 65 r. 1</w:t>
      </w:r>
    </w:p>
    <w:p>
      <w:pPr>
        <w:pStyle w:val="DefinedTerms"/>
      </w:pPr>
      <w:r>
        <w:t xml:space="preserve">conduct </w:t>
      </w:r>
      <w:r>
        <w:tab/>
        <w:t>O. 56 r. 1(1)</w:t>
      </w:r>
    </w:p>
    <w:p>
      <w:pPr>
        <w:pStyle w:val="DefinedTerms"/>
      </w:pPr>
      <w:r>
        <w:t>conduct money</w:t>
      </w:r>
      <w:r>
        <w:tab/>
        <w:t>O. 36B r. 1(1)</w:t>
      </w:r>
    </w:p>
    <w:p>
      <w:pPr>
        <w:pStyle w:val="DefinedTerms"/>
      </w:pPr>
      <w:r>
        <w:t>confiscable property declaration</w:t>
      </w:r>
      <w:r>
        <w:tab/>
        <w:t>O. 81FA r. 1</w:t>
      </w:r>
    </w:p>
    <w:p>
      <w:pPr>
        <w:pStyle w:val="DefinedTerms"/>
      </w:pPr>
      <w:r>
        <w:t>Confiscation Act 2000</w:t>
      </w:r>
      <w:r>
        <w:tab/>
        <w:t>O. 81FA r. 1</w:t>
      </w:r>
    </w:p>
    <w:p>
      <w:pPr>
        <w:pStyle w:val="DefinedTerms"/>
      </w:pPr>
      <w:r>
        <w:t>consular agent</w:t>
      </w:r>
      <w:r>
        <w:tab/>
        <w:t>O. 1 r. 4(1)</w:t>
      </w:r>
    </w:p>
    <w:p>
      <w:pPr>
        <w:pStyle w:val="DefinedTerms"/>
      </w:pPr>
      <w:r>
        <w:t>contemnor</w:t>
      </w:r>
      <w:r>
        <w:tab/>
        <w:t>O. 55 r. 1</w:t>
      </w:r>
    </w:p>
    <w:p>
      <w:pPr>
        <w:pStyle w:val="DefinedTerms"/>
        <w:rPr>
          <w:rStyle w:val="CharDivText"/>
        </w:rPr>
      </w:pPr>
      <w:r>
        <w:t>Convention country</w:t>
      </w:r>
      <w:r>
        <w:rPr>
          <w:rStyle w:val="CharDivText"/>
        </w:rPr>
        <w:tab/>
        <w:t>O. 1 r. 4(1)</w:t>
      </w:r>
    </w:p>
    <w:p>
      <w:pPr>
        <w:pStyle w:val="DefinedTerms"/>
        <w:rPr>
          <w:rStyle w:val="CharDivText"/>
        </w:rPr>
      </w:pPr>
      <w:r>
        <w:rPr>
          <w:rStyle w:val="CharDivText"/>
        </w:rPr>
        <w:t>costs</w:t>
      </w:r>
      <w:r>
        <w:rPr>
          <w:rStyle w:val="CharDivText"/>
        </w:rPr>
        <w:tab/>
        <w:t>O. 1 r. 4(1)</w:t>
      </w:r>
    </w:p>
    <w:p>
      <w:pPr>
        <w:pStyle w:val="DefinedTerms"/>
        <w:rPr>
          <w:rStyle w:val="CharDivText"/>
        </w:rPr>
      </w:pPr>
      <w:r>
        <w:rPr>
          <w:rStyle w:val="CharDivText"/>
        </w:rPr>
        <w:t>Court</w:t>
      </w:r>
      <w:r>
        <w:rPr>
          <w:rStyle w:val="CharDivText"/>
        </w:rPr>
        <w:tab/>
        <w:t>O. 1 r. 4(2)</w:t>
      </w:r>
    </w:p>
    <w:p>
      <w:pPr>
        <w:pStyle w:val="DefinedTerms"/>
        <w:rPr>
          <w:rStyle w:val="CharDivText"/>
        </w:rPr>
      </w:pPr>
      <w:r>
        <w:rPr>
          <w:rStyle w:val="CharDivText"/>
        </w:rPr>
        <w:t>Court expert</w:t>
      </w:r>
      <w:r>
        <w:rPr>
          <w:rStyle w:val="CharDivText"/>
        </w:rPr>
        <w:tab/>
        <w:t>O. 40 r. 1</w:t>
      </w:r>
    </w:p>
    <w:p>
      <w:pPr>
        <w:pStyle w:val="DefinedTerms"/>
        <w:rPr>
          <w:rStyle w:val="CharDivText"/>
        </w:rPr>
      </w:pPr>
      <w:r>
        <w:rPr>
          <w:rStyle w:val="CharDivText"/>
        </w:rPr>
        <w:t>court of rendition</w:t>
      </w:r>
      <w:r>
        <w:rPr>
          <w:rStyle w:val="CharDivText"/>
        </w:rPr>
        <w:tab/>
        <w:t>O. 81B r. 1(1)</w:t>
      </w:r>
    </w:p>
    <w:p>
      <w:pPr>
        <w:pStyle w:val="DefinedTerms"/>
        <w:rPr>
          <w:rStyle w:val="CharDivText"/>
        </w:rPr>
      </w:pPr>
      <w:r>
        <w:rPr>
          <w:rStyle w:val="CharDivText"/>
        </w:rPr>
        <w:t>crime</w:t>
      </w:r>
      <w:r>
        <w:rPr>
          <w:rStyle w:val="CharDivText"/>
        </w:rPr>
        <w:noBreakHyphen/>
        <w:t>used property substitution declaration</w:t>
      </w:r>
      <w:r>
        <w:rPr>
          <w:rStyle w:val="CharDivText"/>
        </w:rPr>
        <w:tab/>
        <w:t>O. 81C r. 1</w:t>
      </w:r>
    </w:p>
    <w:p>
      <w:pPr>
        <w:pStyle w:val="DefinedTerms"/>
        <w:rPr>
          <w:rStyle w:val="CharDivText"/>
        </w:rPr>
      </w:pPr>
      <w:r>
        <w:rPr>
          <w:rStyle w:val="CharDivText"/>
        </w:rPr>
        <w:t>criminal benefits declaration</w:t>
      </w:r>
      <w:r>
        <w:rPr>
          <w:rStyle w:val="CharDivText"/>
        </w:rPr>
        <w:tab/>
        <w:t>O. 81C r. 1</w:t>
      </w:r>
    </w:p>
    <w:p>
      <w:pPr>
        <w:pStyle w:val="DefinedTerms"/>
        <w:rPr>
          <w:rStyle w:val="CharDivText"/>
        </w:rPr>
      </w:pPr>
      <w:r>
        <w:rPr>
          <w:rStyle w:val="CharDivText"/>
        </w:rPr>
        <w:t>cross</w:t>
      </w:r>
      <w:r>
        <w:rPr>
          <w:rStyle w:val="CharDivText"/>
        </w:rPr>
        <w:noBreakHyphen/>
        <w:t>vesting laws</w:t>
      </w:r>
      <w:r>
        <w:rPr>
          <w:rStyle w:val="CharDivText"/>
        </w:rPr>
        <w:tab/>
        <w:t>O. 81E r. 1</w:t>
      </w:r>
    </w:p>
    <w:p>
      <w:pPr>
        <w:pStyle w:val="DefinedTerms"/>
        <w:rPr>
          <w:rStyle w:val="CharDivText"/>
        </w:rPr>
      </w:pPr>
      <w:r>
        <w:rPr>
          <w:rStyle w:val="CharDivText"/>
        </w:rPr>
        <w:t>defendant</w:t>
      </w:r>
      <w:r>
        <w:rPr>
          <w:rStyle w:val="CharDivText"/>
        </w:rPr>
        <w:tab/>
        <w:t>O. 11A r. 1</w:t>
      </w:r>
    </w:p>
    <w:p>
      <w:pPr>
        <w:pStyle w:val="DefinedTerms"/>
        <w:rPr>
          <w:rStyle w:val="CharDivText"/>
        </w:rPr>
      </w:pPr>
      <w:r>
        <w:rPr>
          <w:rStyle w:val="CharDivText"/>
        </w:rPr>
        <w:t>described</w:t>
      </w:r>
      <w:r>
        <w:rPr>
          <w:rStyle w:val="CharDivText"/>
        </w:rPr>
        <w:tab/>
        <w:t>O. 52B r. 1</w:t>
      </w:r>
    </w:p>
    <w:p>
      <w:pPr>
        <w:pStyle w:val="DefinedTerms"/>
        <w:rPr>
          <w:rStyle w:val="CharDivText"/>
        </w:rPr>
      </w:pPr>
      <w:r>
        <w:rPr>
          <w:rStyle w:val="CharDivText"/>
        </w:rPr>
        <w:t>description</w:t>
      </w:r>
      <w:r>
        <w:rPr>
          <w:rStyle w:val="CharDivText"/>
        </w:rPr>
        <w:tab/>
        <w:t>O. 26A r. 1</w:t>
      </w:r>
    </w:p>
    <w:p>
      <w:pPr>
        <w:pStyle w:val="DefinedTerms"/>
        <w:rPr>
          <w:rStyle w:val="CharDivText"/>
        </w:rPr>
      </w:pPr>
      <w:r>
        <w:rPr>
          <w:rStyle w:val="CharDivText"/>
        </w:rPr>
        <w:t>diplomatic agent</w:t>
      </w:r>
      <w:r>
        <w:rPr>
          <w:rStyle w:val="CharDivText"/>
        </w:rPr>
        <w:tab/>
        <w:t>O. 1 r. 4(1)</w:t>
      </w:r>
    </w:p>
    <w:p>
      <w:pPr>
        <w:pStyle w:val="DefinedTerms"/>
        <w:rPr>
          <w:rStyle w:val="CharDivText"/>
        </w:rPr>
      </w:pPr>
      <w:r>
        <w:rPr>
          <w:rStyle w:val="CharDivText"/>
        </w:rPr>
        <w:t>Director General</w:t>
      </w:r>
      <w:r>
        <w:rPr>
          <w:rStyle w:val="CharDivText"/>
        </w:rPr>
        <w:tab/>
        <w:t>O. 81C r. 1</w:t>
      </w:r>
    </w:p>
    <w:p>
      <w:pPr>
        <w:pStyle w:val="DefinedTerms"/>
        <w:rPr>
          <w:rStyle w:val="CharDivText"/>
        </w:rPr>
      </w:pPr>
      <w:r>
        <w:rPr>
          <w:rStyle w:val="CharDivText"/>
        </w:rPr>
        <w:t>document</w:t>
      </w:r>
      <w:r>
        <w:rPr>
          <w:rStyle w:val="CharDivText"/>
        </w:rPr>
        <w:tab/>
        <w:t>O. 26 r. 1A, O. 26A r. 1</w:t>
      </w:r>
    </w:p>
    <w:p>
      <w:pPr>
        <w:pStyle w:val="DefinedTerms"/>
        <w:rPr>
          <w:rStyle w:val="CharDivText"/>
        </w:rPr>
      </w:pPr>
      <w:r>
        <w:rPr>
          <w:rStyle w:val="CharDivText"/>
        </w:rPr>
        <w:t>ECMS</w:t>
      </w:r>
      <w:r>
        <w:rPr>
          <w:rStyle w:val="CharDivText"/>
        </w:rPr>
        <w:tab/>
        <w:t>O. 1 r. 4(1)</w:t>
      </w:r>
    </w:p>
    <w:p>
      <w:pPr>
        <w:pStyle w:val="DefinedTerms"/>
        <w:rPr>
          <w:rStyle w:val="CharDivText"/>
        </w:rPr>
      </w:pPr>
      <w:r>
        <w:rPr>
          <w:rStyle w:val="CharDivText"/>
        </w:rPr>
        <w:t>Electoral Commissioner</w:t>
      </w:r>
      <w:r>
        <w:rPr>
          <w:rStyle w:val="CharDivText"/>
        </w:rPr>
        <w:tab/>
        <w:t>O. 65C r. 1</w:t>
      </w:r>
    </w:p>
    <w:p>
      <w:pPr>
        <w:pStyle w:val="DefinedTerms"/>
        <w:rPr>
          <w:rStyle w:val="CharDivText"/>
        </w:rPr>
      </w:pPr>
      <w:r>
        <w:rPr>
          <w:rStyle w:val="CharDivText"/>
        </w:rPr>
        <w:t>enforcement</w:t>
      </w:r>
      <w:r>
        <w:rPr>
          <w:rStyle w:val="CharDivText"/>
        </w:rPr>
        <w:tab/>
        <w:t>O. 81B r. 1(1)</w:t>
      </w:r>
    </w:p>
    <w:p>
      <w:pPr>
        <w:pStyle w:val="DefinedTerms"/>
        <w:rPr>
          <w:rStyle w:val="CharDivText"/>
        </w:rPr>
      </w:pPr>
      <w:r>
        <w:rPr>
          <w:rStyle w:val="CharDivText"/>
        </w:rPr>
        <w:t>enforcement order</w:t>
      </w:r>
      <w:r>
        <w:rPr>
          <w:rStyle w:val="CharDivText"/>
        </w:rPr>
        <w:tab/>
      </w:r>
      <w:r>
        <w:t>O. 4A r. 1</w:t>
      </w:r>
    </w:p>
    <w:p>
      <w:pPr>
        <w:pStyle w:val="DefinedTerms"/>
        <w:rPr>
          <w:rStyle w:val="CharDivText"/>
        </w:rPr>
      </w:pPr>
      <w:r>
        <w:rPr>
          <w:rStyle w:val="CharDivText"/>
        </w:rPr>
        <w:t>examiner</w:t>
      </w:r>
      <w:r>
        <w:rPr>
          <w:rStyle w:val="CharDivText"/>
        </w:rPr>
        <w:tab/>
        <w:t>O. 38 r. 4(1)</w:t>
      </w:r>
    </w:p>
    <w:p>
      <w:pPr>
        <w:pStyle w:val="DefinedTerms"/>
        <w:rPr>
          <w:rStyle w:val="CharDivText"/>
        </w:rPr>
      </w:pPr>
      <w:r>
        <w:rPr>
          <w:rStyle w:val="CharDivText"/>
        </w:rPr>
        <w:t>examination order</w:t>
      </w:r>
      <w:r>
        <w:rPr>
          <w:rStyle w:val="CharDivText"/>
        </w:rPr>
        <w:tab/>
        <w:t>O. 81FA r. 1</w:t>
      </w:r>
    </w:p>
    <w:p>
      <w:pPr>
        <w:pStyle w:val="DefinedTerms"/>
        <w:rPr>
          <w:rStyle w:val="CharDivText"/>
        </w:rPr>
      </w:pPr>
      <w:r>
        <w:rPr>
          <w:rStyle w:val="CharDivText"/>
        </w:rPr>
        <w:t>expert</w:t>
      </w:r>
      <w:r>
        <w:rPr>
          <w:rStyle w:val="CharDivText"/>
        </w:rPr>
        <w:tab/>
        <w:t>O. 40 r. 1</w:t>
      </w:r>
    </w:p>
    <w:p>
      <w:pPr>
        <w:pStyle w:val="DefinedTerms"/>
        <w:rPr>
          <w:rStyle w:val="CharDivText"/>
        </w:rPr>
      </w:pPr>
      <w:r>
        <w:rPr>
          <w:rStyle w:val="CharDivText"/>
        </w:rPr>
        <w:t>file</w:t>
      </w:r>
      <w:r>
        <w:rPr>
          <w:rStyle w:val="CharDivText"/>
        </w:rPr>
        <w:tab/>
        <w:t>O. 1 r. 4(1)</w:t>
      </w:r>
    </w:p>
    <w:p>
      <w:pPr>
        <w:pStyle w:val="DefinedTerms"/>
        <w:rPr>
          <w:rStyle w:val="CharDivText"/>
        </w:rPr>
      </w:pPr>
      <w:r>
        <w:rPr>
          <w:rStyle w:val="CharDivText"/>
        </w:rPr>
        <w:t>filed</w:t>
      </w:r>
      <w:r>
        <w:rPr>
          <w:rStyle w:val="CharDivText"/>
        </w:rPr>
        <w:tab/>
        <w:t>O. 1 r. 4(1)</w:t>
      </w:r>
    </w:p>
    <w:p>
      <w:pPr>
        <w:pStyle w:val="DefinedTerms"/>
        <w:rPr>
          <w:rStyle w:val="CharDivText"/>
        </w:rPr>
      </w:pPr>
      <w:r>
        <w:rPr>
          <w:rStyle w:val="CharDivText"/>
        </w:rPr>
        <w:t>filing</w:t>
      </w:r>
      <w:r>
        <w:rPr>
          <w:rStyle w:val="CharDivText"/>
        </w:rPr>
        <w:tab/>
        <w:t>O. 1 r. 4(1)</w:t>
      </w:r>
    </w:p>
    <w:p>
      <w:pPr>
        <w:pStyle w:val="DefinedTerms"/>
        <w:rPr>
          <w:rStyle w:val="CharDivText"/>
        </w:rPr>
      </w:pPr>
      <w:r>
        <w:rPr>
          <w:rStyle w:val="CharDivText"/>
        </w:rPr>
        <w:t>first offer</w:t>
      </w:r>
      <w:r>
        <w:rPr>
          <w:rStyle w:val="CharDivText"/>
        </w:rPr>
        <w:tab/>
        <w:t>O. 24A r. 3(7)</w:t>
      </w:r>
    </w:p>
    <w:p>
      <w:pPr>
        <w:pStyle w:val="DefinedTerms"/>
        <w:rPr>
          <w:rStyle w:val="CharDivText"/>
        </w:rPr>
      </w:pPr>
      <w:r>
        <w:rPr>
          <w:rStyle w:val="CharDivText"/>
        </w:rPr>
        <w:t>folio</w:t>
      </w:r>
      <w:r>
        <w:rPr>
          <w:rStyle w:val="CharDivText"/>
        </w:rPr>
        <w:tab/>
        <w:t>O. 1 r. 4(1)</w:t>
      </w:r>
    </w:p>
    <w:p>
      <w:pPr>
        <w:pStyle w:val="DefinedTerms"/>
        <w:rPr>
          <w:rStyle w:val="CharDivText"/>
        </w:rPr>
      </w:pPr>
      <w:r>
        <w:rPr>
          <w:rStyle w:val="CharDivText"/>
        </w:rPr>
        <w:t>foreign judicial document</w:t>
      </w:r>
      <w:r>
        <w:rPr>
          <w:rStyle w:val="CharDivText"/>
        </w:rPr>
        <w:tab/>
        <w:t>O. 11A r. 1</w:t>
      </w:r>
    </w:p>
    <w:p>
      <w:pPr>
        <w:pStyle w:val="DefinedTerms"/>
        <w:rPr>
          <w:rStyle w:val="CharDivText"/>
        </w:rPr>
      </w:pPr>
      <w:r>
        <w:rPr>
          <w:rStyle w:val="CharDivText"/>
        </w:rPr>
        <w:t xml:space="preserve">form </w:t>
      </w:r>
      <w:r>
        <w:rPr>
          <w:rStyle w:val="CharDivText"/>
        </w:rPr>
        <w:tab/>
        <w:t>O. 1 r. 4(1)</w:t>
      </w:r>
    </w:p>
    <w:p>
      <w:pPr>
        <w:pStyle w:val="DefinedTerms"/>
        <w:rPr>
          <w:rStyle w:val="CharDivText"/>
        </w:rPr>
      </w:pPr>
      <w:r>
        <w:rPr>
          <w:rStyle w:val="CharDivText"/>
        </w:rPr>
        <w:t>forwarding authority</w:t>
      </w:r>
      <w:r>
        <w:rPr>
          <w:rStyle w:val="CharDivText"/>
        </w:rPr>
        <w:tab/>
        <w:t>O. 11A r. 1</w:t>
      </w:r>
    </w:p>
    <w:p>
      <w:pPr>
        <w:pStyle w:val="DefinedTerms"/>
        <w:rPr>
          <w:rStyle w:val="CharDivText"/>
        </w:rPr>
      </w:pPr>
      <w:r>
        <w:rPr>
          <w:rStyle w:val="CharDivText"/>
        </w:rPr>
        <w:t>freezing notice</w:t>
      </w:r>
      <w:r>
        <w:rPr>
          <w:rStyle w:val="CharDivText"/>
        </w:rPr>
        <w:tab/>
        <w:t>O. 81FA r. 1</w:t>
      </w:r>
    </w:p>
    <w:p>
      <w:pPr>
        <w:pStyle w:val="DefinedTerms"/>
        <w:rPr>
          <w:rStyle w:val="CharDivText"/>
        </w:rPr>
      </w:pPr>
      <w:r>
        <w:rPr>
          <w:rStyle w:val="CharDivText"/>
        </w:rPr>
        <w:t>freezing order</w:t>
      </w:r>
      <w:r>
        <w:rPr>
          <w:rStyle w:val="CharDivText"/>
        </w:rPr>
        <w:tab/>
        <w:t>O. 52A r. 1 and 2(1), O. 81FA r. 1</w:t>
      </w:r>
    </w:p>
    <w:p>
      <w:pPr>
        <w:pStyle w:val="DefinedTerms"/>
        <w:rPr>
          <w:rStyle w:val="CharDivText"/>
        </w:rPr>
      </w:pPr>
      <w:r>
        <w:rPr>
          <w:rStyle w:val="CharDivText"/>
        </w:rPr>
        <w:t>GAA Act</w:t>
      </w:r>
      <w:r>
        <w:rPr>
          <w:rStyle w:val="CharDivText"/>
        </w:rPr>
        <w:tab/>
        <w:t>O. 70 r. 1</w:t>
      </w:r>
    </w:p>
    <w:p>
      <w:pPr>
        <w:pStyle w:val="DefinedTerms"/>
        <w:rPr>
          <w:rStyle w:val="CharDivText"/>
        </w:rPr>
      </w:pPr>
      <w:r>
        <w:rPr>
          <w:rStyle w:val="CharDivText"/>
        </w:rPr>
        <w:t>geographical address</w:t>
      </w:r>
      <w:r>
        <w:rPr>
          <w:rStyle w:val="CharDivText"/>
        </w:rPr>
        <w:tab/>
        <w:t>O. 1 r. 4(1)</w:t>
      </w:r>
    </w:p>
    <w:p>
      <w:pPr>
        <w:pStyle w:val="DefinedTerms"/>
        <w:rPr>
          <w:rStyle w:val="CharDivText"/>
        </w:rPr>
      </w:pPr>
      <w:r>
        <w:rPr>
          <w:rStyle w:val="CharDivText"/>
        </w:rPr>
        <w:t>grant</w:t>
      </w:r>
      <w:r>
        <w:rPr>
          <w:rStyle w:val="CharDivText"/>
        </w:rPr>
        <w:tab/>
        <w:t>O. 75 r. 1</w:t>
      </w:r>
    </w:p>
    <w:p>
      <w:pPr>
        <w:pStyle w:val="DefinedTerms"/>
        <w:rPr>
          <w:rStyle w:val="CharDivText"/>
        </w:rPr>
      </w:pPr>
      <w:r>
        <w:rPr>
          <w:rStyle w:val="CharDivText"/>
        </w:rPr>
        <w:t>group member</w:t>
      </w:r>
      <w:r>
        <w:rPr>
          <w:rStyle w:val="CharDivText"/>
        </w:rPr>
        <w:tab/>
        <w:t>O. 18A r. 1</w:t>
      </w:r>
    </w:p>
    <w:p>
      <w:pPr>
        <w:pStyle w:val="DefinedTerms"/>
        <w:rPr>
          <w:rStyle w:val="CharDivText"/>
        </w:rPr>
      </w:pPr>
      <w:r>
        <w:rPr>
          <w:rStyle w:val="CharDivText"/>
        </w:rPr>
        <w:t>Hague Convention</w:t>
      </w:r>
      <w:r>
        <w:rPr>
          <w:rStyle w:val="CharDivText"/>
        </w:rPr>
        <w:tab/>
        <w:t>O. 1 r. 4(1)</w:t>
      </w:r>
    </w:p>
    <w:p>
      <w:pPr>
        <w:pStyle w:val="DefinedTerms"/>
        <w:rPr>
          <w:rStyle w:val="CharDivText"/>
        </w:rPr>
      </w:pPr>
      <w:r>
        <w:rPr>
          <w:rStyle w:val="CharDivText"/>
        </w:rPr>
        <w:lastRenderedPageBreak/>
        <w:t>independent solicitors</w:t>
      </w:r>
      <w:r>
        <w:rPr>
          <w:rStyle w:val="CharDivText"/>
        </w:rPr>
        <w:tab/>
        <w:t>O. 52B r. 6(1)</w:t>
      </w:r>
    </w:p>
    <w:p>
      <w:pPr>
        <w:pStyle w:val="DefinedTerms"/>
        <w:rPr>
          <w:rStyle w:val="CharDivText"/>
        </w:rPr>
      </w:pPr>
      <w:r>
        <w:rPr>
          <w:rStyle w:val="CharDivText"/>
        </w:rPr>
        <w:t>initiating process</w:t>
      </w:r>
      <w:r>
        <w:rPr>
          <w:rStyle w:val="CharDivText"/>
        </w:rPr>
        <w:tab/>
        <w:t>O. 11A r. 1</w:t>
      </w:r>
    </w:p>
    <w:p>
      <w:pPr>
        <w:pStyle w:val="DefinedTerms"/>
        <w:rPr>
          <w:rStyle w:val="CharDivText"/>
        </w:rPr>
      </w:pPr>
      <w:r>
        <w:rPr>
          <w:rStyle w:val="CharDivText"/>
        </w:rPr>
        <w:t>inspection</w:t>
      </w:r>
      <w:r>
        <w:rPr>
          <w:rStyle w:val="CharDivText"/>
        </w:rPr>
        <w:tab/>
        <w:t>O. 26 r. 1A</w:t>
      </w:r>
    </w:p>
    <w:p>
      <w:pPr>
        <w:pStyle w:val="DefinedTerms"/>
        <w:rPr>
          <w:rStyle w:val="CharDivText"/>
        </w:rPr>
      </w:pPr>
      <w:r>
        <w:rPr>
          <w:rStyle w:val="CharDivText"/>
        </w:rPr>
        <w:t>Inactive Cases List</w:t>
      </w:r>
      <w:r>
        <w:rPr>
          <w:rStyle w:val="CharDivText"/>
        </w:rPr>
        <w:tab/>
        <w:t>O. 4A r. 21</w:t>
      </w:r>
    </w:p>
    <w:p>
      <w:pPr>
        <w:pStyle w:val="DefinedTerms"/>
        <w:rPr>
          <w:rStyle w:val="CharDivText"/>
        </w:rPr>
      </w:pPr>
      <w:r>
        <w:rPr>
          <w:rStyle w:val="CharDivText"/>
        </w:rPr>
        <w:t>interested non-party</w:t>
      </w:r>
      <w:r>
        <w:rPr>
          <w:rStyle w:val="CharDivText"/>
        </w:rPr>
        <w:tab/>
        <w:t>O. 9A r. 1</w:t>
      </w:r>
    </w:p>
    <w:p>
      <w:pPr>
        <w:pStyle w:val="DefinedTerms"/>
        <w:rPr>
          <w:rStyle w:val="CharDivText"/>
        </w:rPr>
      </w:pPr>
      <w:r>
        <w:rPr>
          <w:rStyle w:val="CharDivText"/>
        </w:rPr>
        <w:t>interim order</w:t>
      </w:r>
      <w:r>
        <w:rPr>
          <w:rStyle w:val="CharDivText"/>
        </w:rPr>
        <w:tab/>
        <w:t>O. 65 r. 1</w:t>
      </w:r>
    </w:p>
    <w:p>
      <w:pPr>
        <w:pStyle w:val="DefinedTerms"/>
        <w:rPr>
          <w:rStyle w:val="CharDivText"/>
        </w:rPr>
      </w:pPr>
      <w:r>
        <w:rPr>
          <w:rStyle w:val="CharDivText"/>
        </w:rPr>
        <w:t>interstate confiscation declaration</w:t>
      </w:r>
      <w:r>
        <w:rPr>
          <w:rStyle w:val="CharDivText"/>
        </w:rPr>
        <w:tab/>
        <w:t>O. 81FA r. 1</w:t>
      </w:r>
    </w:p>
    <w:p>
      <w:pPr>
        <w:pStyle w:val="DefinedTerms"/>
        <w:rPr>
          <w:rStyle w:val="CharDivText"/>
        </w:rPr>
      </w:pPr>
      <w:r>
        <w:rPr>
          <w:rStyle w:val="CharDivText"/>
        </w:rPr>
        <w:t>interstate freezing order</w:t>
      </w:r>
      <w:r>
        <w:rPr>
          <w:rStyle w:val="CharDivText"/>
        </w:rPr>
        <w:tab/>
        <w:t>O. 81FA r. 1</w:t>
      </w:r>
    </w:p>
    <w:p>
      <w:pPr>
        <w:pStyle w:val="DefinedTerms"/>
        <w:rPr>
          <w:rStyle w:val="CharDivText"/>
        </w:rPr>
      </w:pPr>
      <w:r>
        <w:rPr>
          <w:rStyle w:val="CharDivText"/>
        </w:rPr>
        <w:t>interstate lawyer</w:t>
      </w:r>
      <w:r>
        <w:rPr>
          <w:rStyle w:val="CharDivText"/>
        </w:rPr>
        <w:tab/>
        <w:t>O. 75A r. 1</w:t>
      </w:r>
    </w:p>
    <w:p>
      <w:pPr>
        <w:pStyle w:val="DefinedTerms"/>
        <w:rPr>
          <w:rStyle w:val="CharDivText"/>
        </w:rPr>
      </w:pPr>
      <w:r>
        <w:rPr>
          <w:rStyle w:val="CharDivText"/>
        </w:rPr>
        <w:t>issuing officer</w:t>
      </w:r>
      <w:r>
        <w:rPr>
          <w:rStyle w:val="CharDivText"/>
        </w:rPr>
        <w:tab/>
        <w:t>O. 36B r. 1(1)</w:t>
      </w:r>
    </w:p>
    <w:p>
      <w:pPr>
        <w:pStyle w:val="DefinedTerms"/>
        <w:rPr>
          <w:rStyle w:val="CharDivText"/>
        </w:rPr>
      </w:pPr>
      <w:r>
        <w:rPr>
          <w:rStyle w:val="CharDivText"/>
        </w:rPr>
        <w:t>issuing party</w:t>
      </w:r>
      <w:r>
        <w:rPr>
          <w:rStyle w:val="CharDivText"/>
        </w:rPr>
        <w:tab/>
        <w:t>O. 36B r. 1(1)</w:t>
      </w:r>
    </w:p>
    <w:p>
      <w:pPr>
        <w:pStyle w:val="DefinedTerms"/>
        <w:rPr>
          <w:rStyle w:val="CharDivText"/>
        </w:rPr>
      </w:pPr>
      <w:r>
        <w:rPr>
          <w:rStyle w:val="CharDivText"/>
        </w:rPr>
        <w:t>judgment</w:t>
      </w:r>
      <w:r>
        <w:rPr>
          <w:rStyle w:val="CharDivText"/>
        </w:rPr>
        <w:tab/>
        <w:t>O. 52A r. 1</w:t>
      </w:r>
    </w:p>
    <w:p>
      <w:pPr>
        <w:pStyle w:val="DefinedTerms"/>
        <w:rPr>
          <w:rStyle w:val="CharDivText"/>
        </w:rPr>
      </w:pPr>
      <w:r>
        <w:rPr>
          <w:rStyle w:val="CharDivText"/>
        </w:rPr>
        <w:t>land</w:t>
      </w:r>
      <w:r>
        <w:rPr>
          <w:rStyle w:val="CharDivText"/>
        </w:rPr>
        <w:tab/>
        <w:t>O. 53 r. 1</w:t>
      </w:r>
    </w:p>
    <w:p>
      <w:pPr>
        <w:pStyle w:val="DefinedTerms"/>
        <w:rPr>
          <w:rStyle w:val="CharDivText"/>
        </w:rPr>
      </w:pPr>
      <w:r>
        <w:rPr>
          <w:rStyle w:val="CharDivText"/>
        </w:rPr>
        <w:t>limitation period</w:t>
      </w:r>
      <w:r>
        <w:t xml:space="preserve"> </w:t>
      </w:r>
      <w:r>
        <w:tab/>
        <w:t>O. 56 r. 1(1)</w:t>
      </w:r>
    </w:p>
    <w:p>
      <w:pPr>
        <w:pStyle w:val="DefinedTerms"/>
        <w:rPr>
          <w:rStyle w:val="CharDivText"/>
        </w:rPr>
      </w:pPr>
      <w:r>
        <w:rPr>
          <w:rStyle w:val="CharDivText"/>
        </w:rPr>
        <w:t>list of documents</w:t>
      </w:r>
      <w:r>
        <w:rPr>
          <w:rStyle w:val="CharDivText"/>
        </w:rPr>
        <w:tab/>
        <w:t>O. 26 r. 5(3)</w:t>
      </w:r>
    </w:p>
    <w:p>
      <w:pPr>
        <w:pStyle w:val="DefinedTerms"/>
        <w:rPr>
          <w:rStyle w:val="CharDivText"/>
        </w:rPr>
      </w:pPr>
      <w:r>
        <w:rPr>
          <w:rStyle w:val="CharDivText"/>
        </w:rPr>
        <w:t>local judicial document</w:t>
      </w:r>
      <w:r>
        <w:rPr>
          <w:rStyle w:val="CharDivText"/>
        </w:rPr>
        <w:tab/>
        <w:t>O. 11A r. 1</w:t>
      </w:r>
    </w:p>
    <w:p>
      <w:pPr>
        <w:pStyle w:val="DefinedTerms"/>
        <w:rPr>
          <w:rStyle w:val="CharDivText"/>
        </w:rPr>
      </w:pPr>
      <w:r>
        <w:rPr>
          <w:rStyle w:val="CharDivText"/>
        </w:rPr>
        <w:t>local roll</w:t>
      </w:r>
      <w:r>
        <w:rPr>
          <w:rStyle w:val="CharDivText"/>
        </w:rPr>
        <w:tab/>
        <w:t>O. 75A r. 1</w:t>
      </w:r>
    </w:p>
    <w:p>
      <w:pPr>
        <w:pStyle w:val="DefinedTerms"/>
        <w:rPr>
          <w:rStyle w:val="CharDivText"/>
        </w:rPr>
      </w:pPr>
      <w:r>
        <w:rPr>
          <w:rStyle w:val="CharDivText"/>
        </w:rPr>
        <w:t>master</w:t>
      </w:r>
      <w:r>
        <w:rPr>
          <w:rStyle w:val="CharDivText"/>
        </w:rPr>
        <w:tab/>
        <w:t>O. 1 r. 4(1)</w:t>
      </w:r>
    </w:p>
    <w:p>
      <w:pPr>
        <w:pStyle w:val="DefinedTerms"/>
        <w:rPr>
          <w:rStyle w:val="CharDivText"/>
        </w:rPr>
      </w:pPr>
      <w:r>
        <w:rPr>
          <w:rStyle w:val="CharDivText"/>
        </w:rPr>
        <w:t>medical evidence</w:t>
      </w:r>
      <w:r>
        <w:rPr>
          <w:rStyle w:val="CharDivText"/>
        </w:rPr>
        <w:tab/>
        <w:t>O. 36A r. 1</w:t>
      </w:r>
    </w:p>
    <w:p>
      <w:pPr>
        <w:pStyle w:val="DefinedTerms"/>
        <w:rPr>
          <w:rStyle w:val="CharDivText"/>
        </w:rPr>
      </w:pPr>
      <w:r>
        <w:rPr>
          <w:rStyle w:val="CharDivText"/>
        </w:rPr>
        <w:t>medical report</w:t>
      </w:r>
      <w:r>
        <w:rPr>
          <w:rStyle w:val="CharDivText"/>
        </w:rPr>
        <w:tab/>
        <w:t>O. 36A r. 1</w:t>
      </w:r>
    </w:p>
    <w:p>
      <w:pPr>
        <w:pStyle w:val="DefinedTerms"/>
        <w:rPr>
          <w:rStyle w:val="CharDivText"/>
        </w:rPr>
      </w:pPr>
      <w:r>
        <w:rPr>
          <w:rStyle w:val="CharDivText"/>
        </w:rPr>
        <w:t>monitoring order</w:t>
      </w:r>
      <w:r>
        <w:rPr>
          <w:rStyle w:val="CharDivText"/>
        </w:rPr>
        <w:tab/>
        <w:t>O. 81FA r. 1</w:t>
      </w:r>
    </w:p>
    <w:p>
      <w:pPr>
        <w:pStyle w:val="DefinedTerms"/>
        <w:rPr>
          <w:rStyle w:val="CharDivText"/>
        </w:rPr>
      </w:pPr>
      <w:r>
        <w:rPr>
          <w:rStyle w:val="CharDivText"/>
        </w:rPr>
        <w:t>month</w:t>
      </w:r>
      <w:r>
        <w:rPr>
          <w:rStyle w:val="CharDivText"/>
        </w:rPr>
        <w:tab/>
        <w:t>O. 3 r. 1</w:t>
      </w:r>
    </w:p>
    <w:p>
      <w:pPr>
        <w:pStyle w:val="DefinedTerms"/>
        <w:rPr>
          <w:rStyle w:val="CharDivText"/>
        </w:rPr>
      </w:pPr>
      <w:r>
        <w:rPr>
          <w:rStyle w:val="CharDivText"/>
        </w:rPr>
        <w:t>mortgage</w:t>
      </w:r>
      <w:r>
        <w:rPr>
          <w:rStyle w:val="CharDivText"/>
        </w:rPr>
        <w:tab/>
        <w:t>O. 62A r. 1(2) and (3)</w:t>
      </w:r>
    </w:p>
    <w:p>
      <w:pPr>
        <w:pStyle w:val="DefinedTerms"/>
        <w:rPr>
          <w:rStyle w:val="CharDivText"/>
        </w:rPr>
      </w:pPr>
      <w:r>
        <w:rPr>
          <w:rStyle w:val="CharDivText"/>
        </w:rPr>
        <w:t>non</w:t>
      </w:r>
      <w:r>
        <w:rPr>
          <w:rStyle w:val="CharDivText"/>
        </w:rPr>
        <w:noBreakHyphen/>
        <w:t>party</w:t>
      </w:r>
      <w:r>
        <w:rPr>
          <w:rStyle w:val="CharDivText"/>
        </w:rPr>
        <w:tab/>
        <w:t>O. 26A r. 3(2) and 5(1)</w:t>
      </w:r>
    </w:p>
    <w:p>
      <w:pPr>
        <w:pStyle w:val="DefinedTerms"/>
        <w:rPr>
          <w:rStyle w:val="CharDivText"/>
        </w:rPr>
      </w:pPr>
      <w:r>
        <w:rPr>
          <w:rStyle w:val="CharDivText"/>
        </w:rPr>
        <w:t>object</w:t>
      </w:r>
      <w:r>
        <w:rPr>
          <w:rStyle w:val="CharDivText"/>
        </w:rPr>
        <w:tab/>
        <w:t>O. 4A r. 2(2)(n)</w:t>
      </w:r>
    </w:p>
    <w:p>
      <w:pPr>
        <w:pStyle w:val="DefinedTerms"/>
        <w:rPr>
          <w:rStyle w:val="CharDivText"/>
        </w:rPr>
      </w:pPr>
      <w:r>
        <w:rPr>
          <w:rStyle w:val="CharDivText"/>
        </w:rPr>
        <w:t>objection</w:t>
      </w:r>
      <w:r>
        <w:rPr>
          <w:rStyle w:val="CharDivText"/>
        </w:rPr>
        <w:tab/>
        <w:t>O. 81FA r. 1</w:t>
      </w:r>
    </w:p>
    <w:p>
      <w:pPr>
        <w:pStyle w:val="DefinedTerms"/>
        <w:rPr>
          <w:rStyle w:val="CharDivText"/>
        </w:rPr>
      </w:pPr>
      <w:r>
        <w:rPr>
          <w:rStyle w:val="CharDivText"/>
        </w:rPr>
        <w:t>objector</w:t>
      </w:r>
      <w:r>
        <w:rPr>
          <w:rStyle w:val="CharDivText"/>
        </w:rPr>
        <w:tab/>
        <w:t>O. 75A r. 2C</w:t>
      </w:r>
    </w:p>
    <w:p>
      <w:pPr>
        <w:pStyle w:val="DefinedTerms"/>
        <w:rPr>
          <w:rStyle w:val="CharDivText"/>
        </w:rPr>
      </w:pPr>
      <w:r>
        <w:rPr>
          <w:rStyle w:val="CharDivText"/>
        </w:rPr>
        <w:t>officer</w:t>
      </w:r>
      <w:r>
        <w:rPr>
          <w:rStyle w:val="CharDivText"/>
        </w:rPr>
        <w:tab/>
        <w:t>O. 1 r. 4(1)</w:t>
      </w:r>
    </w:p>
    <w:p>
      <w:pPr>
        <w:pStyle w:val="DefinedTerms"/>
        <w:rPr>
          <w:rStyle w:val="CharDivText"/>
        </w:rPr>
      </w:pPr>
      <w:r>
        <w:rPr>
          <w:rStyle w:val="CharDivText"/>
        </w:rPr>
        <w:t>official channel</w:t>
      </w:r>
      <w:r>
        <w:rPr>
          <w:rStyle w:val="CharDivText"/>
        </w:rPr>
        <w:tab/>
        <w:t>O. 11 r. 1</w:t>
      </w:r>
    </w:p>
    <w:p>
      <w:pPr>
        <w:pStyle w:val="DefinedTerms"/>
        <w:rPr>
          <w:rStyle w:val="CharDivText"/>
        </w:rPr>
      </w:pPr>
      <w:r>
        <w:rPr>
          <w:rStyle w:val="CharDivText"/>
        </w:rPr>
        <w:t>originating process</w:t>
      </w:r>
      <w:r>
        <w:rPr>
          <w:rStyle w:val="CharDivText"/>
        </w:rPr>
        <w:tab/>
        <w:t>O. 10 r. 1</w:t>
      </w:r>
    </w:p>
    <w:p>
      <w:pPr>
        <w:pStyle w:val="DefinedTerms"/>
        <w:rPr>
          <w:rStyle w:val="CharDivText"/>
        </w:rPr>
      </w:pPr>
      <w:r>
        <w:rPr>
          <w:rStyle w:val="CharDivText"/>
        </w:rPr>
        <w:t>originating summons</w:t>
      </w:r>
      <w:r>
        <w:rPr>
          <w:rStyle w:val="CharDivText"/>
        </w:rPr>
        <w:tab/>
        <w:t>O. 1 r. 4(1)</w:t>
      </w:r>
    </w:p>
    <w:p>
      <w:pPr>
        <w:pStyle w:val="DefinedTerms"/>
        <w:rPr>
          <w:rStyle w:val="CharDivText"/>
        </w:rPr>
      </w:pPr>
      <w:r>
        <w:rPr>
          <w:rStyle w:val="CharDivText"/>
        </w:rPr>
        <w:t>party</w:t>
      </w:r>
      <w:r>
        <w:rPr>
          <w:rStyle w:val="CharDivText"/>
        </w:rPr>
        <w:tab/>
        <w:t>O. 28 r. 1(6)</w:t>
      </w:r>
    </w:p>
    <w:p>
      <w:pPr>
        <w:pStyle w:val="DefinedTerms"/>
        <w:rPr>
          <w:rStyle w:val="CharDivText"/>
        </w:rPr>
      </w:pPr>
      <w:r>
        <w:rPr>
          <w:rStyle w:val="CharDivText"/>
        </w:rPr>
        <w:t>person under disability</w:t>
      </w:r>
      <w:r>
        <w:rPr>
          <w:rStyle w:val="CharDivText"/>
        </w:rPr>
        <w:tab/>
        <w:t>O. 66 r. 24(1), O. 70 r. 1</w:t>
      </w:r>
    </w:p>
    <w:p>
      <w:pPr>
        <w:pStyle w:val="DefinedTerms"/>
        <w:rPr>
          <w:rStyle w:val="CharDivText"/>
        </w:rPr>
      </w:pPr>
      <w:r>
        <w:rPr>
          <w:rStyle w:val="CharDivText"/>
        </w:rPr>
        <w:t>place of rendition</w:t>
      </w:r>
      <w:r>
        <w:rPr>
          <w:rStyle w:val="CharDivText"/>
        </w:rPr>
        <w:tab/>
        <w:t>O. 81B r. 1(1)</w:t>
      </w:r>
    </w:p>
    <w:p>
      <w:pPr>
        <w:pStyle w:val="DefinedTerms"/>
        <w:rPr>
          <w:rStyle w:val="CharDivText"/>
        </w:rPr>
      </w:pPr>
      <w:r>
        <w:rPr>
          <w:rStyle w:val="CharDivText"/>
        </w:rPr>
        <w:t>plaintiff</w:t>
      </w:r>
      <w:r>
        <w:rPr>
          <w:rStyle w:val="CharDivText"/>
        </w:rPr>
        <w:tab/>
        <w:t>O. 25 r. 4</w:t>
      </w:r>
    </w:p>
    <w:p>
      <w:pPr>
        <w:pStyle w:val="DefinedTerms"/>
        <w:rPr>
          <w:rStyle w:val="CharDivText"/>
        </w:rPr>
      </w:pPr>
      <w:r>
        <w:rPr>
          <w:rStyle w:val="CharDivText"/>
        </w:rPr>
        <w:t>possession</w:t>
      </w:r>
      <w:r>
        <w:rPr>
          <w:rStyle w:val="CharDivText"/>
        </w:rPr>
        <w:tab/>
        <w:t>O. 26A r. 1</w:t>
      </w:r>
    </w:p>
    <w:p>
      <w:pPr>
        <w:pStyle w:val="DefinedTerms"/>
        <w:rPr>
          <w:rStyle w:val="CharDivText"/>
        </w:rPr>
      </w:pPr>
      <w:r>
        <w:rPr>
          <w:rStyle w:val="CharDivText"/>
        </w:rPr>
        <w:t>potential party</w:t>
      </w:r>
      <w:r>
        <w:rPr>
          <w:rStyle w:val="CharDivText"/>
        </w:rPr>
        <w:tab/>
        <w:t>O. 26A r. 3(1) and 4(1)</w:t>
      </w:r>
    </w:p>
    <w:p>
      <w:pPr>
        <w:pStyle w:val="DefinedTerms"/>
        <w:rPr>
          <w:rStyle w:val="CharDivText"/>
        </w:rPr>
      </w:pPr>
      <w:r>
        <w:rPr>
          <w:rStyle w:val="CharDivText"/>
        </w:rPr>
        <w:t>premises</w:t>
      </w:r>
      <w:r>
        <w:rPr>
          <w:rStyle w:val="CharDivText"/>
        </w:rPr>
        <w:tab/>
        <w:t>O. 52B r. 1</w:t>
      </w:r>
    </w:p>
    <w:p>
      <w:pPr>
        <w:pStyle w:val="DefinedTerms"/>
        <w:rPr>
          <w:rStyle w:val="CharDivText"/>
        </w:rPr>
      </w:pPr>
      <w:r>
        <w:rPr>
          <w:rStyle w:val="CharDivText"/>
        </w:rPr>
        <w:t>prescribed fee</w:t>
      </w:r>
      <w:r>
        <w:rPr>
          <w:rStyle w:val="CharDivText"/>
        </w:rPr>
        <w:tab/>
        <w:t>O. 1 r. 4(1)</w:t>
      </w:r>
    </w:p>
    <w:p>
      <w:pPr>
        <w:pStyle w:val="DefinedTerms"/>
        <w:rPr>
          <w:rStyle w:val="CharDivText"/>
        </w:rPr>
      </w:pPr>
      <w:r>
        <w:rPr>
          <w:rStyle w:val="CharDivText"/>
        </w:rPr>
        <w:t>prescribed rate</w:t>
      </w:r>
      <w:r>
        <w:rPr>
          <w:rStyle w:val="CharDivText"/>
        </w:rPr>
        <w:tab/>
        <w:t>O. 51 r. 7(3)</w:t>
      </w:r>
    </w:p>
    <w:p>
      <w:pPr>
        <w:pStyle w:val="DefinedTerms"/>
        <w:rPr>
          <w:rStyle w:val="CharDivText"/>
        </w:rPr>
      </w:pPr>
      <w:r>
        <w:rPr>
          <w:rStyle w:val="CharDivText"/>
        </w:rPr>
        <w:t>primary court</w:t>
      </w:r>
      <w:r>
        <w:rPr>
          <w:rStyle w:val="CharDivText"/>
        </w:rPr>
        <w:tab/>
        <w:t>O. 65 r. 1</w:t>
      </w:r>
    </w:p>
    <w:p>
      <w:pPr>
        <w:pStyle w:val="DefinedTerms"/>
        <w:rPr>
          <w:rStyle w:val="CharDivText"/>
        </w:rPr>
      </w:pPr>
      <w:r>
        <w:rPr>
          <w:rStyle w:val="CharDivText"/>
        </w:rPr>
        <w:t>primary court case</w:t>
      </w:r>
      <w:r>
        <w:rPr>
          <w:rStyle w:val="CharDivText"/>
        </w:rPr>
        <w:tab/>
        <w:t>O. 65 r. 11(1)</w:t>
      </w:r>
    </w:p>
    <w:p>
      <w:pPr>
        <w:pStyle w:val="DefinedTerms"/>
        <w:rPr>
          <w:rStyle w:val="CharDivText"/>
        </w:rPr>
      </w:pPr>
      <w:r>
        <w:rPr>
          <w:rStyle w:val="CharDivText"/>
        </w:rPr>
        <w:t>primary court’s transcript</w:t>
      </w:r>
      <w:r>
        <w:rPr>
          <w:rStyle w:val="CharDivText"/>
        </w:rPr>
        <w:tab/>
        <w:t>O. 65 r. 1</w:t>
      </w:r>
    </w:p>
    <w:p>
      <w:pPr>
        <w:pStyle w:val="DefinedTerms"/>
        <w:rPr>
          <w:rStyle w:val="CharDivText"/>
        </w:rPr>
      </w:pPr>
      <w:r>
        <w:rPr>
          <w:rStyle w:val="CharDivText"/>
        </w:rPr>
        <w:t>privilege</w:t>
      </w:r>
      <w:r>
        <w:rPr>
          <w:rStyle w:val="CharDivText"/>
        </w:rPr>
        <w:tab/>
        <w:t>O. 36A r. 1</w:t>
      </w:r>
    </w:p>
    <w:p>
      <w:pPr>
        <w:pStyle w:val="DefinedTerms"/>
        <w:rPr>
          <w:rStyle w:val="CharDivText"/>
        </w:rPr>
      </w:pPr>
      <w:r>
        <w:rPr>
          <w:rStyle w:val="CharDivText"/>
        </w:rPr>
        <w:lastRenderedPageBreak/>
        <w:t>probate action</w:t>
      </w:r>
      <w:r>
        <w:rPr>
          <w:rStyle w:val="CharDivText"/>
        </w:rPr>
        <w:tab/>
        <w:t>O. 1 r. 4(1), O. 73 r. 1(2)</w:t>
      </w:r>
    </w:p>
    <w:p>
      <w:pPr>
        <w:pStyle w:val="DefinedTerms"/>
        <w:rPr>
          <w:rStyle w:val="CharDivText"/>
        </w:rPr>
      </w:pPr>
      <w:r>
        <w:rPr>
          <w:rStyle w:val="CharDivText"/>
        </w:rPr>
        <w:t>proceeding</w:t>
      </w:r>
      <w:r>
        <w:rPr>
          <w:rStyle w:val="CharDivText"/>
        </w:rPr>
        <w:tab/>
        <w:t>O. 81E r. 1</w:t>
      </w:r>
    </w:p>
    <w:p>
      <w:pPr>
        <w:pStyle w:val="DefinedTerms"/>
        <w:rPr>
          <w:rStyle w:val="CharDivText"/>
        </w:rPr>
      </w:pPr>
      <w:r>
        <w:rPr>
          <w:rStyle w:val="CharDivText"/>
        </w:rPr>
        <w:t>process</w:t>
      </w:r>
      <w:r>
        <w:rPr>
          <w:rStyle w:val="CharDivText"/>
        </w:rPr>
        <w:tab/>
        <w:t>O. 11 r. 1</w:t>
      </w:r>
    </w:p>
    <w:p>
      <w:pPr>
        <w:pStyle w:val="DefinedTerms"/>
        <w:rPr>
          <w:rStyle w:val="CharDivText"/>
        </w:rPr>
      </w:pPr>
      <w:r>
        <w:rPr>
          <w:rStyle w:val="CharDivText"/>
        </w:rPr>
        <w:t>production order</w:t>
      </w:r>
      <w:r>
        <w:rPr>
          <w:rStyle w:val="CharDivText"/>
        </w:rPr>
        <w:tab/>
        <w:t>O. 81FA r. 1</w:t>
      </w:r>
    </w:p>
    <w:p>
      <w:pPr>
        <w:pStyle w:val="DefinedTerms"/>
        <w:rPr>
          <w:rStyle w:val="CharDivText"/>
        </w:rPr>
      </w:pPr>
      <w:r>
        <w:rPr>
          <w:rStyle w:val="CharDivText"/>
        </w:rPr>
        <w:t>proper officer</w:t>
      </w:r>
      <w:r>
        <w:rPr>
          <w:rStyle w:val="CharDivText"/>
        </w:rPr>
        <w:tab/>
        <w:t>O. 1 r. 4(1)</w:t>
      </w:r>
    </w:p>
    <w:p>
      <w:pPr>
        <w:pStyle w:val="DefinedTerms"/>
        <w:rPr>
          <w:rStyle w:val="CharDivText"/>
        </w:rPr>
      </w:pPr>
      <w:r>
        <w:rPr>
          <w:rStyle w:val="CharDivText"/>
        </w:rPr>
        <w:t>provisional decision</w:t>
      </w:r>
      <w:r>
        <w:rPr>
          <w:rStyle w:val="CharDivText"/>
        </w:rPr>
        <w:tab/>
        <w:t>O. 65 r. 7(2)</w:t>
      </w:r>
    </w:p>
    <w:p>
      <w:pPr>
        <w:pStyle w:val="DefinedTerms"/>
        <w:rPr>
          <w:rStyle w:val="CharDivText"/>
        </w:rPr>
      </w:pPr>
      <w:r>
        <w:rPr>
          <w:rStyle w:val="CharDivText"/>
        </w:rPr>
        <w:t>receiver</w:t>
      </w:r>
      <w:r>
        <w:rPr>
          <w:rStyle w:val="CharDivText"/>
        </w:rPr>
        <w:tab/>
        <w:t>O. 1 r. 4(1)</w:t>
      </w:r>
    </w:p>
    <w:p>
      <w:pPr>
        <w:pStyle w:val="DefinedTerms"/>
        <w:rPr>
          <w:rStyle w:val="CharDivText"/>
        </w:rPr>
      </w:pPr>
      <w:r>
        <w:rPr>
          <w:rStyle w:val="CharDivText"/>
        </w:rPr>
        <w:t>record</w:t>
      </w:r>
      <w:r>
        <w:rPr>
          <w:rStyle w:val="CharDivText"/>
        </w:rPr>
        <w:tab/>
        <w:t>O. 52B r. 5(1)</w:t>
      </w:r>
    </w:p>
    <w:p>
      <w:pPr>
        <w:pStyle w:val="DefinedTerms"/>
        <w:rPr>
          <w:rStyle w:val="CharDivText"/>
        </w:rPr>
      </w:pPr>
      <w:r>
        <w:rPr>
          <w:rStyle w:val="CharDivText"/>
        </w:rPr>
        <w:t>registrar</w:t>
      </w:r>
      <w:r>
        <w:rPr>
          <w:rStyle w:val="CharDivText"/>
        </w:rPr>
        <w:tab/>
        <w:t>O. 1 r. 4(1)</w:t>
      </w:r>
    </w:p>
    <w:p>
      <w:pPr>
        <w:pStyle w:val="DefinedTerms"/>
        <w:rPr>
          <w:rStyle w:val="CharDivText"/>
        </w:rPr>
      </w:pPr>
      <w:r>
        <w:rPr>
          <w:rStyle w:val="CharDivText"/>
        </w:rPr>
        <w:t>Registry</w:t>
      </w:r>
      <w:r>
        <w:rPr>
          <w:rStyle w:val="CharDivText"/>
        </w:rPr>
        <w:tab/>
        <w:t>O. 73 r. 1(3), O. 75 r. 1</w:t>
      </w:r>
    </w:p>
    <w:p>
      <w:pPr>
        <w:pStyle w:val="DefinedTerms"/>
      </w:pPr>
      <w:r>
        <w:rPr>
          <w:rStyle w:val="CharDivText"/>
        </w:rPr>
        <w:t>remedy</w:t>
      </w:r>
      <w:r>
        <w:t xml:space="preserve"> </w:t>
      </w:r>
      <w:r>
        <w:tab/>
        <w:t>O. 56 r. 1(1)</w:t>
      </w:r>
    </w:p>
    <w:p>
      <w:pPr>
        <w:pStyle w:val="DefinedTerms"/>
        <w:rPr>
          <w:rStyle w:val="CharDivText"/>
        </w:rPr>
      </w:pPr>
      <w:r>
        <w:rPr>
          <w:rStyle w:val="CharDivText"/>
        </w:rPr>
        <w:t>representative party</w:t>
      </w:r>
      <w:r>
        <w:rPr>
          <w:rStyle w:val="CharDivText"/>
        </w:rPr>
        <w:tab/>
        <w:t>O. 18A r. 1</w:t>
      </w:r>
    </w:p>
    <w:p>
      <w:pPr>
        <w:pStyle w:val="DefinedTerms"/>
        <w:rPr>
          <w:rStyle w:val="CharDivText"/>
        </w:rPr>
      </w:pPr>
      <w:r>
        <w:rPr>
          <w:rStyle w:val="CharDivText"/>
        </w:rPr>
        <w:t>representative proceeding</w:t>
      </w:r>
      <w:r>
        <w:rPr>
          <w:rStyle w:val="CharDivText"/>
        </w:rPr>
        <w:tab/>
        <w:t>O. 18A r. 1</w:t>
      </w:r>
    </w:p>
    <w:p>
      <w:pPr>
        <w:pStyle w:val="DefinedTerms"/>
        <w:rPr>
          <w:rStyle w:val="CharDivText"/>
        </w:rPr>
      </w:pPr>
      <w:r>
        <w:rPr>
          <w:rStyle w:val="CharDivText"/>
        </w:rPr>
        <w:t>Representative Proceedings List</w:t>
      </w:r>
      <w:r>
        <w:rPr>
          <w:rStyle w:val="CharDivText"/>
        </w:rPr>
        <w:tab/>
        <w:t>O. 18A r. 3(1)</w:t>
      </w:r>
    </w:p>
    <w:p>
      <w:pPr>
        <w:pStyle w:val="DefinedTerms"/>
        <w:rPr>
          <w:rStyle w:val="CharDivText"/>
        </w:rPr>
      </w:pPr>
      <w:r>
        <w:rPr>
          <w:rStyle w:val="CharDivText"/>
        </w:rPr>
        <w:t>represented person</w:t>
      </w:r>
      <w:r>
        <w:rPr>
          <w:rStyle w:val="CharDivText"/>
        </w:rPr>
        <w:tab/>
        <w:t>O. 70 r. 1</w:t>
      </w:r>
    </w:p>
    <w:p>
      <w:pPr>
        <w:pStyle w:val="DefinedTerms"/>
        <w:rPr>
          <w:rStyle w:val="CharDivText"/>
        </w:rPr>
      </w:pPr>
      <w:r>
        <w:rPr>
          <w:rStyle w:val="CharDivText"/>
        </w:rPr>
        <w:t>request for service abroad</w:t>
      </w:r>
      <w:r>
        <w:rPr>
          <w:rStyle w:val="CharDivText"/>
        </w:rPr>
        <w:tab/>
        <w:t>O. 11A r. 1</w:t>
      </w:r>
    </w:p>
    <w:p>
      <w:pPr>
        <w:pStyle w:val="DefinedTerms"/>
        <w:rPr>
          <w:rStyle w:val="CharDivText"/>
        </w:rPr>
      </w:pPr>
      <w:r>
        <w:rPr>
          <w:rStyle w:val="CharDivText"/>
        </w:rPr>
        <w:t>request for service in this jurisdiction</w:t>
      </w:r>
      <w:r>
        <w:rPr>
          <w:rStyle w:val="CharDivText"/>
        </w:rPr>
        <w:tab/>
        <w:t>O. 11A r. 1</w:t>
      </w:r>
    </w:p>
    <w:p>
      <w:pPr>
        <w:pStyle w:val="DefinedTerms"/>
        <w:rPr>
          <w:rStyle w:val="CharDivText"/>
        </w:rPr>
      </w:pPr>
      <w:r>
        <w:rPr>
          <w:rStyle w:val="CharDivText"/>
        </w:rPr>
        <w:t>respondent</w:t>
      </w:r>
      <w:r>
        <w:rPr>
          <w:rStyle w:val="CharDivText"/>
        </w:rPr>
        <w:tab/>
        <w:t>O. 52A r. 1, O. 52B r. 1</w:t>
      </w:r>
    </w:p>
    <w:p>
      <w:pPr>
        <w:pStyle w:val="DefinedTerms"/>
        <w:rPr>
          <w:rStyle w:val="CharDivText"/>
        </w:rPr>
      </w:pPr>
      <w:r>
        <w:rPr>
          <w:rStyle w:val="CharDivText"/>
        </w:rPr>
        <w:t>review order</w:t>
      </w:r>
      <w:r>
        <w:rPr>
          <w:rStyle w:val="CharDivText"/>
        </w:rPr>
        <w:tab/>
        <w:t>O. 56A r. 1(1)</w:t>
      </w:r>
    </w:p>
    <w:p>
      <w:pPr>
        <w:pStyle w:val="DefinedTerms"/>
      </w:pPr>
      <w:r>
        <w:rPr>
          <w:rStyle w:val="CharDivText"/>
        </w:rPr>
        <w:t>reviewable conduct</w:t>
      </w:r>
      <w:r>
        <w:t xml:space="preserve"> </w:t>
      </w:r>
      <w:r>
        <w:tab/>
        <w:t>O. 56 r. 1(1)</w:t>
      </w:r>
    </w:p>
    <w:p>
      <w:pPr>
        <w:pStyle w:val="DefinedTerms"/>
        <w:rPr>
          <w:rStyle w:val="CharDivText"/>
        </w:rPr>
      </w:pPr>
      <w:r>
        <w:t xml:space="preserve">reviewable decision </w:t>
      </w:r>
      <w:r>
        <w:tab/>
        <w:t>O. 56 r. 1(1)</w:t>
      </w:r>
    </w:p>
    <w:p>
      <w:pPr>
        <w:pStyle w:val="DefinedTerms"/>
        <w:rPr>
          <w:rStyle w:val="CharDivText"/>
        </w:rPr>
      </w:pPr>
      <w:r>
        <w:rPr>
          <w:rStyle w:val="CharDivText"/>
        </w:rPr>
        <w:t>RTA</w:t>
      </w:r>
      <w:r>
        <w:rPr>
          <w:rStyle w:val="CharDivText"/>
        </w:rPr>
        <w:tab/>
        <w:t>O. 81C r. 1</w:t>
      </w:r>
    </w:p>
    <w:p>
      <w:pPr>
        <w:pStyle w:val="DefinedTerms"/>
        <w:rPr>
          <w:rStyle w:val="CharDivText"/>
        </w:rPr>
      </w:pPr>
      <w:r>
        <w:rPr>
          <w:rStyle w:val="CharDivText"/>
        </w:rPr>
        <w:t>rules</w:t>
      </w:r>
      <w:r>
        <w:rPr>
          <w:rStyle w:val="CharDivText"/>
        </w:rPr>
        <w:tab/>
        <w:t>O. 1 r. 4(1)</w:t>
      </w:r>
    </w:p>
    <w:p>
      <w:pPr>
        <w:pStyle w:val="DefinedTerms"/>
        <w:rPr>
          <w:rStyle w:val="CharDivText"/>
        </w:rPr>
      </w:pPr>
      <w:r>
        <w:rPr>
          <w:rStyle w:val="CharDivText"/>
        </w:rPr>
        <w:t>rules of Court</w:t>
      </w:r>
      <w:r>
        <w:rPr>
          <w:rStyle w:val="CharDivText"/>
        </w:rPr>
        <w:tab/>
        <w:t>O. 1 r. 4(1)</w:t>
      </w:r>
    </w:p>
    <w:p>
      <w:pPr>
        <w:pStyle w:val="DefinedTerms"/>
        <w:rPr>
          <w:rStyle w:val="CharDivText"/>
        </w:rPr>
      </w:pPr>
      <w:r>
        <w:rPr>
          <w:rStyle w:val="CharDivText"/>
        </w:rPr>
        <w:t>said Act</w:t>
      </w:r>
      <w:r>
        <w:rPr>
          <w:rStyle w:val="CharDivText"/>
        </w:rPr>
        <w:tab/>
        <w:t>O. 62 r. 1(1), O. 80 r. 1</w:t>
      </w:r>
    </w:p>
    <w:p>
      <w:pPr>
        <w:pStyle w:val="DefinedTerms"/>
        <w:rPr>
          <w:rStyle w:val="CharDivText"/>
        </w:rPr>
      </w:pPr>
      <w:r>
        <w:rPr>
          <w:rStyle w:val="CharDivText"/>
        </w:rPr>
        <w:t>search order</w:t>
      </w:r>
      <w:r>
        <w:rPr>
          <w:rStyle w:val="CharDivText"/>
        </w:rPr>
        <w:tab/>
        <w:t>O. 52B r. 1</w:t>
      </w:r>
    </w:p>
    <w:p>
      <w:pPr>
        <w:pStyle w:val="DefinedTerms"/>
        <w:rPr>
          <w:rStyle w:val="CharDivText"/>
        </w:rPr>
      </w:pPr>
      <w:r>
        <w:rPr>
          <w:rStyle w:val="CharDivText"/>
        </w:rPr>
        <w:t>second offer</w:t>
      </w:r>
      <w:r>
        <w:rPr>
          <w:rStyle w:val="CharDivText"/>
        </w:rPr>
        <w:tab/>
        <w:t>O. 24A r. 3(7)</w:t>
      </w:r>
    </w:p>
    <w:p>
      <w:pPr>
        <w:pStyle w:val="DefinedTerms"/>
        <w:rPr>
          <w:rStyle w:val="CharDivText"/>
        </w:rPr>
      </w:pPr>
      <w:r>
        <w:rPr>
          <w:rStyle w:val="CharDivText"/>
        </w:rPr>
        <w:t>section</w:t>
      </w:r>
      <w:r>
        <w:rPr>
          <w:rStyle w:val="CharDivText"/>
        </w:rPr>
        <w:tab/>
        <w:t>O. 46 r. 1, O. 56A r. 1(1), O. 81F r. 1(1), O. 85 r. 1(1)</w:t>
      </w:r>
    </w:p>
    <w:p>
      <w:pPr>
        <w:pStyle w:val="DefinedTerms"/>
        <w:rPr>
          <w:rStyle w:val="CharDivText"/>
        </w:rPr>
      </w:pPr>
      <w:r>
        <w:rPr>
          <w:rStyle w:val="CharDivText"/>
        </w:rPr>
        <w:t>service details</w:t>
      </w:r>
      <w:r>
        <w:rPr>
          <w:rStyle w:val="CharDivText"/>
        </w:rPr>
        <w:tab/>
        <w:t>O. 1 r. 4(1)</w:t>
      </w:r>
    </w:p>
    <w:p>
      <w:pPr>
        <w:pStyle w:val="DefinedTerms"/>
        <w:rPr>
          <w:rStyle w:val="CharDivText"/>
        </w:rPr>
      </w:pPr>
      <w:r>
        <w:rPr>
          <w:rStyle w:val="CharDivText"/>
        </w:rPr>
        <w:t>settlement</w:t>
      </w:r>
      <w:r>
        <w:rPr>
          <w:rStyle w:val="CharDivText"/>
        </w:rPr>
        <w:tab/>
        <w:t>O. 70 r. 10(3)</w:t>
      </w:r>
    </w:p>
    <w:p>
      <w:pPr>
        <w:pStyle w:val="DefinedTerms"/>
        <w:rPr>
          <w:rStyle w:val="CharDivText"/>
        </w:rPr>
      </w:pPr>
      <w:r>
        <w:rPr>
          <w:rStyle w:val="CharDivText"/>
        </w:rPr>
        <w:t>sham transaction order</w:t>
      </w:r>
      <w:r>
        <w:rPr>
          <w:rStyle w:val="CharDivText"/>
        </w:rPr>
        <w:tab/>
        <w:t>O. 81FA r. 1</w:t>
      </w:r>
    </w:p>
    <w:p>
      <w:pPr>
        <w:pStyle w:val="DefinedTerms"/>
        <w:rPr>
          <w:rStyle w:val="CharDivText"/>
        </w:rPr>
      </w:pPr>
      <w:r>
        <w:rPr>
          <w:rStyle w:val="CharDivText"/>
        </w:rPr>
        <w:t>special federal matter</w:t>
      </w:r>
      <w:r>
        <w:rPr>
          <w:rStyle w:val="CharDivText"/>
        </w:rPr>
        <w:tab/>
        <w:t>O. 81E r. 1</w:t>
      </w:r>
    </w:p>
    <w:p>
      <w:pPr>
        <w:pStyle w:val="DefinedTerms"/>
        <w:rPr>
          <w:rStyle w:val="CharDivText"/>
        </w:rPr>
      </w:pPr>
      <w:r>
        <w:rPr>
          <w:rStyle w:val="CharDivText"/>
        </w:rPr>
        <w:t>subpoena</w:t>
      </w:r>
      <w:r>
        <w:rPr>
          <w:rStyle w:val="CharDivText"/>
        </w:rPr>
        <w:tab/>
        <w:t>O. 36B r. 1(1)</w:t>
      </w:r>
    </w:p>
    <w:p>
      <w:pPr>
        <w:pStyle w:val="DefinedTerms"/>
        <w:rPr>
          <w:rStyle w:val="CharDivText"/>
        </w:rPr>
      </w:pPr>
      <w:r>
        <w:rPr>
          <w:rStyle w:val="CharDivText"/>
        </w:rPr>
        <w:t>subpoena to attend to give evidence</w:t>
      </w:r>
      <w:r>
        <w:rPr>
          <w:rStyle w:val="CharDivText"/>
        </w:rPr>
        <w:tab/>
        <w:t>O. 36B r. 1(2)</w:t>
      </w:r>
    </w:p>
    <w:p>
      <w:pPr>
        <w:pStyle w:val="DefinedTerms"/>
        <w:rPr>
          <w:rStyle w:val="CharDivText"/>
        </w:rPr>
      </w:pPr>
      <w:r>
        <w:rPr>
          <w:rStyle w:val="CharDivText"/>
        </w:rPr>
        <w:t>subpoena to produce</w:t>
      </w:r>
      <w:r>
        <w:rPr>
          <w:rStyle w:val="CharDivText"/>
        </w:rPr>
        <w:tab/>
        <w:t>O. 36B r. 1(3)</w:t>
      </w:r>
    </w:p>
    <w:p>
      <w:pPr>
        <w:pStyle w:val="DefinedTerms"/>
        <w:rPr>
          <w:rStyle w:val="CharDivText"/>
        </w:rPr>
      </w:pPr>
      <w:r>
        <w:rPr>
          <w:rStyle w:val="CharDivText"/>
        </w:rPr>
        <w:t>sufficient time</w:t>
      </w:r>
      <w:r>
        <w:rPr>
          <w:rStyle w:val="CharDivText"/>
        </w:rPr>
        <w:tab/>
        <w:t>O. 11A r. 10(3)</w:t>
      </w:r>
    </w:p>
    <w:p>
      <w:pPr>
        <w:pStyle w:val="DefinedTerms"/>
        <w:rPr>
          <w:rStyle w:val="CharDivText"/>
        </w:rPr>
      </w:pPr>
      <w:r>
        <w:rPr>
          <w:rStyle w:val="CharDivText"/>
        </w:rPr>
        <w:t>Supreme Court (full bench)</w:t>
      </w:r>
      <w:r>
        <w:rPr>
          <w:rStyle w:val="CharDivText"/>
        </w:rPr>
        <w:tab/>
        <w:t>O. 75A r. 1</w:t>
      </w:r>
    </w:p>
    <w:p>
      <w:pPr>
        <w:pStyle w:val="DefinedTerms"/>
        <w:rPr>
          <w:rStyle w:val="CharDivText"/>
        </w:rPr>
      </w:pPr>
      <w:r>
        <w:rPr>
          <w:rStyle w:val="CharDivText"/>
        </w:rPr>
        <w:t>suspension order</w:t>
      </w:r>
      <w:r>
        <w:rPr>
          <w:rStyle w:val="CharDivText"/>
        </w:rPr>
        <w:tab/>
        <w:t>O. 81FA r. 1</w:t>
      </w:r>
    </w:p>
    <w:p>
      <w:pPr>
        <w:pStyle w:val="DefinedTerms"/>
        <w:rPr>
          <w:rStyle w:val="CharDivText"/>
        </w:rPr>
      </w:pPr>
      <w:r>
        <w:rPr>
          <w:rStyle w:val="CharDivText"/>
        </w:rPr>
        <w:t>taxing officer</w:t>
      </w:r>
      <w:r>
        <w:rPr>
          <w:rStyle w:val="CharDivText"/>
        </w:rPr>
        <w:tab/>
        <w:t>O. 1 r. 4(1)</w:t>
      </w:r>
    </w:p>
    <w:p>
      <w:pPr>
        <w:pStyle w:val="DefinedTerms"/>
        <w:rPr>
          <w:rStyle w:val="CharDivText"/>
        </w:rPr>
      </w:pPr>
      <w:r>
        <w:rPr>
          <w:rStyle w:val="CharDivText"/>
        </w:rPr>
        <w:t>testamentary script</w:t>
      </w:r>
      <w:r>
        <w:rPr>
          <w:rStyle w:val="CharDivText"/>
        </w:rPr>
        <w:tab/>
        <w:t>O. 73 r 1(3)</w:t>
      </w:r>
    </w:p>
    <w:p>
      <w:pPr>
        <w:pStyle w:val="DefinedTerms"/>
        <w:rPr>
          <w:rStyle w:val="CharDivText"/>
        </w:rPr>
      </w:pPr>
      <w:r>
        <w:rPr>
          <w:rStyle w:val="CharDivText"/>
        </w:rPr>
        <w:t>these rules</w:t>
      </w:r>
      <w:r>
        <w:rPr>
          <w:rStyle w:val="CharDivText"/>
        </w:rPr>
        <w:tab/>
        <w:t>O. 1 r. 4(1)</w:t>
      </w:r>
    </w:p>
    <w:p>
      <w:pPr>
        <w:pStyle w:val="DefinedTerms"/>
        <w:rPr>
          <w:rStyle w:val="CharDivText"/>
        </w:rPr>
      </w:pPr>
      <w:r>
        <w:rPr>
          <w:rStyle w:val="CharDivText"/>
        </w:rPr>
        <w:t>third party</w:t>
      </w:r>
      <w:r>
        <w:rPr>
          <w:rStyle w:val="CharDivText"/>
        </w:rPr>
        <w:tab/>
        <w:t>O. 52A r. 5(5)</w:t>
      </w:r>
    </w:p>
    <w:p>
      <w:pPr>
        <w:pStyle w:val="DefinedTerms"/>
        <w:rPr>
          <w:rStyle w:val="CharDivText"/>
        </w:rPr>
      </w:pPr>
      <w:r>
        <w:rPr>
          <w:rStyle w:val="CharDivText"/>
        </w:rPr>
        <w:t>this jurisdiction</w:t>
      </w:r>
      <w:r>
        <w:rPr>
          <w:rStyle w:val="CharDivText"/>
        </w:rPr>
        <w:tab/>
        <w:t>O. 11A r. 1</w:t>
      </w:r>
    </w:p>
    <w:p>
      <w:pPr>
        <w:pStyle w:val="DefinedTerms"/>
        <w:rPr>
          <w:rStyle w:val="CharDivText"/>
        </w:rPr>
      </w:pPr>
      <w:r>
        <w:rPr>
          <w:rStyle w:val="CharDivText"/>
        </w:rPr>
        <w:t>to file</w:t>
      </w:r>
      <w:r>
        <w:rPr>
          <w:rStyle w:val="CharDivText"/>
        </w:rPr>
        <w:tab/>
        <w:t>O. 1 r. 4(1)</w:t>
      </w:r>
    </w:p>
    <w:p>
      <w:pPr>
        <w:pStyle w:val="DefinedTerms"/>
        <w:rPr>
          <w:rStyle w:val="CharDivText"/>
        </w:rPr>
      </w:pPr>
      <w:r>
        <w:rPr>
          <w:rStyle w:val="CharDivText"/>
        </w:rPr>
        <w:lastRenderedPageBreak/>
        <w:t>trial</w:t>
      </w:r>
      <w:r>
        <w:rPr>
          <w:rStyle w:val="CharDivText"/>
        </w:rPr>
        <w:tab/>
        <w:t>O. 1 r. 4(1)</w:t>
      </w:r>
    </w:p>
    <w:p>
      <w:pPr>
        <w:pStyle w:val="DefinedTerms"/>
        <w:rPr>
          <w:rStyle w:val="CharDivText"/>
        </w:rPr>
      </w:pPr>
      <w:r>
        <w:rPr>
          <w:rStyle w:val="CharDivText"/>
        </w:rPr>
        <w:t>tribunal</w:t>
      </w:r>
      <w:r>
        <w:rPr>
          <w:rStyle w:val="CharDivText"/>
        </w:rPr>
        <w:tab/>
        <w:t>O. 31 r. 8(6)</w:t>
      </w:r>
    </w:p>
    <w:p>
      <w:pPr>
        <w:pStyle w:val="DefinedTerms"/>
        <w:rPr>
          <w:rStyle w:val="CharDivText"/>
        </w:rPr>
      </w:pPr>
      <w:r>
        <w:rPr>
          <w:rStyle w:val="CharDivText"/>
        </w:rPr>
        <w:t>unexplained wealth declaration</w:t>
      </w:r>
      <w:r>
        <w:rPr>
          <w:rStyle w:val="CharDivText"/>
        </w:rPr>
        <w:tab/>
        <w:t>O. 81FA r. 1</w:t>
      </w:r>
    </w:p>
    <w:p>
      <w:pPr>
        <w:pStyle w:val="DefinedTerms"/>
        <w:rPr>
          <w:rStyle w:val="CharDivText"/>
        </w:rPr>
      </w:pPr>
      <w:r>
        <w:rPr>
          <w:rStyle w:val="CharDivText"/>
        </w:rPr>
        <w:t>will</w:t>
      </w:r>
      <w:r>
        <w:rPr>
          <w:rStyle w:val="CharDivText"/>
        </w:rPr>
        <w:tab/>
        <w:t>O. 73 r. 1(3)</w:t>
      </w:r>
    </w:p>
    <w:p>
      <w:pPr>
        <w:pStyle w:val="DefinedTerms"/>
        <w:keepNext/>
        <w:rPr>
          <w:rStyle w:val="CharDivText"/>
        </w:rPr>
      </w:pPr>
      <w:r>
        <w:rPr>
          <w:rStyle w:val="CharDivText"/>
        </w:rPr>
        <w:t>working day</w:t>
      </w:r>
      <w:r>
        <w:rPr>
          <w:rStyle w:val="CharDivText"/>
        </w:rPr>
        <w:tab/>
        <w:t>O.</w:t>
      </w:r>
      <w:r>
        <w:t> 1 r. 4(1)</w:t>
      </w:r>
    </w:p>
    <w:p>
      <w:pPr>
        <w:pStyle w:val="DefinedTerms"/>
        <w:keepNext/>
        <w:rPr>
          <w:rStyle w:val="CharDivText"/>
        </w:rPr>
      </w:pPr>
      <w:r>
        <w:rPr>
          <w:rStyle w:val="CharDivText"/>
        </w:rPr>
        <w:t>writ</w:t>
      </w:r>
      <w:r>
        <w:rPr>
          <w:rStyle w:val="CharDivText"/>
        </w:rPr>
        <w:tab/>
        <w:t>O. 1 r. 4(1), O. 56 r. 1(1)</w:t>
      </w:r>
    </w:p>
    <w:p>
      <w:pPr>
        <w:pStyle w:val="DefinedTerms"/>
        <w:keepNext/>
        <w:rPr>
          <w:rStyle w:val="CharDivText"/>
        </w:r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2336"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005DDA0"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4ECB1B47" w14:textId="7DE00225" w:rsidR="0056571E" w:rsidRDefault="0023538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02D44">
                        <w:rPr>
                          <w:sz w:val="16"/>
                        </w:rPr>
                        <w:t>2024</w:t>
                      </w:r>
                      <w:r>
                        <w:rPr>
                          <w:sz w:val="16"/>
                        </w:rPr>
                        <w:fldChar w:fldCharType="end"/>
                      </w:r>
                      <w:r>
                        <w:rPr>
                          <w:sz w:val="16"/>
                        </w:rPr>
                        <w:t>.</w:t>
                      </w:r>
                    </w:p>
                    <w:p w14:paraId="60E24DC1" w14:textId="77777777" w:rsidR="0056571E" w:rsidRDefault="0023538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4CDD295" w14:textId="6EC117CD" w:rsidR="0056571E" w:rsidRDefault="0023538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02D44">
                        <w:rPr>
                          <w:sz w:val="16"/>
                        </w:rPr>
                        <w:t>2024</w:t>
                      </w:r>
                      <w:r>
                        <w:rPr>
                          <w:sz w:val="16"/>
                        </w:rPr>
                        <w:fldChar w:fldCharType="end"/>
                      </w:r>
                      <w:r>
                        <w:rPr>
                          <w:sz w:val="16"/>
                        </w:rPr>
                        <w:t>.</w:t>
                      </w:r>
                    </w:p>
                    <w:p w14:paraId="4714866E" w14:textId="77777777" w:rsidR="0056571E" w:rsidRDefault="00235386">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 New Roman Bold">
    <w:panose1 w:val="02020803070505020304"/>
    <w:charset w:val="00"/>
    <w:family w:val="roman"/>
    <w:notTrueType/>
    <w:pitch w:val="variable"/>
    <w:sig w:usb0="00000003" w:usb1="00000000" w:usb2="00000000" w:usb3="00000000" w:csb0="00000001"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Apr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09-aj0-00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Apr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09-aj0-00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Apr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09-aj0-00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Apr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09-aj0-00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Apr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09-aj0-00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Apr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09-aj0-00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673" w:name="Schedule"/>
    <w:bookmarkEnd w:id="167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682" w:name="Compilation"/>
    <w:bookmarkEnd w:id="168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86" w:name="DefinedTerms"/>
    <w:bookmarkEnd w:id="1686"/>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687" w:name="Coversheet"/>
    <w:bookmarkEnd w:id="168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73076F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45214D3"/>
    <w:multiLevelType w:val="hybridMultilevel"/>
    <w:tmpl w:val="15ACBF50"/>
    <w:lvl w:ilvl="0" w:tplc="D6D2E8DA">
      <w:start w:val="1"/>
      <w:numFmt w:val="bullet"/>
      <w:lvlText w:val=""/>
      <w:lvlJc w:val="left"/>
      <w:pPr>
        <w:tabs>
          <w:tab w:val="num" w:pos="1260"/>
        </w:tabs>
        <w:ind w:left="1260" w:hanging="360"/>
      </w:pPr>
      <w:rPr>
        <w:rFonts w:ascii="Symbol" w:hAnsi="Symbol" w:hint="default"/>
      </w:rPr>
    </w:lvl>
    <w:lvl w:ilvl="1" w:tplc="7B9C7060" w:tentative="1">
      <w:start w:val="1"/>
      <w:numFmt w:val="bullet"/>
      <w:lvlText w:val="o"/>
      <w:lvlJc w:val="left"/>
      <w:pPr>
        <w:tabs>
          <w:tab w:val="num" w:pos="1980"/>
        </w:tabs>
        <w:ind w:left="1980" w:hanging="360"/>
      </w:pPr>
      <w:rPr>
        <w:rFonts w:ascii="Courier New" w:hAnsi="Courier New" w:hint="default"/>
      </w:rPr>
    </w:lvl>
    <w:lvl w:ilvl="2" w:tplc="9AEA7F76" w:tentative="1">
      <w:start w:val="1"/>
      <w:numFmt w:val="bullet"/>
      <w:lvlText w:val=""/>
      <w:lvlJc w:val="left"/>
      <w:pPr>
        <w:tabs>
          <w:tab w:val="num" w:pos="2700"/>
        </w:tabs>
        <w:ind w:left="2700" w:hanging="360"/>
      </w:pPr>
      <w:rPr>
        <w:rFonts w:ascii="Wingdings" w:hAnsi="Wingdings" w:hint="default"/>
      </w:rPr>
    </w:lvl>
    <w:lvl w:ilvl="3" w:tplc="749E6D98" w:tentative="1">
      <w:start w:val="1"/>
      <w:numFmt w:val="bullet"/>
      <w:lvlText w:val=""/>
      <w:lvlJc w:val="left"/>
      <w:pPr>
        <w:tabs>
          <w:tab w:val="num" w:pos="3420"/>
        </w:tabs>
        <w:ind w:left="3420" w:hanging="360"/>
      </w:pPr>
      <w:rPr>
        <w:rFonts w:ascii="Symbol" w:hAnsi="Symbol" w:hint="default"/>
      </w:rPr>
    </w:lvl>
    <w:lvl w:ilvl="4" w:tplc="F8127BEC" w:tentative="1">
      <w:start w:val="1"/>
      <w:numFmt w:val="bullet"/>
      <w:lvlText w:val="o"/>
      <w:lvlJc w:val="left"/>
      <w:pPr>
        <w:tabs>
          <w:tab w:val="num" w:pos="4140"/>
        </w:tabs>
        <w:ind w:left="4140" w:hanging="360"/>
      </w:pPr>
      <w:rPr>
        <w:rFonts w:ascii="Courier New" w:hAnsi="Courier New" w:hint="default"/>
      </w:rPr>
    </w:lvl>
    <w:lvl w:ilvl="5" w:tplc="A76A2E96" w:tentative="1">
      <w:start w:val="1"/>
      <w:numFmt w:val="bullet"/>
      <w:lvlText w:val=""/>
      <w:lvlJc w:val="left"/>
      <w:pPr>
        <w:tabs>
          <w:tab w:val="num" w:pos="4860"/>
        </w:tabs>
        <w:ind w:left="4860" w:hanging="360"/>
      </w:pPr>
      <w:rPr>
        <w:rFonts w:ascii="Wingdings" w:hAnsi="Wingdings" w:hint="default"/>
      </w:rPr>
    </w:lvl>
    <w:lvl w:ilvl="6" w:tplc="8C6214DA" w:tentative="1">
      <w:start w:val="1"/>
      <w:numFmt w:val="bullet"/>
      <w:lvlText w:val=""/>
      <w:lvlJc w:val="left"/>
      <w:pPr>
        <w:tabs>
          <w:tab w:val="num" w:pos="5580"/>
        </w:tabs>
        <w:ind w:left="5580" w:hanging="360"/>
      </w:pPr>
      <w:rPr>
        <w:rFonts w:ascii="Symbol" w:hAnsi="Symbol" w:hint="default"/>
      </w:rPr>
    </w:lvl>
    <w:lvl w:ilvl="7" w:tplc="538EEBF4" w:tentative="1">
      <w:start w:val="1"/>
      <w:numFmt w:val="bullet"/>
      <w:lvlText w:val="o"/>
      <w:lvlJc w:val="left"/>
      <w:pPr>
        <w:tabs>
          <w:tab w:val="num" w:pos="6300"/>
        </w:tabs>
        <w:ind w:left="6300" w:hanging="360"/>
      </w:pPr>
      <w:rPr>
        <w:rFonts w:ascii="Courier New" w:hAnsi="Courier New" w:hint="default"/>
      </w:rPr>
    </w:lvl>
    <w:lvl w:ilvl="8" w:tplc="A3A8F082" w:tentative="1">
      <w:start w:val="1"/>
      <w:numFmt w:val="bullet"/>
      <w:lvlText w:val=""/>
      <w:lvlJc w:val="left"/>
      <w:pPr>
        <w:tabs>
          <w:tab w:val="num" w:pos="7020"/>
        </w:tabs>
        <w:ind w:left="7020" w:hanging="360"/>
      </w:pPr>
      <w:rPr>
        <w:rFonts w:ascii="Wingdings" w:hAnsi="Wingdings"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5595C12"/>
    <w:multiLevelType w:val="hybridMultilevel"/>
    <w:tmpl w:val="EE96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23"/>
  </w:num>
  <w:num w:numId="15">
    <w:abstractNumId w:val="10"/>
  </w:num>
  <w:num w:numId="16">
    <w:abstractNumId w:val="20"/>
  </w:num>
  <w:num w:numId="17">
    <w:abstractNumId w:val="11"/>
  </w:num>
  <w:num w:numId="18">
    <w:abstractNumId w:val="12"/>
  </w:num>
  <w:num w:numId="19">
    <w:abstractNumId w:val="14"/>
  </w:num>
  <w:num w:numId="20">
    <w:abstractNumId w:val="18"/>
  </w:num>
  <w:num w:numId="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402084216"/>
    <w:docVar w:name="WAFER_20131216112045" w:val="RemoveTocBookmarks,RemoveUnusedBookmarks,RemoveLanguageTags,UsedStyles,ResetPageSize,UpdateArrangement"/>
    <w:docVar w:name="WAFER_20131216112045_GUID" w:val="db665ee7-c044-448b-8681-211aa0b874d3"/>
    <w:docVar w:name="WAFER_20131216151141" w:val="RemoveTocBookmarks,RunningHeaders"/>
    <w:docVar w:name="WAFER_20131216151141_GUID" w:val="38edc224-9467-4498-88ea-b141b8984320"/>
    <w:docVar w:name="WAFER_20140212162715" w:val="RemoveTocBookmarks,RemoveUnusedBookmarks,RemoveLanguageTags,UsedStyles,ResetPageSize,UpdateArrangement"/>
    <w:docVar w:name="WAFER_20140212162715_GUID" w:val="73448c5e-550f-447d-9e7c-37a38166d68e"/>
    <w:docVar w:name="WAFER_20140501132533" w:val="RemoveTocBookmarks,RemoveUnusedBookmarks,RemoveLanguageTags,UsedStyles,ResetPageSize"/>
    <w:docVar w:name="WAFER_20140501132533_GUID" w:val="82a00d0e-fdc2-4c49-861b-1ba1b5552aa4"/>
    <w:docVar w:name="WAFER_20140501132609" w:val="RemoveTocBookmarks,RunningHeaders"/>
    <w:docVar w:name="WAFER_20140501132609_GUID" w:val="f7f00153-ea61-449a-82cd-3ccece93e4b6"/>
    <w:docVar w:name="WAFER_20140925110229" w:val="RemoveTocBookmarks,RemoveUnusedBookmarks,RemoveLanguageTags,UsedStyles,ResetPageSize"/>
    <w:docVar w:name="WAFER_20140925110229_GUID" w:val="0aa7a940-b17c-44c0-a3e1-aa253e3ce907"/>
    <w:docVar w:name="WAFER_20141218163200" w:val="RemoveTocBookmarks,RunningHeaders"/>
    <w:docVar w:name="WAFER_20141218163200_GUID" w:val="7c9e19e7-da86-4820-bd43-dbe2f468f40e"/>
    <w:docVar w:name="WAFER_20150420141814" w:val="ResetPageSize,UpdateArrangement,UpdateNTable"/>
    <w:docVar w:name="WAFER_20150420141814_GUID" w:val="15105a21-4ef5-4815-9e3e-09ae4c5633d0"/>
    <w:docVar w:name="WAFER_20151113094259" w:val="UpdateStyles"/>
    <w:docVar w:name="WAFER_20151113094259_GUID" w:val="8ac394df-2a34-4d60-948c-f5dd271f3f2c"/>
    <w:docVar w:name="WAFER_20151118094220" w:val="UsedStyles"/>
    <w:docVar w:name="WAFER_20151118094220_GUID" w:val="90ed3d00-ce12-44aa-a7bc-3844ac06e170"/>
    <w:docVar w:name="WAFER_20151118110656" w:val="RemoveTocBookmarks,RemoveUnusedBookmarks,RemoveLanguageTags,UsedStyles,ResetPageSize"/>
    <w:docVar w:name="WAFER_20151118110656_GUID" w:val="a92efaef-204c-4830-be7e-b2012ff7afa3"/>
    <w:docVar w:name="WAFER_20161115161727" w:val="RemoveTocBookmarks,RemoveUnusedBookmarks,RemoveLanguageTags,UsedStyles,ResetPageSize"/>
    <w:docVar w:name="WAFER_20161115161727_GUID" w:val="6dcdb0aa-c383-4e40-b19d-e3807bfe1dfc"/>
    <w:docVar w:name="WAFER_20161221122625" w:val="RemoveTocBookmarks,RemoveUnusedBookmarks,RemoveLanguageTags,UsedStyles,ResetPageSize"/>
    <w:docVar w:name="WAFER_20161221122625_GUID" w:val="bd34510c-14c9-4402-9c5e-f92c5d7ce393"/>
    <w:docVar w:name="WAFER_20171130114852" w:val="RemoveTocBookmarks,RemoveUnusedBookmarks,RemoveLanguageTags,UsedStyles,ResetPageSize"/>
    <w:docVar w:name="WAFER_20171130114852_GUID" w:val="0338c177-8d31-4666-b5ba-9c59f1a6c319"/>
    <w:docVar w:name="WAFER_20180628150936" w:val="RemoveTocBookmarks,RemoveUnusedBookmarks,RemoveLanguageTags,UsedStyles,ResetPageSize"/>
    <w:docVar w:name="WAFER_20180628150936_GUID" w:val="b14babc8-de74-42f1-a45e-2e29f53a3e90"/>
    <w:docVar w:name="WAFER_20180828110351" w:val="RemoveTocBookmarks,RemoveUnusedBookmarks,RemoveLanguageTags,UsedStyles,ResetPageSize"/>
    <w:docVar w:name="WAFER_20180828110351_GUID" w:val="41bc43c1-7dcc-4d82-ad07-8ba7f40f8f12"/>
    <w:docVar w:name="WAFER_20191227133611" w:val="RemoveTocBookmarks,RemoveUnusedBookmarks,RemoveLanguageTags,ResetPageSize,RunningHeaders,UpdateStyles,UsedStyles"/>
    <w:docVar w:name="WAFER_20191227133611_GUID" w:val="b50997a0-9447-4ebb-8a13-d057c6131f32"/>
    <w:docVar w:name="WAFER_2020021110465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650_GUID" w:val="cc5e4d2b-83f7-4338-a803-a6f4ada1843d"/>
    <w:docVar w:name="WAFER_202011261150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6115036_GUID" w:val="37ba5af8-93df-456e-b80b-df9eb6c4c070"/>
    <w:docVar w:name="WAFER_20201214141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4141433_GUID" w:val="e8fa498e-a680-4862-8591-8e2e911c29ea"/>
    <w:docVar w:name="WAFER_202103251049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5104914_GUID" w:val="385a7386-fbbc-4a1b-b66e-54ba08e19cb3"/>
    <w:docVar w:name="WAFER_202104281523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8152351_GUID" w:val="18985b60-02d6-4576-aac2-38c87afcb68a"/>
    <w:docVar w:name="WAFER_202106010843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1084353_GUID" w:val="7fa8395b-299c-46a0-81a4-224f3e54e00a"/>
    <w:docVar w:name="WAFER_202106251052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05233_GUID" w:val="7a01c7d7-9589-40ba-ae84-dcaaef07c31e"/>
    <w:docVar w:name="WAFER_202205021329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2132929_GUID" w:val="e041b850-7be8-4485-8ff3-2851aea0d927"/>
    <w:docVar w:name="WAFER_202205170855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085533_GUID" w:val="9f9d487b-4316-4b51-a309-43a0365d5c51"/>
    <w:docVar w:name="WAFER_202206081450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8145045_GUID" w:val="3497668e-855e-41dc-b685-a17d44625b70"/>
    <w:docVar w:name="WAFER_202206271628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62814_GUID" w:val="a95cdd87-9339-4f3f-9946-fdac990dee00"/>
    <w:docVar w:name="WAFER_202303070916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07091638_GUID" w:val="6e9ae747-1b9c-4ec8-b48f-e92d4abc4007"/>
    <w:docVar w:name="WAFER_202303170929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17092912_GUID" w:val="06be04f5-22b8-4249-ae24-13238f11c47f"/>
    <w:docVar w:name="WAFER_202403201252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320125257_GUID" w:val="2864b41f-f34e-4b57-9583-12a88345982e"/>
    <w:docVar w:name="WAFER_202404020842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02084216_GUID" w:val="b225c1db-4b5a-40c3-9e8f-b6a08b4db3d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5:docId w15:val="{49622E67-6812-463B-85E4-52CEC9697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C">
    <w:name w:val="C"/>
    <w:basedOn w:val="yHeading5"/>
  </w:style>
  <w:style w:type="paragraph" w:customStyle="1" w:styleId="CharSCI">
    <w:name w:val="CharSCI"/>
    <w:basedOn w:val="C"/>
  </w:style>
  <w:style w:type="paragraph" w:customStyle="1" w:styleId="CharSc1">
    <w:name w:val="CharSc1"/>
    <w:basedOn w:val="yHeading5"/>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815002">
      <w:bodyDiv w:val="1"/>
      <w:marLeft w:val="0"/>
      <w:marRight w:val="0"/>
      <w:marTop w:val="0"/>
      <w:marBottom w:val="0"/>
      <w:divBdr>
        <w:top w:val="none" w:sz="0" w:space="0" w:color="auto"/>
        <w:left w:val="none" w:sz="0" w:space="0" w:color="auto"/>
        <w:bottom w:val="none" w:sz="0" w:space="0" w:color="auto"/>
        <w:right w:val="none" w:sz="0" w:space="0" w:color="auto"/>
      </w:divBdr>
    </w:div>
    <w:div w:id="703486257">
      <w:bodyDiv w:val="1"/>
      <w:marLeft w:val="0"/>
      <w:marRight w:val="0"/>
      <w:marTop w:val="0"/>
      <w:marBottom w:val="0"/>
      <w:divBdr>
        <w:top w:val="none" w:sz="0" w:space="0" w:color="auto"/>
        <w:left w:val="none" w:sz="0" w:space="0" w:color="auto"/>
        <w:bottom w:val="none" w:sz="0" w:space="0" w:color="auto"/>
        <w:right w:val="none" w:sz="0" w:space="0" w:color="auto"/>
      </w:divBdr>
    </w:div>
    <w:div w:id="872691539">
      <w:bodyDiv w:val="1"/>
      <w:marLeft w:val="0"/>
      <w:marRight w:val="0"/>
      <w:marTop w:val="0"/>
      <w:marBottom w:val="0"/>
      <w:divBdr>
        <w:top w:val="none" w:sz="0" w:space="0" w:color="auto"/>
        <w:left w:val="none" w:sz="0" w:space="0" w:color="auto"/>
        <w:bottom w:val="none" w:sz="0" w:space="0" w:color="auto"/>
        <w:right w:val="none" w:sz="0" w:space="0" w:color="auto"/>
      </w:divBdr>
    </w:div>
    <w:div w:id="170278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92B96B-0C61-468B-B16A-7C5254CC84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195767</Words>
  <Characters>896618</Characters>
  <Application>Microsoft Office Word</Application>
  <DocSecurity>0</DocSecurity>
  <Lines>24906</Lines>
  <Paragraphs>14373</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1078012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1971 - 09-aj0-00</dc:title>
  <dc:subject/>
  <dc:creator/>
  <cp:keywords/>
  <dc:description/>
  <cp:lastModifiedBy>Master Repository Process</cp:lastModifiedBy>
  <cp:revision>4</cp:revision>
  <cp:lastPrinted>2021-06-01T04:24:00Z</cp:lastPrinted>
  <dcterms:created xsi:type="dcterms:W3CDTF">2025-06-04T03:15:00Z</dcterms:created>
  <dcterms:modified xsi:type="dcterms:W3CDTF">2025-06-04T03:18:00Z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DocumentType">
    <vt:lpwstr>Reg</vt:lpwstr>
  </property>
  <property fmtid="{D5CDD505-2E9C-101B-9397-08002B2CF9AE}" pid="4" name="OwlsUID">
    <vt:i4>4764</vt:i4>
  </property>
  <property fmtid="{D5CDD505-2E9C-101B-9397-08002B2CF9AE}" pid="5" name="ReprintNo">
    <vt:lpwstr>9</vt:lpwstr>
  </property>
  <property fmtid="{D5CDD505-2E9C-101B-9397-08002B2CF9AE}" pid="6" name="ReprintedAsAt">
    <vt:filetime>2014-04-03T16:00:00Z</vt:filetime>
  </property>
  <property fmtid="{D5CDD505-2E9C-101B-9397-08002B2CF9AE}" pid="7" name="AsAtDate">
    <vt:lpwstr>09 Apr 2024</vt:lpwstr>
  </property>
  <property fmtid="{D5CDD505-2E9C-101B-9397-08002B2CF9AE}" pid="8" name="Suffix">
    <vt:lpwstr>09-aj0-00</vt:lpwstr>
  </property>
  <property fmtid="{D5CDD505-2E9C-101B-9397-08002B2CF9AE}" pid="9" name="Official">
    <vt:lpwstr/>
  </property>
  <property fmtid="{D5CDD505-2E9C-101B-9397-08002B2CF9AE}" pid="10" name="CommencementDate">
    <vt:lpwstr>20240409</vt:lpwstr>
  </property>
  <property fmtid="{D5CDD505-2E9C-101B-9397-08002B2CF9AE}" pid="11" name="CommencementAsAt">
    <vt:filetime>2024-04-08T16:00:00Z</vt:filetime>
  </property>
  <property fmtid="{D5CDD505-2E9C-101B-9397-08002B2CF9AE}" pid="12" name="CommencementYear">
    <vt:lpwstr>2024</vt:lpwstr>
  </property>
</Properties>
</file>