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_Toc163741303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_Toc163741304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_Toc163741305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_Toc163741306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_Toc163741308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_Toc163741309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_Toc163741310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_Toc163741311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_Toc163741312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_Toc163741313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_Toc163741314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_Toc163741316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_Toc163741317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_Toc163741318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_Toc163741319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_Toc163741320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_Toc163741322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_Toc163741323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_Toc163741324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_Toc163741325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_Toc163741326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_Toc163741329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_Toc163741331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_Toc163741332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_Toc163741333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_Toc163741334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_Toc163741335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_Toc163741336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_Toc163741337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_Toc163741339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_Toc163741340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_Toc163741341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_Toc163741342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_Toc163741343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_Toc163741344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_Toc163741345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_Toc163741346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_Toc163741347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_Toc163741348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_Toc163741349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_Toc163741350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_Toc163741352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_Toc163741353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_Toc163741354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_Toc163741355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_Toc163741356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_Toc163741357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_Toc163741359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_Toc163741360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_Toc163741361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_Toc163741362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_Toc163741363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_Toc163741364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_Toc163741366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_Toc163741367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_Toc163741369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_Toc163741370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_Toc163741371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_Toc163741373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_Toc163741374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_Toc163741375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_Toc163741376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_Toc163741377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_Toc163741379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_Toc163741380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_Toc163741381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_Toc163741382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_Toc163741383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_Toc163741384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_Toc163741385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_Toc163741386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_Toc163741387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_Toc163741389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_Toc163741390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_Toc163741391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_Toc163741393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_Toc163741394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_Toc163741395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_Toc163741396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_Toc163741397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_Toc163741398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_Toc163741399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_Toc163741400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_Toc163741401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_Toc163741402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_Toc163741403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_Toc163741404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_Toc163741405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_Toc163741406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_Toc163741408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_Toc163741409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_Toc163741410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_Toc163741411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_Toc163741412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_Toc163741413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_Toc163741414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_Toc163741415 \h </w:instrText>
      </w:r>
      <w:r>
        <w:fldChar w:fldCharType="separate"/>
      </w:r>
      <w:r>
        <w:t>83</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_Toc163741416 \h </w:instrText>
      </w:r>
      <w:r>
        <w:fldChar w:fldCharType="separate"/>
      </w:r>
      <w:r>
        <w:t>84</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_Toc163741417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_Toc163741418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_Toc163741419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_Toc163741420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_Toc163741422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_Toc163741423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_Toc163741424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_Toc163741425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_Toc163741428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_Toc163741430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_Toc163741431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_Toc163741433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_Toc163741434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_Toc163741435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_Toc163741436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_Toc163741437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_Toc163741439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_Toc163741440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_Toc163741441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_Toc163741442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_Toc163741443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_Toc163741444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_Toc163741446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_Toc163741447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_Toc163741448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_Toc163741449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_Toc163741450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_Toc163741451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_Toc163741452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_Toc163741454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_Toc163741455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_Toc163741456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_Toc163741457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_Toc163741458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_Toc163741459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_Toc163741460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_Toc163741461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_Toc163741462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_Toc163741463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_Toc163741464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_Toc163741465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_Toc163741466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_Toc163741467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_Toc163741468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_Toc163741470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_Toc163741471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_Toc163741472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_Toc163741473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_Toc163741475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_Toc163741476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_Toc163741477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_Toc163741478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_Toc163741479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_Toc163741480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_Toc163741482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_Toc163741483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_Toc163741484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_Toc163741485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_Toc163741486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_Toc163741487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_Toc163741488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_Toc163741490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_Toc163741491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_Toc163741492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_Toc163741494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_Toc163741495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_Toc163741496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_Toc163741497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_Toc163741498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_Toc163741499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_Toc163741500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_Toc163741501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_Toc163741502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_Toc163741504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_Toc163741505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_Toc163741506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_Toc163741507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_Toc163741508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_Toc163741509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_Toc163741510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_Toc163741511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_Toc163741512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_Toc163741513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_Toc163741514 \h </w:instrText>
      </w:r>
      <w:r>
        <w:fldChar w:fldCharType="separate"/>
      </w:r>
      <w:r>
        <w:t>146</w:t>
      </w:r>
      <w:r>
        <w:fldChar w:fldCharType="end"/>
      </w:r>
    </w:p>
    <w:p>
      <w:pPr>
        <w:pStyle w:val="TOC8"/>
        <w:rPr>
          <w:rFonts w:asciiTheme="minorHAnsi" w:eastAsiaTheme="minorEastAsia" w:hAnsiTheme="minorHAnsi" w:cstheme="minorBidi"/>
          <w:szCs w:val="22"/>
        </w:rPr>
      </w:pPr>
      <w:r>
        <w:t>182A.</w:t>
      </w:r>
      <w:r>
        <w:tab/>
        <w:t xml:space="preserve">Transitional provision for the </w:t>
      </w:r>
      <w:r>
        <w:rPr>
          <w:bCs/>
          <w:i/>
        </w:rPr>
        <w:t>Lands Regulations (Community and Strata Titles) Amendment Regulations 2024</w:t>
      </w:r>
      <w:r>
        <w:tab/>
      </w:r>
      <w:r>
        <w:fldChar w:fldCharType="begin"/>
      </w:r>
      <w:r>
        <w:instrText xml:space="preserve"> PAGEREF _Toc163741515 \h </w:instrText>
      </w:r>
      <w:r>
        <w:fldChar w:fldCharType="separate"/>
      </w:r>
      <w:r>
        <w:t>148</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_Toc163741516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_Toc163741518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w:t>
      </w:r>
      <w:r>
        <w:tab/>
        <w:t>Application of Schedule</w:t>
      </w:r>
      <w:r>
        <w:tab/>
      </w:r>
      <w:r>
        <w:fldChar w:fldCharType="begin"/>
      </w:r>
      <w:r>
        <w:instrText xml:space="preserve"> PAGEREF _Toc163741519 \h </w:instrText>
      </w:r>
      <w:r>
        <w:fldChar w:fldCharType="separate"/>
      </w:r>
      <w:r>
        <w:t>150</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_Toc163741520 \h </w:instrText>
      </w:r>
      <w:r>
        <w:fldChar w:fldCharType="separate"/>
      </w:r>
      <w:r>
        <w:t>150</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_Toc163741521 \h </w:instrText>
      </w:r>
      <w:r>
        <w:fldChar w:fldCharType="separate"/>
      </w:r>
      <w:r>
        <w:t>150</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_Toc163741522 \h </w:instrText>
      </w:r>
      <w:r>
        <w:fldChar w:fldCharType="separate"/>
      </w:r>
      <w:r>
        <w:t>151</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_Toc163741523 \h </w:instrText>
      </w:r>
      <w:r>
        <w:fldChar w:fldCharType="separate"/>
      </w:r>
      <w:r>
        <w:t>151</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_Toc163741524 \h </w:instrText>
      </w:r>
      <w:r>
        <w:fldChar w:fldCharType="separate"/>
      </w:r>
      <w:r>
        <w:t>152</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_Toc163741525 \h </w:instrText>
      </w:r>
      <w:r>
        <w:fldChar w:fldCharType="separate"/>
      </w:r>
      <w:r>
        <w:t>152</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_Toc163741526 \h </w:instrText>
      </w:r>
      <w:r>
        <w:fldChar w:fldCharType="separate"/>
      </w:r>
      <w:r>
        <w:t>153</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_Toc163741527 \h </w:instrText>
      </w:r>
      <w:r>
        <w:fldChar w:fldCharType="separate"/>
      </w:r>
      <w:r>
        <w:t>153</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_Toc163741528 \h </w:instrText>
      </w:r>
      <w:r>
        <w:fldChar w:fldCharType="separate"/>
      </w:r>
      <w:r>
        <w:t>154</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_Toc163741529 \h </w:instrText>
      </w:r>
      <w:r>
        <w:fldChar w:fldCharType="separate"/>
      </w:r>
      <w:r>
        <w:t>154</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_Toc163741530 \h </w:instrText>
      </w:r>
      <w:r>
        <w:fldChar w:fldCharType="separate"/>
      </w:r>
      <w:r>
        <w:t>155</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_Toc163741531 \h </w:instrText>
      </w:r>
      <w:r>
        <w:fldChar w:fldCharType="separate"/>
      </w:r>
      <w:r>
        <w:t>155</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_Toc163741532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_Toc163741534 \h </w:instrText>
      </w:r>
      <w:r>
        <w:fldChar w:fldCharType="separate"/>
      </w:r>
      <w:r>
        <w:t>157</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_Toc163741535 \h </w:instrText>
      </w:r>
      <w:r>
        <w:fldChar w:fldCharType="separate"/>
      </w:r>
      <w:r>
        <w:t>157</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_Toc163741536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_Toc163741539 \h </w:instrText>
      </w:r>
      <w:r>
        <w:fldChar w:fldCharType="separate"/>
      </w:r>
      <w:r>
        <w:t>159</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_Toc163741540 \h </w:instrText>
      </w:r>
      <w:r>
        <w:fldChar w:fldCharType="separate"/>
      </w:r>
      <w:r>
        <w:t>159</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_Toc163741541 \h </w:instrText>
      </w:r>
      <w:r>
        <w:fldChar w:fldCharType="separate"/>
      </w:r>
      <w:r>
        <w:t>159</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_Toc163741542 \h </w:instrText>
      </w:r>
      <w:r>
        <w:fldChar w:fldCharType="separate"/>
      </w:r>
      <w:r>
        <w:t>159</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_Toc163741543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6.</w:t>
      </w:r>
      <w:r>
        <w:tab/>
        <w:t>Special provision for conditional tenure land</w:t>
      </w:r>
      <w:r>
        <w:tab/>
      </w:r>
      <w:r>
        <w:fldChar w:fldCharType="begin"/>
      </w:r>
      <w:r>
        <w:instrText xml:space="preserve"> PAGEREF _Toc163741544 \h </w:instrText>
      </w:r>
      <w:r>
        <w:fldChar w:fldCharType="separate"/>
      </w:r>
      <w:r>
        <w:t>160</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_Toc163741545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_Toc163741547 \h </w:instrText>
      </w:r>
      <w:r>
        <w:fldChar w:fldCharType="separate"/>
      </w:r>
      <w:r>
        <w:t>160</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_Toc163741548 \h </w:instrText>
      </w:r>
      <w:r>
        <w:fldChar w:fldCharType="separate"/>
      </w:r>
      <w:r>
        <w:t>161</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_Toc163741549 \h </w:instrText>
      </w:r>
      <w:r>
        <w:fldChar w:fldCharType="separate"/>
      </w:r>
      <w:r>
        <w:t>161</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_Toc163741550 \h </w:instrText>
      </w:r>
      <w:r>
        <w:fldChar w:fldCharType="separate"/>
      </w:r>
      <w:r>
        <w:t>161</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_Toc163741551 \h </w:instrText>
      </w:r>
      <w:r>
        <w:fldChar w:fldCharType="separate"/>
      </w:r>
      <w:r>
        <w:t>161</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_Toc163741552 \h </w:instrText>
      </w:r>
      <w:r>
        <w:fldChar w:fldCharType="separate"/>
      </w:r>
      <w:r>
        <w:t>161</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_Toc163741553 \h </w:instrText>
      </w:r>
      <w:r>
        <w:fldChar w:fldCharType="separate"/>
      </w:r>
      <w:r>
        <w:t>162</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_Toc163741554 \h </w:instrText>
      </w:r>
      <w:r>
        <w:fldChar w:fldCharType="separate"/>
      </w:r>
      <w:r>
        <w:t>162</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_Toc163741555 \h </w:instrText>
      </w:r>
      <w:r>
        <w:fldChar w:fldCharType="separate"/>
      </w:r>
      <w:r>
        <w:t>162</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_Toc163741556 \h </w:instrText>
      </w:r>
      <w:r>
        <w:fldChar w:fldCharType="separate"/>
      </w:r>
      <w:r>
        <w:t>163</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_Toc163741557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_Toc163741559 \h </w:instrText>
      </w:r>
      <w:r>
        <w:fldChar w:fldCharType="separate"/>
      </w:r>
      <w:r>
        <w:t>164</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_Toc163741560 \h </w:instrText>
      </w:r>
      <w:r>
        <w:fldChar w:fldCharType="separate"/>
      </w:r>
      <w:r>
        <w:t>164</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_Toc163741561 \h </w:instrText>
      </w:r>
      <w:r>
        <w:fldChar w:fldCharType="separate"/>
      </w:r>
      <w:r>
        <w:t>165</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_Toc163741562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_Toc163741566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163735992"/>
      <w:bookmarkStart w:id="3" w:name="_Toc163739608"/>
      <w:bookmarkStart w:id="4" w:name="_Toc163741302"/>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3741303"/>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163741304"/>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163741305"/>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9" w:name="_Toc163741306"/>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163735997"/>
      <w:bookmarkStart w:id="11" w:name="_Toc163739613"/>
      <w:bookmarkStart w:id="12" w:name="_Toc163741307"/>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163741308"/>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163741309"/>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163741310"/>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163741311"/>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163741312"/>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163741313"/>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163741314"/>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163736005"/>
      <w:bookmarkStart w:id="21" w:name="_Toc163739621"/>
      <w:bookmarkStart w:id="22" w:name="_Toc163741315"/>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163741316"/>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163741317"/>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163741318"/>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163741319"/>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163741320"/>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163736011"/>
      <w:bookmarkStart w:id="29" w:name="_Toc163739627"/>
      <w:bookmarkStart w:id="30" w:name="_Toc163741321"/>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163741322"/>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163741323"/>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163741324"/>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163741325"/>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163741326"/>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163736017"/>
      <w:bookmarkStart w:id="37" w:name="_Toc163739633"/>
      <w:bookmarkStart w:id="38" w:name="_Toc163741327"/>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163736018"/>
      <w:bookmarkStart w:id="40" w:name="_Toc163739634"/>
      <w:bookmarkStart w:id="41" w:name="_Toc163741328"/>
      <w:r>
        <w:rPr>
          <w:rStyle w:val="CharDivNo"/>
        </w:rPr>
        <w:t>Division 1</w:t>
      </w:r>
      <w:r>
        <w:t> — </w:t>
      </w:r>
      <w:r>
        <w:rPr>
          <w:rStyle w:val="CharDivText"/>
        </w:rPr>
        <w:t>Preliminary</w:t>
      </w:r>
      <w:bookmarkEnd w:id="39"/>
      <w:bookmarkEnd w:id="40"/>
      <w:bookmarkEnd w:id="41"/>
    </w:p>
    <w:p>
      <w:pPr>
        <w:pStyle w:val="Heading5"/>
      </w:pPr>
      <w:bookmarkStart w:id="42" w:name="_Toc163741329"/>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163736020"/>
      <w:bookmarkStart w:id="44" w:name="_Toc163739636"/>
      <w:bookmarkStart w:id="45" w:name="_Toc163741330"/>
      <w:r>
        <w:rPr>
          <w:rStyle w:val="CharDivNo"/>
        </w:rPr>
        <w:t>Division 2</w:t>
      </w:r>
      <w:r>
        <w:t> — </w:t>
      </w:r>
      <w:r>
        <w:rPr>
          <w:rStyle w:val="CharDivText"/>
        </w:rPr>
        <w:t>Identification, location and nature</w:t>
      </w:r>
      <w:bookmarkEnd w:id="43"/>
      <w:bookmarkEnd w:id="44"/>
      <w:bookmarkEnd w:id="45"/>
    </w:p>
    <w:p>
      <w:pPr>
        <w:pStyle w:val="Heading5"/>
      </w:pPr>
      <w:bookmarkStart w:id="46" w:name="_Toc163741331"/>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163741332"/>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163741333"/>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163741334"/>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163741335"/>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163741336"/>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163741337"/>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163736028"/>
      <w:bookmarkStart w:id="54" w:name="_Toc163739644"/>
      <w:bookmarkStart w:id="55" w:name="_Toc163741338"/>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163741339"/>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163741340"/>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163741341"/>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163741342"/>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63741343"/>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163741344"/>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163741345"/>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163741346"/>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163741347"/>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163741348"/>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163741349"/>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163741350"/>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163736041"/>
      <w:bookmarkStart w:id="69" w:name="_Toc163739657"/>
      <w:bookmarkStart w:id="70" w:name="_Toc163741351"/>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163741352"/>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163741353"/>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163741354"/>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163741355"/>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163741356"/>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63741357"/>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163736048"/>
      <w:bookmarkStart w:id="78" w:name="_Toc163739664"/>
      <w:bookmarkStart w:id="79" w:name="_Toc163741358"/>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163741359"/>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163741360"/>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163741361"/>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163741362"/>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163741363"/>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163741364"/>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163736055"/>
      <w:bookmarkStart w:id="87" w:name="_Toc163739671"/>
      <w:bookmarkStart w:id="88" w:name="_Toc163741365"/>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163741366"/>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163741367"/>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163736058"/>
      <w:bookmarkStart w:id="92" w:name="_Toc163739674"/>
      <w:bookmarkStart w:id="93" w:name="_Toc163741368"/>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163741369"/>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163741370"/>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163741371"/>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163736062"/>
      <w:bookmarkStart w:id="98" w:name="_Toc163739678"/>
      <w:bookmarkStart w:id="99" w:name="_Toc163741372"/>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163741373"/>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163741374"/>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163741375"/>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163741376"/>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163741377"/>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163736068"/>
      <w:bookmarkStart w:id="106" w:name="_Toc163739684"/>
      <w:bookmarkStart w:id="107" w:name="_Toc163741378"/>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163741379"/>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163741380"/>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163741381"/>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163741382"/>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163741383"/>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163741384"/>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163741385"/>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163741386"/>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163741387"/>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163736078"/>
      <w:bookmarkStart w:id="118" w:name="_Toc163739694"/>
      <w:bookmarkStart w:id="119" w:name="_Toc163741388"/>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163741389"/>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163741390"/>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163741391"/>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163736082"/>
      <w:bookmarkStart w:id="124" w:name="_Toc163739698"/>
      <w:bookmarkStart w:id="125" w:name="_Toc163741392"/>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163741393"/>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163741394"/>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163741395"/>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163741396"/>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163741397"/>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163741398"/>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163741399"/>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163741400"/>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163741401"/>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163741402"/>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163741403"/>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163741404"/>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163741405"/>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163741406"/>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163736097"/>
      <w:bookmarkStart w:id="141" w:name="_Toc163739713"/>
      <w:bookmarkStart w:id="142" w:name="_Toc163741407"/>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163741408"/>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163741409"/>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163741410"/>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163741411"/>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163741412"/>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163741413"/>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w:t>
      </w:r>
    </w:p>
    <w:p>
      <w:pPr>
        <w:pStyle w:val="Heading5"/>
      </w:pPr>
      <w:bookmarkStart w:id="149" w:name="_Toc163741414"/>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lastRenderedPageBreak/>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163741415"/>
      <w:r>
        <w:rPr>
          <w:rStyle w:val="CharSectno"/>
        </w:rPr>
        <w:lastRenderedPageBreak/>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4</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w:t>
      </w:r>
    </w:p>
    <w:p>
      <w:pPr>
        <w:pStyle w:val="Heading5"/>
      </w:pPr>
      <w:bookmarkStart w:id="151" w:name="_Toc163741416"/>
      <w:r>
        <w:rPr>
          <w:rStyle w:val="CharSectno"/>
        </w:rPr>
        <w:lastRenderedPageBreak/>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163741417"/>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163741418"/>
      <w:r>
        <w:rPr>
          <w:rStyle w:val="CharSectno"/>
        </w:rPr>
        <w:t>100</w:t>
      </w:r>
      <w:r>
        <w:t>.</w:t>
      </w:r>
      <w:r>
        <w:tab/>
        <w:t>Disclosure of remuneration and other benefits</w:t>
      </w:r>
      <w:bookmarkEnd w:id="153"/>
      <w:r>
        <w:t xml:space="preserve"> </w:t>
      </w:r>
      <w:r>
        <w:tab/>
      </w:r>
    </w:p>
    <w:p>
      <w:pPr>
        <w:pStyle w:val="Subsection"/>
      </w:pPr>
      <w:r>
        <w:tab/>
        <w:t>(1)</w:t>
      </w:r>
      <w:r>
        <w:tab/>
        <w:t xml:space="preserve">For the purposes of section 147(2), section 147(1) (the requirement to inform the strata company of remuneration or other benefits) does not apply to any remuneration or other </w:t>
      </w:r>
      <w:r>
        <w:lastRenderedPageBreak/>
        <w:t>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163741419"/>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w:t>
      </w:r>
      <w:r>
        <w:lastRenderedPageBreak/>
        <w:t xml:space="preserve">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163741420"/>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163736111"/>
      <w:bookmarkStart w:id="157" w:name="_Toc163739727"/>
      <w:bookmarkStart w:id="158" w:name="_Toc163741421"/>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163741422"/>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163741423"/>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163741424"/>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163741425"/>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163736116"/>
      <w:bookmarkStart w:id="164" w:name="_Toc163739732"/>
      <w:bookmarkStart w:id="165" w:name="_Toc163741426"/>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163736117"/>
      <w:bookmarkStart w:id="167" w:name="_Toc163739733"/>
      <w:bookmarkStart w:id="168" w:name="_Toc163741427"/>
      <w:r>
        <w:rPr>
          <w:rStyle w:val="CharDivNo"/>
        </w:rPr>
        <w:t>Division 1</w:t>
      </w:r>
      <w:r>
        <w:t> — </w:t>
      </w:r>
      <w:r>
        <w:rPr>
          <w:rStyle w:val="CharDivText"/>
        </w:rPr>
        <w:t>Preliminary</w:t>
      </w:r>
      <w:bookmarkEnd w:id="166"/>
      <w:bookmarkEnd w:id="167"/>
      <w:bookmarkEnd w:id="168"/>
    </w:p>
    <w:p>
      <w:pPr>
        <w:pStyle w:val="Heading5"/>
      </w:pPr>
      <w:bookmarkStart w:id="169" w:name="_Toc163741428"/>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163736119"/>
      <w:bookmarkStart w:id="171" w:name="_Toc163739735"/>
      <w:bookmarkStart w:id="172" w:name="_Toc163741429"/>
      <w:r>
        <w:rPr>
          <w:rStyle w:val="CharDivNo"/>
        </w:rPr>
        <w:t>Division 2</w:t>
      </w:r>
      <w:r>
        <w:t> — </w:t>
      </w:r>
      <w:r>
        <w:rPr>
          <w:rStyle w:val="CharDivText"/>
        </w:rPr>
        <w:t>Outline proposal</w:t>
      </w:r>
      <w:bookmarkEnd w:id="170"/>
      <w:bookmarkEnd w:id="171"/>
      <w:bookmarkEnd w:id="172"/>
    </w:p>
    <w:p>
      <w:pPr>
        <w:pStyle w:val="Heading5"/>
      </w:pPr>
      <w:bookmarkStart w:id="173" w:name="_Toc163741430"/>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163741431"/>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163736122"/>
      <w:bookmarkStart w:id="176" w:name="_Toc163739738"/>
      <w:bookmarkStart w:id="177" w:name="_Toc163741432"/>
      <w:r>
        <w:rPr>
          <w:rStyle w:val="CharDivNo"/>
        </w:rPr>
        <w:t>Division 3</w:t>
      </w:r>
      <w:r>
        <w:t> — </w:t>
      </w:r>
      <w:r>
        <w:rPr>
          <w:rStyle w:val="CharDivText"/>
        </w:rPr>
        <w:t>Independent advocate</w:t>
      </w:r>
      <w:bookmarkEnd w:id="175"/>
      <w:bookmarkEnd w:id="176"/>
      <w:bookmarkEnd w:id="177"/>
    </w:p>
    <w:p>
      <w:pPr>
        <w:pStyle w:val="Heading5"/>
      </w:pPr>
      <w:bookmarkStart w:id="178" w:name="_Toc163741433"/>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163741434"/>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163741435"/>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163741436"/>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163741437"/>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163736128"/>
      <w:bookmarkStart w:id="184" w:name="_Toc163739744"/>
      <w:bookmarkStart w:id="185" w:name="_Toc163741438"/>
      <w:r>
        <w:rPr>
          <w:rStyle w:val="CharDivNo"/>
        </w:rPr>
        <w:t>Division 4</w:t>
      </w:r>
      <w:r>
        <w:t> — </w:t>
      </w:r>
      <w:r>
        <w:rPr>
          <w:rStyle w:val="CharDivText"/>
        </w:rPr>
        <w:t>Full proposal</w:t>
      </w:r>
      <w:bookmarkEnd w:id="183"/>
      <w:bookmarkEnd w:id="184"/>
      <w:bookmarkEnd w:id="185"/>
    </w:p>
    <w:p>
      <w:pPr>
        <w:pStyle w:val="Heading5"/>
      </w:pPr>
      <w:bookmarkStart w:id="186" w:name="_Toc163741439"/>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163741440"/>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163741441"/>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163741442"/>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163741443"/>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163741444"/>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163736135"/>
      <w:bookmarkStart w:id="193" w:name="_Toc163739751"/>
      <w:bookmarkStart w:id="194" w:name="_Toc163741445"/>
      <w:r>
        <w:rPr>
          <w:rStyle w:val="CharDivNo"/>
        </w:rPr>
        <w:t>Division 5</w:t>
      </w:r>
      <w:r>
        <w:t> — </w:t>
      </w:r>
      <w:r>
        <w:rPr>
          <w:rStyle w:val="CharDivText"/>
        </w:rPr>
        <w:t>Voting, confirmation and withdrawal</w:t>
      </w:r>
      <w:bookmarkEnd w:id="192"/>
      <w:bookmarkEnd w:id="193"/>
      <w:bookmarkEnd w:id="194"/>
    </w:p>
    <w:p>
      <w:pPr>
        <w:pStyle w:val="Heading5"/>
      </w:pPr>
      <w:bookmarkStart w:id="195" w:name="_Toc163741446"/>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163741447"/>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163741448"/>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163741449"/>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163741450"/>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163741451"/>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163741452"/>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163736143"/>
      <w:bookmarkStart w:id="203" w:name="_Toc163739759"/>
      <w:bookmarkStart w:id="204" w:name="_Toc163741453"/>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163741454"/>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163741455"/>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163741456"/>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163741457"/>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163741458"/>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163741459"/>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163741460"/>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163741461"/>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163741462"/>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163741463"/>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163741464"/>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163741465"/>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163741466"/>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163741467"/>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lastRenderedPageBreak/>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163741468"/>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163736159"/>
      <w:bookmarkStart w:id="221" w:name="_Toc163739775"/>
      <w:bookmarkStart w:id="222" w:name="_Toc163741469"/>
      <w:r>
        <w:rPr>
          <w:rStyle w:val="CharDivNo"/>
        </w:rPr>
        <w:t>Division 7</w:t>
      </w:r>
      <w:r>
        <w:t> — </w:t>
      </w:r>
      <w:r>
        <w:rPr>
          <w:rStyle w:val="CharDivText"/>
        </w:rPr>
        <w:t>Vulnerable persons</w:t>
      </w:r>
      <w:bookmarkEnd w:id="220"/>
      <w:bookmarkEnd w:id="221"/>
      <w:bookmarkEnd w:id="222"/>
    </w:p>
    <w:p>
      <w:pPr>
        <w:pStyle w:val="Heading5"/>
      </w:pPr>
      <w:bookmarkStart w:id="223" w:name="_Toc163741470"/>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lastRenderedPageBreak/>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163741471"/>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163741472"/>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163741473"/>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163736164"/>
      <w:bookmarkStart w:id="228" w:name="_Toc163739780"/>
      <w:bookmarkStart w:id="229" w:name="_Toc163741474"/>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163741475"/>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163741476"/>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163741477"/>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163741478"/>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163741479"/>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163741480"/>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163736171"/>
      <w:bookmarkStart w:id="237" w:name="_Toc163739787"/>
      <w:bookmarkStart w:id="238" w:name="_Toc163741481"/>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163741482"/>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163741483"/>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163741484"/>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163741485"/>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163741486"/>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163741487"/>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163741488"/>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163736179"/>
      <w:bookmarkStart w:id="247" w:name="_Toc163739795"/>
      <w:bookmarkStart w:id="248" w:name="_Toc163741489"/>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163741490"/>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163741491"/>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163741492"/>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163736183"/>
      <w:bookmarkStart w:id="253" w:name="_Toc163739799"/>
      <w:bookmarkStart w:id="254" w:name="_Toc163741493"/>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163741494"/>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163741495"/>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163741496"/>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163741497"/>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163741498"/>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163741499"/>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163741500"/>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163741501"/>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163741502"/>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163736193"/>
      <w:bookmarkStart w:id="265" w:name="_Toc163739809"/>
      <w:bookmarkStart w:id="266" w:name="_Toc163741503"/>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163741504"/>
      <w:r>
        <w:rPr>
          <w:rStyle w:val="CharSectno"/>
        </w:rPr>
        <w:t>172</w:t>
      </w:r>
      <w:r>
        <w:t>.</w:t>
      </w:r>
      <w:r>
        <w:tab/>
        <w:t>Terms used</w:t>
      </w:r>
      <w:bookmarkEnd w:id="267"/>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w:t>
      </w:r>
    </w:p>
    <w:p>
      <w:pPr>
        <w:pStyle w:val="Heading5"/>
      </w:pPr>
      <w:bookmarkStart w:id="268" w:name="_Toc163741505"/>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163741506"/>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163741507"/>
      <w:r>
        <w:rPr>
          <w:rStyle w:val="CharSectno"/>
        </w:rPr>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w:t>
      </w:r>
      <w:r>
        <w:lastRenderedPageBreak/>
        <w:t>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163741508"/>
      <w:r>
        <w:rPr>
          <w:rStyle w:val="CharSectno"/>
        </w:rPr>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w:t>
      </w:r>
      <w:r>
        <w:lastRenderedPageBreak/>
        <w:t xml:space="preserve">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272" w:name="_Toc163741509"/>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lastRenderedPageBreak/>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 xml:space="preserve">The Registrar of Titles may require a replacement scheme plan to be lodged in relation to an application referred to in </w:t>
      </w:r>
      <w:r>
        <w:lastRenderedPageBreak/>
        <w:t>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163741510"/>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 xml:space="preserve">the regulations in force under section 8A(a)(ii)(II) immediately before the commencement day continue to apply for the purpose of determining whether the </w:t>
      </w:r>
      <w:r>
        <w:lastRenderedPageBreak/>
        <w:t>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163741511"/>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163741512"/>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lastRenderedPageBreak/>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163741513"/>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lastRenderedPageBreak/>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163741514"/>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4</w:t>
      </w:r>
      <w:r>
        <w:noBreakHyphen/>
        <w:t>year and 6</w:t>
      </w:r>
      <w:r>
        <w:noBreakHyphen/>
        <w:t>month transitional period.</w:t>
      </w:r>
    </w:p>
    <w:p>
      <w:pPr>
        <w:pStyle w:val="Subsection"/>
      </w:pPr>
      <w:r>
        <w:tab/>
        <w:t>(2)</w:t>
      </w:r>
      <w:r>
        <w:tab/>
        <w:t>Regulation 97 does not apply to a strata management contract entered into before the end of the 4</w:t>
      </w:r>
      <w:r>
        <w:noBreakHyphen/>
        <w:t>year and 6</w:t>
      </w:r>
      <w:r>
        <w:noBreakHyphen/>
        <w:t>month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and 6</w:t>
      </w:r>
      <w:r>
        <w:noBreakHyphen/>
        <w:t>month transitional period that does not comply with regulation 97 must —</w:t>
      </w:r>
    </w:p>
    <w:p>
      <w:pPr>
        <w:pStyle w:val="Indenta"/>
      </w:pPr>
      <w:r>
        <w:tab/>
        <w:t>(a)</w:t>
      </w:r>
      <w:r>
        <w:tab/>
        <w:t>indicate that the strata manager is required by law to ensure that, by the end of the 4</w:t>
      </w:r>
      <w:r>
        <w:noBreakHyphen/>
        <w:t>year and 6</w:t>
      </w:r>
      <w:r>
        <w:noBreakHyphen/>
        <w:t xml:space="preserve">month transitional period, each person who is a principal of the business of the strata manager, or a designated person in relation to the strata manager who has a key role in </w:t>
      </w:r>
      <w:r>
        <w:lastRenderedPageBreak/>
        <w:t>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and 6</w:t>
      </w:r>
      <w:r>
        <w:noBreakHyphen/>
        <w:t>month transitional period, specify that —</w:t>
      </w:r>
    </w:p>
    <w:p>
      <w:pPr>
        <w:pStyle w:val="Indenti"/>
      </w:pPr>
      <w:r>
        <w:tab/>
        <w:t>(i)</w:t>
      </w:r>
      <w:r>
        <w:tab/>
        <w:t>at the end of the 4</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and 6</w:t>
      </w:r>
      <w:r>
        <w:noBreakHyphen/>
        <w:t xml:space="preserve">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w:t>
      </w:r>
      <w:r>
        <w:lastRenderedPageBreak/>
        <w:t>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w:t>
      </w:r>
    </w:p>
    <w:p>
      <w:pPr>
        <w:pStyle w:val="Heading5"/>
      </w:pPr>
      <w:bookmarkStart w:id="278" w:name="_Toc163732790"/>
      <w:bookmarkStart w:id="279" w:name="_Toc163732922"/>
      <w:bookmarkStart w:id="280" w:name="_Toc163741515"/>
      <w:r>
        <w:rPr>
          <w:rStyle w:val="CharSectno"/>
        </w:rPr>
        <w:t>182A</w:t>
      </w:r>
      <w:r>
        <w:t>.</w:t>
      </w:r>
      <w:r>
        <w:tab/>
        <w:t xml:space="preserve">Transitional provision for the </w:t>
      </w:r>
      <w:r>
        <w:rPr>
          <w:bCs/>
          <w:i/>
          <w:noProof/>
        </w:rPr>
        <w:t>Lands Regulations (Community and Strata Titles) Amendment Regulations 2024</w:t>
      </w:r>
      <w:bookmarkEnd w:id="278"/>
      <w:bookmarkEnd w:id="279"/>
      <w:bookmarkEnd w:id="280"/>
    </w:p>
    <w:p>
      <w:pPr>
        <w:pStyle w:val="Subsection"/>
      </w:pPr>
      <w:r>
        <w:tab/>
        <w:t>(1)</w:t>
      </w:r>
      <w:r>
        <w:tab/>
        <w:t xml:space="preserve">This regulation applies to a strata management contract referred to in regulation 182 that was entered into before the commencement of the </w:t>
      </w:r>
      <w:r>
        <w:rPr>
          <w:bCs/>
          <w:i/>
          <w:noProof/>
        </w:rPr>
        <w:t>Lands Regulations (Community and Strata Titles) Amendment Regulations 2024</w:t>
      </w:r>
      <w:r>
        <w:rPr>
          <w:bCs/>
          <w:i/>
        </w:rPr>
        <w:t xml:space="preserve"> </w:t>
      </w:r>
      <w:r>
        <w:rPr>
          <w:bCs/>
          <w:iCs/>
        </w:rPr>
        <w:t>regulation 9</w:t>
      </w:r>
      <w:r>
        <w:rPr>
          <w:i/>
          <w:iCs/>
        </w:rPr>
        <w:t>.</w:t>
      </w:r>
    </w:p>
    <w:p>
      <w:pPr>
        <w:pStyle w:val="Subsection"/>
      </w:pPr>
      <w:r>
        <w:tab/>
        <w:t>(2)</w:t>
      </w:r>
      <w:r>
        <w:tab/>
        <w:t>A reference in the contract to the end of the 4</w:t>
      </w:r>
      <w:r>
        <w:noBreakHyphen/>
        <w:t>year transitional period is taken to be a reference to the end of the 4</w:t>
      </w:r>
      <w:r>
        <w:noBreakHyphen/>
        <w:t>year and 6</w:t>
      </w:r>
      <w:r>
        <w:noBreakHyphen/>
        <w:t>month transitional period.</w:t>
      </w:r>
    </w:p>
    <w:p>
      <w:pPr>
        <w:pStyle w:val="Footnotesection"/>
      </w:pPr>
      <w:r>
        <w:tab/>
        <w:t>[Regulation 182A inserted: SL 2024/50 r. 10.]</w:t>
      </w:r>
    </w:p>
    <w:p>
      <w:pPr>
        <w:pStyle w:val="Heading5"/>
      </w:pPr>
      <w:bookmarkStart w:id="281" w:name="_Toc163741516"/>
      <w:r>
        <w:rPr>
          <w:rStyle w:val="CharSectno"/>
        </w:rPr>
        <w:t>183</w:t>
      </w:r>
      <w:r>
        <w:t>.</w:t>
      </w:r>
      <w:r>
        <w:tab/>
        <w:t>Phasing</w:t>
      </w:r>
      <w:r>
        <w:noBreakHyphen/>
        <w:t>in of professional indemnity insurance requirements</w:t>
      </w:r>
      <w:bookmarkEnd w:id="281"/>
      <w:r>
        <w:t xml:space="preserve"> </w:t>
      </w:r>
    </w:p>
    <w:p>
      <w:pPr>
        <w:pStyle w:val="Subsection"/>
      </w:pPr>
      <w:r>
        <w:tab/>
        <w:t>(1)</w:t>
      </w:r>
      <w:r>
        <w:tab/>
        <w:t>Regulation 98 takes effect at the end of the 6</w:t>
      </w:r>
      <w:r>
        <w:noBreakHyphen/>
        <w:t>month grace period.</w:t>
      </w:r>
    </w:p>
    <w:p>
      <w:pPr>
        <w:pStyle w:val="Subsection"/>
      </w:pPr>
      <w:r>
        <w:lastRenderedPageBreak/>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2" w:name="_Toc163736206"/>
      <w:bookmarkStart w:id="283" w:name="_Toc163739823"/>
      <w:bookmarkStart w:id="284" w:name="_Toc163741517"/>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2"/>
      <w:bookmarkEnd w:id="283"/>
      <w:bookmarkEnd w:id="284"/>
    </w:p>
    <w:p>
      <w:pPr>
        <w:pStyle w:val="yHeading5"/>
      </w:pPr>
      <w:bookmarkStart w:id="285" w:name="_Toc163741518"/>
      <w:r>
        <w:rPr>
          <w:rStyle w:val="CharSClsNo"/>
        </w:rPr>
        <w:t>1</w:t>
      </w:r>
      <w:r>
        <w:t>.</w:t>
      </w:r>
      <w:r>
        <w:tab/>
        <w:t>Term used: Schedule 2A</w:t>
      </w:r>
      <w:bookmarkEnd w:id="285"/>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6" w:name="_Toc163741519"/>
      <w:r>
        <w:rPr>
          <w:rStyle w:val="CharSClsNo"/>
        </w:rPr>
        <w:t>2</w:t>
      </w:r>
      <w:r>
        <w:t>.</w:t>
      </w:r>
      <w:r>
        <w:tab/>
        <w:t>Application of Schedule</w:t>
      </w:r>
      <w:bookmarkEnd w:id="286"/>
    </w:p>
    <w:p>
      <w:pPr>
        <w:pStyle w:val="ySubsection"/>
      </w:pPr>
      <w:r>
        <w:tab/>
      </w:r>
      <w:r>
        <w:tab/>
        <w:t>This Schedule prescribes matters for the purposes of Schedule 2A.</w:t>
      </w:r>
    </w:p>
    <w:p>
      <w:pPr>
        <w:pStyle w:val="yHeading5"/>
      </w:pPr>
      <w:bookmarkStart w:id="287" w:name="_Toc163741520"/>
      <w:r>
        <w:rPr>
          <w:rStyle w:val="CharSClsNo"/>
        </w:rPr>
        <w:t>3</w:t>
      </w:r>
      <w:r>
        <w:t>.</w:t>
      </w:r>
      <w:r>
        <w:tab/>
        <w:t>Permitted boundary deviation</w:t>
      </w:r>
      <w:bookmarkEnd w:id="287"/>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8" w:name="_Toc163741521"/>
      <w:r>
        <w:rPr>
          <w:rStyle w:val="CharSClsNo"/>
        </w:rPr>
        <w:t>4</w:t>
      </w:r>
      <w:r>
        <w:t>.</w:t>
      </w:r>
      <w:r>
        <w:tab/>
        <w:t>Boundaries of cubic space — things that are included</w:t>
      </w:r>
      <w:bookmarkEnd w:id="288"/>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9" w:name="_Toc163741522"/>
      <w:r>
        <w:rPr>
          <w:rStyle w:val="CharSClsNo"/>
        </w:rPr>
        <w:t>5</w:t>
      </w:r>
      <w:r>
        <w:t>.</w:t>
      </w:r>
      <w:r>
        <w:tab/>
        <w:t>Boundaries of cubic space — things that are excluded</w:t>
      </w:r>
      <w:bookmarkEnd w:id="289"/>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90" w:name="_Toc163741523"/>
      <w:r>
        <w:rPr>
          <w:rStyle w:val="CharSClsNo"/>
        </w:rPr>
        <w:t>6</w:t>
      </w:r>
      <w:r>
        <w:t>.</w:t>
      </w:r>
      <w:r>
        <w:tab/>
        <w:t>Merger by resolution of buildings that are common property — sketch plan required</w:t>
      </w:r>
      <w:bookmarkEnd w:id="290"/>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91" w:name="_Toc163741524"/>
      <w:r>
        <w:rPr>
          <w:rStyle w:val="CharSClsNo"/>
        </w:rPr>
        <w:t>7</w:t>
      </w:r>
      <w:r>
        <w:t>.</w:t>
      </w:r>
      <w:r>
        <w:tab/>
        <w:t>Merger by resolution of land that is common property — requirements for sketch plan</w:t>
      </w:r>
      <w:bookmarkEnd w:id="291"/>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2" w:name="_Toc163741525"/>
      <w:r>
        <w:rPr>
          <w:rStyle w:val="CharSClsNo"/>
        </w:rPr>
        <w:t>8</w:t>
      </w:r>
      <w:r>
        <w:t>.</w:t>
      </w:r>
      <w:r>
        <w:tab/>
        <w:t>Merger by resolution of land that is common property — surveyor’s certificate</w:t>
      </w:r>
      <w:bookmarkEnd w:id="292"/>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3" w:name="_Toc163741526"/>
      <w:r>
        <w:rPr>
          <w:rStyle w:val="CharSClsNo"/>
        </w:rPr>
        <w:t>9</w:t>
      </w:r>
      <w:r>
        <w:t>.</w:t>
      </w:r>
      <w:r>
        <w:tab/>
        <w:t>Merger by resolution of land that is common property — disposition statement</w:t>
      </w:r>
      <w:bookmarkEnd w:id="293"/>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4" w:name="_Toc163741527"/>
      <w:r>
        <w:rPr>
          <w:rStyle w:val="CharSClsNo"/>
        </w:rPr>
        <w:t>10</w:t>
      </w:r>
      <w:r>
        <w:t>.</w:t>
      </w:r>
      <w:r>
        <w:tab/>
        <w:t>Conversion of strata scheme to survey</w:t>
      </w:r>
      <w:r>
        <w:noBreakHyphen/>
        <w:t>strata scheme — survey</w:t>
      </w:r>
      <w:r>
        <w:noBreakHyphen/>
        <w:t>strata plan</w:t>
      </w:r>
      <w:bookmarkEnd w:id="294"/>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5" w:name="_Toc163741528"/>
      <w:r>
        <w:rPr>
          <w:rStyle w:val="CharSClsNo"/>
        </w:rPr>
        <w:t>11</w:t>
      </w:r>
      <w:r>
        <w:t>.</w:t>
      </w:r>
      <w:r>
        <w:tab/>
        <w:t>Conversion of strata scheme to survey</w:t>
      </w:r>
      <w:r>
        <w:noBreakHyphen/>
        <w:t>strata scheme — certificate of interest holders</w:t>
      </w:r>
      <w:bookmarkEnd w:id="295"/>
    </w:p>
    <w:p>
      <w:pPr>
        <w:pStyle w:val="ySubsection"/>
      </w:pPr>
      <w:r>
        <w:tab/>
      </w:r>
      <w:r>
        <w:tab/>
        <w:t>A certificate under Schedule 2A clause 31E(1)(e) must be in an approved form.</w:t>
      </w:r>
    </w:p>
    <w:p>
      <w:pPr>
        <w:pStyle w:val="yHeading5"/>
      </w:pPr>
      <w:bookmarkStart w:id="296" w:name="_Toc163741529"/>
      <w:r>
        <w:rPr>
          <w:rStyle w:val="CharSClsNo"/>
        </w:rPr>
        <w:t>12</w:t>
      </w:r>
      <w:r>
        <w:t>.</w:t>
      </w:r>
      <w:r>
        <w:tab/>
        <w:t>Conversion of strata scheme to survey</w:t>
      </w:r>
      <w:r>
        <w:noBreakHyphen/>
        <w:t>strata scheme — certificate of licensed surveyor</w:t>
      </w:r>
      <w:bookmarkEnd w:id="296"/>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7" w:name="_Toc163741530"/>
      <w:r>
        <w:rPr>
          <w:rStyle w:val="CharSClsNo"/>
        </w:rPr>
        <w:t>13</w:t>
      </w:r>
      <w:r>
        <w:t>.</w:t>
      </w:r>
      <w:r>
        <w:tab/>
        <w:t>Conversion of strata scheme to survey</w:t>
      </w:r>
      <w:r>
        <w:noBreakHyphen/>
        <w:t>strata scheme — disposition statement</w:t>
      </w:r>
      <w:bookmarkEnd w:id="297"/>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8" w:name="_Toc163741531"/>
      <w:r>
        <w:rPr>
          <w:rStyle w:val="CharSClsNo"/>
        </w:rPr>
        <w:t>14</w:t>
      </w:r>
      <w:r>
        <w:t>.</w:t>
      </w:r>
      <w:r>
        <w:tab/>
        <w:t>Action to be taken by Registrar of Titles</w:t>
      </w:r>
      <w:bookmarkEnd w:id="298"/>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9" w:name="_Toc163741532"/>
      <w:r>
        <w:rPr>
          <w:rStyle w:val="CharSClsNo"/>
        </w:rPr>
        <w:lastRenderedPageBreak/>
        <w:t>15</w:t>
      </w:r>
      <w:r>
        <w:t>.</w:t>
      </w:r>
      <w:r>
        <w:tab/>
        <w:t>Insurance</w:t>
      </w:r>
      <w:bookmarkEnd w:id="299"/>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300" w:name="_Toc163736222"/>
      <w:bookmarkStart w:id="301" w:name="_Toc163739839"/>
      <w:bookmarkStart w:id="302" w:name="_Toc163741533"/>
      <w:r>
        <w:rPr>
          <w:rStyle w:val="CharSchNo"/>
        </w:rPr>
        <w:lastRenderedPageBreak/>
        <w:t>Schedule 2</w:t>
      </w:r>
      <w:r>
        <w:rPr>
          <w:rStyle w:val="CharSDivNo"/>
        </w:rPr>
        <w:t> </w:t>
      </w:r>
      <w:r>
        <w:t>—</w:t>
      </w:r>
      <w:r>
        <w:rPr>
          <w:rStyle w:val="CharSDivText"/>
        </w:rPr>
        <w:t> </w:t>
      </w:r>
      <w:r>
        <w:rPr>
          <w:rStyle w:val="CharSchText"/>
        </w:rPr>
        <w:t>Explanation of effect of section 47</w:t>
      </w:r>
      <w:bookmarkEnd w:id="300"/>
      <w:bookmarkEnd w:id="301"/>
      <w:bookmarkEnd w:id="302"/>
    </w:p>
    <w:p>
      <w:pPr>
        <w:pStyle w:val="yShoulderClause"/>
      </w:pPr>
      <w:r>
        <w:t>[r. 57]</w:t>
      </w:r>
    </w:p>
    <w:p>
      <w:pPr>
        <w:pStyle w:val="yHeading5"/>
      </w:pPr>
      <w:bookmarkStart w:id="303" w:name="_Toc163741534"/>
      <w:r>
        <w:rPr>
          <w:rStyle w:val="CharSClsNo"/>
        </w:rPr>
        <w:t>1</w:t>
      </w:r>
      <w:r>
        <w:t>.</w:t>
      </w:r>
      <w:r>
        <w:tab/>
        <w:t>Enforcement of scheme by</w:t>
      </w:r>
      <w:r>
        <w:noBreakHyphen/>
        <w:t>laws</w:t>
      </w:r>
      <w:bookmarkEnd w:id="303"/>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4" w:name="_Toc163741535"/>
      <w:r>
        <w:rPr>
          <w:rStyle w:val="CharSClsNo"/>
        </w:rPr>
        <w:t>2</w:t>
      </w:r>
      <w:r>
        <w:t>.</w:t>
      </w:r>
      <w:r>
        <w:tab/>
        <w:t>Who can apply for enforcement of scheme by</w:t>
      </w:r>
      <w:r>
        <w:noBreakHyphen/>
        <w:t>laws</w:t>
      </w:r>
      <w:bookmarkEnd w:id="304"/>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5" w:name="_Toc163741536"/>
      <w:r>
        <w:rPr>
          <w:rStyle w:val="CharSClsNo"/>
        </w:rPr>
        <w:t>3</w:t>
      </w:r>
      <w:r>
        <w:t>.</w:t>
      </w:r>
      <w:r>
        <w:tab/>
        <w:t>How this could affect you</w:t>
      </w:r>
      <w:bookmarkEnd w:id="305"/>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6" w:name="_Toc163736226"/>
      <w:bookmarkStart w:id="307" w:name="_Toc163739843"/>
      <w:bookmarkStart w:id="308" w:name="_Toc163741537"/>
      <w:r>
        <w:rPr>
          <w:rStyle w:val="CharSchNo"/>
        </w:rPr>
        <w:lastRenderedPageBreak/>
        <w:t>Schedule 3</w:t>
      </w:r>
      <w:r>
        <w:t> — </w:t>
      </w:r>
      <w:r>
        <w:rPr>
          <w:rStyle w:val="CharSchText"/>
        </w:rPr>
        <w:t>Provisions to be included in strata lease</w:t>
      </w:r>
      <w:bookmarkEnd w:id="306"/>
      <w:bookmarkEnd w:id="307"/>
      <w:bookmarkEnd w:id="308"/>
    </w:p>
    <w:p>
      <w:pPr>
        <w:pStyle w:val="yShoulderClause"/>
      </w:pPr>
      <w:r>
        <w:t>[r. 61, 62, 63]</w:t>
      </w:r>
    </w:p>
    <w:p>
      <w:pPr>
        <w:pStyle w:val="yHeading3"/>
      </w:pPr>
      <w:bookmarkStart w:id="309" w:name="_Toc163736227"/>
      <w:bookmarkStart w:id="310" w:name="_Toc163739844"/>
      <w:bookmarkStart w:id="311" w:name="_Toc163741538"/>
      <w:r>
        <w:rPr>
          <w:rStyle w:val="CharSDivNo"/>
        </w:rPr>
        <w:t>Division 1</w:t>
      </w:r>
      <w:r>
        <w:t> — </w:t>
      </w:r>
      <w:r>
        <w:rPr>
          <w:rStyle w:val="CharSDivText"/>
        </w:rPr>
        <w:t>General</w:t>
      </w:r>
      <w:bookmarkEnd w:id="309"/>
      <w:bookmarkEnd w:id="310"/>
      <w:bookmarkEnd w:id="311"/>
    </w:p>
    <w:p>
      <w:pPr>
        <w:pStyle w:val="yHeading5"/>
      </w:pPr>
      <w:bookmarkStart w:id="312" w:name="_Toc163741539"/>
      <w:r>
        <w:rPr>
          <w:rStyle w:val="CharSClsNo"/>
        </w:rPr>
        <w:t>1</w:t>
      </w:r>
      <w:r>
        <w:t>.</w:t>
      </w:r>
      <w:r>
        <w:tab/>
        <w:t>Preliminary</w:t>
      </w:r>
      <w:bookmarkEnd w:id="312"/>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3" w:name="_Toc163741540"/>
      <w:r>
        <w:rPr>
          <w:rStyle w:val="CharSClsNo"/>
        </w:rPr>
        <w:t>2</w:t>
      </w:r>
      <w:r>
        <w:t>.</w:t>
      </w:r>
      <w:r>
        <w:tab/>
        <w:t>Terms used</w:t>
      </w:r>
      <w:bookmarkEnd w:id="313"/>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4" w:name="_Toc163741541"/>
      <w:r>
        <w:rPr>
          <w:rStyle w:val="CharSClsNo"/>
        </w:rPr>
        <w:t>3</w:t>
      </w:r>
      <w:r>
        <w:t>.</w:t>
      </w:r>
      <w:r>
        <w:tab/>
        <w:t>Lease of the lot</w:t>
      </w:r>
      <w:bookmarkEnd w:id="314"/>
    </w:p>
    <w:p>
      <w:pPr>
        <w:pStyle w:val="ySubsection"/>
      </w:pPr>
      <w:r>
        <w:tab/>
      </w:r>
      <w:r>
        <w:tab/>
        <w:t>The lessor leases the lot to the lessee for the term of this strata lease.</w:t>
      </w:r>
    </w:p>
    <w:p>
      <w:pPr>
        <w:pStyle w:val="yHeading5"/>
      </w:pPr>
      <w:bookmarkStart w:id="315" w:name="_Toc163741542"/>
      <w:r>
        <w:rPr>
          <w:rStyle w:val="CharSClsNo"/>
        </w:rPr>
        <w:t>4</w:t>
      </w:r>
      <w:r>
        <w:t>.</w:t>
      </w:r>
      <w:r>
        <w:tab/>
        <w:t>Term of strata lease</w:t>
      </w:r>
      <w:bookmarkEnd w:id="315"/>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6" w:name="_Toc163741543"/>
      <w:r>
        <w:rPr>
          <w:rStyle w:val="CharSClsNo"/>
        </w:rPr>
        <w:t>5</w:t>
      </w:r>
      <w:r>
        <w:t>.</w:t>
      </w:r>
      <w:r>
        <w:tab/>
        <w:t>Covenants or conditions of strata lease</w:t>
      </w:r>
      <w:bookmarkEnd w:id="316"/>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7" w:name="_Toc163741544"/>
      <w:r>
        <w:rPr>
          <w:rStyle w:val="CharSClsNo"/>
        </w:rPr>
        <w:t>6</w:t>
      </w:r>
      <w:r>
        <w:t>.</w:t>
      </w:r>
      <w:r>
        <w:tab/>
        <w:t>Special provision for conditional tenure land</w:t>
      </w:r>
      <w:bookmarkEnd w:id="317"/>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8" w:name="_Toc163741545"/>
      <w:r>
        <w:rPr>
          <w:rStyle w:val="CharSClsNo"/>
        </w:rPr>
        <w:t>7</w:t>
      </w:r>
      <w:r>
        <w:t>.</w:t>
      </w:r>
      <w:r>
        <w:tab/>
        <w:t>Services of notices under strata lease</w:t>
      </w:r>
      <w:bookmarkEnd w:id="318"/>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9" w:name="_Toc163736235"/>
      <w:bookmarkStart w:id="320" w:name="_Toc163739852"/>
      <w:bookmarkStart w:id="321" w:name="_Toc163741546"/>
      <w:r>
        <w:rPr>
          <w:rStyle w:val="CharSDivNo"/>
        </w:rPr>
        <w:t>Division 2</w:t>
      </w:r>
      <w:r>
        <w:t> — </w:t>
      </w:r>
      <w:r>
        <w:rPr>
          <w:rStyle w:val="CharSDivText"/>
        </w:rPr>
        <w:t>Covenants or conditions</w:t>
      </w:r>
      <w:bookmarkEnd w:id="319"/>
      <w:bookmarkEnd w:id="320"/>
      <w:bookmarkEnd w:id="321"/>
      <w:r>
        <w:rPr>
          <w:rStyle w:val="CharSDivText"/>
        </w:rPr>
        <w:t xml:space="preserve"> </w:t>
      </w:r>
    </w:p>
    <w:p>
      <w:pPr>
        <w:pStyle w:val="yHeading5"/>
      </w:pPr>
      <w:bookmarkStart w:id="322" w:name="_Toc163741547"/>
      <w:r>
        <w:rPr>
          <w:rStyle w:val="CharSClsNo"/>
        </w:rPr>
        <w:t>8</w:t>
      </w:r>
      <w:r>
        <w:t>.</w:t>
      </w:r>
      <w:r>
        <w:tab/>
        <w:t>Term used: designated event</w:t>
      </w:r>
      <w:bookmarkEnd w:id="322"/>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3" w:name="_Toc163741548"/>
      <w:r>
        <w:rPr>
          <w:rStyle w:val="CharSClsNo"/>
        </w:rPr>
        <w:t>9</w:t>
      </w:r>
      <w:r>
        <w:t>.</w:t>
      </w:r>
      <w:r>
        <w:tab/>
        <w:t>Compliance with legislation</w:t>
      </w:r>
      <w:bookmarkEnd w:id="323"/>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4" w:name="_Toc163741549"/>
      <w:r>
        <w:rPr>
          <w:rStyle w:val="CharSClsNo"/>
        </w:rPr>
        <w:t>10</w:t>
      </w:r>
      <w:r>
        <w:t>.</w:t>
      </w:r>
      <w:r>
        <w:tab/>
        <w:t>Compliance with scheme by</w:t>
      </w:r>
      <w:r>
        <w:noBreakHyphen/>
        <w:t>laws</w:t>
      </w:r>
      <w:bookmarkEnd w:id="324"/>
    </w:p>
    <w:p>
      <w:pPr>
        <w:pStyle w:val="ySubsection"/>
      </w:pPr>
      <w:r>
        <w:tab/>
      </w:r>
      <w:r>
        <w:tab/>
        <w:t>Both the lessor and the lessee must comply with the scheme by</w:t>
      </w:r>
      <w:r>
        <w:noBreakHyphen/>
        <w:t>laws for the leasehold scheme.</w:t>
      </w:r>
    </w:p>
    <w:p>
      <w:pPr>
        <w:pStyle w:val="yHeading5"/>
      </w:pPr>
      <w:bookmarkStart w:id="325" w:name="_Toc163741550"/>
      <w:r>
        <w:rPr>
          <w:rStyle w:val="CharSClsNo"/>
        </w:rPr>
        <w:t>11</w:t>
      </w:r>
      <w:r>
        <w:t>.</w:t>
      </w:r>
      <w:r>
        <w:tab/>
        <w:t>Requirement to maintain lot</w:t>
      </w:r>
      <w:bookmarkEnd w:id="325"/>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6" w:name="_Toc163741551"/>
      <w:r>
        <w:rPr>
          <w:rStyle w:val="CharSClsNo"/>
        </w:rPr>
        <w:t>12</w:t>
      </w:r>
      <w:r>
        <w:t>.</w:t>
      </w:r>
      <w:r>
        <w:tab/>
        <w:t>Requirement to notify lessor of structural damage</w:t>
      </w:r>
      <w:bookmarkEnd w:id="326"/>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7" w:name="_Toc163741552"/>
      <w:r>
        <w:rPr>
          <w:rStyle w:val="CharSClsNo"/>
        </w:rPr>
        <w:t>13</w:t>
      </w:r>
      <w:r>
        <w:t>.</w:t>
      </w:r>
      <w:r>
        <w:tab/>
        <w:t>Payment of rates and charges</w:t>
      </w:r>
      <w:bookmarkEnd w:id="327"/>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8" w:name="_Toc163741553"/>
      <w:r>
        <w:rPr>
          <w:rStyle w:val="CharSClsNo"/>
        </w:rPr>
        <w:t>14</w:t>
      </w:r>
      <w:r>
        <w:t>.</w:t>
      </w:r>
      <w:r>
        <w:tab/>
        <w:t>Discharge of mortgages and removal of caveats</w:t>
      </w:r>
      <w:bookmarkEnd w:id="328"/>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9" w:name="_Toc163741554"/>
      <w:r>
        <w:rPr>
          <w:rStyle w:val="CharSClsNo"/>
        </w:rPr>
        <w:t>15</w:t>
      </w:r>
      <w:r>
        <w:t>.</w:t>
      </w:r>
      <w:r>
        <w:tab/>
        <w:t>Change in ownership details</w:t>
      </w:r>
      <w:bookmarkEnd w:id="329"/>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30" w:name="_Toc163741555"/>
      <w:r>
        <w:rPr>
          <w:rStyle w:val="CharSClsNo"/>
        </w:rPr>
        <w:t>16</w:t>
      </w:r>
      <w:r>
        <w:t>.</w:t>
      </w:r>
      <w:r>
        <w:tab/>
        <w:t>Lease by lessee must be consistent with strata lease</w:t>
      </w:r>
      <w:bookmarkEnd w:id="330"/>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31" w:name="_Toc163741556"/>
      <w:r>
        <w:rPr>
          <w:rStyle w:val="CharSClsNo"/>
        </w:rPr>
        <w:lastRenderedPageBreak/>
        <w:t>17</w:t>
      </w:r>
      <w:r>
        <w:t>.</w:t>
      </w:r>
      <w:r>
        <w:tab/>
        <w:t>Inspection of lot</w:t>
      </w:r>
      <w:bookmarkEnd w:id="331"/>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2" w:name="_Toc163741557"/>
      <w:r>
        <w:rPr>
          <w:rStyle w:val="CharSClsNo"/>
        </w:rPr>
        <w:t>18</w:t>
      </w:r>
      <w:r>
        <w:t>.</w:t>
      </w:r>
      <w:r>
        <w:tab/>
        <w:t>Lessee to deliver vacant possession when leasehold scheme expires</w:t>
      </w:r>
      <w:bookmarkEnd w:id="332"/>
    </w:p>
    <w:p>
      <w:pPr>
        <w:pStyle w:val="ySubsection"/>
      </w:pPr>
      <w:r>
        <w:tab/>
      </w:r>
      <w:r>
        <w:tab/>
        <w:t xml:space="preserve">The lessee must deliver vacant possession of the lot to the lessor when the leasehold scheme expires or if it is terminated. </w:t>
      </w:r>
    </w:p>
    <w:p>
      <w:pPr>
        <w:pStyle w:val="yScheduleHeading"/>
      </w:pPr>
      <w:bookmarkStart w:id="333" w:name="_Toc163736247"/>
      <w:bookmarkStart w:id="334" w:name="_Toc163739864"/>
      <w:bookmarkStart w:id="335" w:name="_Toc163741558"/>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3"/>
      <w:bookmarkEnd w:id="334"/>
      <w:bookmarkEnd w:id="335"/>
    </w:p>
    <w:p>
      <w:pPr>
        <w:pStyle w:val="yShoulderClause"/>
      </w:pPr>
      <w:r>
        <w:t>[r. 95, 97]</w:t>
      </w:r>
    </w:p>
    <w:p>
      <w:pPr>
        <w:pStyle w:val="yHeading5"/>
      </w:pPr>
      <w:bookmarkStart w:id="336" w:name="_Toc163741559"/>
      <w:r>
        <w:rPr>
          <w:rStyle w:val="CharSClsNo"/>
        </w:rPr>
        <w:t>1</w:t>
      </w:r>
      <w:r>
        <w:t>.</w:t>
      </w:r>
      <w:r>
        <w:tab/>
        <w:t>Terms used</w:t>
      </w:r>
      <w:bookmarkEnd w:id="336"/>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7" w:name="_Toc163741560"/>
      <w:r>
        <w:rPr>
          <w:rStyle w:val="CharSClsNo"/>
        </w:rPr>
        <w:t>2</w:t>
      </w:r>
      <w:r>
        <w:t>.</w:t>
      </w:r>
      <w:r>
        <w:tab/>
        <w:t>Principal of business</w:t>
      </w:r>
      <w:bookmarkEnd w:id="337"/>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8" w:name="_Toc163741561"/>
      <w:r>
        <w:rPr>
          <w:rStyle w:val="CharSClsNo"/>
        </w:rPr>
        <w:t>3</w:t>
      </w:r>
      <w:r>
        <w:t>.</w:t>
      </w:r>
      <w:r>
        <w:tab/>
        <w:t>Designated person</w:t>
      </w:r>
      <w:bookmarkEnd w:id="338"/>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9" w:name="_Toc163741562"/>
      <w:r>
        <w:rPr>
          <w:rStyle w:val="CharSClsNo"/>
        </w:rPr>
        <w:t>4</w:t>
      </w:r>
      <w:r>
        <w:t>.</w:t>
      </w:r>
      <w:r>
        <w:tab/>
        <w:t>Changes to titles of units</w:t>
      </w:r>
      <w:bookmarkEnd w:id="339"/>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40" w:name="_Toc163736252"/>
      <w:bookmarkStart w:id="341" w:name="_Toc163739869"/>
      <w:bookmarkStart w:id="342" w:name="_Toc163741563"/>
      <w:r>
        <w:rPr>
          <w:rStyle w:val="CharSchNo"/>
        </w:rPr>
        <w:lastRenderedPageBreak/>
        <w:t>Schedule 5</w:t>
      </w:r>
      <w:r>
        <w:rPr>
          <w:rStyle w:val="CharSDivNo"/>
        </w:rPr>
        <w:t> </w:t>
      </w:r>
      <w:r>
        <w:t>—</w:t>
      </w:r>
      <w:r>
        <w:rPr>
          <w:rStyle w:val="CharSDivText"/>
        </w:rPr>
        <w:t> </w:t>
      </w:r>
      <w:r>
        <w:rPr>
          <w:rStyle w:val="CharSchText"/>
        </w:rPr>
        <w:t>Fees payable to Registrar of Titles</w:t>
      </w:r>
      <w:bookmarkEnd w:id="340"/>
      <w:bookmarkEnd w:id="341"/>
      <w:bookmarkEnd w:id="342"/>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328.00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86.00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203.00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7.25</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7.25</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132.20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203.00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w:t>
      </w:r>
    </w:p>
    <w:p>
      <w:pPr>
        <w:pStyle w:val="yScheduleHeading"/>
      </w:pPr>
      <w:bookmarkStart w:id="343" w:name="_Toc163736253"/>
      <w:bookmarkStart w:id="344" w:name="_Toc163739870"/>
      <w:bookmarkStart w:id="345" w:name="_Toc163741564"/>
      <w:r>
        <w:rPr>
          <w:rStyle w:val="CharSchNo"/>
        </w:rPr>
        <w:lastRenderedPageBreak/>
        <w:t>Schedule 6</w:t>
      </w:r>
      <w:r>
        <w:rPr>
          <w:rStyle w:val="CharSDivNo"/>
        </w:rPr>
        <w:t> </w:t>
      </w:r>
      <w:r>
        <w:t>—</w:t>
      </w:r>
      <w:r>
        <w:rPr>
          <w:rStyle w:val="CharSDivText"/>
        </w:rPr>
        <w:t> </w:t>
      </w:r>
      <w:r>
        <w:rPr>
          <w:rStyle w:val="CharSchText"/>
        </w:rPr>
        <w:t>Fees payable to Planning Commission</w:t>
      </w:r>
      <w:bookmarkEnd w:id="343"/>
      <w:bookmarkEnd w:id="344"/>
      <w:bookmarkEnd w:id="345"/>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6" w:name="_Toc163736254"/>
      <w:bookmarkStart w:id="347" w:name="_Toc163739871"/>
      <w:bookmarkStart w:id="348" w:name="_Toc163741565"/>
      <w:r>
        <w:lastRenderedPageBreak/>
        <w:t>Notes</w:t>
      </w:r>
      <w:bookmarkEnd w:id="346"/>
      <w:bookmarkEnd w:id="347"/>
      <w:bookmarkEnd w:id="348"/>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w:t>
      </w:r>
    </w:p>
    <w:p>
      <w:pPr>
        <w:pStyle w:val="nHeading3"/>
      </w:pPr>
      <w:bookmarkStart w:id="349" w:name="_Toc163741566"/>
      <w:r>
        <w:t>Compilation table</w:t>
      </w:r>
      <w:bookmarkEnd w:id="34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single" w:sz="4" w:space="0" w:color="auto"/>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single" w:sz="4" w:space="0" w:color="auto"/>
            </w:tcBorders>
            <w:shd w:val="clear" w:color="auto" w:fill="auto"/>
          </w:tcPr>
          <w:p>
            <w:pPr>
              <w:pStyle w:val="nTable"/>
              <w:spacing w:after="40"/>
            </w:pPr>
            <w:r>
              <w:t xml:space="preserve">SL 2024/50 17 Apr 2024 </w:t>
            </w:r>
          </w:p>
        </w:tc>
        <w:tc>
          <w:tcPr>
            <w:tcW w:w="2693" w:type="dxa"/>
            <w:tcBorders>
              <w:top w:val="nil"/>
              <w:bottom w:val="single" w:sz="4" w:space="0" w:color="auto"/>
            </w:tcBorders>
            <w:shd w:val="clear" w:color="auto" w:fill="auto"/>
          </w:tcPr>
          <w:p>
            <w:pPr>
              <w:pStyle w:val="nTable"/>
              <w:spacing w:after="40"/>
            </w:pPr>
            <w:r>
              <w:t>18 Apr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51" w:name="_Toc163741567"/>
      <w:r>
        <w:rPr>
          <w:sz w:val="28"/>
        </w:rPr>
        <w:lastRenderedPageBreak/>
        <w:t>Defined terms</w:t>
      </w:r>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4-year and 6-month transitional period</w:t>
      </w:r>
      <w:r>
        <w:tab/>
        <w:t>172</w:t>
      </w:r>
    </w:p>
    <w:p>
      <w:pPr>
        <w:pStyle w:val="DefinedTerms"/>
      </w:pPr>
      <w:r>
        <w:t>4-year transitional period</w:t>
      </w:r>
      <w:r>
        <w:tab/>
        <w:t>172</w:t>
      </w:r>
    </w:p>
    <w:p>
      <w:pPr>
        <w:pStyle w:val="DefinedTerms"/>
      </w:pPr>
      <w:r>
        <w:t>5-year transitional period</w:t>
      </w:r>
      <w:r>
        <w:tab/>
        <w:t>172</w:t>
      </w:r>
    </w:p>
    <w:p>
      <w:pPr>
        <w:pStyle w:val="DefinedTerms"/>
      </w:pPr>
      <w:r>
        <w:t>6-month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89,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lastRenderedPageBreak/>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pre-commencement re-subdivision by-laws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106(3)</w:t>
      </w:r>
    </w:p>
    <w:p>
      <w:pPr>
        <w:pStyle w:val="DefinedTerms"/>
      </w:pPr>
      <w:r>
        <w:t>trust account</w:t>
      </w:r>
      <w:r>
        <w:tab/>
        <w:t>101(1)</w:t>
      </w:r>
    </w:p>
    <w:p>
      <w:pPr>
        <w:pStyle w:val="DefinedTerms"/>
      </w:pPr>
      <w:r>
        <w:t>unanimous owner-initiated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rPr>
          <w:sz w:val="20"/>
        </w:rPr>
      </w:pPr>
      <w:r>
        <w:br w:type="page"/>
      </w:r>
    </w:p>
    <w:p>
      <w:pPr>
        <w:pStyle w:val="DefinedTerms"/>
      </w:pPr>
    </w:p>
    <w:p>
      <w:pPr>
        <w:pStyle w:val="DefinedTerms"/>
      </w:pPr>
      <w:r>
        <w:t>voting right restriction</w:t>
      </w:r>
      <w:r>
        <w:tab/>
        <w:t>103(2)</w:t>
      </w:r>
    </w:p>
    <w:p>
      <w:pPr>
        <w:pStyle w:val="DefinedTerms"/>
      </w:pPr>
      <w:r>
        <w:t>vulnerable person</w:t>
      </w:r>
      <w:r>
        <w:tab/>
        <w:t>107</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4985C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CCE24FE" w14:textId="11B835F2" w:rsidR="000613A7" w:rsidRDefault="00E2563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36B84">
                        <w:rPr>
                          <w:sz w:val="16"/>
                        </w:rPr>
                        <w:t>2024</w:t>
                      </w:r>
                      <w:r>
                        <w:rPr>
                          <w:sz w:val="16"/>
                        </w:rPr>
                        <w:fldChar w:fldCharType="end"/>
                      </w:r>
                      <w:r>
                        <w:rPr>
                          <w:sz w:val="16"/>
                        </w:rPr>
                        <w:t>.</w:t>
                      </w:r>
                    </w:p>
                    <w:p w14:paraId="0B6E1040" w14:textId="77777777" w:rsidR="000613A7" w:rsidRDefault="00E2563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7210FD" w14:textId="32CFF10F" w:rsidR="000613A7" w:rsidRDefault="00E2563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36B84">
                        <w:rPr>
                          <w:sz w:val="16"/>
                        </w:rPr>
                        <w:t>2024</w:t>
                      </w:r>
                      <w:r>
                        <w:rPr>
                          <w:sz w:val="16"/>
                        </w:rPr>
                        <w:fldChar w:fldCharType="end"/>
                      </w:r>
                      <w:r>
                        <w:rPr>
                          <w:sz w:val="16"/>
                        </w:rPr>
                        <w:t>.</w:t>
                      </w:r>
                    </w:p>
                    <w:p w14:paraId="6B02740D" w14:textId="77777777" w:rsidR="000613A7" w:rsidRDefault="00E2563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0" w:name="Compilation"/>
    <w:bookmarkEnd w:id="35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2" w:name="DefinedTerms"/>
    <w:bookmarkEnd w:id="3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113413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43520</Words>
  <Characters>217168</Characters>
  <Application>Microsoft Office Word</Application>
  <DocSecurity>0</DocSecurity>
  <Lines>5869</Lines>
  <Paragraphs>3031</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2019 - 00-n0-01</dc:title>
  <dc:subject/>
  <dc:creator/>
  <cp:keywords/>
  <dc:description/>
  <cp:lastModifiedBy>Master Repository Process</cp:lastModifiedBy>
  <cp:revision>4</cp:revision>
  <cp:lastPrinted>2019-12-13T08:36:00Z</cp:lastPrinted>
  <dcterms:created xsi:type="dcterms:W3CDTF">2025-06-18T06:46:00Z</dcterms:created>
  <dcterms:modified xsi:type="dcterms:W3CDTF">2025-06-18T06:46:00Z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CommencementDate">
    <vt:lpwstr>20240418</vt:lpwstr>
  </property>
  <property fmtid="{D5CDD505-2E9C-101B-9397-08002B2CF9AE}" pid="5" name="CommencementAsAt">
    <vt:filetime>2024-04-17T16:00:00Z</vt:filetime>
  </property>
  <property fmtid="{D5CDD505-2E9C-101B-9397-08002B2CF9AE}" pid="6" name="CommencementYear">
    <vt:lpwstr>2024</vt:lpwstr>
  </property>
  <property fmtid="{D5CDD505-2E9C-101B-9397-08002B2CF9AE}" pid="7" name="AsAtDate">
    <vt:lpwstr>18 Apr 2024</vt:lpwstr>
  </property>
  <property fmtid="{D5CDD505-2E9C-101B-9397-08002B2CF9AE}" pid="8" name="Suffix">
    <vt:lpwstr>00-n0-01</vt:lpwstr>
  </property>
  <property fmtid="{D5CDD505-2E9C-101B-9397-08002B2CF9AE}" pid="9" name="Official">
    <vt:lpwstr/>
  </property>
</Properties>
</file>