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outlineLvl w:val="0"/>
      </w:pPr>
      <w:r>
        <w:t>CONTENTS</w:t>
      </w:r>
    </w:p>
    <w:p>
      <w:pPr>
        <w:pStyle w:val="TOC2"/>
        <w:tabs>
          <w:tab w:val="right" w:leader="dot" w:pos="7086"/>
        </w:tabs>
        <w:rPr>
          <w:rFonts w:asciiTheme="minorHAnsi" w:eastAsiaTheme="minorEastAsia" w:hAnsiTheme="minorHAnsi" w:cstheme="minorBidi"/>
          <w:b w:val="0"/>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_Toc390078283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_Toc390078284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_Toc390078286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Limiting the definition of company</w:t>
      </w:r>
      <w:r>
        <w:tab/>
      </w:r>
      <w:r>
        <w:fldChar w:fldCharType="begin"/>
      </w:r>
      <w:r>
        <w:instrText xml:space="preserve"> PAGEREF _Toc390078287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_Toc390078288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_Toc390078289 \h </w:instrText>
      </w:r>
      <w:r>
        <w:fldChar w:fldCharType="separate"/>
      </w:r>
      <w:r>
        <w:t>3</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_Toc390078290 \h </w:instrText>
      </w:r>
      <w:r>
        <w:fldChar w:fldCharType="separate"/>
      </w:r>
      <w:r>
        <w:t>3</w:t>
      </w:r>
      <w:r>
        <w:fldChar w:fldCharType="end"/>
      </w:r>
    </w:p>
    <w:p>
      <w:pPr>
        <w:pStyle w:val="TOC8"/>
        <w:rPr>
          <w:rFonts w:asciiTheme="minorHAnsi" w:eastAsiaTheme="minorEastAsia" w:hAnsiTheme="minorHAnsi" w:cstheme="minorBidi"/>
          <w:szCs w:val="22"/>
        </w:rPr>
      </w:pPr>
      <w:r>
        <w:t>6AB.</w:t>
      </w:r>
      <w:r>
        <w:tab/>
        <w:t>Relevant document (section 180(1)(j))</w:t>
      </w:r>
      <w:r>
        <w:tab/>
      </w:r>
      <w:r>
        <w:fldChar w:fldCharType="begin"/>
      </w:r>
      <w:r>
        <w:instrText xml:space="preserve"> PAGEREF _Toc390078291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_Toc390078292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_Toc390078293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_Toc390078294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_Toc390078295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_Toc390078296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_Toc390078297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and notice before discontinuance of weekly payments</w:t>
      </w:r>
      <w:r>
        <w:tab/>
      </w:r>
      <w:r>
        <w:fldChar w:fldCharType="begin"/>
      </w:r>
      <w:r>
        <w:instrText xml:space="preserve"> PAGEREF _Toc390078298 \h </w:instrText>
      </w:r>
      <w:r>
        <w:fldChar w:fldCharType="separate"/>
      </w:r>
      <w:r>
        <w:t>5</w:t>
      </w:r>
      <w:r>
        <w:fldChar w:fldCharType="end"/>
      </w:r>
    </w:p>
    <w:p>
      <w:pPr>
        <w:pStyle w:val="TOC8"/>
        <w:rPr>
          <w:rFonts w:asciiTheme="minorHAnsi" w:eastAsiaTheme="minorEastAsia" w:hAnsiTheme="minorHAnsi" w:cstheme="minorBidi"/>
          <w:szCs w:val="22"/>
        </w:rPr>
      </w:pPr>
      <w:r>
        <w:t>8.</w:t>
      </w:r>
      <w:r>
        <w:tab/>
        <w:t>Frequency and time of medical examinations (s. 66)</w:t>
      </w:r>
      <w:r>
        <w:tab/>
      </w:r>
      <w:r>
        <w:fldChar w:fldCharType="begin"/>
      </w:r>
      <w:r>
        <w:instrText xml:space="preserve"> PAGEREF _Toc390078299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_Toc390078300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_Toc390078301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the State</w:t>
      </w:r>
      <w:r>
        <w:tab/>
      </w:r>
      <w:r>
        <w:fldChar w:fldCharType="begin"/>
      </w:r>
      <w:r>
        <w:instrText xml:space="preserve"> PAGEREF _Toc390078302 \h </w:instrText>
      </w:r>
      <w:r>
        <w:fldChar w:fldCharType="separate"/>
      </w:r>
      <w:r>
        <w:t>8</w:t>
      </w:r>
      <w:r>
        <w:fldChar w:fldCharType="end"/>
      </w:r>
    </w:p>
    <w:p>
      <w:pPr>
        <w:pStyle w:val="TOC8"/>
        <w:rPr>
          <w:rFonts w:asciiTheme="minorHAnsi" w:eastAsiaTheme="minorEastAsia" w:hAnsiTheme="minorHAnsi" w:cstheme="minorBidi"/>
          <w:szCs w:val="22"/>
        </w:rPr>
      </w:pPr>
      <w:r>
        <w:t>10A.</w:t>
      </w:r>
      <w:r>
        <w:tab/>
        <w:t>Medical certificate for statutory expenses</w:t>
      </w:r>
      <w:r>
        <w:tab/>
      </w:r>
      <w:r>
        <w:fldChar w:fldCharType="begin"/>
      </w:r>
      <w:r>
        <w:instrText xml:space="preserve"> PAGEREF _Toc390078303 \h </w:instrText>
      </w:r>
      <w:r>
        <w:fldChar w:fldCharType="separate"/>
      </w:r>
      <w:r>
        <w:t>8</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Payments after death outside the State</w:t>
      </w:r>
      <w:r>
        <w:tab/>
      </w:r>
      <w:r>
        <w:fldChar w:fldCharType="begin"/>
      </w:r>
      <w:r>
        <w:instrText xml:space="preserve"> PAGEREF _Toc390078304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_Toc390078305 \h </w:instrText>
      </w:r>
      <w:r>
        <w:fldChar w:fldCharType="separate"/>
      </w:r>
      <w:r>
        <w:t>9</w:t>
      </w:r>
      <w:r>
        <w:fldChar w:fldCharType="end"/>
      </w:r>
    </w:p>
    <w:p>
      <w:pPr>
        <w:pStyle w:val="TOC8"/>
        <w:rPr>
          <w:rFonts w:asciiTheme="minorHAnsi" w:eastAsiaTheme="minorEastAsia" w:hAnsiTheme="minorHAnsi" w:cstheme="minorBidi"/>
          <w:szCs w:val="22"/>
        </w:rPr>
      </w:pPr>
      <w:r>
        <w:t>12AA.</w:t>
      </w:r>
      <w:r>
        <w:tab/>
        <w:t>Notice of intention to dismiss worker (section 84AB)</w:t>
      </w:r>
      <w:r>
        <w:tab/>
      </w:r>
      <w:r>
        <w:fldChar w:fldCharType="begin"/>
      </w:r>
      <w:r>
        <w:instrText xml:space="preserve"> PAGEREF _Toc390078306 \h </w:instrText>
      </w:r>
      <w:r>
        <w:fldChar w:fldCharType="separate"/>
      </w:r>
      <w:r>
        <w:t>11</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Fund</w:t>
      </w:r>
      <w:r>
        <w:tab/>
      </w:r>
      <w:r>
        <w:fldChar w:fldCharType="begin"/>
      </w:r>
      <w:r>
        <w:instrText xml:space="preserve"> PAGEREF _Toc390078307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(section 154AC(1))</w:t>
      </w:r>
      <w:r>
        <w:tab/>
      </w:r>
      <w:r>
        <w:fldChar w:fldCharType="begin"/>
      </w:r>
      <w:r>
        <w:instrText xml:space="preserve"> PAGEREF _Toc390078308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(sections 222(2), 223(2) and 224(2))</w:t>
      </w:r>
      <w:r>
        <w:tab/>
      </w:r>
      <w:r>
        <w:fldChar w:fldCharType="begin"/>
      </w:r>
      <w:r>
        <w:instrText xml:space="preserve"> PAGEREF _Toc390078309 \h </w:instrText>
      </w:r>
      <w:r>
        <w:fldChar w:fldCharType="separate"/>
      </w:r>
      <w:r>
        <w:t>13</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_Toc390078310 \h </w:instrText>
      </w:r>
      <w:r>
        <w:fldChar w:fldCharType="separate"/>
      </w:r>
      <w:r>
        <w:t>13</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_Toc390078311 \h </w:instrText>
      </w:r>
      <w:r>
        <w:fldChar w:fldCharType="separate"/>
      </w:r>
      <w:r>
        <w:t>14</w:t>
      </w:r>
      <w:r>
        <w:fldChar w:fldCharType="end"/>
      </w:r>
    </w:p>
    <w:p>
      <w:pPr>
        <w:pStyle w:val="TOC8"/>
        <w:rPr>
          <w:rFonts w:asciiTheme="minorHAnsi" w:eastAsiaTheme="minorEastAsia" w:hAnsiTheme="minorHAnsi" w:cstheme="minorBidi"/>
          <w:szCs w:val="22"/>
        </w:rPr>
      </w:pPr>
      <w:r>
        <w:t>17.</w:t>
      </w:r>
      <w:r>
        <w:tab/>
        <w:t>Prescribed allowance — clause 11(2)</w:t>
      </w:r>
      <w:r>
        <w:tab/>
      </w:r>
      <w:r>
        <w:fldChar w:fldCharType="begin"/>
      </w:r>
      <w:r>
        <w:instrText xml:space="preserve"> PAGEREF _Toc390078312 \h </w:instrText>
      </w:r>
      <w:r>
        <w:fldChar w:fldCharType="separate"/>
      </w:r>
      <w:r>
        <w:t>15</w:t>
      </w:r>
      <w:r>
        <w:fldChar w:fldCharType="end"/>
      </w:r>
    </w:p>
    <w:p>
      <w:pPr>
        <w:pStyle w:val="TOC8"/>
        <w:rPr>
          <w:rFonts w:asciiTheme="minorHAnsi" w:eastAsiaTheme="minorEastAsia" w:hAnsiTheme="minorHAnsi" w:cstheme="minorBidi"/>
          <w:szCs w:val="22"/>
        </w:rPr>
      </w:pPr>
      <w:r>
        <w:t>17AA.</w:t>
      </w:r>
      <w:r>
        <w:tab/>
        <w:t>Prescribed rate for vehicle running expenses (Sch. 1 cl. 19 of the Act)</w:t>
      </w:r>
      <w:r>
        <w:tab/>
      </w:r>
      <w:r>
        <w:fldChar w:fldCharType="begin"/>
      </w:r>
      <w:r>
        <w:instrText xml:space="preserve"> PAGEREF _Toc390078313 \h </w:instrText>
      </w:r>
      <w:r>
        <w:fldChar w:fldCharType="separate"/>
      </w:r>
      <w:r>
        <w:t>15</w:t>
      </w:r>
      <w:r>
        <w:fldChar w:fldCharType="end"/>
      </w:r>
    </w:p>
    <w:p>
      <w:pPr>
        <w:pStyle w:val="TOC8"/>
        <w:rPr>
          <w:rFonts w:asciiTheme="minorHAnsi" w:eastAsiaTheme="minorEastAsia" w:hAnsiTheme="minorHAnsi" w:cstheme="minorBidi"/>
          <w:szCs w:val="22"/>
        </w:rPr>
      </w:pPr>
      <w:r>
        <w:t>17AB.</w:t>
      </w:r>
      <w:r>
        <w:tab/>
        <w:t>Exceptional circumstances — clause 18A(2aa)(c)(ii)</w:t>
      </w:r>
      <w:r>
        <w:tab/>
      </w:r>
      <w:r>
        <w:fldChar w:fldCharType="begin"/>
      </w:r>
      <w:r>
        <w:instrText xml:space="preserve"> PAGEREF _Toc390078314 \h </w:instrText>
      </w:r>
      <w:r>
        <w:fldChar w:fldCharType="separate"/>
      </w:r>
      <w:r>
        <w:t>16</w:t>
      </w:r>
      <w:r>
        <w:fldChar w:fldCharType="end"/>
      </w:r>
    </w:p>
    <w:p>
      <w:pPr>
        <w:pStyle w:val="TOC8"/>
        <w:rPr>
          <w:rFonts w:asciiTheme="minorHAnsi" w:eastAsiaTheme="minorEastAsia" w:hAnsiTheme="minorHAnsi" w:cstheme="minorBidi"/>
          <w:szCs w:val="22"/>
        </w:rPr>
      </w:pPr>
      <w:r>
        <w:t>17AC.</w:t>
      </w:r>
      <w:r>
        <w:tab/>
        <w:t>Management plan — clause 18A(2ac)</w:t>
      </w:r>
      <w:r>
        <w:tab/>
      </w:r>
      <w:r>
        <w:fldChar w:fldCharType="begin"/>
      </w:r>
      <w:r>
        <w:instrText xml:space="preserve"> PAGEREF _Toc390078315 \h </w:instrText>
      </w:r>
      <w:r>
        <w:fldChar w:fldCharType="separate"/>
      </w:r>
      <w:r>
        <w:t>17</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_Toc390078316 \h </w:instrText>
      </w:r>
      <w:r>
        <w:fldChar w:fldCharType="separate"/>
      </w:r>
      <w:r>
        <w:t>17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Supplementary amount varied</w:t>
      </w:r>
      <w:r>
        <w:tab/>
      </w:r>
      <w:r>
        <w:fldChar w:fldCharType="begin"/>
      </w:r>
      <w:r>
        <w:instrText xml:space="preserve"> PAGEREF _Toc390078317 \h </w:instrText>
      </w:r>
      <w:r>
        <w:fldChar w:fldCharType="separate"/>
      </w:r>
      <w:r>
        <w:t>18</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_Toc390078318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_Toc390078319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_Toc390078321 \h </w:instrText>
      </w:r>
      <w:r>
        <w:fldChar w:fldCharType="separate"/>
      </w:r>
      <w:r>
        <w:t>20</w:t>
      </w:r>
      <w:r>
        <w:fldChar w:fldCharType="end"/>
      </w:r>
    </w:p>
    <w:p>
      <w:pPr>
        <w:pStyle w:val="TOC8"/>
        <w:rPr>
          <w:rFonts w:asciiTheme="minorHAnsi" w:eastAsiaTheme="minorEastAsia" w:hAnsiTheme="minorHAnsi" w:cstheme="minorBidi"/>
          <w:szCs w:val="22"/>
        </w:rPr>
      </w:pPr>
      <w:r>
        <w:t>18B.</w:t>
      </w:r>
      <w:r>
        <w:tab/>
        <w:t>Meaning of terms used in this Part</w:t>
      </w:r>
      <w:r>
        <w:tab/>
      </w:r>
      <w:r>
        <w:fldChar w:fldCharType="begin"/>
      </w:r>
      <w:r>
        <w:instrText xml:space="preserve"> PAGEREF _Toc390078322 \h </w:instrText>
      </w:r>
      <w:r>
        <w:fldChar w:fldCharType="separate"/>
      </w:r>
      <w:r>
        <w:t>20</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_Toc390078323 \h </w:instrText>
      </w:r>
      <w:r>
        <w:fldChar w:fldCharType="separate"/>
      </w:r>
      <w:r>
        <w:t>20</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_Toc390078324 \h </w:instrText>
      </w:r>
      <w:r>
        <w:fldChar w:fldCharType="separate"/>
      </w:r>
      <w:r>
        <w:t>21</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_Toc390078325 \h </w:instrText>
      </w:r>
      <w:r>
        <w:fldChar w:fldCharType="separate"/>
      </w:r>
      <w:r>
        <w:t>21</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_Toc390078326 \h </w:instrText>
      </w:r>
      <w:r>
        <w:fldChar w:fldCharType="separate"/>
      </w:r>
      <w:r>
        <w:t>22</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_Toc390078327 \h </w:instrText>
      </w:r>
      <w:r>
        <w:fldChar w:fldCharType="separate"/>
      </w:r>
      <w:r>
        <w:t>22</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_Toc390078328 \h </w:instrText>
      </w:r>
      <w:r>
        <w:fldChar w:fldCharType="separate"/>
      </w:r>
      <w:r>
        <w:t>22</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_Toc390078329 \h </w:instrText>
      </w:r>
      <w:r>
        <w:fldChar w:fldCharType="separate"/>
      </w:r>
      <w:r>
        <w:t>23</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_Toc390078330 \h </w:instrText>
      </w:r>
      <w:r>
        <w:fldChar w:fldCharType="separate"/>
      </w:r>
      <w:r>
        <w:t>23</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_Toc390078331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Definitions</w:t>
      </w:r>
      <w:r>
        <w:tab/>
      </w:r>
      <w:r>
        <w:fldChar w:fldCharType="begin"/>
      </w:r>
      <w:r>
        <w:instrText xml:space="preserve"> PAGEREF _Toc390078333 \h </w:instrText>
      </w:r>
      <w:r>
        <w:fldChar w:fldCharType="separate"/>
      </w:r>
      <w:r>
        <w:t>25</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_Toc390078334 \h </w:instrText>
      </w:r>
      <w:r>
        <w:fldChar w:fldCharType="separate"/>
      </w:r>
      <w:r>
        <w:t>26</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_Toc390078335 \h </w:instrText>
      </w:r>
      <w:r>
        <w:fldChar w:fldCharType="separate"/>
      </w:r>
      <w:r>
        <w:t>26</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_Toc390078336 \h </w:instrText>
      </w:r>
      <w:r>
        <w:fldChar w:fldCharType="separate"/>
      </w:r>
      <w:r>
        <w:t>27</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_Toc390078337 \h </w:instrText>
      </w:r>
      <w:r>
        <w:fldChar w:fldCharType="separate"/>
      </w:r>
      <w:r>
        <w:t>28</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_Toc390078338 \h </w:instrText>
      </w:r>
      <w:r>
        <w:fldChar w:fldCharType="separate"/>
      </w:r>
      <w:r>
        <w:t>28</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_Toc390078339 \h </w:instrText>
      </w:r>
      <w:r>
        <w:fldChar w:fldCharType="separate"/>
      </w:r>
      <w:r>
        <w:t>29</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_Toc390078340 \h </w:instrText>
      </w:r>
      <w:r>
        <w:fldChar w:fldCharType="separate"/>
      </w:r>
      <w:r>
        <w:t>30</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_Toc390078341 \h </w:instrText>
      </w:r>
      <w:r>
        <w:fldChar w:fldCharType="separate"/>
      </w:r>
      <w:r>
        <w:t>30</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_Toc390078342 \h </w:instrText>
      </w:r>
      <w:r>
        <w:fldChar w:fldCharType="separate"/>
      </w:r>
      <w:r>
        <w:t>31</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_Toc390078343 \h </w:instrText>
      </w:r>
      <w:r>
        <w:fldChar w:fldCharType="separate"/>
      </w:r>
      <w:r>
        <w:t>31</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_Toc390078344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Interpretation</w:t>
      </w:r>
      <w:r>
        <w:tab/>
      </w:r>
      <w:r>
        <w:fldChar w:fldCharType="begin"/>
      </w:r>
      <w:r>
        <w:instrText xml:space="preserve"> PAGEREF _Toc390078346 \h </w:instrText>
      </w:r>
      <w:r>
        <w:fldChar w:fldCharType="separate"/>
      </w:r>
      <w:r>
        <w:t>33</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_Toc390078347 \h </w:instrText>
      </w:r>
      <w:r>
        <w:fldChar w:fldCharType="separate"/>
      </w:r>
      <w:r>
        <w:t>33</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_Toc390078348 \h </w:instrText>
      </w:r>
      <w:r>
        <w:fldChar w:fldCharType="separate"/>
      </w:r>
      <w:r>
        <w:t>34</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_Toc390078349 \h </w:instrText>
      </w:r>
      <w:r>
        <w:fldChar w:fldCharType="separate"/>
      </w:r>
      <w:r>
        <w:t>38</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_Toc390078350 \h </w:instrText>
      </w:r>
      <w:r>
        <w:fldChar w:fldCharType="separate"/>
      </w:r>
      <w:r>
        <w:t>38</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_Toc390078351 \h </w:instrText>
      </w:r>
      <w:r>
        <w:fldChar w:fldCharType="separate"/>
      </w:r>
      <w:r>
        <w:t>38</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_Toc390078352 \h </w:instrText>
      </w:r>
      <w:r>
        <w:fldChar w:fldCharType="separate"/>
      </w:r>
      <w:r>
        <w:t>39</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_Toc390078353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_Toc390078356 \h </w:instrText>
      </w:r>
      <w:r>
        <w:fldChar w:fldCharType="separate"/>
      </w:r>
      <w:r>
        <w:t>42</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_Toc390078357 \h </w:instrText>
      </w:r>
      <w:r>
        <w:fldChar w:fldCharType="separate"/>
      </w:r>
      <w:r>
        <w:t>42</w:t>
      </w:r>
      <w:r>
        <w:fldChar w:fldCharType="end"/>
      </w:r>
    </w:p>
    <w:p>
      <w:pPr>
        <w:pStyle w:val="TOC8"/>
        <w:rPr>
          <w:rFonts w:asciiTheme="minorHAnsi" w:eastAsiaTheme="minorEastAsia" w:hAnsiTheme="minorHAnsi" w:cstheme="minorBidi"/>
          <w:szCs w:val="22"/>
        </w:rPr>
      </w:pPr>
      <w:r>
        <w:t>19JA.</w:t>
      </w:r>
      <w:r>
        <w:tab/>
        <w:t>Method of referral and notification when section 93EA(3) of the Act applies</w:t>
      </w:r>
      <w:r>
        <w:tab/>
      </w:r>
      <w:r>
        <w:fldChar w:fldCharType="begin"/>
      </w:r>
      <w:r>
        <w:instrText xml:space="preserve"> PAGEREF _Toc390078358 \h </w:instrText>
      </w:r>
      <w:r>
        <w:fldChar w:fldCharType="separate"/>
      </w:r>
      <w:r>
        <w:t>43</w:t>
      </w:r>
      <w:r>
        <w:fldChar w:fldCharType="end"/>
      </w:r>
    </w:p>
    <w:p>
      <w:pPr>
        <w:pStyle w:val="TOC8"/>
        <w:rPr>
          <w:rFonts w:asciiTheme="minorHAnsi" w:eastAsiaTheme="minorEastAsia" w:hAnsiTheme="minorHAnsi" w:cstheme="minorBidi"/>
          <w:szCs w:val="22"/>
        </w:rPr>
      </w:pPr>
      <w:r>
        <w:t>19JB.</w:t>
      </w:r>
      <w:r>
        <w:tab/>
        <w:t>Method of referral and notification when section 93EB(3) of the Act applies</w:t>
      </w:r>
      <w:r>
        <w:tab/>
      </w:r>
      <w:r>
        <w:fldChar w:fldCharType="begin"/>
      </w:r>
      <w:r>
        <w:instrText xml:space="preserve"> PAGEREF _Toc390078359 \h </w:instrText>
      </w:r>
      <w:r>
        <w:fldChar w:fldCharType="separate"/>
      </w:r>
      <w:r>
        <w:t>44</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_Toc390078360 \h </w:instrText>
      </w:r>
      <w:r>
        <w:fldChar w:fldCharType="separate"/>
      </w:r>
      <w:r>
        <w:t>45</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_Toc390078361 \h </w:instrText>
      </w:r>
      <w:r>
        <w:fldChar w:fldCharType="separate"/>
      </w:r>
      <w:r>
        <w:t>45</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_Toc390078362 \h </w:instrText>
      </w:r>
      <w:r>
        <w:fldChar w:fldCharType="separate"/>
      </w:r>
      <w:r>
        <w:t>46</w:t>
      </w:r>
      <w:r>
        <w:fldChar w:fldCharType="end"/>
      </w:r>
    </w:p>
    <w:p>
      <w:pPr>
        <w:pStyle w:val="TOC8"/>
        <w:rPr>
          <w:rFonts w:asciiTheme="minorHAnsi" w:eastAsiaTheme="minorEastAsia" w:hAnsiTheme="minorHAnsi" w:cstheme="minorBidi"/>
          <w:szCs w:val="22"/>
        </w:rPr>
      </w:pPr>
      <w:r>
        <w:t>19N.</w:t>
      </w:r>
      <w:r>
        <w:tab/>
        <w:t>Extension of time to make election under s. 93E(3)(b)</w:t>
      </w:r>
      <w:r>
        <w:tab/>
      </w:r>
      <w:r>
        <w:fldChar w:fldCharType="begin"/>
      </w:r>
      <w:r>
        <w:instrText xml:space="preserve"> PAGEREF _Toc390078363 \h </w:instrText>
      </w:r>
      <w:r>
        <w:fldChar w:fldCharType="separate"/>
      </w:r>
      <w:r>
        <w:t>47</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_Toc390078364 \h </w:instrText>
      </w:r>
      <w:r>
        <w:fldChar w:fldCharType="separate"/>
      </w:r>
      <w:r>
        <w:t>50</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_Toc390078365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_Toc390078367 \h </w:instrText>
      </w:r>
      <w:r>
        <w:fldChar w:fldCharType="separate"/>
      </w:r>
      <w:r>
        <w:t>51</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_Toc390078368 \h </w:instrText>
      </w:r>
      <w:r>
        <w:fldChar w:fldCharType="separate"/>
      </w:r>
      <w:r>
        <w:t>52</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_Toc390078369 \h </w:instrText>
      </w:r>
      <w:r>
        <w:fldChar w:fldCharType="separate"/>
      </w:r>
      <w:r>
        <w:t>53</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_Toc390078370 \h </w:instrText>
      </w:r>
      <w:r>
        <w:fldChar w:fldCharType="separate"/>
      </w:r>
      <w:r>
        <w:t>54</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_Toc390078371 \h </w:instrText>
      </w:r>
      <w:r>
        <w:fldChar w:fldCharType="separate"/>
      </w:r>
      <w:r>
        <w:t>56</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_Toc390078372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Meaning of terms used in this Part</w:t>
      </w:r>
      <w:r>
        <w:tab/>
      </w:r>
      <w:r>
        <w:fldChar w:fldCharType="begin"/>
      </w:r>
      <w:r>
        <w:instrText xml:space="preserve"> PAGEREF _Toc390078375 \h </w:instrText>
      </w:r>
      <w:r>
        <w:fldChar w:fldCharType="separate"/>
      </w:r>
      <w:r>
        <w:t>58</w:t>
      </w:r>
      <w:r>
        <w:fldChar w:fldCharType="end"/>
      </w:r>
    </w:p>
    <w:p>
      <w:pPr>
        <w:pStyle w:val="TOC8"/>
        <w:rPr>
          <w:rFonts w:asciiTheme="minorHAnsi" w:eastAsiaTheme="minorEastAsia" w:hAnsiTheme="minorHAnsi" w:cstheme="minorBidi"/>
          <w:szCs w:val="22"/>
        </w:rPr>
      </w:pPr>
      <w:r>
        <w:t>27.</w:t>
      </w:r>
      <w:r>
        <w:tab/>
        <w:t>Prescribed organisations (section 277(1)(e))</w:t>
      </w:r>
      <w:r>
        <w:tab/>
      </w:r>
      <w:r>
        <w:fldChar w:fldCharType="begin"/>
      </w:r>
      <w:r>
        <w:instrText xml:space="preserve"> PAGEREF _Toc390078376 \h </w:instrText>
      </w:r>
      <w:r>
        <w:fldChar w:fldCharType="separate"/>
      </w:r>
      <w:r>
        <w:t>59</w:t>
      </w:r>
      <w:r>
        <w:fldChar w:fldCharType="end"/>
      </w:r>
    </w:p>
    <w:p>
      <w:pPr>
        <w:pStyle w:val="TOC8"/>
        <w:rPr>
          <w:rFonts w:asciiTheme="minorHAnsi" w:eastAsiaTheme="minorEastAsia" w:hAnsiTheme="minorHAnsi" w:cstheme="minorBidi"/>
          <w:szCs w:val="22"/>
        </w:rPr>
      </w:pPr>
      <w:r>
        <w:t>27A.</w:t>
      </w:r>
      <w:r>
        <w:tab/>
        <w:t>Prescribed classes of persons (section 277(1)(f))</w:t>
      </w:r>
      <w:r>
        <w:tab/>
      </w:r>
      <w:r>
        <w:fldChar w:fldCharType="begin"/>
      </w:r>
      <w:r>
        <w:instrText xml:space="preserve"> PAGEREF _Toc390078377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_Toc390078379 \h </w:instrText>
      </w:r>
      <w:r>
        <w:fldChar w:fldCharType="separate"/>
      </w:r>
      <w:r>
        <w:t>59</w:t>
      </w:r>
      <w:r>
        <w:fldChar w:fldCharType="end"/>
      </w:r>
    </w:p>
    <w:p>
      <w:pPr>
        <w:pStyle w:val="TOC8"/>
        <w:rPr>
          <w:rFonts w:asciiTheme="minorHAnsi" w:eastAsiaTheme="minorEastAsia" w:hAnsiTheme="minorHAnsi" w:cstheme="minorBidi"/>
          <w:szCs w:val="22"/>
        </w:rPr>
      </w:pPr>
      <w:r>
        <w:t>29.</w:t>
      </w:r>
      <w:r>
        <w:tab/>
        <w:t>WorkCover WA must register, and may impose conditions on registration</w:t>
      </w:r>
      <w:r>
        <w:tab/>
      </w:r>
      <w:r>
        <w:fldChar w:fldCharType="begin"/>
      </w:r>
      <w:r>
        <w:instrText xml:space="preserve"> PAGEREF _Toc390078380 \h </w:instrText>
      </w:r>
      <w:r>
        <w:fldChar w:fldCharType="separate"/>
      </w:r>
      <w:r>
        <w:t>61</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_Toc390078381 \h </w:instrText>
      </w:r>
      <w:r>
        <w:fldChar w:fldCharType="separate"/>
      </w:r>
      <w:r>
        <w:t>62</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_Toc390078382 \h </w:instrText>
      </w:r>
      <w:r>
        <w:fldChar w:fldCharType="separate"/>
      </w:r>
      <w:r>
        <w:t>63</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_Toc390078383 \h </w:instrText>
      </w:r>
      <w:r>
        <w:fldChar w:fldCharType="separate"/>
      </w:r>
      <w:r>
        <w:t>64</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_Toc390078384 \h </w:instrText>
      </w:r>
      <w:r>
        <w:fldChar w:fldCharType="separate"/>
      </w:r>
      <w:r>
        <w:t>64</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_Toc390078385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_Toc390078387 \h </w:instrText>
      </w:r>
      <w:r>
        <w:fldChar w:fldCharType="separate"/>
      </w:r>
      <w:r>
        <w:t>65</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_Toc390078388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_Toc390078390 \h </w:instrText>
      </w:r>
      <w:r>
        <w:fldChar w:fldCharType="separate"/>
      </w:r>
      <w:r>
        <w:t>66</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_Toc390078391 \h </w:instrText>
      </w:r>
      <w:r>
        <w:fldChar w:fldCharType="separate"/>
      </w:r>
      <w:r>
        <w:t>67</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_Toc390078392 \h </w:instrText>
      </w:r>
      <w:r>
        <w:fldChar w:fldCharType="separate"/>
      </w:r>
      <w:r>
        <w:t>67</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_Toc390078393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_Toc390078395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_Toc390078397 \h </w:instrText>
      </w:r>
      <w:r>
        <w:fldChar w:fldCharType="separate"/>
      </w:r>
      <w:r>
        <w:t>68</w:t>
      </w:r>
      <w:r>
        <w:fldChar w:fldCharType="end"/>
      </w:r>
    </w:p>
    <w:p>
      <w:pPr>
        <w:pStyle w:val="TOC8"/>
        <w:rPr>
          <w:rFonts w:asciiTheme="minorHAnsi" w:eastAsiaTheme="minorEastAsia" w:hAnsiTheme="minorHAnsi" w:cstheme="minorBidi"/>
          <w:szCs w:val="22"/>
        </w:rPr>
      </w:pPr>
      <w:r>
        <w:t>43.</w:t>
      </w:r>
      <w:r>
        <w:tab/>
        <w:t>Transitional provision</w:t>
      </w:r>
      <w:r>
        <w:tab/>
      </w:r>
      <w:r>
        <w:fldChar w:fldCharType="begin"/>
      </w:r>
      <w:r>
        <w:instrText xml:space="preserve"> PAGEREF _Toc390078398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Cs w:val="22"/>
        </w:rPr>
      </w:pPr>
      <w:r>
        <w:t>Part 5</w:t>
      </w:r>
      <w:r>
        <w:rPr>
          <w:b w:val="0"/>
        </w:rPr>
        <w:t> </w:t>
      </w:r>
      <w:r>
        <w:t>—</w:t>
      </w:r>
      <w:r>
        <w:rPr>
          <w:b w:val="0"/>
        </w:rPr>
        <w:t> </w:t>
      </w:r>
      <w:r>
        <w:t>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_Toc390078400 \h </w:instrText>
      </w:r>
      <w:r>
        <w:fldChar w:fldCharType="separate"/>
      </w:r>
      <w:r>
        <w:t>71</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_Toc390078401 \h </w:instrText>
      </w:r>
      <w:r>
        <w:fldChar w:fldCharType="separate"/>
      </w:r>
      <w:r>
        <w:t>73</w:t>
      </w:r>
      <w:r>
        <w:fldChar w:fldCharType="end"/>
      </w:r>
    </w:p>
    <w:p>
      <w:pPr>
        <w:pStyle w:val="TOC8"/>
        <w:rPr>
          <w:rFonts w:asciiTheme="minorHAnsi" w:eastAsiaTheme="minorEastAsia" w:hAnsiTheme="minorHAnsi" w:cstheme="minorBidi"/>
          <w:szCs w:val="22"/>
        </w:rPr>
      </w:pPr>
      <w:r>
        <w:t>46.</w:t>
      </w:r>
      <w:r>
        <w:tab/>
        <w:t>Particulars for notice under section 157A(1) of Act</w:t>
      </w:r>
      <w:r>
        <w:tab/>
      </w:r>
      <w:r>
        <w:fldChar w:fldCharType="begin"/>
      </w:r>
      <w:r>
        <w:instrText xml:space="preserve"> PAGEREF _Toc390078402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_Toc390078404 \h </w:instrText>
      </w:r>
      <w:r>
        <w:fldChar w:fldCharType="separate"/>
      </w:r>
      <w:r>
        <w:t>75</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_Toc390078405 \h </w:instrText>
      </w:r>
      <w:r>
        <w:fldChar w:fldCharType="separate"/>
      </w:r>
      <w:r>
        <w:t>76</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_Toc390078406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_Toc390078408 \h </w:instrText>
      </w:r>
      <w:r>
        <w:fldChar w:fldCharType="separate"/>
      </w:r>
      <w:r>
        <w:t>78</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_Toc390078409 \h </w:instrText>
      </w:r>
      <w:r>
        <w:fldChar w:fldCharType="separate"/>
      </w:r>
      <w:r>
        <w:t>78</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_Toc390078410 \h </w:instrText>
      </w:r>
      <w:r>
        <w:fldChar w:fldCharType="separate"/>
      </w:r>
      <w:r>
        <w:t>78</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_Toc390078411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Cs w:val="22"/>
        </w:rPr>
      </w:pPr>
      <w:r>
        <w:t>Appendix I</w:t>
      </w:r>
    </w:p>
    <w:p>
      <w:pPr>
        <w:pStyle w:val="TOC2"/>
        <w:tabs>
          <w:tab w:val="right" w:leader="dot" w:pos="7086"/>
        </w:tabs>
        <w:rPr>
          <w:rFonts w:asciiTheme="minorHAnsi" w:eastAsiaTheme="minorEastAsia" w:hAnsiTheme="minorHAnsi" w:cstheme="minorBidi"/>
          <w:b w:val="0"/>
          <w:szCs w:val="22"/>
        </w:rPr>
      </w:pPr>
      <w:r>
        <w:t>Appendix II</w:t>
      </w:r>
    </w:p>
    <w:p>
      <w:pPr>
        <w:pStyle w:val="TOC2"/>
        <w:tabs>
          <w:tab w:val="right" w:leader="dot" w:pos="7086"/>
        </w:tabs>
        <w:rPr>
          <w:rFonts w:asciiTheme="minorHAnsi" w:eastAsiaTheme="minorEastAsia" w:hAnsiTheme="minorHAnsi" w:cstheme="minorBidi"/>
          <w:b w:val="0"/>
          <w:szCs w:val="22"/>
        </w:rPr>
      </w:pPr>
      <w:r>
        <w:t>Appendix III</w:t>
      </w:r>
    </w:p>
    <w:p>
      <w:pPr>
        <w:pStyle w:val="TOC2"/>
        <w:tabs>
          <w:tab w:val="right" w:leader="dot" w:pos="7086"/>
        </w:tabs>
        <w:rPr>
          <w:rFonts w:asciiTheme="minorHAnsi" w:eastAsiaTheme="minorEastAsia" w:hAnsiTheme="minorHAnsi" w:cstheme="minorBidi"/>
          <w:b w:val="0"/>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_Toc390078416 \h </w:instrText>
      </w:r>
      <w:r>
        <w:fldChar w:fldCharType="separate"/>
      </w:r>
      <w:r>
        <w:t>221</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_Toc390078417 \h </w:instrText>
      </w:r>
      <w:r>
        <w:fldChar w:fldCharType="separate"/>
      </w:r>
      <w:r>
        <w:t>221</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_Toc390078418 \h </w:instrText>
      </w:r>
      <w:r>
        <w:fldChar w:fldCharType="separate"/>
      </w:r>
      <w:r>
        <w:t>222</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_Toc390078419 \h </w:instrText>
      </w:r>
      <w:r>
        <w:fldChar w:fldCharType="separate"/>
      </w:r>
      <w:r>
        <w:t>222</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_Toc390078420 \h </w:instrText>
      </w:r>
      <w:r>
        <w:fldChar w:fldCharType="separate"/>
      </w:r>
      <w:r>
        <w:t>223</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_Toc390078421 \h </w:instrText>
      </w:r>
      <w:r>
        <w:fldChar w:fldCharType="separate"/>
      </w:r>
      <w:r>
        <w:t>224</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_Toc390078422 \h </w:instrText>
      </w:r>
      <w:r>
        <w:fldChar w:fldCharType="separate"/>
      </w:r>
      <w:r>
        <w:t>224</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_Toc390078423 \h </w:instrText>
      </w:r>
      <w:r>
        <w:fldChar w:fldCharType="separate"/>
      </w:r>
      <w:r>
        <w:t>225</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_Toc390078424 \h </w:instrText>
      </w:r>
      <w:r>
        <w:fldChar w:fldCharType="separate"/>
      </w:r>
      <w:r>
        <w:t>226</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_Toc390078425 \h </w:instrText>
      </w:r>
      <w:r>
        <w:fldChar w:fldCharType="separate"/>
      </w:r>
      <w:r>
        <w:t>226</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_Toc390078426 \h </w:instrText>
      </w:r>
      <w:r>
        <w:fldChar w:fldCharType="separate"/>
      </w:r>
      <w:r>
        <w:t>226</w:t>
      </w:r>
      <w:r>
        <w:fldChar w:fldCharType="end"/>
      </w:r>
    </w:p>
    <w:p>
      <w:pPr>
        <w:pStyle w:val="TOC2"/>
        <w:tabs>
          <w:tab w:val="right" w:leader="dot" w:pos="7086"/>
        </w:tabs>
        <w:rPr>
          <w:rFonts w:asciiTheme="minorHAnsi" w:eastAsiaTheme="minorEastAsia" w:hAnsiTheme="minorHAnsi" w:cstheme="minorBidi"/>
          <w:b w:val="0"/>
          <w:szCs w:val="22"/>
        </w:rPr>
      </w:pPr>
      <w:r>
        <w:t>Appendix V — Prescribed offences and modified penalties</w:t>
      </w:r>
    </w:p>
    <w:p>
      <w:pPr>
        <w:pStyle w:val="TOC2"/>
        <w:tabs>
          <w:tab w:val="right" w:leader="dot" w:pos="7086"/>
        </w:tabs>
        <w:rPr>
          <w:rFonts w:asciiTheme="minorHAnsi" w:eastAsiaTheme="minorEastAsia" w:hAnsiTheme="minorHAnsi" w:cstheme="minorBidi"/>
          <w:b w:val="0"/>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_Toc390078429 \h </w:instrText>
      </w:r>
      <w:r>
        <w:fldChar w:fldCharType="separate"/>
      </w:r>
      <w:r>
        <w:t>229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90078282"/>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9007828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9007828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Rehabilitation Act 1981</w:t>
      </w:r>
      <w:r>
        <w:rPr>
          <w:snapToGrid w:val="0"/>
          <w:vertAlign w:val="superscript"/>
        </w:rPr>
        <w:t xml:space="preserve"> 1, 2</w:t>
      </w:r>
      <w:r>
        <w:rPr>
          <w:snapToGrid w:val="0"/>
        </w:rPr>
        <w:t>.</w:t>
      </w:r>
    </w:p>
    <w:p>
      <w:pPr>
        <w:pStyle w:val="Heading2"/>
      </w:pPr>
      <w:bookmarkStart w:id="4" w:name="_Toc390078285"/>
      <w:r>
        <w:rPr>
          <w:rStyle w:val="CharPartNo"/>
        </w:rPr>
        <w:t>Part 2</w:t>
      </w:r>
      <w:r>
        <w:rPr>
          <w:rStyle w:val="CharDivNo"/>
        </w:rPr>
        <w:t> </w:t>
      </w:r>
      <w:r>
        <w:t>—</w:t>
      </w:r>
      <w:r>
        <w:rPr>
          <w:rStyle w:val="CharDivText"/>
        </w:rPr>
        <w:t> </w:t>
      </w:r>
      <w:r>
        <w:rPr>
          <w:rStyle w:val="CharPartText"/>
        </w:rPr>
        <w:t>General</w:t>
      </w:r>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 w:name="_Toc390078286"/>
      <w:r>
        <w:rPr>
          <w:rStyle w:val="CharSectno"/>
        </w:rPr>
        <w:t>2A</w:t>
      </w:r>
      <w:r>
        <w:t>.</w:t>
      </w:r>
      <w:r>
        <w:tab/>
        <w:t>Indexation of child’s allowance and redemption amount</w:t>
      </w:r>
      <w:bookmarkEnd w:id="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b/>
        </w:rPr>
        <w:t>“</w:t>
      </w:r>
      <w:r>
        <w:rPr>
          <w:rStyle w:val="CharDefText"/>
        </w:rPr>
        <w:t>the relevant year</w:t>
      </w:r>
      <w:r>
        <w:rPr>
          <w:b/>
        </w:rPr>
        <w:t>”</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6" w:name="_Toc390078287"/>
      <w:r>
        <w:rPr>
          <w:rStyle w:val="CharSectno"/>
        </w:rPr>
        <w:t>3</w:t>
      </w:r>
      <w:r>
        <w:t>.</w:t>
      </w:r>
      <w:r>
        <w:tab/>
      </w:r>
      <w:r>
        <w:rPr>
          <w:snapToGrid w:val="0"/>
        </w:rPr>
        <w:t>Limiting the definition of company</w:t>
      </w:r>
      <w:bookmarkEnd w:id="6"/>
    </w:p>
    <w:p>
      <w:pPr>
        <w:pStyle w:val="Subsection"/>
      </w:pPr>
      <w:r>
        <w:tab/>
        <w:t>(1)</w:t>
      </w:r>
      <w:r>
        <w:tab/>
        <w:t xml:space="preserve">For the purposes of the definition of </w:t>
      </w:r>
      <w:r>
        <w:rPr>
          <w:b/>
        </w:rPr>
        <w:t>“</w:t>
      </w:r>
      <w:r>
        <w:rPr>
          <w:rStyle w:val="CharDefText"/>
        </w:rPr>
        <w:t>company</w:t>
      </w:r>
      <w:r>
        <w:rPr>
          <w:b/>
        </w:rPr>
        <w:t>”</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spacing w:before="180"/>
        <w:rPr>
          <w:snapToGrid w:val="0"/>
        </w:rPr>
      </w:pPr>
      <w:bookmarkStart w:id="7" w:name="_Toc390078288"/>
      <w:r>
        <w:rPr>
          <w:rStyle w:val="CharSectno"/>
        </w:rPr>
        <w:t>4</w:t>
      </w:r>
      <w:r>
        <w:rPr>
          <w:snapToGrid w:val="0"/>
        </w:rPr>
        <w:t>.</w:t>
      </w:r>
      <w:r>
        <w:rPr>
          <w:snapToGrid w:val="0"/>
        </w:rPr>
        <w:tab/>
        <w:t>Form of election</w:t>
      </w:r>
      <w:bookmarkEnd w:id="7"/>
      <w:r>
        <w:rPr>
          <w:snapToGrid w:val="0"/>
        </w:rPr>
        <w:t xml:space="preserve"> </w:t>
      </w:r>
    </w:p>
    <w:p>
      <w:pPr>
        <w:pStyle w:val="Subsection"/>
        <w:spacing w:before="120"/>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spacing w:before="180"/>
        <w:rPr>
          <w:snapToGrid w:val="0"/>
        </w:rPr>
      </w:pPr>
      <w:bookmarkStart w:id="8" w:name="_Toc390078289"/>
      <w:r>
        <w:rPr>
          <w:rStyle w:val="CharSectno"/>
        </w:rPr>
        <w:t>5</w:t>
      </w:r>
      <w:r>
        <w:rPr>
          <w:snapToGrid w:val="0"/>
        </w:rPr>
        <w:t>.</w:t>
      </w:r>
      <w:r>
        <w:rPr>
          <w:snapToGrid w:val="0"/>
        </w:rPr>
        <w:tab/>
        <w:t>Determination form for medical panel</w:t>
      </w:r>
      <w:bookmarkEnd w:id="8"/>
      <w:r>
        <w:rPr>
          <w:snapToGrid w:val="0"/>
        </w:rPr>
        <w:t xml:space="preserve"> </w:t>
      </w:r>
    </w:p>
    <w:p>
      <w:pPr>
        <w:pStyle w:val="Subsection"/>
        <w:spacing w:before="120"/>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bCs/>
        </w:rPr>
        <w:t>6</w:t>
      </w:r>
      <w:r>
        <w:t>.</w:t>
      </w:r>
      <w:r>
        <w:tab/>
        <w:t>Repealed in Gazette 15 Oct 1999 p. 4900.]</w:t>
      </w:r>
    </w:p>
    <w:p>
      <w:pPr>
        <w:pStyle w:val="Heading5"/>
        <w:spacing w:before="180"/>
        <w:rPr>
          <w:snapToGrid w:val="0"/>
        </w:rPr>
      </w:pPr>
      <w:bookmarkStart w:id="9" w:name="_Toc390078290"/>
      <w:r>
        <w:rPr>
          <w:rStyle w:val="CharSectno"/>
        </w:rPr>
        <w:t>6AA</w:t>
      </w:r>
      <w:r>
        <w:rPr>
          <w:snapToGrid w:val="0"/>
        </w:rPr>
        <w:t>.</w:t>
      </w:r>
      <w:r>
        <w:rPr>
          <w:snapToGrid w:val="0"/>
        </w:rPr>
        <w:tab/>
        <w:t>Form of claim for compensation</w:t>
      </w:r>
      <w:bookmarkEnd w:id="9"/>
      <w:r>
        <w:rPr>
          <w:snapToGrid w:val="0"/>
        </w:rPr>
        <w:t xml:space="preserve"> </w:t>
      </w:r>
    </w:p>
    <w:p>
      <w:pPr>
        <w:pStyle w:val="Subsection"/>
        <w:spacing w:before="120"/>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spacing w:before="120"/>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10" w:name="_Toc390078291"/>
      <w:r>
        <w:rPr>
          <w:rStyle w:val="CharSectno"/>
        </w:rPr>
        <w:t>6AB</w:t>
      </w:r>
      <w:r>
        <w:t>.</w:t>
      </w:r>
      <w:r>
        <w:tab/>
        <w:t>Relevant document (section 180(1)(j))</w:t>
      </w:r>
      <w:bookmarkEnd w:id="1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1" w:name="_Toc390078292"/>
      <w:r>
        <w:rPr>
          <w:rStyle w:val="CharSectno"/>
        </w:rPr>
        <w:t>6A</w:t>
      </w:r>
      <w:r>
        <w:rPr>
          <w:snapToGrid w:val="0"/>
        </w:rPr>
        <w:t>.</w:t>
      </w:r>
      <w:r>
        <w:rPr>
          <w:snapToGrid w:val="0"/>
        </w:rPr>
        <w:tab/>
        <w:t>Form of medical certificate</w:t>
      </w:r>
      <w:bookmarkEnd w:id="11"/>
      <w:r>
        <w:rPr>
          <w:snapToGrid w:val="0"/>
        </w:rPr>
        <w:t xml:space="preserve"> </w:t>
      </w:r>
    </w:p>
    <w:p>
      <w:pPr>
        <w:pStyle w:val="Subsection"/>
        <w:spacing w:before="120"/>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spacing w:before="120"/>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2" w:name="_Toc390078293"/>
      <w:r>
        <w:rPr>
          <w:rStyle w:val="CharSectno"/>
        </w:rPr>
        <w:t>6B</w:t>
      </w:r>
      <w:r>
        <w:rPr>
          <w:snapToGrid w:val="0"/>
        </w:rPr>
        <w:t>.</w:t>
      </w:r>
      <w:r>
        <w:rPr>
          <w:snapToGrid w:val="0"/>
        </w:rPr>
        <w:tab/>
        <w:t>Form for insurer accepting liability</w:t>
      </w:r>
      <w:bookmarkEnd w:id="12"/>
      <w:r>
        <w:rPr>
          <w:snapToGrid w:val="0"/>
        </w:rPr>
        <w:t xml:space="preserve"> </w:t>
      </w:r>
    </w:p>
    <w:p>
      <w:pPr>
        <w:pStyle w:val="Subsection"/>
        <w:spacing w:before="120"/>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 w:name="_Toc390078294"/>
      <w:r>
        <w:rPr>
          <w:rStyle w:val="CharSectno"/>
        </w:rPr>
        <w:t>6C</w:t>
      </w:r>
      <w:r>
        <w:rPr>
          <w:snapToGrid w:val="0"/>
        </w:rPr>
        <w:t>.</w:t>
      </w:r>
      <w:r>
        <w:rPr>
          <w:snapToGrid w:val="0"/>
        </w:rPr>
        <w:tab/>
        <w:t>Form for insurer disputing liability</w:t>
      </w:r>
      <w:bookmarkEnd w:id="13"/>
      <w:r>
        <w:rPr>
          <w:snapToGrid w:val="0"/>
        </w:rPr>
        <w:t xml:space="preserve"> </w:t>
      </w:r>
    </w:p>
    <w:p>
      <w:pPr>
        <w:pStyle w:val="Subsection"/>
        <w:spacing w:before="120"/>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4" w:name="_Toc390078295"/>
      <w:r>
        <w:rPr>
          <w:rStyle w:val="CharSectno"/>
        </w:rPr>
        <w:t>6D</w:t>
      </w:r>
      <w:r>
        <w:rPr>
          <w:snapToGrid w:val="0"/>
        </w:rPr>
        <w:t>.</w:t>
      </w:r>
      <w:r>
        <w:rPr>
          <w:snapToGrid w:val="0"/>
        </w:rPr>
        <w:tab/>
        <w:t>Form for insurer undecided on liability</w:t>
      </w:r>
      <w:bookmarkEnd w:id="14"/>
      <w:r>
        <w:rPr>
          <w:snapToGrid w:val="0"/>
        </w:rPr>
        <w:t xml:space="preserve"> </w:t>
      </w:r>
    </w:p>
    <w:p>
      <w:pPr>
        <w:pStyle w:val="Subsection"/>
        <w:spacing w:before="120"/>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5" w:name="_Toc390078296"/>
      <w:r>
        <w:rPr>
          <w:rStyle w:val="CharSectno"/>
        </w:rPr>
        <w:t>6E</w:t>
      </w:r>
      <w:r>
        <w:rPr>
          <w:snapToGrid w:val="0"/>
        </w:rPr>
        <w:t>.</w:t>
      </w:r>
      <w:r>
        <w:rPr>
          <w:snapToGrid w:val="0"/>
        </w:rPr>
        <w:tab/>
        <w:t>Form for employer disputing liability</w:t>
      </w:r>
      <w:bookmarkEnd w:id="1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6" w:name="_Toc390078297"/>
      <w:r>
        <w:rPr>
          <w:rStyle w:val="CharSectno"/>
        </w:rPr>
        <w:t>6F</w:t>
      </w:r>
      <w:r>
        <w:rPr>
          <w:snapToGrid w:val="0"/>
        </w:rPr>
        <w:t>.</w:t>
      </w:r>
      <w:r>
        <w:rPr>
          <w:snapToGrid w:val="0"/>
        </w:rPr>
        <w:tab/>
        <w:t>Form for employer undecided on liability</w:t>
      </w:r>
      <w:bookmarkEnd w:id="1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 w:name="_Toc390078298"/>
      <w:r>
        <w:rPr>
          <w:rStyle w:val="CharSectno"/>
        </w:rPr>
        <w:t>7</w:t>
      </w:r>
      <w:r>
        <w:rPr>
          <w:snapToGrid w:val="0"/>
        </w:rPr>
        <w:t>.</w:t>
      </w:r>
      <w:r>
        <w:rPr>
          <w:snapToGrid w:val="0"/>
        </w:rPr>
        <w:tab/>
        <w:t>Certificate and notice before discontinuance of weekly payments</w:t>
      </w:r>
      <w:bookmarkEnd w:id="17"/>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8" w:name="_Toc390078299"/>
      <w:r>
        <w:rPr>
          <w:rStyle w:val="CharSectno"/>
        </w:rPr>
        <w:t>8</w:t>
      </w:r>
      <w:r>
        <w:t>.</w:t>
      </w:r>
      <w:r>
        <w:tab/>
        <w:t>Frequency and time of medical examinations (s. 66)</w:t>
      </w:r>
      <w:bookmarkEnd w:id="1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spacing w:before="120"/>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4863-4.]</w:t>
      </w:r>
    </w:p>
    <w:p>
      <w:pPr>
        <w:pStyle w:val="Ednotesection"/>
      </w:pPr>
      <w:r>
        <w:t>[</w:t>
      </w:r>
      <w:r>
        <w:rPr>
          <w:b/>
          <w:bCs/>
        </w:rPr>
        <w:t>8A</w:t>
      </w:r>
      <w:r>
        <w:t>.</w:t>
      </w:r>
      <w:r>
        <w:tab/>
        <w:t>Repealed in Gazette 15 Oct 1999 p. 4890.]</w:t>
      </w:r>
    </w:p>
    <w:p>
      <w:pPr>
        <w:pStyle w:val="Heading5"/>
        <w:rPr>
          <w:snapToGrid w:val="0"/>
        </w:rPr>
      </w:pPr>
      <w:bookmarkStart w:id="19" w:name="_Toc390078300"/>
      <w:r>
        <w:rPr>
          <w:rStyle w:val="CharSectno"/>
        </w:rPr>
        <w:t>9</w:t>
      </w:r>
      <w:r>
        <w:rPr>
          <w:snapToGrid w:val="0"/>
        </w:rPr>
        <w:t>.</w:t>
      </w:r>
      <w:r>
        <w:rPr>
          <w:snapToGrid w:val="0"/>
        </w:rPr>
        <w:tab/>
        <w:t>Compound discount table</w:t>
      </w:r>
      <w:bookmarkEnd w:id="19"/>
      <w:r>
        <w:rPr>
          <w:snapToGrid w:val="0"/>
        </w:rPr>
        <w:t xml:space="preserve"> </w:t>
      </w:r>
    </w:p>
    <w:p>
      <w:pPr>
        <w:pStyle w:val="Subsection"/>
        <w:spacing w:before="12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0" w:name="_Toc390078301"/>
      <w:r>
        <w:rPr>
          <w:rStyle w:val="CharSectno"/>
        </w:rPr>
        <w:t>9A</w:t>
      </w:r>
      <w:r>
        <w:rPr>
          <w:snapToGrid w:val="0"/>
        </w:rPr>
        <w:t>.</w:t>
      </w:r>
      <w:r>
        <w:rPr>
          <w:snapToGrid w:val="0"/>
        </w:rPr>
        <w:tab/>
        <w:t>Discount formula</w:t>
      </w:r>
      <w:bookmarkEnd w:id="20"/>
      <w:r>
        <w:rPr>
          <w:snapToGrid w:val="0"/>
        </w:rPr>
        <w:t xml:space="preserve"> </w:t>
      </w:r>
    </w:p>
    <w:p>
      <w:pPr>
        <w:pStyle w:val="Subsection"/>
        <w:spacing w:before="120"/>
        <w:rPr>
          <w:snapToGrid w:val="0"/>
          <w:spacing w:val="-4"/>
        </w:rPr>
      </w:pPr>
      <w:r>
        <w:rPr>
          <w:snapToGrid w:val="0"/>
          <w:spacing w:val="-4"/>
        </w:rPr>
        <w:tab/>
      </w:r>
      <w:r>
        <w:rPr>
          <w:snapToGrid w:val="0"/>
          <w:spacing w:val="-4"/>
        </w:rPr>
        <w:tab/>
        <w:t>When calculating a lump sum redemption under section 68 of the Act the following formula shall be applied for use in conjunction with a compound discount table as set out in Appendix II.</w:t>
      </w:r>
    </w:p>
    <w:p>
      <w:pPr>
        <w:pStyle w:val="MiscellaneousBody"/>
        <w:jc w:val="center"/>
        <w:outlineLvl w:val="0"/>
        <w:rPr>
          <w:snapToGrid w:val="0"/>
        </w:rPr>
      </w:pPr>
      <w:r>
        <w:rPr>
          <w:snapToGrid w:val="0"/>
        </w:rPr>
        <w:t>DISCOUNT FORMULA UNDER SECTION 68(4)</w:t>
      </w:r>
    </w:p>
    <w:p>
      <w:pPr>
        <w:pStyle w:val="MiscellaneousBody"/>
        <w:ind w:left="879"/>
        <w:outlineLvl w:val="0"/>
        <w:rPr>
          <w:snapToGrid w:val="0"/>
        </w:rPr>
      </w:pPr>
      <w:r>
        <w:rPr>
          <w:snapToGrid w:val="0"/>
        </w:rPr>
        <w:t>Discounted sum = P x 52 x A</w:t>
      </w:r>
    </w:p>
    <w:p>
      <w:pPr>
        <w:pStyle w:val="MiscellaneousBody"/>
        <w:ind w:left="879"/>
        <w:outlineLvl w:val="0"/>
        <w:rPr>
          <w:snapToGrid w:val="0"/>
        </w:rPr>
      </w:pPr>
      <w:r>
        <w:rPr>
          <w:snapToGrid w:val="0"/>
        </w:rPr>
        <w:t>Where — </w:t>
      </w:r>
    </w:p>
    <w:p>
      <w:pPr>
        <w:pStyle w:val="MiscellaneousBody"/>
        <w:tabs>
          <w:tab w:val="left" w:pos="1418"/>
        </w:tabs>
        <w:spacing w:before="80"/>
        <w:ind w:left="1843" w:hanging="425"/>
        <w:rPr>
          <w:snapToGrid w:val="0"/>
        </w:rPr>
      </w:pPr>
      <w:r>
        <w:rPr>
          <w:snapToGrid w:val="0"/>
        </w:rPr>
        <w:t>S = prescribed amount less the sum of weekly payments made</w:t>
      </w:r>
    </w:p>
    <w:p>
      <w:pPr>
        <w:pStyle w:val="MiscellaneousBody"/>
        <w:tabs>
          <w:tab w:val="left" w:pos="1418"/>
        </w:tabs>
        <w:spacing w:before="80"/>
        <w:ind w:left="1843" w:hanging="425"/>
        <w:outlineLvl w:val="0"/>
        <w:rPr>
          <w:snapToGrid w:val="0"/>
        </w:rPr>
      </w:pPr>
      <w:r>
        <w:rPr>
          <w:snapToGrid w:val="0"/>
        </w:rPr>
        <w:t>P = the weekly payment</w:t>
      </w:r>
    </w:p>
    <w:p>
      <w:pPr>
        <w:pStyle w:val="MiscellaneousBody"/>
        <w:tabs>
          <w:tab w:val="left" w:pos="595"/>
          <w:tab w:val="left" w:pos="879"/>
        </w:tabs>
        <w:spacing w:before="80"/>
        <w:ind w:left="1361"/>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0" o:title=""/>
          </v:shape>
          <o:OLEObject Type="Embed" ProgID="Equation.3" ShapeID="_x0000_i1025" DrawAspect="Content" ObjectID="_1644494333" r:id="rId21"/>
        </w:object>
      </w:r>
    </w:p>
    <w:p>
      <w:pPr>
        <w:pStyle w:val="MiscellaneousBody"/>
        <w:tabs>
          <w:tab w:val="left" w:pos="595"/>
          <w:tab w:val="left" w:pos="879"/>
        </w:tabs>
        <w:spacing w:before="0"/>
        <w:ind w:left="1361"/>
        <w:outlineLvl w:val="0"/>
        <w:rPr>
          <w:snapToGrid w:val="0"/>
        </w:rPr>
      </w:pPr>
      <w:r>
        <w:rPr>
          <w:snapToGrid w:val="0"/>
        </w:rPr>
        <w:t xml:space="preserve">Y = the whole number equal to or next below </w:t>
      </w:r>
      <w:r>
        <w:rPr>
          <w:snapToGrid w:val="0"/>
          <w:position w:val="-24"/>
        </w:rPr>
        <w:object w:dxaOrig="340" w:dyaOrig="620">
          <v:shape id="_x0000_i1026" type="#_x0000_t75" style="width:17.25pt;height:31.5pt" o:ole="" fillcolor="window">
            <v:imagedata r:id="rId22" o:title=""/>
          </v:shape>
          <o:OLEObject Type="Embed" ProgID="Equation.3" ShapeID="_x0000_i1026" DrawAspect="Content" ObjectID="_1644494334" r:id="rId23"/>
        </w:object>
      </w:r>
    </w:p>
    <w:p>
      <w:pPr>
        <w:pStyle w:val="MiscellaneousBody"/>
        <w:tabs>
          <w:tab w:val="left" w:pos="595"/>
          <w:tab w:val="left" w:pos="879"/>
        </w:tabs>
        <w:spacing w:before="0"/>
        <w:ind w:left="1361"/>
        <w:outlineLvl w:val="0"/>
        <w:rPr>
          <w:snapToGrid w:val="0"/>
        </w:rPr>
      </w:pPr>
      <w:r>
        <w:rPr>
          <w:snapToGrid w:val="0"/>
        </w:rPr>
        <w:t>W = T — (52 x Y)</w:t>
      </w:r>
    </w:p>
    <w:p>
      <w:pPr>
        <w:pStyle w:val="MiscellaneousBody"/>
        <w:tabs>
          <w:tab w:val="left" w:pos="595"/>
          <w:tab w:val="left" w:pos="879"/>
        </w:tabs>
        <w:spacing w:before="80"/>
        <w:ind w:left="1758" w:hanging="397"/>
        <w:rPr>
          <w:snapToGrid w:val="0"/>
        </w:rPr>
      </w:pPr>
      <w:r>
        <w:rPr>
          <w:snapToGrid w:val="0"/>
        </w:rPr>
        <w:t>A = the present value of $1.00 per annum payable weekly for Y years and W weeks obtained from the compound discount tables set out in Appendix II.</w:t>
      </w:r>
    </w:p>
    <w:p>
      <w:pPr>
        <w:pStyle w:val="Footnotesection"/>
      </w:pPr>
      <w:r>
        <w:tab/>
        <w:t xml:space="preserve">[Regulation 9A inserted in Gazette 25 Jul 1986 p. 2484; amended in Gazette 2 Sep 1988 p. 3464.] </w:t>
      </w:r>
    </w:p>
    <w:p>
      <w:pPr>
        <w:pStyle w:val="Heading5"/>
        <w:rPr>
          <w:snapToGrid w:val="0"/>
        </w:rPr>
      </w:pPr>
      <w:bookmarkStart w:id="21" w:name="_Toc390078302"/>
      <w:r>
        <w:rPr>
          <w:rStyle w:val="CharSectno"/>
        </w:rPr>
        <w:t>10</w:t>
      </w:r>
      <w:r>
        <w:rPr>
          <w:snapToGrid w:val="0"/>
        </w:rPr>
        <w:t>.</w:t>
      </w:r>
      <w:r>
        <w:rPr>
          <w:snapToGrid w:val="0"/>
        </w:rPr>
        <w:tab/>
        <w:t>Worker not residing in the State</w:t>
      </w:r>
      <w:bookmarkEnd w:id="2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2" w:name="_Toc390078303"/>
      <w:r>
        <w:rPr>
          <w:rStyle w:val="CharSectno"/>
        </w:rPr>
        <w:t>10A</w:t>
      </w:r>
      <w:r>
        <w:t>.</w:t>
      </w:r>
      <w:r>
        <w:tab/>
        <w:t>Medical certificate for statutory expenses</w:t>
      </w:r>
      <w:bookmarkEnd w:id="22"/>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bCs/>
        </w:rPr>
        <w:t>10B</w:t>
      </w:r>
      <w:r>
        <w:t>.</w:t>
      </w:r>
      <w:r>
        <w:tab/>
        <w:t>Repealed in Gazette 28 Oct 2005 p. 4864.]</w:t>
      </w:r>
    </w:p>
    <w:p>
      <w:pPr>
        <w:pStyle w:val="Heading5"/>
        <w:rPr>
          <w:snapToGrid w:val="0"/>
        </w:rPr>
      </w:pPr>
      <w:bookmarkStart w:id="23" w:name="_Toc390078304"/>
      <w:r>
        <w:rPr>
          <w:rStyle w:val="CharSectno"/>
        </w:rPr>
        <w:t>11</w:t>
      </w:r>
      <w:r>
        <w:rPr>
          <w:snapToGrid w:val="0"/>
        </w:rPr>
        <w:t>.</w:t>
      </w:r>
      <w:r>
        <w:rPr>
          <w:snapToGrid w:val="0"/>
        </w:rPr>
        <w:tab/>
        <w:t>Payments after death outside the State</w:t>
      </w:r>
      <w:bookmarkEnd w:id="23"/>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b/>
          <w:snapToGrid w:val="0"/>
        </w:rPr>
        <w:t>“</w:t>
      </w:r>
      <w:r>
        <w:rPr>
          <w:rStyle w:val="CharDefText"/>
        </w:rPr>
        <w:t>representatives</w:t>
      </w:r>
      <w:r>
        <w:rPr>
          <w:b/>
          <w:snapToGrid w:val="0"/>
        </w:rPr>
        <w:t>”</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4" w:name="_Toc390078305"/>
      <w:r>
        <w:rPr>
          <w:rStyle w:val="CharSectno"/>
        </w:rPr>
        <w:t>12</w:t>
      </w:r>
      <w:r>
        <w:rPr>
          <w:snapToGrid w:val="0"/>
        </w:rPr>
        <w:t>.</w:t>
      </w:r>
      <w:r>
        <w:rPr>
          <w:snapToGrid w:val="0"/>
        </w:rPr>
        <w:tab/>
        <w:t>Agreements</w:t>
      </w:r>
      <w:bookmarkEnd w:id="2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spacing w:before="120"/>
      </w:pPr>
      <w:r>
        <w:tab/>
        <w:t>(6)</w:t>
      </w:r>
      <w:r>
        <w:tab/>
        <w:t>The Director may vary or amend a memorandum if all parties first give the Director written consent to make that variation or amendment.</w:t>
      </w:r>
    </w:p>
    <w:p>
      <w:pPr>
        <w:pStyle w:val="Subsection"/>
        <w:spacing w:before="120"/>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 xml:space="preserve">7; 28 Oct 2005 p. 4864-5.] </w:t>
      </w:r>
    </w:p>
    <w:p>
      <w:pPr>
        <w:pStyle w:val="Heading5"/>
      </w:pPr>
      <w:bookmarkStart w:id="25" w:name="_Toc390078306"/>
      <w:r>
        <w:rPr>
          <w:rStyle w:val="CharSectno"/>
        </w:rPr>
        <w:t>12AA</w:t>
      </w:r>
      <w:r>
        <w:t>.</w:t>
      </w:r>
      <w:r>
        <w:tab/>
        <w:t>Notice of intention to dismiss worker (section 84AB)</w:t>
      </w:r>
      <w:bookmarkEnd w:id="2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bCs/>
        </w:rPr>
        <w:t>12AB</w:t>
      </w:r>
      <w:r>
        <w:t>.</w:t>
      </w:r>
      <w:r>
        <w:tab/>
        <w:t>Repealed in Gazette 28 Oct 2005 p. 4865.]</w:t>
      </w:r>
    </w:p>
    <w:p>
      <w:pPr>
        <w:pStyle w:val="Heading5"/>
        <w:rPr>
          <w:snapToGrid w:val="0"/>
        </w:rPr>
      </w:pPr>
      <w:bookmarkStart w:id="26" w:name="_Toc390078307"/>
      <w:r>
        <w:rPr>
          <w:rStyle w:val="CharSectno"/>
        </w:rPr>
        <w:t>12A</w:t>
      </w:r>
      <w:r>
        <w:rPr>
          <w:snapToGrid w:val="0"/>
        </w:rPr>
        <w:t>.</w:t>
      </w:r>
      <w:r>
        <w:rPr>
          <w:snapToGrid w:val="0"/>
        </w:rPr>
        <w:tab/>
        <w:t>Contributions to General Fund</w:t>
      </w:r>
      <w:bookmarkEnd w:id="26"/>
      <w:r>
        <w:rPr>
          <w:snapToGrid w:val="0"/>
        </w:rPr>
        <w:t xml:space="preserve"> </w:t>
      </w:r>
    </w:p>
    <w:p>
      <w:pPr>
        <w:pStyle w:val="Subsection"/>
        <w:spacing w:before="120"/>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spacing w:before="120"/>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7" w:name="_Toc390078308"/>
      <w:r>
        <w:rPr>
          <w:rStyle w:val="CharSectno"/>
        </w:rPr>
        <w:t>13</w:t>
      </w:r>
      <w:r>
        <w:t>.</w:t>
      </w:r>
      <w:r>
        <w:tab/>
        <w:t>Ascertaining amount for reimbursement (section 154AC(1))</w:t>
      </w:r>
      <w:bookmarkEnd w:id="2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t>“</w:t>
      </w:r>
      <w:r>
        <w:rPr>
          <w:rStyle w:val="CharDefText"/>
        </w:rPr>
        <w:t>actual total cost</w:t>
      </w:r>
      <w:r>
        <w:rPr>
          <w:b/>
        </w:rPr>
        <w: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t>“</w:t>
      </w:r>
      <w:r>
        <w:rPr>
          <w:rStyle w:val="CharDefText"/>
        </w:rPr>
        <w:t>estimated total cost</w:t>
      </w:r>
      <w:r>
        <w:rPr>
          <w:b/>
        </w:rPr>
        <w: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t>“</w:t>
      </w:r>
      <w:r>
        <w:rPr>
          <w:rStyle w:val="CharDefText"/>
        </w:rPr>
        <w:t>Insurer/Self</w:t>
      </w:r>
      <w:r>
        <w:rPr>
          <w:rStyle w:val="CharDefText"/>
        </w:rPr>
        <w:noBreakHyphen/>
        <w:t>Insurer Electronic Data Specification (Edition Q1)</w:t>
      </w:r>
      <w:r>
        <w:rPr>
          <w:b/>
        </w:rPr>
        <w:t>”</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4898-9; amended in Gazette 21 Jan 2005 p. 276.]</w:t>
      </w:r>
    </w:p>
    <w:p>
      <w:pPr>
        <w:pStyle w:val="Heading5"/>
      </w:pPr>
      <w:bookmarkStart w:id="28" w:name="_Toc390078309"/>
      <w:r>
        <w:rPr>
          <w:rStyle w:val="CharSectno"/>
        </w:rPr>
        <w:t>13A</w:t>
      </w:r>
      <w:r>
        <w:t>.</w:t>
      </w:r>
      <w:r>
        <w:tab/>
        <w:t>Prescribed rate of interest (sections 222(2), 223(2) and 224(2))</w:t>
      </w:r>
      <w:bookmarkEnd w:id="2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bCs/>
        </w:rPr>
        <w:t>14</w:t>
      </w:r>
      <w:r>
        <w:t>.</w:t>
      </w:r>
      <w:r>
        <w:tab/>
        <w:t>Repealed in Gazette 28 Oct 2005 p. 4866.]</w:t>
      </w:r>
    </w:p>
    <w:p>
      <w:pPr>
        <w:pStyle w:val="Heading5"/>
      </w:pPr>
      <w:bookmarkStart w:id="29" w:name="_Toc390078310"/>
      <w:r>
        <w:rPr>
          <w:rStyle w:val="CharSectno"/>
        </w:rPr>
        <w:t>15</w:t>
      </w:r>
      <w:r>
        <w:t>.</w:t>
      </w:r>
      <w:r>
        <w:tab/>
        <w:t>Statements by approved insurance offices</w:t>
      </w:r>
      <w:bookmarkEnd w:id="29"/>
    </w:p>
    <w:p>
      <w:pPr>
        <w:pStyle w:val="Subsection"/>
        <w:spacing w:before="120"/>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bCs/>
        </w:rPr>
        <w:t>16</w:t>
      </w:r>
      <w:r>
        <w:t>.</w:t>
      </w:r>
      <w:r>
        <w:tab/>
        <w:t>Repealed in Gazette 28 Oct 2005 p. 4866.]</w:t>
      </w:r>
    </w:p>
    <w:p>
      <w:pPr>
        <w:pStyle w:val="Heading5"/>
      </w:pPr>
      <w:bookmarkStart w:id="30" w:name="_Toc390078311"/>
      <w:r>
        <w:rPr>
          <w:rStyle w:val="CharSectno"/>
        </w:rPr>
        <w:t>16A</w:t>
      </w:r>
      <w:r>
        <w:t>.</w:t>
      </w:r>
      <w:r>
        <w:tab/>
        <w:t>Clause 1C notifications and elections</w:t>
      </w:r>
      <w:bookmarkEnd w:id="3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4867-8.]</w:t>
      </w:r>
    </w:p>
    <w:p>
      <w:pPr>
        <w:pStyle w:val="Heading5"/>
      </w:pPr>
      <w:bookmarkStart w:id="31" w:name="_Toc390078312"/>
      <w:r>
        <w:rPr>
          <w:rStyle w:val="CharSectno"/>
        </w:rPr>
        <w:t>17</w:t>
      </w:r>
      <w:r>
        <w:t>.</w:t>
      </w:r>
      <w:r>
        <w:tab/>
        <w:t>Prescribed allowance — clause 11(2)</w:t>
      </w:r>
      <w:bookmarkEnd w:id="31"/>
    </w:p>
    <w:p>
      <w:pPr>
        <w:pStyle w:val="Subsection"/>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pPr>
      <w:bookmarkStart w:id="32" w:name="_Toc390078313"/>
      <w:r>
        <w:rPr>
          <w:rStyle w:val="CharSectno"/>
        </w:rPr>
        <w:t>17AA</w:t>
      </w:r>
      <w:r>
        <w:t>.</w:t>
      </w:r>
      <w:r>
        <w:tab/>
        <w:t>Prescribed rate for vehicle running expenses (Sch. 1 cl. 19 of the Act)</w:t>
      </w:r>
      <w:bookmarkEnd w:id="32"/>
    </w:p>
    <w:p>
      <w:pPr>
        <w:pStyle w:val="Subsection"/>
      </w:pPr>
      <w:r>
        <w:tab/>
        <w:t>(1)</w:t>
      </w:r>
      <w:r>
        <w:tab/>
        <w:t xml:space="preserve">For the purposes of the Act Schedule 1 clause 19(1), the prescribed rate for vehicle running expenses (irrespective of engine capacity) is — </w:t>
      </w:r>
    </w:p>
    <w:p>
      <w:pPr>
        <w:pStyle w:val="Indenta"/>
      </w:pPr>
      <w:r>
        <w:tab/>
        <w:t>(a)</w:t>
      </w:r>
      <w:r>
        <w:tab/>
        <w:t>for the period up to and including 30 June 2005, 34 cents per kilometre; and</w:t>
      </w:r>
    </w:p>
    <w:p>
      <w:pPr>
        <w:pStyle w:val="Indenta"/>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3" w:name="_Toc390078314"/>
      <w:r>
        <w:rPr>
          <w:rStyle w:val="CharSectno"/>
        </w:rPr>
        <w:t>17AB</w:t>
      </w:r>
      <w:r>
        <w:t>.</w:t>
      </w:r>
      <w:r>
        <w:tab/>
        <w:t>Exceptional circumstances — clause 18A(2aa)(c)(ii)</w:t>
      </w:r>
      <w:bookmarkEnd w:id="3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t>“</w:t>
      </w:r>
      <w:r>
        <w:rPr>
          <w:rStyle w:val="CharDefText"/>
        </w:rPr>
        <w:t>MBS item</w:t>
      </w:r>
      <w:r>
        <w:rPr>
          <w:b/>
        </w:rPr>
        <w:t>”</w:t>
      </w:r>
      <w:r>
        <w:t xml:space="preserve"> means an item specified in the Medicare Benefits Schedule published by the Commonwealth Department of Health and Aged Care;</w:t>
      </w:r>
    </w:p>
    <w:p>
      <w:pPr>
        <w:pStyle w:val="Defstart"/>
      </w:pPr>
      <w:r>
        <w:rPr>
          <w:b/>
        </w:rPr>
        <w:tab/>
        <w:t>“</w:t>
      </w:r>
      <w:r>
        <w:rPr>
          <w:rStyle w:val="CharDefText"/>
        </w:rPr>
        <w:t>treating specialist</w:t>
      </w:r>
      <w:r>
        <w:rPr>
          <w:b/>
        </w:rPr>
        <w:t>”</w:t>
      </w:r>
      <w:r>
        <w:t xml:space="preserve">, in relation to an applicant, means a medical practitioner who — </w:t>
      </w:r>
    </w:p>
    <w:p>
      <w:pPr>
        <w:pStyle w:val="Defpara"/>
      </w:pPr>
      <w:r>
        <w:tab/>
        <w:t>(a)</w:t>
      </w:r>
      <w:r>
        <w:tab/>
        <w:t>is treating the applicant; and</w:t>
      </w:r>
    </w:p>
    <w:p>
      <w:pPr>
        <w:pStyle w:val="Defpara"/>
      </w:pPr>
      <w:r>
        <w:tab/>
        <w:t>(b)</w:t>
      </w:r>
      <w:r>
        <w:tab/>
        <w:t>is a specialist in a relevant field of medicine.</w:t>
      </w:r>
    </w:p>
    <w:p>
      <w:pPr>
        <w:pStyle w:val="Footnotesection"/>
      </w:pPr>
      <w:r>
        <w:tab/>
        <w:t>[Regulation 17AB inserted in Gazette 28 Oct 2005 p. 4868-9.]</w:t>
      </w:r>
    </w:p>
    <w:p>
      <w:pPr>
        <w:pStyle w:val="Heading5"/>
      </w:pPr>
      <w:bookmarkStart w:id="34" w:name="_Toc390078315"/>
      <w:r>
        <w:rPr>
          <w:rStyle w:val="CharSectno"/>
        </w:rPr>
        <w:t>17AC</w:t>
      </w:r>
      <w:r>
        <w:t>.</w:t>
      </w:r>
      <w:r>
        <w:tab/>
        <w:t>Management plan — clause 18A(2ac)</w:t>
      </w:r>
      <w:bookmarkEnd w:id="3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5" w:name="_Toc390078316"/>
      <w:r>
        <w:rPr>
          <w:rStyle w:val="CharSectno"/>
        </w:rPr>
        <w:t>17AD</w:t>
      </w:r>
      <w:r>
        <w:t>.</w:t>
      </w:r>
      <w:r>
        <w:tab/>
        <w:t>Extending final day</w:t>
      </w:r>
      <w:bookmarkEnd w:id="3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4870-1.]</w:t>
      </w:r>
    </w:p>
    <w:p>
      <w:pPr>
        <w:pStyle w:val="Heading5"/>
        <w:rPr>
          <w:snapToGrid w:val="0"/>
        </w:rPr>
      </w:pPr>
      <w:bookmarkStart w:id="36" w:name="_Toc390078317"/>
      <w:r>
        <w:rPr>
          <w:rStyle w:val="CharSectno"/>
        </w:rPr>
        <w:t>17A</w:t>
      </w:r>
      <w:r>
        <w:rPr>
          <w:snapToGrid w:val="0"/>
        </w:rPr>
        <w:t>.</w:t>
      </w:r>
      <w:r>
        <w:rPr>
          <w:snapToGrid w:val="0"/>
        </w:rPr>
        <w:tab/>
        <w:t>Supplementary amount varied</w:t>
      </w:r>
      <w:bookmarkEnd w:id="36"/>
      <w:r>
        <w:rPr>
          <w:snapToGrid w:val="0"/>
        </w:rPr>
        <w:t xml:space="preserve"> </w:t>
      </w:r>
    </w:p>
    <w:p>
      <w:pPr>
        <w:pStyle w:val="Subsection"/>
        <w:rPr>
          <w:snapToGrid w:val="0"/>
        </w:rPr>
      </w:pPr>
      <w:r>
        <w:rPr>
          <w:snapToGrid w:val="0"/>
        </w:rPr>
        <w:tab/>
      </w:r>
      <w:r>
        <w:rPr>
          <w:snapToGrid w:val="0"/>
        </w:rPr>
        <w:tab/>
        <w:t xml:space="preserve">The supplementary amount referred to in </w:t>
      </w:r>
      <w:r>
        <w:t xml:space="preserve">the Act Schedule 5 clause 1 </w:t>
      </w:r>
      <w:r>
        <w:rPr>
          <w:snapToGrid w:val="0"/>
        </w:rPr>
        <w:t>is varied and shall be — </w:t>
      </w:r>
    </w:p>
    <w:p>
      <w:pPr>
        <w:pStyle w:val="Indenta"/>
        <w:rPr>
          <w:snapToGrid w:val="0"/>
        </w:rPr>
      </w:pPr>
      <w:r>
        <w:rPr>
          <w:snapToGrid w:val="0"/>
        </w:rPr>
        <w:tab/>
        <w:t>(a)</w:t>
      </w:r>
      <w:r>
        <w:rPr>
          <w:snapToGrid w:val="0"/>
        </w:rPr>
        <w:tab/>
        <w:t>in relation to a worker with a dependent spouse</w:t>
      </w:r>
      <w:r>
        <w:t xml:space="preserve"> or dependant de facto partner, or both</w:t>
      </w:r>
      <w:r>
        <w:rPr>
          <w:snapToGrid w:val="0"/>
        </w:rPr>
        <w:t>, the sum of $88;</w:t>
      </w:r>
    </w:p>
    <w:p>
      <w:pPr>
        <w:pStyle w:val="Indenta"/>
        <w:rPr>
          <w:snapToGrid w:val="0"/>
        </w:rPr>
      </w:pPr>
      <w:r>
        <w:rPr>
          <w:snapToGrid w:val="0"/>
        </w:rPr>
        <w:tab/>
        <w:t>(b)</w:t>
      </w:r>
      <w:r>
        <w:rPr>
          <w:snapToGrid w:val="0"/>
        </w:rPr>
        <w:tab/>
        <w:t>in relation to a worker without a dependent spouse</w:t>
      </w:r>
      <w:r>
        <w:t xml:space="preserve"> or dependant de facto partner</w:t>
      </w:r>
      <w:r>
        <w:rPr>
          <w:snapToGrid w:val="0"/>
        </w:rPr>
        <w:t>, the sum of $50.</w:t>
      </w:r>
    </w:p>
    <w:p>
      <w:pPr>
        <w:pStyle w:val="Footnotesection"/>
      </w:pPr>
      <w:r>
        <w:tab/>
        <w: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t>
      </w:r>
    </w:p>
    <w:p>
      <w:pPr>
        <w:pStyle w:val="Heading5"/>
      </w:pPr>
      <w:bookmarkStart w:id="37" w:name="_Toc390078318"/>
      <w:r>
        <w:rPr>
          <w:rStyle w:val="CharSectno"/>
        </w:rPr>
        <w:t>17B</w:t>
      </w:r>
      <w:r>
        <w:t>.</w:t>
      </w:r>
      <w:r>
        <w:tab/>
        <w:t>Witness allowances</w:t>
      </w:r>
      <w:bookmarkEnd w:id="37"/>
      <w:r>
        <w:t xml:space="preserve"> </w:t>
      </w:r>
    </w:p>
    <w:p>
      <w:pPr>
        <w:pStyle w:val="Subsection"/>
      </w:pPr>
      <w:r>
        <w:tab/>
      </w:r>
      <w:r>
        <w:tab/>
        <w:t>A person who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38" w:name="_Toc390078319"/>
      <w:r>
        <w:rPr>
          <w:rStyle w:val="CharSectno"/>
        </w:rPr>
        <w:t>18</w:t>
      </w:r>
      <w:r>
        <w:rPr>
          <w:snapToGrid w:val="0"/>
        </w:rPr>
        <w:t>.</w:t>
      </w:r>
      <w:r>
        <w:rPr>
          <w:snapToGrid w:val="0"/>
        </w:rPr>
        <w:tab/>
        <w:t>Form of election to receive redemption amount or supplementary amount</w:t>
      </w:r>
      <w:bookmarkEnd w:id="38"/>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39" w:name="_Toc390078320"/>
      <w:r>
        <w:rPr>
          <w:rStyle w:val="CharPartNo"/>
        </w:rPr>
        <w:t>Part 2A</w:t>
      </w:r>
      <w:r>
        <w:rPr>
          <w:b w:val="0"/>
        </w:rPr>
        <w:t> </w:t>
      </w:r>
      <w:r>
        <w:t>—</w:t>
      </w:r>
      <w:r>
        <w:rPr>
          <w:b w:val="0"/>
        </w:rPr>
        <w:t> </w:t>
      </w:r>
      <w:r>
        <w:rPr>
          <w:rStyle w:val="CharPartText"/>
        </w:rPr>
        <w:t>Assessment of costs</w:t>
      </w:r>
      <w:bookmarkEnd w:id="39"/>
    </w:p>
    <w:p>
      <w:pPr>
        <w:pStyle w:val="Footnoteheading"/>
      </w:pPr>
      <w:r>
        <w:tab/>
        <w:t>[Heading inserted in Gazette 28 Oct 2005 p. 4871.]</w:t>
      </w:r>
    </w:p>
    <w:p>
      <w:pPr>
        <w:pStyle w:val="Heading5"/>
      </w:pPr>
      <w:bookmarkStart w:id="40" w:name="_Toc390078321"/>
      <w:r>
        <w:rPr>
          <w:rStyle w:val="CharSectno"/>
        </w:rPr>
        <w:t>18A</w:t>
      </w:r>
      <w:r>
        <w:t>.</w:t>
      </w:r>
      <w:r>
        <w:tab/>
        <w:t>Application of this Part</w:t>
      </w:r>
      <w:bookmarkEnd w:id="4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1" w:name="_Toc390078322"/>
      <w:r>
        <w:rPr>
          <w:rStyle w:val="CharSectno"/>
        </w:rPr>
        <w:t>18B</w:t>
      </w:r>
      <w:r>
        <w:t>.</w:t>
      </w:r>
      <w:r>
        <w:tab/>
        <w:t>Meaning of terms used in this Part</w:t>
      </w:r>
      <w:bookmarkEnd w:id="41"/>
    </w:p>
    <w:p>
      <w:pPr>
        <w:pStyle w:val="Subsection"/>
      </w:pPr>
      <w:r>
        <w:tab/>
      </w:r>
      <w:r>
        <w:tab/>
        <w:t xml:space="preserve">In this Part — </w:t>
      </w:r>
    </w:p>
    <w:p>
      <w:pPr>
        <w:pStyle w:val="Defstart"/>
      </w:pPr>
      <w:r>
        <w:rPr>
          <w:b/>
        </w:rPr>
        <w:tab/>
        <w:t>“</w:t>
      </w:r>
      <w:r>
        <w:rPr>
          <w:rStyle w:val="CharDefText"/>
        </w:rPr>
        <w:t>agent service</w:t>
      </w:r>
      <w:r>
        <w:rPr>
          <w:b/>
        </w:rPr>
        <w:t>”</w:t>
      </w:r>
      <w:r>
        <w:t xml:space="preserve"> has the meaning given to that term in section 261 of the Act;</w:t>
      </w:r>
    </w:p>
    <w:p>
      <w:pPr>
        <w:pStyle w:val="Defstart"/>
      </w:pPr>
      <w:r>
        <w:rPr>
          <w:b/>
        </w:rPr>
        <w:tab/>
        <w:t>“</w:t>
      </w:r>
      <w:r>
        <w:rPr>
          <w:rStyle w:val="CharDefText"/>
        </w:rPr>
        <w:t>applicant</w:t>
      </w:r>
      <w:r>
        <w:rPr>
          <w:b/>
        </w:rPr>
        <w:t>”</w:t>
      </w:r>
      <w:r>
        <w:t xml:space="preserve"> means an applicant for assessment of costs under regulation 18C;</w:t>
      </w:r>
    </w:p>
    <w:p>
      <w:pPr>
        <w:pStyle w:val="Defstart"/>
      </w:pPr>
      <w:r>
        <w:rPr>
          <w:b/>
        </w:rPr>
        <w:tab/>
        <w:t>“</w:t>
      </w:r>
      <w:r>
        <w:rPr>
          <w:rStyle w:val="CharDefText"/>
        </w:rPr>
        <w:t>application</w:t>
      </w:r>
      <w:r>
        <w:rPr>
          <w:b/>
        </w:rPr>
        <w:t>”</w:t>
      </w:r>
      <w:r>
        <w:t xml:space="preserve"> means an application for assessment of costs under regulation 18C;</w:t>
      </w:r>
    </w:p>
    <w:p>
      <w:pPr>
        <w:pStyle w:val="Defstart"/>
      </w:pPr>
      <w:r>
        <w:rPr>
          <w:b/>
        </w:rPr>
        <w:tab/>
        <w:t>“</w:t>
      </w:r>
      <w:r>
        <w:rPr>
          <w:rStyle w:val="CharDefText"/>
        </w:rPr>
        <w:t>legal service</w:t>
      </w:r>
      <w:r>
        <w:rPr>
          <w:b/>
        </w:rPr>
        <w:t>”</w:t>
      </w:r>
      <w:r>
        <w:t xml:space="preserve"> has the meaning given to that term in section 261 of the Act;</w:t>
      </w:r>
    </w:p>
    <w:p>
      <w:pPr>
        <w:pStyle w:val="Defstart"/>
      </w:pPr>
      <w:r>
        <w:rPr>
          <w:b/>
        </w:rPr>
        <w:tab/>
        <w:t>“</w:t>
      </w:r>
      <w:r>
        <w:rPr>
          <w:rStyle w:val="CharDefText"/>
        </w:rPr>
        <w:t>taxing officer</w:t>
      </w:r>
      <w:r>
        <w:rPr>
          <w:b/>
        </w:rPr>
        <w:t>”</w:t>
      </w:r>
      <w:r>
        <w:t xml:space="preserve"> means the Director or an arbitrator.</w:t>
      </w:r>
    </w:p>
    <w:p>
      <w:pPr>
        <w:pStyle w:val="Footnotesection"/>
      </w:pPr>
      <w:r>
        <w:tab/>
        <w:t>[Regulation 18B inserted in Gazette 28 Oct 2005 p. 4872.]</w:t>
      </w:r>
    </w:p>
    <w:p>
      <w:pPr>
        <w:pStyle w:val="Heading5"/>
      </w:pPr>
      <w:bookmarkStart w:id="42" w:name="_Toc390078323"/>
      <w:r>
        <w:rPr>
          <w:rStyle w:val="CharSectno"/>
        </w:rPr>
        <w:t>18C</w:t>
      </w:r>
      <w:r>
        <w:t>.</w:t>
      </w:r>
      <w:r>
        <w:tab/>
        <w:t>Application for assessment of costs</w:t>
      </w:r>
      <w:bookmarkEnd w:id="42"/>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3" w:name="_Toc390078324"/>
      <w:r>
        <w:rPr>
          <w:rStyle w:val="CharSectno"/>
        </w:rPr>
        <w:t>18D</w:t>
      </w:r>
      <w:r>
        <w:t>.</w:t>
      </w:r>
      <w:r>
        <w:tab/>
        <w:t>Taxing officer may require application to be given to other persons</w:t>
      </w:r>
      <w:bookmarkEnd w:id="43"/>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4872-3.]</w:t>
      </w:r>
    </w:p>
    <w:p>
      <w:pPr>
        <w:pStyle w:val="Heading5"/>
      </w:pPr>
      <w:bookmarkStart w:id="44" w:name="_Toc390078325"/>
      <w:r>
        <w:rPr>
          <w:rStyle w:val="CharSectno"/>
        </w:rPr>
        <w:t>18E</w:t>
      </w:r>
      <w:r>
        <w:t>.</w:t>
      </w:r>
      <w:r>
        <w:tab/>
        <w:t>Taxing officer may require documents or further particulars</w:t>
      </w:r>
      <w:bookmarkEnd w:id="44"/>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5" w:name="_Toc390078326"/>
      <w:r>
        <w:rPr>
          <w:rStyle w:val="CharSectno"/>
        </w:rPr>
        <w:t>18F</w:t>
      </w:r>
      <w:r>
        <w:t>.</w:t>
      </w:r>
      <w:r>
        <w:tab/>
        <w:t>Consideration of application</w:t>
      </w:r>
      <w:bookmarkEnd w:id="45"/>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6" w:name="_Toc390078327"/>
      <w:r>
        <w:rPr>
          <w:rStyle w:val="CharSectno"/>
        </w:rPr>
        <w:t>18G</w:t>
      </w:r>
      <w:r>
        <w:t>.</w:t>
      </w:r>
      <w:r>
        <w:tab/>
        <w:t>Assessment to give effect to order and costs determination</w:t>
      </w:r>
      <w:bookmarkEnd w:id="4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7" w:name="_Toc390078328"/>
      <w:r>
        <w:rPr>
          <w:rStyle w:val="CharSectno"/>
        </w:rPr>
        <w:t>18H</w:t>
      </w:r>
      <w:r>
        <w:t>.</w:t>
      </w:r>
      <w:r>
        <w:tab/>
        <w:t>Matters to be considered</w:t>
      </w:r>
      <w:bookmarkEnd w:id="47"/>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4874-5.]</w:t>
      </w:r>
    </w:p>
    <w:p>
      <w:pPr>
        <w:pStyle w:val="Heading5"/>
      </w:pPr>
      <w:bookmarkStart w:id="48" w:name="_Toc390078329"/>
      <w:r>
        <w:rPr>
          <w:rStyle w:val="CharSectno"/>
        </w:rPr>
        <w:t>18I</w:t>
      </w:r>
      <w:r>
        <w:t>.</w:t>
      </w:r>
      <w:r>
        <w:tab/>
        <w:t>Cost of assessment</w:t>
      </w:r>
      <w:bookmarkEnd w:id="48"/>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49" w:name="_Toc390078330"/>
      <w:r>
        <w:rPr>
          <w:rStyle w:val="CharSectno"/>
        </w:rPr>
        <w:t>18J</w:t>
      </w:r>
      <w:r>
        <w:t>.</w:t>
      </w:r>
      <w:r>
        <w:tab/>
        <w:t>Enforcement of assessment</w:t>
      </w:r>
      <w:bookmarkEnd w:id="49"/>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0" w:name="_Toc390078331"/>
      <w:r>
        <w:rPr>
          <w:rStyle w:val="CharSectno"/>
        </w:rPr>
        <w:t>18K</w:t>
      </w:r>
      <w:r>
        <w:t>.</w:t>
      </w:r>
      <w:r>
        <w:tab/>
        <w:t>Correction of error</w:t>
      </w:r>
      <w:bookmarkEnd w:id="5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1" w:name="_Toc390078332"/>
      <w:r>
        <w:rPr>
          <w:rStyle w:val="CharPartNo"/>
        </w:rPr>
        <w:t>Part 2B</w:t>
      </w:r>
      <w:r>
        <w:rPr>
          <w:b w:val="0"/>
        </w:rPr>
        <w:t> </w:t>
      </w:r>
      <w:r>
        <w:t>—</w:t>
      </w:r>
      <w:r>
        <w:rPr>
          <w:b w:val="0"/>
        </w:rPr>
        <w:t> </w:t>
      </w:r>
      <w:r>
        <w:rPr>
          <w:rStyle w:val="CharPartText"/>
        </w:rPr>
        <w:t>Medical assessment</w:t>
      </w:r>
      <w:bookmarkEnd w:id="51"/>
    </w:p>
    <w:p>
      <w:pPr>
        <w:pStyle w:val="Footnoteheading"/>
      </w:pPr>
      <w:r>
        <w:tab/>
        <w:t>[Heading inserted in Gazette 28 Oct 2005 p. 4876.]</w:t>
      </w:r>
    </w:p>
    <w:p>
      <w:pPr>
        <w:pStyle w:val="Heading5"/>
      </w:pPr>
      <w:bookmarkStart w:id="52" w:name="_Toc390078333"/>
      <w:r>
        <w:rPr>
          <w:rStyle w:val="CharSectno"/>
        </w:rPr>
        <w:t>18L</w:t>
      </w:r>
      <w:r>
        <w:t>.</w:t>
      </w:r>
      <w:r>
        <w:tab/>
        <w:t>Definitions</w:t>
      </w:r>
      <w:bookmarkEnd w:id="52"/>
    </w:p>
    <w:p>
      <w:pPr>
        <w:pStyle w:val="Subsection"/>
      </w:pPr>
      <w:r>
        <w:tab/>
      </w:r>
      <w:r>
        <w:tab/>
        <w:t xml:space="preserve">In this Part — </w:t>
      </w:r>
    </w:p>
    <w:p>
      <w:pPr>
        <w:pStyle w:val="Defstart"/>
      </w:pPr>
      <w:r>
        <w:rPr>
          <w:b/>
        </w:rPr>
        <w:tab/>
        <w:t>“</w:t>
      </w:r>
      <w:r>
        <w:rPr>
          <w:rStyle w:val="CharDefText"/>
        </w:rPr>
        <w:t>prescribed details</w:t>
      </w:r>
      <w:r>
        <w:rPr>
          <w:b/>
        </w:rPr>
        <w:t>”</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t>“</w:t>
      </w:r>
      <w:r>
        <w:rPr>
          <w:rStyle w:val="CharDefText"/>
        </w:rPr>
        <w:t>relevant provisions of the Act</w:t>
      </w:r>
      <w:r>
        <w:rPr>
          <w:b/>
        </w:rPr>
        <w: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4876-7.]</w:t>
      </w:r>
    </w:p>
    <w:p>
      <w:pPr>
        <w:pStyle w:val="Heading5"/>
      </w:pPr>
      <w:bookmarkStart w:id="53" w:name="_Toc390078334"/>
      <w:r>
        <w:rPr>
          <w:rStyle w:val="CharSectno"/>
        </w:rPr>
        <w:t>18M</w:t>
      </w:r>
      <w:r>
        <w:t>.</w:t>
      </w:r>
      <w:r>
        <w:tab/>
        <w:t>Request for assessment by approved medical specialist of worker’s degree of impairment</w:t>
      </w:r>
      <w:bookmarkEnd w:id="5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4" w:name="_Toc390078335"/>
      <w:r>
        <w:rPr>
          <w:rStyle w:val="CharSectno"/>
        </w:rPr>
        <w:t>18N</w:t>
      </w:r>
      <w:r>
        <w:t>.</w:t>
      </w:r>
      <w:r>
        <w:tab/>
        <w:t>Requirement to attend at place specified by approved medical specialist</w:t>
      </w:r>
      <w:bookmarkEnd w:id="5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5" w:name="_Toc390078336"/>
      <w:r>
        <w:rPr>
          <w:rStyle w:val="CharSectno"/>
        </w:rPr>
        <w:t>18O</w:t>
      </w:r>
      <w:r>
        <w:t>.</w:t>
      </w:r>
      <w:r>
        <w:tab/>
        <w:t>Requirement to produce to approved medical specialist relevant documents and information and give consent</w:t>
      </w:r>
      <w:bookmarkEnd w:id="55"/>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4878-9.]</w:t>
      </w:r>
    </w:p>
    <w:p>
      <w:pPr>
        <w:pStyle w:val="Heading5"/>
      </w:pPr>
      <w:bookmarkStart w:id="56" w:name="_Toc390078337"/>
      <w:r>
        <w:rPr>
          <w:rStyle w:val="CharSectno"/>
        </w:rPr>
        <w:t>18P</w:t>
      </w:r>
      <w:r>
        <w:t>.</w:t>
      </w:r>
      <w:r>
        <w:tab/>
        <w:t>Period for compliance with requirements</w:t>
      </w:r>
      <w:bookmarkEnd w:id="5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7" w:name="_Toc390078338"/>
      <w:r>
        <w:rPr>
          <w:rStyle w:val="CharSectno"/>
        </w:rPr>
        <w:t>18Q</w:t>
      </w:r>
      <w:r>
        <w:t>.</w:t>
      </w:r>
      <w:r>
        <w:tab/>
        <w:t>Requirement for worker to produce requested information</w:t>
      </w:r>
      <w:bookmarkEnd w:id="57"/>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58" w:name="_Toc390078339"/>
      <w:r>
        <w:rPr>
          <w:rStyle w:val="CharSectno"/>
        </w:rPr>
        <w:t>18R</w:t>
      </w:r>
      <w:r>
        <w:t>.</w:t>
      </w:r>
      <w:r>
        <w:tab/>
        <w:t>Reports and certificates regarding outcome of assessment</w:t>
      </w:r>
      <w:bookmarkEnd w:id="58"/>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4880-1.]</w:t>
      </w:r>
    </w:p>
    <w:p>
      <w:pPr>
        <w:pStyle w:val="Heading5"/>
      </w:pPr>
      <w:bookmarkStart w:id="59" w:name="_Toc390078340"/>
      <w:r>
        <w:rPr>
          <w:rStyle w:val="CharSectno"/>
        </w:rPr>
        <w:t>18S</w:t>
      </w:r>
      <w:r>
        <w:t>.</w:t>
      </w:r>
      <w:r>
        <w:tab/>
        <w:t>Requirement to attend at place specified by approved medical specialist panel</w:t>
      </w:r>
      <w:bookmarkEnd w:id="59"/>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0" w:name="_Toc390078341"/>
      <w:r>
        <w:rPr>
          <w:rStyle w:val="CharSectno"/>
        </w:rPr>
        <w:t>18T</w:t>
      </w:r>
      <w:r>
        <w:t>.</w:t>
      </w:r>
      <w:r>
        <w:tab/>
        <w:t>Requirement to produce to approved medical specialist panel relevant documents and information and give consent</w:t>
      </w:r>
      <w:bookmarkEnd w:id="60"/>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 and</w:t>
      </w:r>
    </w:p>
    <w:p>
      <w:pPr>
        <w:pStyle w:val="Indenta"/>
      </w:pPr>
      <w:r>
        <w:tab/>
        <w:t>(d)</w:t>
      </w:r>
      <w:r>
        <w:tab/>
        <w:t>the names of the members of the approved medical specialist panel.</w:t>
      </w:r>
    </w:p>
    <w:p>
      <w:pPr>
        <w:pStyle w:val="Footnotesection"/>
      </w:pPr>
      <w:r>
        <w:tab/>
        <w:t>[Regulation 18T inserted in Gazette 28 Oct 2005 p. 4882-3.]</w:t>
      </w:r>
    </w:p>
    <w:p>
      <w:pPr>
        <w:pStyle w:val="Heading5"/>
      </w:pPr>
      <w:bookmarkStart w:id="61" w:name="_Toc390078342"/>
      <w:r>
        <w:rPr>
          <w:rStyle w:val="CharSectno"/>
        </w:rPr>
        <w:t>18U</w:t>
      </w:r>
      <w:r>
        <w:t>.</w:t>
      </w:r>
      <w:r>
        <w:tab/>
        <w:t>Period for compliance with requirements</w:t>
      </w:r>
      <w:bookmarkEnd w:id="61"/>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2" w:name="_Toc390078343"/>
      <w:r>
        <w:rPr>
          <w:rStyle w:val="CharSectno"/>
        </w:rPr>
        <w:t>18V</w:t>
      </w:r>
      <w:r>
        <w:t>.</w:t>
      </w:r>
      <w:r>
        <w:tab/>
        <w:t>Requirement for worker to produce requested information</w:t>
      </w:r>
      <w:bookmarkEnd w:id="62"/>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4883-4.]</w:t>
      </w:r>
    </w:p>
    <w:p>
      <w:pPr>
        <w:pStyle w:val="Heading5"/>
      </w:pPr>
      <w:bookmarkStart w:id="63" w:name="_Toc390078344"/>
      <w:r>
        <w:rPr>
          <w:rStyle w:val="CharSectno"/>
        </w:rPr>
        <w:t>18W</w:t>
      </w:r>
      <w:r>
        <w:t>.</w:t>
      </w:r>
      <w:r>
        <w:tab/>
        <w:t>Reports and certificates regarding outcome of assessment</w:t>
      </w:r>
      <w:bookmarkEnd w:id="6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bCs/>
        </w:rPr>
        <w:t>19</w:t>
      </w:r>
      <w:r>
        <w:t>.</w:t>
      </w:r>
      <w:r>
        <w:tab/>
        <w:t>Repealed in Gazette 8 Mar 2002 p. 949.]</w:t>
      </w:r>
    </w:p>
    <w:p>
      <w:pPr>
        <w:pStyle w:val="Heading2"/>
      </w:pPr>
      <w:bookmarkStart w:id="64" w:name="_Toc390078345"/>
      <w:r>
        <w:rPr>
          <w:rStyle w:val="CharPartNo"/>
        </w:rPr>
        <w:t>Part 3</w:t>
      </w:r>
      <w:r>
        <w:rPr>
          <w:rStyle w:val="CharDivNo"/>
        </w:rPr>
        <w:t> </w:t>
      </w:r>
      <w:r>
        <w:t>—</w:t>
      </w:r>
      <w:r>
        <w:rPr>
          <w:rStyle w:val="CharDivText"/>
        </w:rPr>
        <w:t> </w:t>
      </w:r>
      <w:r>
        <w:rPr>
          <w:rStyle w:val="CharPartText"/>
        </w:rPr>
        <w:t>Noise induced hearing loss</w:t>
      </w:r>
      <w:bookmarkEnd w:id="64"/>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5" w:name="_Toc390078346"/>
      <w:r>
        <w:rPr>
          <w:rStyle w:val="CharSectno"/>
        </w:rPr>
        <w:t>19A</w:t>
      </w:r>
      <w:r>
        <w:rPr>
          <w:snapToGrid w:val="0"/>
        </w:rPr>
        <w:t>.</w:t>
      </w:r>
      <w:r>
        <w:rPr>
          <w:snapToGrid w:val="0"/>
        </w:rPr>
        <w:tab/>
        <w:t>Interpretation</w:t>
      </w:r>
      <w:bookmarkEnd w:id="6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approved medical practitioner</w:t>
      </w:r>
      <w:r>
        <w:rPr>
          <w:b/>
        </w:rPr>
        <w:t>”</w:t>
      </w:r>
      <w:r>
        <w:t xml:space="preserve"> means a medical practitioner approved under regulation 19B(1)(a);</w:t>
      </w:r>
    </w:p>
    <w:p>
      <w:pPr>
        <w:pStyle w:val="Defstart"/>
      </w:pPr>
      <w:r>
        <w:rPr>
          <w:b/>
        </w:rPr>
        <w:tab/>
        <w:t>“</w:t>
      </w:r>
      <w:r>
        <w:rPr>
          <w:rStyle w:val="CharDefText"/>
        </w:rPr>
        <w:t>approved person</w:t>
      </w:r>
      <w:r>
        <w:rPr>
          <w:b/>
        </w:rPr>
        <w:t>”</w:t>
      </w:r>
      <w:r>
        <w:t xml:space="preserve"> means a person approved under regulation 19B;</w:t>
      </w:r>
    </w:p>
    <w:p>
      <w:pPr>
        <w:pStyle w:val="Defstart"/>
      </w:pPr>
      <w:r>
        <w:rPr>
          <w:b/>
        </w:rPr>
        <w:tab/>
        <w:t>“</w:t>
      </w:r>
      <w:r>
        <w:rPr>
          <w:rStyle w:val="CharDefText"/>
        </w:rPr>
        <w:t>audiologist</w:t>
      </w:r>
      <w:r>
        <w:rPr>
          <w:b/>
        </w:rPr>
        <w:t>”</w:t>
      </w:r>
      <w:r>
        <w:t xml:space="preserve"> means an audiologist approved under regulation 19B(1)(b);</w:t>
      </w:r>
    </w:p>
    <w:p>
      <w:pPr>
        <w:pStyle w:val="Defstart"/>
      </w:pPr>
      <w:r>
        <w:rPr>
          <w:b/>
        </w:rPr>
        <w:tab/>
        <w:t>“</w:t>
      </w:r>
      <w:r>
        <w:rPr>
          <w:rStyle w:val="CharDefText"/>
        </w:rPr>
        <w:t>audiometric officer</w:t>
      </w:r>
      <w:r>
        <w:rPr>
          <w:b/>
        </w:rPr>
        <w:t>”</w:t>
      </w:r>
      <w:r>
        <w:t xml:space="preserve"> means a person approved under regulation 19B(1)(c);</w:t>
      </w:r>
    </w:p>
    <w:p>
      <w:pPr>
        <w:pStyle w:val="Defstart"/>
      </w:pPr>
      <w:r>
        <w:rPr>
          <w:b/>
        </w:rPr>
        <w:tab/>
        <w:t>“</w:t>
      </w:r>
      <w:r>
        <w:rPr>
          <w:rStyle w:val="CharDefText"/>
        </w:rPr>
        <w:t>Australian Standard</w:t>
      </w:r>
      <w:r>
        <w:rPr>
          <w:b/>
        </w:rPr>
        <w:t>”</w:t>
      </w:r>
      <w:r>
        <w:t xml:space="preserve"> means a standard published by the Standards Association of Australia </w:t>
      </w:r>
      <w:r>
        <w:rPr>
          <w:vertAlign w:val="superscript"/>
        </w:rPr>
        <w:t>3</w:t>
      </w:r>
      <w:r>
        <w:t>, as amended from time to time;</w:t>
      </w:r>
    </w:p>
    <w:p>
      <w:pPr>
        <w:pStyle w:val="Defstart"/>
      </w:pPr>
      <w:r>
        <w:rPr>
          <w:b/>
        </w:rPr>
        <w:tab/>
        <w:t>“</w:t>
      </w:r>
      <w:r>
        <w:rPr>
          <w:rStyle w:val="CharDefText"/>
        </w:rPr>
        <w:t>clause</w:t>
      </w:r>
      <w:r>
        <w:rPr>
          <w:b/>
        </w:rPr>
        <w:t>”</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6" w:name="_Toc390078347"/>
      <w:r>
        <w:rPr>
          <w:rStyle w:val="CharSectno"/>
        </w:rPr>
        <w:t>19B</w:t>
      </w:r>
      <w:r>
        <w:rPr>
          <w:snapToGrid w:val="0"/>
        </w:rPr>
        <w:t>.</w:t>
      </w:r>
      <w:r>
        <w:rPr>
          <w:snapToGrid w:val="0"/>
        </w:rPr>
        <w:tab/>
        <w:t>Persons approved to carry out audiometric testing</w:t>
      </w:r>
      <w:bookmarkEnd w:id="66"/>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7" w:name="_Toc390078348"/>
      <w:r>
        <w:rPr>
          <w:rStyle w:val="CharSectno"/>
        </w:rPr>
        <w:t>19C</w:t>
      </w:r>
      <w:r>
        <w:rPr>
          <w:snapToGrid w:val="0"/>
        </w:rPr>
        <w:t>.</w:t>
      </w:r>
      <w:r>
        <w:rPr>
          <w:snapToGrid w:val="0"/>
        </w:rPr>
        <w:tab/>
        <w:t>Testing procedures</w:t>
      </w:r>
      <w:bookmarkEnd w:id="67"/>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 xml:space="preserve">2; 24 Dec 1993 p. 6845; 17 Nov 2000 p. 6312; 21 Jan 2005 p. 276; 28 Oct 2005 p. 4884-5.] </w:t>
      </w:r>
    </w:p>
    <w:p>
      <w:pPr>
        <w:pStyle w:val="Heading5"/>
        <w:rPr>
          <w:snapToGrid w:val="0"/>
        </w:rPr>
      </w:pPr>
      <w:bookmarkStart w:id="68" w:name="_Toc390078349"/>
      <w:r>
        <w:rPr>
          <w:rStyle w:val="CharSectno"/>
        </w:rPr>
        <w:t>19D</w:t>
      </w:r>
      <w:r>
        <w:rPr>
          <w:snapToGrid w:val="0"/>
        </w:rPr>
        <w:t>.</w:t>
      </w:r>
      <w:r>
        <w:rPr>
          <w:snapToGrid w:val="0"/>
        </w:rPr>
        <w:tab/>
        <w:t>Notice of audiometric test and testing arrangements</w:t>
      </w:r>
      <w:bookmarkEnd w:id="68"/>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69" w:name="_Toc390078350"/>
      <w:r>
        <w:rPr>
          <w:rStyle w:val="CharSectno"/>
        </w:rPr>
        <w:t>19E</w:t>
      </w:r>
      <w:r>
        <w:rPr>
          <w:snapToGrid w:val="0"/>
        </w:rPr>
        <w:t>.</w:t>
      </w:r>
      <w:r>
        <w:rPr>
          <w:snapToGrid w:val="0"/>
        </w:rPr>
        <w:tab/>
        <w:t>Calculation of loss of hearing</w:t>
      </w:r>
      <w:bookmarkEnd w:id="69"/>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0" w:name="_Toc390078351"/>
      <w:r>
        <w:rPr>
          <w:rStyle w:val="CharSectno"/>
        </w:rPr>
        <w:t>19F</w:t>
      </w:r>
      <w:r>
        <w:rPr>
          <w:snapToGrid w:val="0"/>
        </w:rPr>
        <w:t>.</w:t>
      </w:r>
      <w:r>
        <w:rPr>
          <w:snapToGrid w:val="0"/>
        </w:rPr>
        <w:tab/>
        <w:t>Report on audiometric test and storage of results</w:t>
      </w:r>
      <w:bookmarkEnd w:id="70"/>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outlineLvl w:val="0"/>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bCs/>
        </w:rPr>
        <w:t>19G</w:t>
      </w:r>
      <w:r>
        <w:t>.</w:t>
      </w:r>
      <w:r>
        <w:tab/>
        <w:t>Repealed in Gazette 28 Oct 2005 p. 4885.]</w:t>
      </w:r>
    </w:p>
    <w:p>
      <w:pPr>
        <w:pStyle w:val="Heading5"/>
        <w:spacing w:before="180"/>
        <w:rPr>
          <w:snapToGrid w:val="0"/>
        </w:rPr>
      </w:pPr>
      <w:bookmarkStart w:id="71" w:name="_Toc390078352"/>
      <w:r>
        <w:rPr>
          <w:rStyle w:val="CharSectno"/>
        </w:rPr>
        <w:t>19H</w:t>
      </w:r>
      <w:r>
        <w:rPr>
          <w:snapToGrid w:val="0"/>
        </w:rPr>
        <w:t>.</w:t>
      </w:r>
      <w:r>
        <w:rPr>
          <w:snapToGrid w:val="0"/>
        </w:rPr>
        <w:tab/>
        <w:t>Retest of person’s hearing</w:t>
      </w:r>
      <w:bookmarkEnd w:id="71"/>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2" w:name="_Toc390078353"/>
      <w:r>
        <w:rPr>
          <w:rStyle w:val="CharSectno"/>
        </w:rPr>
        <w:t>19I</w:t>
      </w:r>
      <w:r>
        <w:rPr>
          <w:snapToGrid w:val="0"/>
        </w:rPr>
        <w:t>.</w:t>
      </w:r>
      <w:r>
        <w:rPr>
          <w:snapToGrid w:val="0"/>
        </w:rPr>
        <w:tab/>
        <w:t>Prescribed workplaces</w:t>
      </w:r>
      <w:bookmarkEnd w:id="72"/>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t>“</w:t>
      </w:r>
      <w:r>
        <w:rPr>
          <w:rStyle w:val="CharDefText"/>
        </w:rPr>
        <w:t>action level</w:t>
      </w:r>
      <w:r>
        <w:rPr>
          <w:b/>
        </w:rPr>
        <w:t>”</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t>“</w:t>
      </w:r>
      <w:r>
        <w:rPr>
          <w:rStyle w:val="CharDefText"/>
        </w:rPr>
        <w:t>L peak</w:t>
      </w:r>
      <w:r>
        <w:rPr>
          <w:b/>
        </w:rPr>
        <w:t>”</w:t>
      </w:r>
      <w:r>
        <w:t xml:space="preserve"> means the maximum unweighted sound pressure level recorded with an instrument equipped for measuring peak values in accordance with AS 1259.1</w:t>
      </w:r>
      <w:r>
        <w:noBreakHyphen/>
        <w:t>1990;</w:t>
      </w:r>
    </w:p>
    <w:p>
      <w:pPr>
        <w:pStyle w:val="Defstart"/>
      </w:pPr>
      <w:r>
        <w:rPr>
          <w:b/>
        </w:rPr>
        <w:tab/>
        <w:t>“</w:t>
      </w:r>
      <w:r>
        <w:rPr>
          <w:rStyle w:val="CharDefText"/>
        </w:rPr>
        <w:t>representative LAeq,8h</w:t>
      </w:r>
      <w:r>
        <w:rPr>
          <w:b/>
        </w:rPr>
        <w:t>”</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3" w:name="_Toc390078354"/>
      <w:r>
        <w:rPr>
          <w:rStyle w:val="CharPartNo"/>
        </w:rPr>
        <w:t>Part 3A</w:t>
      </w:r>
      <w:r>
        <w:t xml:space="preserve"> — </w:t>
      </w:r>
      <w:r>
        <w:rPr>
          <w:rStyle w:val="CharPartText"/>
        </w:rPr>
        <w:t>Constraints on awards of common law damages</w:t>
      </w:r>
      <w:bookmarkEnd w:id="73"/>
    </w:p>
    <w:p>
      <w:pPr>
        <w:pStyle w:val="Footnoteheading"/>
        <w:tabs>
          <w:tab w:val="left" w:pos="851"/>
        </w:tabs>
      </w:pPr>
      <w:r>
        <w:rPr>
          <w:snapToGrid w:val="0"/>
        </w:rPr>
        <w:tab/>
        <w:t>[</w:t>
      </w:r>
      <w:r>
        <w:t>Heading inserted in Gazette 15 Oct 1999 p. 4890.]</w:t>
      </w:r>
    </w:p>
    <w:p>
      <w:pPr>
        <w:pStyle w:val="Heading3"/>
      </w:pPr>
      <w:bookmarkStart w:id="74" w:name="_Toc390078355"/>
      <w:r>
        <w:rPr>
          <w:rStyle w:val="CharDivNo"/>
        </w:rPr>
        <w:t>Division 1</w:t>
      </w:r>
      <w:r>
        <w:t> — </w:t>
      </w:r>
      <w:r>
        <w:rPr>
          <w:rStyle w:val="CharDivText"/>
        </w:rPr>
        <w:t>1993 scheme</w:t>
      </w:r>
      <w:bookmarkEnd w:id="74"/>
    </w:p>
    <w:p>
      <w:pPr>
        <w:pStyle w:val="Footnoteheading"/>
        <w:tabs>
          <w:tab w:val="left" w:pos="851"/>
        </w:tabs>
      </w:pPr>
      <w:r>
        <w:rPr>
          <w:snapToGrid w:val="0"/>
        </w:rPr>
        <w:tab/>
        <w:t>[</w:t>
      </w:r>
      <w:r>
        <w:t>Heading inserted in Gazette 28 Oct 2005 p. 4885.]</w:t>
      </w:r>
    </w:p>
    <w:p>
      <w:pPr>
        <w:pStyle w:val="Heading5"/>
      </w:pPr>
      <w:bookmarkStart w:id="75" w:name="_Toc390078356"/>
      <w:r>
        <w:rPr>
          <w:rStyle w:val="CharSectno"/>
        </w:rPr>
        <w:t>19IA</w:t>
      </w:r>
      <w:r>
        <w:t>.</w:t>
      </w:r>
      <w:r>
        <w:tab/>
        <w:t>Guides for assessing degree of disability</w:t>
      </w:r>
      <w:bookmarkEnd w:id="75"/>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6" w:name="_Toc390078357"/>
      <w:r>
        <w:rPr>
          <w:rStyle w:val="CharSectno"/>
        </w:rPr>
        <w:t>19J</w:t>
      </w:r>
      <w:r>
        <w:t>.</w:t>
      </w:r>
      <w:r>
        <w:tab/>
        <w:t>Assessment of degree of disability</w:t>
      </w:r>
      <w:bookmarkEnd w:id="76"/>
    </w:p>
    <w:p>
      <w:pPr>
        <w:pStyle w:val="Subsection"/>
        <w:spacing w:before="120"/>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spacing w:before="120"/>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spacing w:before="120"/>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7" w:name="_Toc390078358"/>
      <w:r>
        <w:rPr>
          <w:rStyle w:val="CharSectno"/>
        </w:rPr>
        <w:t>19JA</w:t>
      </w:r>
      <w:r>
        <w:t>.</w:t>
      </w:r>
      <w:r>
        <w:tab/>
        <w:t>Method of referral and notification when section 93EA(3) of the Act applies</w:t>
      </w:r>
      <w:bookmarkEnd w:id="77"/>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4899-900; amended in Gazette 28 Oct 2005 p. 4911.]</w:t>
      </w:r>
    </w:p>
    <w:p>
      <w:pPr>
        <w:pStyle w:val="Heading5"/>
      </w:pPr>
      <w:bookmarkStart w:id="78" w:name="_Toc390078359"/>
      <w:r>
        <w:rPr>
          <w:rStyle w:val="CharSectno"/>
        </w:rPr>
        <w:t>19JB</w:t>
      </w:r>
      <w:r>
        <w:t>.</w:t>
      </w:r>
      <w:r>
        <w:tab/>
        <w:t>Method of referral and notification when section 93EB(3) of the Act applies</w:t>
      </w:r>
      <w:bookmarkEnd w:id="7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4900-1; amended in Gazette 28 Oct 2005 p. 4911.]</w:t>
      </w:r>
    </w:p>
    <w:p>
      <w:pPr>
        <w:pStyle w:val="Heading5"/>
        <w:spacing w:before="180"/>
      </w:pPr>
      <w:bookmarkStart w:id="79" w:name="_Toc390078360"/>
      <w:r>
        <w:rPr>
          <w:rStyle w:val="CharSectno"/>
        </w:rPr>
        <w:t>19K</w:t>
      </w:r>
      <w:r>
        <w:t>.</w:t>
      </w:r>
      <w:r>
        <w:tab/>
        <w:t>Agreement as to degree of disability</w:t>
      </w:r>
      <w:bookmarkEnd w:id="79"/>
    </w:p>
    <w:p>
      <w:pPr>
        <w:pStyle w:val="Subsection"/>
        <w:spacing w:before="120"/>
      </w:pPr>
      <w:r>
        <w:tab/>
        <w:t>(1)</w:t>
      </w:r>
      <w:r>
        <w:tab/>
        <w:t>An agreement as to the level of the degree of disability for the purposes of section 93E(3)(a), (4) or (9) of the Act is to be made in the form of Form 24 in Appendix I and lodged with the Director.</w:t>
      </w:r>
    </w:p>
    <w:p>
      <w:pPr>
        <w:pStyle w:val="Subsection"/>
        <w:spacing w:before="120"/>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spacing w:before="180"/>
      </w:pPr>
      <w:bookmarkStart w:id="80" w:name="_Toc390078361"/>
      <w:r>
        <w:rPr>
          <w:rStyle w:val="CharSectno"/>
        </w:rPr>
        <w:t>19L</w:t>
      </w:r>
      <w:r>
        <w:t>.</w:t>
      </w:r>
      <w:r>
        <w:tab/>
        <w:t>Determination of degree of disability</w:t>
      </w:r>
      <w:bookmarkEnd w:id="80"/>
    </w:p>
    <w:p>
      <w:pPr>
        <w:pStyle w:val="Subsection"/>
        <w:outlineLvl w:val="0"/>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subsection 93D(11) of the Act.</w:t>
      </w:r>
    </w:p>
    <w:p>
      <w:pPr>
        <w:pStyle w:val="Subsection"/>
        <w:outlineLvl w:val="0"/>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spacing w:before="180"/>
      </w:pPr>
      <w:bookmarkStart w:id="81" w:name="_Toc390078362"/>
      <w:r>
        <w:rPr>
          <w:rStyle w:val="CharSectno"/>
        </w:rPr>
        <w:t>19M</w:t>
      </w:r>
      <w:r>
        <w:t>.</w:t>
      </w:r>
      <w:r>
        <w:tab/>
        <w:t>Election to retain right to seek common law damages</w:t>
      </w:r>
      <w:bookmarkEnd w:id="81"/>
    </w:p>
    <w:p>
      <w:pPr>
        <w:pStyle w:val="Subsection"/>
        <w:spacing w:before="120"/>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keepNext/>
        <w:spacing w:before="12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82" w:name="_Toc390078363"/>
      <w:r>
        <w:rPr>
          <w:rStyle w:val="CharSectno"/>
        </w:rPr>
        <w:t>19N</w:t>
      </w:r>
      <w:r>
        <w:t>.</w:t>
      </w:r>
      <w:r>
        <w:tab/>
        <w:t>Extension of time to make election under s. 93E(3)(b)</w:t>
      </w:r>
      <w:bookmarkEnd w:id="82"/>
    </w:p>
    <w:p>
      <w:pPr>
        <w:pStyle w:val="Subsection"/>
        <w:spacing w:before="120"/>
      </w:pPr>
      <w:r>
        <w:tab/>
        <w:t>(1)</w:t>
      </w:r>
      <w:r>
        <w:tab/>
        <w:t xml:space="preserve">In this regulation — </w:t>
      </w:r>
    </w:p>
    <w:p>
      <w:pPr>
        <w:pStyle w:val="Defstart"/>
      </w:pPr>
      <w:r>
        <w:tab/>
      </w:r>
      <w:r>
        <w:rPr>
          <w:b/>
        </w:rPr>
        <w:t>“</w:t>
      </w:r>
      <w:r>
        <w:rPr>
          <w:rStyle w:val="CharDefText"/>
        </w:rPr>
        <w:t>extension period</w:t>
      </w:r>
      <w:r>
        <w:rPr>
          <w:b/>
        </w:rPr>
        <w:t>”</w:t>
      </w:r>
      <w:r>
        <w:t xml:space="preserve"> means the period of time that ends 6 months after the termination day;</w:t>
      </w:r>
    </w:p>
    <w:p>
      <w:pPr>
        <w:pStyle w:val="Defstart"/>
      </w:pPr>
      <w:r>
        <w:tab/>
      </w:r>
      <w:r>
        <w:rPr>
          <w:b/>
        </w:rPr>
        <w:t>“</w:t>
      </w:r>
      <w:r>
        <w:rPr>
          <w:rStyle w:val="CharDefText"/>
        </w:rPr>
        <w:t>termination day</w:t>
      </w:r>
      <w:r>
        <w:rPr>
          <w:b/>
        </w:rPr>
        <w:t>”</w:t>
      </w:r>
      <w:r>
        <w:t xml:space="preserve"> has the meaning that it has in section 93E of the Act.</w:t>
      </w:r>
    </w:p>
    <w:p>
      <w:pPr>
        <w:pStyle w:val="Subsection"/>
        <w:spacing w:before="12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3" w:name="_Toc390078364"/>
      <w:r>
        <w:rPr>
          <w:rStyle w:val="CharSectno"/>
        </w:rPr>
        <w:t>19O</w:t>
      </w:r>
      <w:r>
        <w:t>.</w:t>
      </w:r>
      <w:r>
        <w:tab/>
        <w:t>Application for compensation</w:t>
      </w:r>
      <w:bookmarkEnd w:id="83"/>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4" w:name="_Toc390078365"/>
      <w:r>
        <w:rPr>
          <w:rStyle w:val="CharSectno"/>
        </w:rPr>
        <w:t>19P</w:t>
      </w:r>
      <w:r>
        <w:t>.</w:t>
      </w:r>
      <w:r>
        <w:tab/>
        <w:t>Notification to workers about elections as to common law damages</w:t>
      </w:r>
      <w:bookmarkEnd w:id="84"/>
    </w:p>
    <w:p>
      <w:pPr>
        <w:pStyle w:val="Subsection"/>
      </w:pPr>
      <w:r>
        <w:tab/>
        <w:t>(1)</w:t>
      </w:r>
      <w:r>
        <w:tab/>
        <w:t>The employer of a worker who has an unfinalized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5" w:name="_Toc390078366"/>
      <w:r>
        <w:rPr>
          <w:rStyle w:val="CharDivNo"/>
        </w:rPr>
        <w:t>Division 2</w:t>
      </w:r>
      <w:r>
        <w:t> — </w:t>
      </w:r>
      <w:r>
        <w:rPr>
          <w:rStyle w:val="CharDivText"/>
        </w:rPr>
        <w:t>2004 scheme</w:t>
      </w:r>
      <w:bookmarkEnd w:id="85"/>
    </w:p>
    <w:p>
      <w:pPr>
        <w:pStyle w:val="Footnoteheading"/>
        <w:tabs>
          <w:tab w:val="left" w:pos="851"/>
        </w:tabs>
      </w:pPr>
      <w:r>
        <w:rPr>
          <w:snapToGrid w:val="0"/>
        </w:rPr>
        <w:tab/>
        <w:t>[</w:t>
      </w:r>
      <w:r>
        <w:t>Heading inserted in Gazette 28 Oct 2005 p. 4887.]</w:t>
      </w:r>
    </w:p>
    <w:p>
      <w:pPr>
        <w:pStyle w:val="Heading5"/>
      </w:pPr>
      <w:bookmarkStart w:id="86" w:name="_Toc390078367"/>
      <w:r>
        <w:rPr>
          <w:rStyle w:val="CharSectno"/>
        </w:rPr>
        <w:t>20</w:t>
      </w:r>
      <w:r>
        <w:t>.</w:t>
      </w:r>
      <w:r>
        <w:tab/>
        <w:t>Recording agreement</w:t>
      </w:r>
      <w:bookmarkEnd w:id="86"/>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4887-8.]</w:t>
      </w:r>
    </w:p>
    <w:p>
      <w:pPr>
        <w:pStyle w:val="Heading5"/>
      </w:pPr>
      <w:bookmarkStart w:id="87" w:name="_Toc390078368"/>
      <w:r>
        <w:rPr>
          <w:rStyle w:val="CharSectno"/>
        </w:rPr>
        <w:t>21</w:t>
      </w:r>
      <w:r>
        <w:t>.</w:t>
      </w:r>
      <w:r>
        <w:tab/>
        <w:t>Recording assessment</w:t>
      </w:r>
      <w:bookmarkEnd w:id="87"/>
    </w:p>
    <w:p>
      <w:pPr>
        <w:pStyle w:val="Subsection"/>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4888-9.]</w:t>
      </w:r>
    </w:p>
    <w:p>
      <w:pPr>
        <w:pStyle w:val="Heading5"/>
      </w:pPr>
      <w:bookmarkStart w:id="88" w:name="_Toc390078369"/>
      <w:r>
        <w:rPr>
          <w:rStyle w:val="CharSectno"/>
        </w:rPr>
        <w:t>22</w:t>
      </w:r>
      <w:r>
        <w:t>.</w:t>
      </w:r>
      <w:r>
        <w:tab/>
        <w:t>Electing to retain right to seek damages</w:t>
      </w:r>
      <w:bookmarkEnd w:id="88"/>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89" w:name="_Toc390078370"/>
      <w:r>
        <w:rPr>
          <w:rStyle w:val="CharSectno"/>
        </w:rPr>
        <w:t>23</w:t>
      </w:r>
      <w:r>
        <w:t>.</w:t>
      </w:r>
      <w:r>
        <w:tab/>
        <w:t>Extending termination day</w:t>
      </w:r>
      <w:bookmarkEnd w:id="89"/>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4889-92.]</w:t>
      </w:r>
    </w:p>
    <w:p>
      <w:pPr>
        <w:pStyle w:val="Heading5"/>
      </w:pPr>
      <w:bookmarkStart w:id="90" w:name="_Toc390078371"/>
      <w:r>
        <w:rPr>
          <w:rStyle w:val="CharSectno"/>
        </w:rPr>
        <w:t>24</w:t>
      </w:r>
      <w:r>
        <w:t>.</w:t>
      </w:r>
      <w:r>
        <w:tab/>
        <w:t>Expected time for approved medical specialist to give assessment documents</w:t>
      </w:r>
      <w:bookmarkEnd w:id="90"/>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1" w:name="_Toc390078372"/>
      <w:r>
        <w:rPr>
          <w:rStyle w:val="CharSectno"/>
        </w:rPr>
        <w:t>25</w:t>
      </w:r>
      <w:r>
        <w:t>.</w:t>
      </w:r>
      <w:r>
        <w:tab/>
        <w:t>Employer’s obligation to notify worker</w:t>
      </w:r>
      <w:bookmarkEnd w:id="91"/>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2" w:name="_Toc390078373"/>
      <w:r>
        <w:rPr>
          <w:rStyle w:val="CharPartNo"/>
        </w:rPr>
        <w:t>Part 4</w:t>
      </w:r>
      <w:r>
        <w:rPr>
          <w:b w:val="0"/>
        </w:rPr>
        <w:t> </w:t>
      </w:r>
      <w:r>
        <w:t>—</w:t>
      </w:r>
      <w:r>
        <w:rPr>
          <w:b w:val="0"/>
        </w:rPr>
        <w:t> </w:t>
      </w:r>
      <w:r>
        <w:rPr>
          <w:rStyle w:val="CharPartText"/>
        </w:rPr>
        <w:t>Registered agents</w:t>
      </w:r>
      <w:bookmarkEnd w:id="92"/>
    </w:p>
    <w:p>
      <w:pPr>
        <w:pStyle w:val="Footnoteheading"/>
        <w:tabs>
          <w:tab w:val="left" w:pos="851"/>
        </w:tabs>
      </w:pPr>
      <w:r>
        <w:rPr>
          <w:snapToGrid w:val="0"/>
        </w:rPr>
        <w:tab/>
        <w:t>[</w:t>
      </w:r>
      <w:r>
        <w:t>Heading inserted in Gazette 28 Oct 2005 p. 4893.]</w:t>
      </w:r>
    </w:p>
    <w:p>
      <w:pPr>
        <w:pStyle w:val="Heading3"/>
      </w:pPr>
      <w:bookmarkStart w:id="93" w:name="_Toc390078374"/>
      <w:r>
        <w:rPr>
          <w:rStyle w:val="CharDivNo"/>
        </w:rPr>
        <w:t>Division 1</w:t>
      </w:r>
      <w:r>
        <w:t> — </w:t>
      </w:r>
      <w:r>
        <w:rPr>
          <w:rStyle w:val="CharDivText"/>
        </w:rPr>
        <w:t>Preliminary</w:t>
      </w:r>
      <w:bookmarkEnd w:id="93"/>
    </w:p>
    <w:p>
      <w:pPr>
        <w:pStyle w:val="Footnoteheading"/>
        <w:tabs>
          <w:tab w:val="left" w:pos="851"/>
        </w:tabs>
      </w:pPr>
      <w:r>
        <w:rPr>
          <w:snapToGrid w:val="0"/>
        </w:rPr>
        <w:tab/>
        <w:t>[</w:t>
      </w:r>
      <w:r>
        <w:t>Heading inserted in Gazette 28 Oct 2005 p. 4893.]</w:t>
      </w:r>
    </w:p>
    <w:p>
      <w:pPr>
        <w:pStyle w:val="Heading5"/>
      </w:pPr>
      <w:bookmarkStart w:id="94" w:name="_Toc390078375"/>
      <w:r>
        <w:rPr>
          <w:rStyle w:val="CharSectno"/>
        </w:rPr>
        <w:t>26</w:t>
      </w:r>
      <w:r>
        <w:t>.</w:t>
      </w:r>
      <w:r>
        <w:tab/>
        <w:t>Meaning of terms used in this Part</w:t>
      </w:r>
      <w:bookmarkEnd w:id="94"/>
    </w:p>
    <w:p>
      <w:pPr>
        <w:pStyle w:val="Subsection"/>
        <w:outlineLvl w:val="0"/>
      </w:pPr>
      <w:r>
        <w:tab/>
      </w:r>
      <w:r>
        <w:tab/>
        <w:t xml:space="preserve">In this Part — </w:t>
      </w:r>
    </w:p>
    <w:p>
      <w:pPr>
        <w:pStyle w:val="Defstart"/>
      </w:pPr>
      <w:r>
        <w:rPr>
          <w:b/>
        </w:rPr>
        <w:tab/>
        <w:t>“</w:t>
      </w:r>
      <w:r>
        <w:rPr>
          <w:rStyle w:val="CharDefText"/>
        </w:rPr>
        <w:t>applicant</w:t>
      </w:r>
      <w:r>
        <w:rPr>
          <w:b/>
        </w:rPr>
        <w:t>”</w:t>
      </w:r>
      <w:r>
        <w:t xml:space="preserve"> means an applicant for registration;</w:t>
      </w:r>
    </w:p>
    <w:p>
      <w:pPr>
        <w:pStyle w:val="Defstart"/>
      </w:pPr>
      <w:r>
        <w:rPr>
          <w:b/>
        </w:rPr>
        <w:tab/>
        <w:t>“</w:t>
      </w:r>
      <w:r>
        <w:rPr>
          <w:rStyle w:val="CharDefText"/>
        </w:rPr>
        <w:t>code of conduct</w:t>
      </w:r>
      <w:r>
        <w:rPr>
          <w:b/>
        </w:rPr>
        <w:t>”</w:t>
      </w:r>
      <w:r>
        <w:t xml:space="preserve"> means the code of conduct set out in Appendix IV;</w:t>
      </w:r>
    </w:p>
    <w:p>
      <w:pPr>
        <w:pStyle w:val="Defstart"/>
      </w:pPr>
      <w:r>
        <w:rPr>
          <w:b/>
        </w:rPr>
        <w:tab/>
        <w:t>“</w:t>
      </w:r>
      <w:r>
        <w:rPr>
          <w:rStyle w:val="CharDefText"/>
        </w:rPr>
        <w:t>employer</w:t>
      </w:r>
      <w:r>
        <w:rPr>
          <w:b/>
        </w:rPr>
        <w:t>”</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t>“</w:t>
      </w:r>
      <w:r>
        <w:rPr>
          <w:rStyle w:val="CharDefText"/>
        </w:rPr>
        <w:t>fit and proper person</w:t>
      </w:r>
      <w:r>
        <w:rPr>
          <w:b/>
        </w:rPr>
        <w:t>”</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t>“</w:t>
      </w:r>
      <w:r>
        <w:rPr>
          <w:rStyle w:val="CharDefText"/>
        </w:rPr>
        <w:t>independent agent</w:t>
      </w:r>
      <w:r>
        <w:rPr>
          <w:b/>
        </w:rPr>
        <w:t>”</w:t>
      </w:r>
      <w:r>
        <w:t xml:space="preserve"> means a person in a class of persons prescribed under regulation 27A(c);</w:t>
      </w:r>
    </w:p>
    <w:p>
      <w:pPr>
        <w:pStyle w:val="Defstart"/>
      </w:pPr>
      <w:r>
        <w:rPr>
          <w:b/>
        </w:rPr>
        <w:tab/>
        <w:t>“</w:t>
      </w:r>
      <w:r>
        <w:rPr>
          <w:rStyle w:val="CharDefText"/>
        </w:rPr>
        <w:t>registration</w:t>
      </w:r>
      <w:r>
        <w:rPr>
          <w:b/>
        </w:rPr>
        <w:t>”</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5" w:name="_Toc390078376"/>
      <w:r>
        <w:rPr>
          <w:rStyle w:val="CharSectno"/>
        </w:rPr>
        <w:t>27</w:t>
      </w:r>
      <w:r>
        <w:t>.</w:t>
      </w:r>
      <w:r>
        <w:tab/>
        <w:t>Prescribed organisations (section 277(1)(e))</w:t>
      </w:r>
      <w:bookmarkEnd w:id="95"/>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96" w:name="_Toc390078377"/>
      <w:r>
        <w:rPr>
          <w:rStyle w:val="CharSectno"/>
        </w:rPr>
        <w:t>27A</w:t>
      </w:r>
      <w:r>
        <w:t>.</w:t>
      </w:r>
      <w:r>
        <w:tab/>
        <w:t>Prescribed classes of persons (section 277(1)(f))</w:t>
      </w:r>
      <w:bookmarkEnd w:id="96"/>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97" w:name="_Toc390078378"/>
      <w:r>
        <w:rPr>
          <w:rStyle w:val="CharDivNo"/>
        </w:rPr>
        <w:t>Division 2</w:t>
      </w:r>
      <w:r>
        <w:t xml:space="preserve"> — </w:t>
      </w:r>
      <w:r>
        <w:rPr>
          <w:rStyle w:val="CharDivText"/>
        </w:rPr>
        <w:t>Registration and renewal</w:t>
      </w:r>
      <w:bookmarkEnd w:id="97"/>
    </w:p>
    <w:p>
      <w:pPr>
        <w:pStyle w:val="Footnoteheading"/>
        <w:tabs>
          <w:tab w:val="left" w:pos="851"/>
        </w:tabs>
      </w:pPr>
      <w:r>
        <w:rPr>
          <w:snapToGrid w:val="0"/>
        </w:rPr>
        <w:tab/>
        <w:t>[</w:t>
      </w:r>
      <w:r>
        <w:t>Heading inserted in Gazette 28 Oct 2005 p. 4894.]</w:t>
      </w:r>
    </w:p>
    <w:p>
      <w:pPr>
        <w:pStyle w:val="Heading5"/>
      </w:pPr>
      <w:bookmarkStart w:id="98" w:name="_Toc390078379"/>
      <w:r>
        <w:rPr>
          <w:rStyle w:val="CharSectno"/>
        </w:rPr>
        <w:t>28</w:t>
      </w:r>
      <w:r>
        <w:t>.</w:t>
      </w:r>
      <w:r>
        <w:tab/>
        <w:t>Application for registration</w:t>
      </w:r>
      <w:bookmarkEnd w:id="98"/>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t>“</w:t>
      </w:r>
      <w:r>
        <w:rPr>
          <w:rStyle w:val="CharDefText"/>
        </w:rPr>
        <w:t>criminal record check</w:t>
      </w:r>
      <w:r>
        <w:rPr>
          <w:b/>
        </w:rPr>
        <w:t>”</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4894-5; amended in Gazette 9 Dec 2005 p. 5893-4.]</w:t>
      </w:r>
    </w:p>
    <w:p>
      <w:pPr>
        <w:pStyle w:val="Heading5"/>
      </w:pPr>
      <w:bookmarkStart w:id="99" w:name="_Toc390078380"/>
      <w:r>
        <w:rPr>
          <w:rStyle w:val="CharSectno"/>
        </w:rPr>
        <w:t>29</w:t>
      </w:r>
      <w:r>
        <w:t>.</w:t>
      </w:r>
      <w:r>
        <w:tab/>
        <w:t>WorkCover WA must register, and may impose conditions on registration</w:t>
      </w:r>
      <w:bookmarkEnd w:id="99"/>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100" w:name="_Toc390078381"/>
      <w:r>
        <w:rPr>
          <w:rStyle w:val="CharSectno"/>
        </w:rPr>
        <w:t>30</w:t>
      </w:r>
      <w:r>
        <w:t>.</w:t>
      </w:r>
      <w:r>
        <w:tab/>
        <w:t>Indemnity and other conditions of registration</w:t>
      </w:r>
      <w:bookmarkEnd w:id="10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4895-6; amended in Gazette 9 Dec 2005 p. 5895.]</w:t>
      </w:r>
    </w:p>
    <w:p>
      <w:pPr>
        <w:pStyle w:val="Heading5"/>
      </w:pPr>
      <w:bookmarkStart w:id="101" w:name="_Toc390078382"/>
      <w:r>
        <w:rPr>
          <w:rStyle w:val="CharSectno"/>
        </w:rPr>
        <w:t>31</w:t>
      </w:r>
      <w:r>
        <w:t>.</w:t>
      </w:r>
      <w:r>
        <w:tab/>
        <w:t>Duration of registration</w:t>
      </w:r>
      <w:bookmarkEnd w:id="101"/>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102" w:name="_Toc390078383"/>
      <w:r>
        <w:rPr>
          <w:rStyle w:val="CharSectno"/>
        </w:rPr>
        <w:t>32</w:t>
      </w:r>
      <w:r>
        <w:t>.</w:t>
      </w:r>
      <w:r>
        <w:tab/>
        <w:t>Application for renewal of registration</w:t>
      </w:r>
      <w:bookmarkEnd w:id="102"/>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4896-7; amended in Gazette 9 Dec 2005 p. 5895-6.]</w:t>
      </w:r>
    </w:p>
    <w:p>
      <w:pPr>
        <w:pStyle w:val="Heading5"/>
      </w:pPr>
      <w:bookmarkStart w:id="103" w:name="_Toc390078384"/>
      <w:r>
        <w:rPr>
          <w:rStyle w:val="CharSectno"/>
        </w:rPr>
        <w:t>33</w:t>
      </w:r>
      <w:r>
        <w:t>.</w:t>
      </w:r>
      <w:r>
        <w:tab/>
        <w:t>Certificate of registration</w:t>
      </w:r>
      <w:bookmarkEnd w:id="103"/>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4" w:name="_Toc390078385"/>
      <w:r>
        <w:rPr>
          <w:rStyle w:val="CharSectno"/>
        </w:rPr>
        <w:t>34</w:t>
      </w:r>
      <w:r>
        <w:t>.</w:t>
      </w:r>
      <w:r>
        <w:tab/>
        <w:t>False or misleading information</w:t>
      </w:r>
      <w:bookmarkEnd w:id="104"/>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outlineLvl w:val="0"/>
      </w:pPr>
      <w:r>
        <w:tab/>
        <w:t>Penalty: a fine of $1 000.</w:t>
      </w:r>
    </w:p>
    <w:p>
      <w:pPr>
        <w:pStyle w:val="Footnotesection"/>
      </w:pPr>
      <w:r>
        <w:tab/>
        <w:t>[Regulation 34 inserted in Gazette 28 Oct 2005 p. 4897.]</w:t>
      </w:r>
    </w:p>
    <w:p>
      <w:pPr>
        <w:pStyle w:val="Heading3"/>
      </w:pPr>
      <w:bookmarkStart w:id="105" w:name="_Toc390078386"/>
      <w:r>
        <w:rPr>
          <w:rStyle w:val="CharDivNo"/>
        </w:rPr>
        <w:t>Division 3</w:t>
      </w:r>
      <w:r>
        <w:t> — </w:t>
      </w:r>
      <w:r>
        <w:rPr>
          <w:rStyle w:val="CharDivText"/>
        </w:rPr>
        <w:t>The register</w:t>
      </w:r>
      <w:bookmarkEnd w:id="105"/>
    </w:p>
    <w:p>
      <w:pPr>
        <w:pStyle w:val="Footnoteheading"/>
        <w:tabs>
          <w:tab w:val="left" w:pos="851"/>
        </w:tabs>
      </w:pPr>
      <w:r>
        <w:rPr>
          <w:snapToGrid w:val="0"/>
        </w:rPr>
        <w:tab/>
        <w:t>[</w:t>
      </w:r>
      <w:r>
        <w:t>Heading inserted in Gazette 28 Oct 2005 p. 4898.]</w:t>
      </w:r>
    </w:p>
    <w:p>
      <w:pPr>
        <w:pStyle w:val="Heading5"/>
      </w:pPr>
      <w:bookmarkStart w:id="106" w:name="_Toc390078387"/>
      <w:r>
        <w:rPr>
          <w:rStyle w:val="CharSectno"/>
        </w:rPr>
        <w:t>35</w:t>
      </w:r>
      <w:r>
        <w:t>.</w:t>
      </w:r>
      <w:r>
        <w:tab/>
        <w:t>Register</w:t>
      </w:r>
      <w:bookmarkEnd w:id="10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7" w:name="_Toc390078388"/>
      <w:r>
        <w:rPr>
          <w:rStyle w:val="CharSectno"/>
        </w:rPr>
        <w:t>36</w:t>
      </w:r>
      <w:r>
        <w:t>.</w:t>
      </w:r>
      <w:r>
        <w:tab/>
        <w:t>Removal from register</w:t>
      </w:r>
      <w:bookmarkEnd w:id="107"/>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4898-9.]</w:t>
      </w:r>
    </w:p>
    <w:p>
      <w:pPr>
        <w:pStyle w:val="Heading3"/>
      </w:pPr>
      <w:bookmarkStart w:id="108" w:name="_Toc390078389"/>
      <w:r>
        <w:rPr>
          <w:rStyle w:val="CharDivNo"/>
        </w:rPr>
        <w:t>Division 4</w:t>
      </w:r>
      <w:r>
        <w:t> — </w:t>
      </w:r>
      <w:r>
        <w:rPr>
          <w:rStyle w:val="CharDivText"/>
        </w:rPr>
        <w:t>Disciplinary powers</w:t>
      </w:r>
      <w:bookmarkEnd w:id="108"/>
    </w:p>
    <w:p>
      <w:pPr>
        <w:pStyle w:val="Footnoteheading"/>
        <w:tabs>
          <w:tab w:val="left" w:pos="851"/>
        </w:tabs>
      </w:pPr>
      <w:r>
        <w:rPr>
          <w:snapToGrid w:val="0"/>
        </w:rPr>
        <w:tab/>
        <w:t>[</w:t>
      </w:r>
      <w:r>
        <w:t>Heading inserted in Gazette 28 Oct 2005 p. 4899.]</w:t>
      </w:r>
    </w:p>
    <w:p>
      <w:pPr>
        <w:pStyle w:val="Heading5"/>
      </w:pPr>
      <w:bookmarkStart w:id="109" w:name="_Toc390078390"/>
      <w:r>
        <w:rPr>
          <w:rStyle w:val="CharSectno"/>
        </w:rPr>
        <w:t>37</w:t>
      </w:r>
      <w:r>
        <w:t>.</w:t>
      </w:r>
      <w:r>
        <w:tab/>
        <w:t>Restriction on exercise of powers</w:t>
      </w:r>
      <w:bookmarkEnd w:id="109"/>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0" w:name="_Toc390078391"/>
      <w:r>
        <w:rPr>
          <w:rStyle w:val="CharSectno"/>
        </w:rPr>
        <w:t>38</w:t>
      </w:r>
      <w:r>
        <w:t>.</w:t>
      </w:r>
      <w:r>
        <w:tab/>
        <w:t>Cancellation of registration</w:t>
      </w:r>
      <w:bookmarkEnd w:id="110"/>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1" w:name="_Toc390078392"/>
      <w:r>
        <w:rPr>
          <w:rStyle w:val="CharSectno"/>
        </w:rPr>
        <w:t>39</w:t>
      </w:r>
      <w:r>
        <w:t>.</w:t>
      </w:r>
      <w:r>
        <w:tab/>
        <w:t>Taking disciplinary action</w:t>
      </w:r>
      <w:bookmarkEnd w:id="111"/>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4899-900.]</w:t>
      </w:r>
    </w:p>
    <w:p>
      <w:pPr>
        <w:pStyle w:val="Heading5"/>
      </w:pPr>
      <w:bookmarkStart w:id="112" w:name="_Toc390078393"/>
      <w:r>
        <w:rPr>
          <w:rStyle w:val="CharSectno"/>
        </w:rPr>
        <w:t>40</w:t>
      </w:r>
      <w:r>
        <w:t>.</w:t>
      </w:r>
      <w:r>
        <w:tab/>
        <w:t>Return of certificate of registration</w:t>
      </w:r>
      <w:bookmarkEnd w:id="112"/>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outlineLvl w:val="0"/>
      </w:pPr>
      <w:r>
        <w:tab/>
        <w:t>Penalty: a fine of $1 000.</w:t>
      </w:r>
    </w:p>
    <w:p>
      <w:pPr>
        <w:pStyle w:val="Footnotesection"/>
      </w:pPr>
      <w:r>
        <w:tab/>
        <w:t>[Regulation 40 inserted in Gazette 28 Oct 2005 p. 4900.]</w:t>
      </w:r>
    </w:p>
    <w:p>
      <w:pPr>
        <w:pStyle w:val="Heading3"/>
      </w:pPr>
      <w:bookmarkStart w:id="113" w:name="_Toc390078394"/>
      <w:r>
        <w:rPr>
          <w:rStyle w:val="CharDivNo"/>
        </w:rPr>
        <w:t>Division 5</w:t>
      </w:r>
      <w:r>
        <w:t> — </w:t>
      </w:r>
      <w:r>
        <w:rPr>
          <w:rStyle w:val="CharDivText"/>
        </w:rPr>
        <w:t>Review</w:t>
      </w:r>
      <w:bookmarkEnd w:id="113"/>
    </w:p>
    <w:p>
      <w:pPr>
        <w:pStyle w:val="Footnoteheading"/>
        <w:tabs>
          <w:tab w:val="left" w:pos="851"/>
        </w:tabs>
      </w:pPr>
      <w:r>
        <w:rPr>
          <w:snapToGrid w:val="0"/>
        </w:rPr>
        <w:tab/>
        <w:t>[</w:t>
      </w:r>
      <w:r>
        <w:t>Heading inserted in Gazette 28 Oct 2005 p. 4900.]</w:t>
      </w:r>
    </w:p>
    <w:p>
      <w:pPr>
        <w:pStyle w:val="Heading5"/>
      </w:pPr>
      <w:bookmarkStart w:id="114" w:name="_Toc390078395"/>
      <w:r>
        <w:rPr>
          <w:rStyle w:val="CharSectno"/>
        </w:rPr>
        <w:t>41</w:t>
      </w:r>
      <w:r>
        <w:t>.</w:t>
      </w:r>
      <w:r>
        <w:tab/>
        <w:t>Review</w:t>
      </w:r>
      <w:bookmarkEnd w:id="114"/>
    </w:p>
    <w:p>
      <w:pPr>
        <w:pStyle w:val="Subsection"/>
        <w:outlineLvl w:val="0"/>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5" w:name="_Toc390078396"/>
      <w:r>
        <w:rPr>
          <w:rStyle w:val="CharDivNo"/>
        </w:rPr>
        <w:t>Division 6</w:t>
      </w:r>
      <w:r>
        <w:t> — </w:t>
      </w:r>
      <w:r>
        <w:rPr>
          <w:rStyle w:val="CharDivText"/>
        </w:rPr>
        <w:t>Miscellaneous</w:t>
      </w:r>
      <w:bookmarkEnd w:id="115"/>
    </w:p>
    <w:p>
      <w:pPr>
        <w:pStyle w:val="Footnoteheading"/>
        <w:tabs>
          <w:tab w:val="left" w:pos="851"/>
        </w:tabs>
      </w:pPr>
      <w:r>
        <w:rPr>
          <w:snapToGrid w:val="0"/>
        </w:rPr>
        <w:tab/>
        <w:t>[</w:t>
      </w:r>
      <w:r>
        <w:t>Heading inserted in Gazette 28 Oct 2005 p. 4901.]</w:t>
      </w:r>
    </w:p>
    <w:p>
      <w:pPr>
        <w:pStyle w:val="Heading5"/>
      </w:pPr>
      <w:bookmarkStart w:id="116" w:name="_Toc390078397"/>
      <w:r>
        <w:rPr>
          <w:rStyle w:val="CharSectno"/>
        </w:rPr>
        <w:t>42</w:t>
      </w:r>
      <w:r>
        <w:t>.</w:t>
      </w:r>
      <w:r>
        <w:tab/>
        <w:t>Evidentiary matters</w:t>
      </w:r>
      <w:bookmarkEnd w:id="11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7" w:name="_Toc390078398"/>
      <w:r>
        <w:rPr>
          <w:rStyle w:val="CharSectno"/>
        </w:rPr>
        <w:t>43</w:t>
      </w:r>
      <w:r>
        <w:t>.</w:t>
      </w:r>
      <w:r>
        <w:tab/>
        <w:t>Transitional provision</w:t>
      </w:r>
      <w:bookmarkEnd w:id="117"/>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t>“</w:t>
      </w:r>
      <w:r>
        <w:rPr>
          <w:rStyle w:val="CharDefText"/>
        </w:rPr>
        <w:t>commencement day</w:t>
      </w:r>
      <w:r>
        <w:rPr>
          <w:b/>
        </w:rPr>
        <w:t>”</w:t>
      </w:r>
      <w:r>
        <w:t xml:space="preserve"> means the day on which section 130 of the </w:t>
      </w:r>
      <w:r>
        <w:rPr>
          <w:i/>
        </w:rPr>
        <w:t>Workers’ Compensation Reform Act 2004</w:t>
      </w:r>
      <w:r>
        <w:t xml:space="preserve"> comes into operation;</w:t>
      </w:r>
    </w:p>
    <w:p>
      <w:pPr>
        <w:pStyle w:val="Defstart"/>
      </w:pPr>
      <w:r>
        <w:rPr>
          <w:b/>
        </w:rPr>
        <w:tab/>
        <w:t>“</w:t>
      </w:r>
      <w:r>
        <w:rPr>
          <w:rStyle w:val="CharDefText"/>
        </w:rPr>
        <w:t>dispute resolution body</w:t>
      </w:r>
      <w:r>
        <w:rPr>
          <w:b/>
        </w:rPr>
        <w:t>”</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t>“</w:t>
      </w:r>
      <w:r>
        <w:rPr>
          <w:rStyle w:val="CharDefText"/>
        </w:rPr>
        <w:t>pending proceeding</w:t>
      </w:r>
      <w:r>
        <w:rPr>
          <w:b/>
        </w:rPr>
        <w:t>”</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4901-3; amended in Gazette 9 Dec 2005 p. 5896.]</w:t>
      </w:r>
    </w:p>
    <w:p>
      <w:pPr>
        <w:pStyle w:val="Heading2"/>
      </w:pPr>
      <w:bookmarkStart w:id="118" w:name="_Toc390078399"/>
      <w:r>
        <w:rPr>
          <w:rStyle w:val="CharPartNo"/>
        </w:rPr>
        <w:t>Part 5</w:t>
      </w:r>
      <w:r>
        <w:rPr>
          <w:b w:val="0"/>
        </w:rPr>
        <w:t> </w:t>
      </w:r>
      <w:r>
        <w:t>—</w:t>
      </w:r>
      <w:r>
        <w:rPr>
          <w:b w:val="0"/>
        </w:rPr>
        <w:t> </w:t>
      </w:r>
      <w:r>
        <w:rPr>
          <w:rStyle w:val="CharPartText"/>
        </w:rPr>
        <w:t>Injury management</w:t>
      </w:r>
      <w:bookmarkEnd w:id="118"/>
    </w:p>
    <w:p>
      <w:pPr>
        <w:pStyle w:val="Footnoteheading"/>
        <w:tabs>
          <w:tab w:val="left" w:pos="851"/>
        </w:tabs>
      </w:pPr>
      <w:r>
        <w:rPr>
          <w:snapToGrid w:val="0"/>
        </w:rPr>
        <w:tab/>
        <w:t>[</w:t>
      </w:r>
      <w:r>
        <w:t>Heading inserted in Gazette 28 Oct 2005 p. 4903.]</w:t>
      </w:r>
    </w:p>
    <w:p>
      <w:pPr>
        <w:pStyle w:val="Heading5"/>
      </w:pPr>
      <w:bookmarkStart w:id="119" w:name="_Toc390078400"/>
      <w:r>
        <w:rPr>
          <w:rStyle w:val="CharSectno"/>
        </w:rPr>
        <w:t>44</w:t>
      </w:r>
      <w:r>
        <w:t>.</w:t>
      </w:r>
      <w:r>
        <w:tab/>
        <w:t>Vocational rehabilitation services</w:t>
      </w:r>
      <w:bookmarkEnd w:id="11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outlineLvl w:val="0"/>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4903-5.]</w:t>
      </w:r>
    </w:p>
    <w:p>
      <w:pPr>
        <w:pStyle w:val="Heading5"/>
      </w:pPr>
      <w:bookmarkStart w:id="120" w:name="_Toc390078401"/>
      <w:r>
        <w:rPr>
          <w:rStyle w:val="CharSectno"/>
        </w:rPr>
        <w:t>45</w:t>
      </w:r>
      <w:r>
        <w:t>.</w:t>
      </w:r>
      <w:r>
        <w:tab/>
        <w:t>Insurer to advise of injury management obligations</w:t>
      </w:r>
      <w:bookmarkEnd w:id="120"/>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4905-6.]</w:t>
      </w:r>
    </w:p>
    <w:p>
      <w:pPr>
        <w:pStyle w:val="Heading5"/>
      </w:pPr>
      <w:bookmarkStart w:id="121" w:name="_Toc390078402"/>
      <w:r>
        <w:rPr>
          <w:rStyle w:val="CharSectno"/>
        </w:rPr>
        <w:t>46</w:t>
      </w:r>
      <w:r>
        <w:t>.</w:t>
      </w:r>
      <w:r>
        <w:tab/>
        <w:t>Particulars for notice under section 157A(1) of Act</w:t>
      </w:r>
      <w:bookmarkEnd w:id="121"/>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2" w:name="_Toc390078403"/>
      <w:r>
        <w:rPr>
          <w:rStyle w:val="CharPartNo"/>
        </w:rPr>
        <w:t>Part 6</w:t>
      </w:r>
      <w:r>
        <w:rPr>
          <w:b w:val="0"/>
        </w:rPr>
        <w:t> </w:t>
      </w:r>
      <w:r>
        <w:t>—</w:t>
      </w:r>
      <w:r>
        <w:rPr>
          <w:b w:val="0"/>
        </w:rPr>
        <w:t> </w:t>
      </w:r>
      <w:r>
        <w:rPr>
          <w:rStyle w:val="CharPartText"/>
        </w:rPr>
        <w:t>Specialised retraining programs</w:t>
      </w:r>
      <w:bookmarkEnd w:id="122"/>
    </w:p>
    <w:p>
      <w:pPr>
        <w:pStyle w:val="Footnoteheading"/>
        <w:tabs>
          <w:tab w:val="left" w:pos="851"/>
        </w:tabs>
      </w:pPr>
      <w:r>
        <w:rPr>
          <w:snapToGrid w:val="0"/>
        </w:rPr>
        <w:tab/>
        <w:t>[</w:t>
      </w:r>
      <w:r>
        <w:t>Heading inserted in Gazette 28 Oct 2005 p. 4907.]</w:t>
      </w:r>
    </w:p>
    <w:p>
      <w:pPr>
        <w:pStyle w:val="Heading5"/>
      </w:pPr>
      <w:bookmarkStart w:id="123" w:name="_Toc390078404"/>
      <w:r>
        <w:rPr>
          <w:rStyle w:val="CharSectno"/>
        </w:rPr>
        <w:t>47</w:t>
      </w:r>
      <w:r>
        <w:t>.</w:t>
      </w:r>
      <w:r>
        <w:tab/>
        <w:t>Recording agreement</w:t>
      </w:r>
      <w:bookmarkEnd w:id="12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4907-8.]</w:t>
      </w:r>
    </w:p>
    <w:p>
      <w:pPr>
        <w:pStyle w:val="Heading5"/>
      </w:pPr>
      <w:bookmarkStart w:id="124" w:name="_Toc390078405"/>
      <w:r>
        <w:rPr>
          <w:rStyle w:val="CharSectno"/>
        </w:rPr>
        <w:t>48</w:t>
      </w:r>
      <w:r>
        <w:t>.</w:t>
      </w:r>
      <w:r>
        <w:tab/>
        <w:t>Extending final day</w:t>
      </w:r>
      <w:bookmarkEnd w:id="124"/>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4908-9.]</w:t>
      </w:r>
    </w:p>
    <w:p>
      <w:pPr>
        <w:pStyle w:val="Heading5"/>
      </w:pPr>
      <w:bookmarkStart w:id="125" w:name="_Toc390078406"/>
      <w:r>
        <w:rPr>
          <w:rStyle w:val="CharSectno"/>
        </w:rPr>
        <w:t>49</w:t>
      </w:r>
      <w:r>
        <w:t>.</w:t>
      </w:r>
      <w:r>
        <w:tab/>
        <w:t>Request for WorkCover to direct payment</w:t>
      </w:r>
      <w:bookmarkEnd w:id="125"/>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4909-10.]</w:t>
      </w:r>
    </w:p>
    <w:p>
      <w:pPr>
        <w:pStyle w:val="Heading2"/>
      </w:pPr>
      <w:bookmarkStart w:id="126" w:name="_Toc390078407"/>
      <w:r>
        <w:rPr>
          <w:rStyle w:val="CharPartNo"/>
        </w:rPr>
        <w:t>Part 7</w:t>
      </w:r>
      <w:r>
        <w:rPr>
          <w:b w:val="0"/>
        </w:rPr>
        <w:t> </w:t>
      </w:r>
      <w:r>
        <w:t>—</w:t>
      </w:r>
      <w:r>
        <w:rPr>
          <w:b w:val="0"/>
        </w:rPr>
        <w:t> </w:t>
      </w:r>
      <w:r>
        <w:rPr>
          <w:rStyle w:val="CharPartText"/>
        </w:rPr>
        <w:t>Infringement notices and modified penalties</w:t>
      </w:r>
      <w:bookmarkEnd w:id="126"/>
    </w:p>
    <w:p>
      <w:pPr>
        <w:pStyle w:val="Footnoteheading"/>
        <w:tabs>
          <w:tab w:val="left" w:pos="851"/>
        </w:tabs>
      </w:pPr>
      <w:r>
        <w:rPr>
          <w:snapToGrid w:val="0"/>
        </w:rPr>
        <w:tab/>
        <w:t>[</w:t>
      </w:r>
      <w:r>
        <w:t>Heading inserted in Gazette 28 Oct 2005 p. 4910.]</w:t>
      </w:r>
    </w:p>
    <w:p>
      <w:pPr>
        <w:pStyle w:val="Heading5"/>
      </w:pPr>
      <w:bookmarkStart w:id="127" w:name="_Toc390078408"/>
      <w:r>
        <w:rPr>
          <w:rStyle w:val="CharSectno"/>
        </w:rPr>
        <w:t>50</w:t>
      </w:r>
      <w:r>
        <w:t>.</w:t>
      </w:r>
      <w:r>
        <w:tab/>
        <w:t>Prescribed offences</w:t>
      </w:r>
      <w:bookmarkEnd w:id="127"/>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28" w:name="_Toc390078409"/>
      <w:r>
        <w:rPr>
          <w:rStyle w:val="CharSectno"/>
        </w:rPr>
        <w:t>51</w:t>
      </w:r>
      <w:r>
        <w:t>.</w:t>
      </w:r>
      <w:r>
        <w:tab/>
        <w:t>Prescribed modified penalties</w:t>
      </w:r>
      <w:bookmarkEnd w:id="128"/>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29" w:name="_Toc390078410"/>
      <w:r>
        <w:rPr>
          <w:rStyle w:val="CharSectno"/>
        </w:rPr>
        <w:t>52</w:t>
      </w:r>
      <w:r>
        <w:t>.</w:t>
      </w:r>
      <w:r>
        <w:tab/>
        <w:t>Prescribed form of infringement notice</w:t>
      </w:r>
      <w:bookmarkEnd w:id="129"/>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0" w:name="_Toc390078411"/>
      <w:r>
        <w:rPr>
          <w:rStyle w:val="CharSectno"/>
        </w:rPr>
        <w:t>53</w:t>
      </w:r>
      <w:r>
        <w:t>.</w:t>
      </w:r>
      <w:r>
        <w:tab/>
        <w:t>Prescribed form of withdrawal of notice</w:t>
      </w:r>
      <w:bookmarkEnd w:id="130"/>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31" w:name="_Toc390078412"/>
      <w:r>
        <w:rPr>
          <w:rStyle w:val="CharSchNo"/>
        </w:rPr>
        <w:t>Appendix I</w:t>
      </w:r>
      <w:bookmarkEnd w:id="131"/>
    </w:p>
    <w:p>
      <w:pPr>
        <w:pStyle w:val="yTable"/>
        <w:jc w:val="center"/>
        <w:outlineLvl w:val="0"/>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outlineLvl w:val="0"/>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w:t>
      </w:r>
    </w:p>
    <w:p>
      <w:pPr>
        <w:pStyle w:val="yTable"/>
        <w:tabs>
          <w:tab w:val="right" w:leader="dot" w:pos="7087"/>
        </w:tabs>
        <w:rPr>
          <w:spacing w:val="-2"/>
          <w:sz w:val="20"/>
        </w:rPr>
      </w:pPr>
      <w:r>
        <w:rPr>
          <w:spacing w:val="-2"/>
          <w:sz w:val="20"/>
        </w:rPr>
        <w:t xml:space="preserve"> representing ............. % loss of item .................... being ........................................................</w:t>
      </w:r>
    </w:p>
    <w:p>
      <w:pPr>
        <w:pStyle w:val="yTable"/>
        <w:spacing w:before="0"/>
        <w:jc w:val="right"/>
        <w:rPr>
          <w:spacing w:val="-2"/>
          <w:sz w:val="20"/>
        </w:rPr>
      </w:pPr>
      <w:r>
        <w:rPr>
          <w:spacing w:val="-2"/>
          <w:sz w:val="20"/>
        </w:rPr>
        <w:t>(state the part or faculty of the body affected)</w:t>
      </w:r>
    </w:p>
    <w:p>
      <w:pPr>
        <w:pStyle w:val="yTable"/>
        <w:spacing w:before="0"/>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21 Jan 2005 p. 276; 28 Oct 2005 p. 4912-13.]</w:t>
      </w:r>
    </w:p>
    <w:p>
      <w:pPr>
        <w:pStyle w:val="yTable"/>
        <w:pageBreakBefore/>
        <w:jc w:val="center"/>
        <w:outlineLvl w:val="0"/>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250" w:type="dxa"/>
        <w:tblLayout w:type="fixed"/>
        <w:tblLook w:val="0000" w:firstRow="0" w:lastRow="0" w:firstColumn="0" w:lastColumn="0" w:noHBand="0" w:noVBand="0"/>
      </w:tblPr>
      <w:tblGrid>
        <w:gridCol w:w="6521"/>
      </w:tblGrid>
      <w:tr>
        <w:trPr>
          <w:cantSplit/>
          <w:trHeight w:val="313"/>
        </w:trPr>
        <w:tc>
          <w:tcPr>
            <w:tcW w:w="6521"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521"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521"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521"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521"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outlineLvl w:val="0"/>
        <w:rPr>
          <w:sz w:val="20"/>
        </w:rPr>
      </w:pPr>
      <w:r>
        <w:rPr>
          <w:sz w:val="20"/>
        </w:rPr>
        <w:tab/>
        <w:t>WORKER’S DECLARATION</w:t>
      </w:r>
    </w:p>
    <w:p>
      <w:pPr>
        <w:pStyle w:val="yTable"/>
        <w:tabs>
          <w:tab w:val="left" w:pos="567"/>
        </w:tabs>
        <w:outlineLvl w:val="0"/>
        <w:rPr>
          <w:sz w:val="20"/>
        </w:rPr>
      </w:pPr>
      <w:r>
        <w:rPr>
          <w:sz w:val="20"/>
        </w:rPr>
        <w:tab/>
        <w:t>Date of injury/injuries………………………………………………………</w:t>
      </w:r>
    </w:p>
    <w:p>
      <w:pPr>
        <w:pStyle w:val="yTable"/>
        <w:tabs>
          <w:tab w:val="left" w:pos="567"/>
        </w:tabs>
        <w:outlineLvl w:val="0"/>
        <w:rPr>
          <w:sz w:val="20"/>
        </w:rPr>
      </w:pPr>
      <w:r>
        <w:rPr>
          <w:sz w:val="20"/>
        </w:rPr>
        <w:tab/>
        <w:t>Type of injury/injuries………………………………………………………</w:t>
      </w:r>
    </w:p>
    <w:p>
      <w:pPr>
        <w:pStyle w:val="yTable"/>
        <w:tabs>
          <w:tab w:val="left" w:pos="567"/>
        </w:tabs>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4913-14.]</w:t>
      </w:r>
    </w:p>
    <w:p>
      <w:pPr>
        <w:pStyle w:val="yTable"/>
        <w:pageBreakBefore/>
        <w:jc w:val="center"/>
        <w:outlineLvl w:val="0"/>
        <w:rPr>
          <w:b/>
          <w:sz w:val="20"/>
        </w:rPr>
      </w:pPr>
      <w:r>
        <w:rPr>
          <w:b/>
          <w:sz w:val="20"/>
        </w:rPr>
        <w:t>Form 2</w:t>
      </w:r>
    </w:p>
    <w:p>
      <w:pPr>
        <w:pStyle w:val="yTable"/>
        <w:jc w:val="right"/>
        <w:rPr>
          <w:sz w:val="20"/>
        </w:rPr>
      </w:pPr>
      <w:r>
        <w:rPr>
          <w:sz w:val="20"/>
        </w:rPr>
        <w:t>[r. 5]</w:t>
      </w:r>
    </w:p>
    <w:p>
      <w:pPr>
        <w:pStyle w:val="yTable"/>
        <w:spacing w:before="0"/>
        <w:jc w:val="center"/>
        <w:rPr>
          <w:sz w:val="20"/>
        </w:rPr>
      </w:pPr>
      <w:r>
        <w:rPr>
          <w:i/>
          <w:sz w:val="20"/>
        </w:rPr>
        <w:t>Workers’ Compensation and Injury Management Act 1981</w:t>
      </w:r>
    </w:p>
    <w:p>
      <w:pPr>
        <w:pStyle w:val="yTable"/>
        <w:spacing w:before="120"/>
        <w:jc w:val="center"/>
        <w:rPr>
          <w:b/>
          <w:sz w:val="20"/>
        </w:rPr>
      </w:pPr>
      <w:r>
        <w:rPr>
          <w:b/>
          <w:sz w:val="20"/>
        </w:rPr>
        <w:t>MEDICAL PANEL</w:t>
      </w:r>
    </w:p>
    <w:p>
      <w:pPr>
        <w:pStyle w:val="yTable"/>
        <w:spacing w:before="120"/>
        <w:jc w:val="center"/>
        <w:rPr>
          <w:sz w:val="20"/>
        </w:rPr>
      </w:pPr>
      <w:r>
        <w:rPr>
          <w:sz w:val="20"/>
        </w:rPr>
        <w:t>(Sections 36 and 38)</w:t>
      </w:r>
    </w:p>
    <w:p>
      <w:pPr>
        <w:pStyle w:val="yTable"/>
        <w:spacing w:before="120"/>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40"/>
        <w:jc w:val="center"/>
        <w:outlineLvl w:val="0"/>
        <w:rPr>
          <w:sz w:val="20"/>
        </w:rPr>
      </w:pPr>
      <w:r>
        <w:rPr>
          <w:sz w:val="20"/>
        </w:rPr>
        <w:t>DETERMINATION</w:t>
      </w:r>
    </w:p>
    <w:p>
      <w:pPr>
        <w:pStyle w:val="yTable"/>
        <w:tabs>
          <w:tab w:val="left" w:pos="284"/>
          <w:tab w:val="left" w:pos="567"/>
        </w:tabs>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ind w:left="567" w:hanging="567"/>
        <w:rPr>
          <w:sz w:val="20"/>
        </w:rPr>
      </w:pPr>
      <w:r>
        <w:rPr>
          <w:sz w:val="20"/>
        </w:rPr>
        <w:tab/>
        <w:t>2.</w:t>
      </w:r>
      <w:r>
        <w:rPr>
          <w:sz w:val="20"/>
        </w:rPr>
        <w:tab/>
        <w:t>If so, is, or was, the worker thereby less able to earn full wages?</w:t>
      </w:r>
    </w:p>
    <w:p>
      <w:pPr>
        <w:pStyle w:val="yTable"/>
        <w:tabs>
          <w:tab w:val="left" w:pos="284"/>
          <w:tab w:val="left" w:pos="567"/>
        </w:tabs>
        <w:ind w:left="567" w:hanging="567"/>
        <w:rPr>
          <w:sz w:val="20"/>
        </w:rPr>
      </w:pPr>
      <w:r>
        <w:rPr>
          <w:sz w:val="20"/>
        </w:rPr>
        <w:tab/>
        <w:t>3.</w:t>
      </w:r>
      <w:r>
        <w:rPr>
          <w:sz w:val="20"/>
        </w:rPr>
        <w:tab/>
        <w:t>To what extent if any does, or did — </w:t>
      </w:r>
    </w:p>
    <w:p>
      <w:pPr>
        <w:pStyle w:val="yTable"/>
        <w:tabs>
          <w:tab w:val="left" w:pos="567"/>
          <w:tab w:val="left" w:pos="993"/>
        </w:tabs>
        <w:ind w:left="993" w:hanging="993"/>
        <w:rPr>
          <w:sz w:val="20"/>
        </w:rPr>
      </w:pPr>
      <w:r>
        <w:rPr>
          <w:sz w:val="20"/>
        </w:rPr>
        <w:tab/>
        <w:t>(i)</w:t>
      </w:r>
      <w:r>
        <w:rPr>
          <w:sz w:val="20"/>
        </w:rPr>
        <w:tab/>
        <w:t>pneumoconiosis;</w:t>
      </w:r>
    </w:p>
    <w:p>
      <w:pPr>
        <w:pStyle w:val="yTable"/>
        <w:tabs>
          <w:tab w:val="left" w:pos="567"/>
        </w:tabs>
        <w:ind w:left="993" w:hanging="993"/>
        <w:rPr>
          <w:sz w:val="20"/>
        </w:rPr>
      </w:pPr>
      <w:r>
        <w:rPr>
          <w:sz w:val="20"/>
        </w:rPr>
        <w:tab/>
        <w:t>(ii)</w:t>
      </w:r>
      <w:r>
        <w:rPr>
          <w:sz w:val="20"/>
        </w:rPr>
        <w:tab/>
        <w:t>mesothelioma;</w:t>
      </w:r>
    </w:p>
    <w:p>
      <w:pPr>
        <w:pStyle w:val="yTable"/>
        <w:tabs>
          <w:tab w:val="left" w:pos="567"/>
        </w:tabs>
        <w:ind w:left="993" w:hanging="993"/>
        <w:rPr>
          <w:sz w:val="20"/>
        </w:rPr>
      </w:pPr>
      <w:r>
        <w:rPr>
          <w:sz w:val="20"/>
        </w:rPr>
        <w:tab/>
        <w:t>(iii)</w:t>
      </w:r>
      <w:r>
        <w:rPr>
          <w:sz w:val="20"/>
        </w:rPr>
        <w:tab/>
        <w:t>lung cancer,</w:t>
      </w:r>
    </w:p>
    <w:p>
      <w:pPr>
        <w:pStyle w:val="yTable"/>
        <w:tabs>
          <w:tab w:val="left" w:pos="284"/>
          <w:tab w:val="left" w:pos="567"/>
        </w:tabs>
        <w:ind w:left="567" w:hanging="567"/>
        <w:rPr>
          <w:sz w:val="20"/>
        </w:rPr>
      </w:pPr>
      <w:r>
        <w:rPr>
          <w:sz w:val="20"/>
        </w:rPr>
        <w:tab/>
      </w:r>
      <w:r>
        <w:rPr>
          <w:sz w:val="20"/>
        </w:rPr>
        <w:tab/>
        <w:t>adversely affect the worker’s ability to undertake physical effort?</w:t>
      </w:r>
    </w:p>
    <w:p>
      <w:pPr>
        <w:pStyle w:val="yTable"/>
        <w:tabs>
          <w:tab w:val="left" w:pos="284"/>
          <w:tab w:val="left" w:pos="567"/>
        </w:tabs>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spacing w:before="0"/>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pPr>
      <w:r>
        <w:tab/>
        <w:t>[Form 2 amended in Gazette 21 Jan 2005 p. 276.]</w:t>
      </w:r>
    </w:p>
    <w:p>
      <w:pPr>
        <w:pStyle w:val="yEdnotesection"/>
        <w:outlineLvl w:val="9"/>
        <w:rPr>
          <w:i w:val="0"/>
          <w:sz w:val="20"/>
        </w:rPr>
      </w:pPr>
      <w:r>
        <w:rPr>
          <w:sz w:val="20"/>
        </w:rPr>
        <w:tab/>
        <w:t>[Form 2A deleted]</w:t>
      </w:r>
    </w:p>
    <w:p>
      <w:pPr>
        <w:pStyle w:val="yTable"/>
        <w:jc w:val="center"/>
        <w:outlineLvl w:val="0"/>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outlineLvl w:val="0"/>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outlineLvl w:val="0"/>
        <w:rPr>
          <w:b/>
          <w:i/>
          <w:sz w:val="16"/>
        </w:rPr>
      </w:pPr>
      <w:r>
        <w:rPr>
          <w:b/>
          <w:i/>
          <w:sz w:val="16"/>
        </w:rPr>
        <w:t>EMPLOYER:  Forward to your insurer within 3 full working days of receipt from the Worker</w:t>
      </w:r>
    </w:p>
    <w:p>
      <w:pPr>
        <w:pStyle w:val="yTable"/>
        <w:rPr>
          <w:sz w:val="16"/>
        </w:rPr>
      </w:pPr>
    </w:p>
    <w:p>
      <w:pPr>
        <w:pStyle w:val="yTable"/>
        <w:keepNext/>
        <w:outlineLvl w:val="0"/>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outlineLvl w:val="0"/>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rPr>
                <w:sz w:val="16"/>
              </w:rPr>
            </w:pPr>
            <w:r>
              <w:rPr>
                <w:sz w:val="16"/>
              </w:rPr>
              <w:t xml:space="preserve">1. Is compensation being claimed  </w:t>
            </w:r>
          </w:p>
          <w:p>
            <w:pPr>
              <w:pStyle w:val="yTable"/>
              <w:rPr>
                <w:sz w:val="16"/>
              </w:rPr>
            </w:pPr>
            <w:r>
              <w:rPr>
                <w:sz w:val="16"/>
              </w:rPr>
              <w:t xml:space="preserve">    from any other source?        </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outlineLvl w:val="0"/>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outlineLvl w:val="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outlineLvl w:val="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outlineLvl w:val="0"/>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outlineLvl w:val="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outlineLvl w:val="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outlineLvl w:val="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organization: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organization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outlineLvl w:val="0"/>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outlineLvl w:val="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three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outlineLvl w:val="0"/>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amended in Gazette 21 Jan 2005 p. 276; 28 Oct 2005 p. 4915.]</w:t>
      </w:r>
    </w:p>
    <w:p>
      <w:pPr>
        <w:pStyle w:val="yTable"/>
        <w:pageBreakBefore/>
        <w:jc w:val="center"/>
        <w:outlineLvl w:val="0"/>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outlineLvl w:val="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outlineLvl w:val="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outlineLvl w:val="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outlineLvl w:val="0"/>
        <w:rPr>
          <w:b/>
          <w:sz w:val="20"/>
        </w:rPr>
      </w:pPr>
      <w:r>
        <w:rPr>
          <w:b/>
          <w:sz w:val="20"/>
        </w:rPr>
        <w:t>WORKER’S EMPLOYMENT HISTORY FROM MARCH 1, 1991</w:t>
      </w:r>
    </w:p>
    <w:p>
      <w:pPr>
        <w:pStyle w:val="yTable"/>
        <w:outlineLvl w:val="0"/>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outlineLvl w:val="0"/>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amended in Gazette 21 Jan 2005 p. 276; 28 Oct 2005 p. 4915-16.]</w:t>
      </w:r>
    </w:p>
    <w:p>
      <w:pPr>
        <w:pStyle w:val="yTable"/>
        <w:pageBreakBefore/>
        <w:jc w:val="center"/>
        <w:outlineLvl w:val="0"/>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outlineLvl w:val="0"/>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outlineLvl w:val="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rPr>
                <w:sz w:val="20"/>
              </w:rPr>
            </w:pPr>
            <w:r>
              <w:rPr>
                <w:sz w:val="20"/>
              </w:rPr>
              <w:tab/>
              <w:t>(Signature of worker)</w:t>
            </w:r>
          </w:p>
          <w:p>
            <w:pPr>
              <w:pStyle w:val="yTable"/>
              <w:rPr>
                <w:sz w:val="20"/>
              </w:rPr>
            </w:pPr>
            <w:r>
              <w:rPr>
                <w:sz w:val="20"/>
              </w:rPr>
              <w:t>in the presence of :   ................................................................................................................…………..</w:t>
            </w:r>
          </w:p>
          <w:p>
            <w:pPr>
              <w:pStyle w:val="yTable"/>
              <w:rPr>
                <w:sz w:val="20"/>
              </w:rPr>
            </w:pPr>
            <w:r>
              <w:rPr>
                <w:sz w:val="20"/>
              </w:rPr>
              <w:t>...................................................................................................................................</w:t>
            </w:r>
          </w:p>
          <w:p>
            <w:pPr>
              <w:pStyle w:val="yTable"/>
              <w:spacing w:before="0"/>
              <w:jc w:val="center"/>
              <w:rPr>
                <w:sz w:val="20"/>
              </w:rPr>
            </w:pPr>
            <w:r>
              <w:rPr>
                <w:sz w:val="20"/>
              </w:rPr>
              <w:t>(Signature and full name and address of witness)</w:t>
            </w:r>
          </w:p>
        </w:tc>
      </w:tr>
    </w:tbl>
    <w:p>
      <w:pPr>
        <w:pStyle w:val="yTable"/>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rPr>
                <w:sz w:val="20"/>
              </w:rPr>
            </w:pPr>
            <w:r>
              <w:rPr>
                <w:sz w:val="20"/>
              </w:rPr>
              <w:t>(e.g. Browns Welding;</w:t>
            </w:r>
          </w:p>
          <w:p>
            <w:pPr>
              <w:pStyle w:val="yTable"/>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rPr>
                <w:sz w:val="20"/>
              </w:rPr>
            </w:pPr>
          </w:p>
          <w:p>
            <w:pPr>
              <w:pStyle w:val="yTable"/>
              <w:rPr>
                <w:sz w:val="20"/>
              </w:rPr>
            </w:pPr>
          </w:p>
        </w:tc>
      </w:tr>
      <w:tr>
        <w:tc>
          <w:tcPr>
            <w:tcW w:w="4394" w:type="dxa"/>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rPr>
                <w:sz w:val="20"/>
              </w:rPr>
            </w:pPr>
            <w:r>
              <w:rPr>
                <w:sz w:val="20"/>
              </w:rPr>
              <w:t>______________________________________</w:t>
            </w:r>
          </w:p>
          <w:p>
            <w:pPr>
              <w:pStyle w:val="yTable"/>
              <w:rPr>
                <w:sz w:val="20"/>
              </w:rPr>
            </w:pPr>
            <w:r>
              <w:rPr>
                <w:sz w:val="20"/>
              </w:rPr>
              <w:t>Address</w:t>
            </w:r>
          </w:p>
          <w:p>
            <w:pPr>
              <w:pStyle w:val="yTable"/>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Height w:val="595"/>
        </w:trPr>
        <w:tc>
          <w:tcPr>
            <w:tcW w:w="4394" w:type="dxa"/>
          </w:tcPr>
          <w:p>
            <w:pPr>
              <w:pStyle w:val="zytable"/>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rPr>
                <w:b/>
                <w:sz w:val="20"/>
              </w:rPr>
            </w:pPr>
          </w:p>
        </w:tc>
      </w:tr>
    </w:tbl>
    <w:p>
      <w:pPr>
        <w:pStyle w:val="yTable"/>
        <w:rPr>
          <w:sz w:val="20"/>
        </w:rPr>
      </w:pPr>
    </w:p>
    <w:p>
      <w:pPr>
        <w:pStyle w:val="yTable"/>
        <w:tabs>
          <w:tab w:val="left" w:pos="567"/>
        </w:tabs>
        <w:outlineLvl w:val="0"/>
        <w:rPr>
          <w:b/>
          <w:sz w:val="20"/>
        </w:rPr>
      </w:pPr>
      <w:r>
        <w:rPr>
          <w:b/>
          <w:sz w:val="20"/>
        </w:rPr>
        <w:tab/>
        <w:t>WORKER’S EMPLOYMENT HISTORY FROM 1 MARCH 1991</w:t>
      </w:r>
    </w:p>
    <w:p>
      <w:pPr>
        <w:pStyle w:val="yTable"/>
        <w:outlineLvl w:val="0"/>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outlineLvl w:val="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pageBreakBefor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4916-19.]</w:t>
      </w:r>
    </w:p>
    <w:p>
      <w:pPr>
        <w:pStyle w:val="yTable"/>
        <w:pageBreakBefore/>
        <w:jc w:val="center"/>
        <w:outlineLvl w:val="0"/>
        <w:rPr>
          <w:b/>
          <w:sz w:val="20"/>
        </w:rPr>
      </w:pPr>
      <w:r>
        <w:rPr>
          <w:b/>
          <w:sz w:val="20"/>
        </w:rPr>
        <w:t>Form 2D</w:t>
      </w:r>
    </w:p>
    <w:p>
      <w:pPr>
        <w:pStyle w:val="yTable"/>
        <w:jc w:val="right"/>
        <w:rPr>
          <w:sz w:val="20"/>
        </w:rPr>
      </w:pPr>
      <w:r>
        <w:rPr>
          <w:sz w:val="20"/>
        </w:rPr>
        <w:t>[r. 6AA]</w:t>
      </w:r>
    </w:p>
    <w:p>
      <w:pPr>
        <w:pStyle w:val="yTable"/>
        <w:jc w:val="center"/>
        <w:outlineLvl w:val="0"/>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outlineLvl w:val="0"/>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outlineLvl w:val="0"/>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outlineLvl w:val="0"/>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outlineLvl w:val="0"/>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amended in Gazette 30 Jun 2003 p. 2637; 21 Jan 2005 p. 276.]</w:t>
      </w:r>
    </w:p>
    <w:p>
      <w:pPr>
        <w:pStyle w:val="yTable"/>
        <w:pageBreakBefore/>
        <w:jc w:val="center"/>
        <w:outlineLvl w:val="0"/>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outlineLvl w:val="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outlineLvl w:val="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outlineLvl w:val="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8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8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outlineLvl w:val="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12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81430" cy="1643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1430" cy="1643380"/>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outlineLvl w:val="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 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rPr>
                <w:sz w:val="16"/>
              </w:rPr>
            </w:pPr>
            <w:r>
              <w:rPr>
                <w:sz w:val="16"/>
              </w:rPr>
              <w:t xml:space="preserve">       </w:t>
            </w:r>
            <w:r>
              <w:rPr>
                <w:sz w:val="16"/>
              </w:rPr>
              <w:sym w:font="Wingdings" w:char="F072"/>
            </w:r>
            <w:r>
              <w:rPr>
                <w:sz w:val="16"/>
              </w:rPr>
              <w:t xml:space="preserve">    Avoid prolonged standing/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16"/>
        </w:rPr>
      </w:pPr>
      <w:r>
        <w:rPr>
          <w:sz w:val="16"/>
        </w:rPr>
        <w:sym w:font="Wingdings" w:char="F072"/>
      </w:r>
      <w:r>
        <w:rPr>
          <w:sz w:val="16"/>
        </w:rPr>
        <w:tab/>
        <w:t>Approved allied health treatments (specify type and include number of sessions recommended) ……………………………………………………………………………………………………………….</w:t>
      </w:r>
    </w:p>
    <w:p>
      <w:pPr>
        <w:pStyle w:val="yTable"/>
        <w:tabs>
          <w:tab w:val="left" w:pos="284"/>
        </w:tabs>
        <w:rPr>
          <w:sz w:val="16"/>
        </w:rPr>
      </w:pPr>
      <w:r>
        <w:rPr>
          <w:sz w:val="16"/>
        </w:rPr>
        <w:tab/>
        <w:t>……………………………………………………………………………………………………………….</w:t>
      </w:r>
    </w:p>
    <w:p>
      <w:pPr>
        <w:pStyle w:val="yTable"/>
        <w:tabs>
          <w:tab w:val="left" w:pos="284"/>
        </w:tabs>
        <w:spacing w:before="0"/>
        <w:rPr>
          <w:sz w:val="16"/>
        </w:rPr>
      </w:pPr>
      <w:r>
        <w:rPr>
          <w:sz w:val="16"/>
        </w:rPr>
        <w:sym w:font="Wingdings" w:char="F072"/>
      </w:r>
      <w:r>
        <w:rPr>
          <w:sz w:val="16"/>
        </w:rPr>
        <w:tab/>
        <w:t>Imaging ……………………………………………………………………………………………………..</w:t>
      </w:r>
    </w:p>
    <w:p>
      <w:pPr>
        <w:pStyle w:val="yTable"/>
        <w:spacing w:before="0"/>
        <w:rPr>
          <w:sz w:val="16"/>
        </w:rPr>
      </w:pPr>
      <w:r>
        <w:rPr>
          <w:sz w:val="16"/>
        </w:rPr>
        <w:sym w:font="Wingdings" w:char="F072"/>
      </w:r>
      <w:r>
        <w:rPr>
          <w:sz w:val="16"/>
        </w:rPr>
        <w:t xml:space="preserve">    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spacing w:before="120"/>
        <w:rPr>
          <w:b/>
          <w:sz w:val="17"/>
        </w:rPr>
      </w:pPr>
      <w:r>
        <w:rPr>
          <w:b/>
          <w:sz w:val="17"/>
        </w:rPr>
        <w:t>9. Medical Practitioner’s Details</w:t>
      </w:r>
    </w:p>
    <w:p>
      <w:pPr>
        <w:pStyle w:val="yTable"/>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rPr>
          <w:sz w:val="16"/>
        </w:rPr>
      </w:pPr>
      <w:r>
        <w:rPr>
          <w:sz w:val="16"/>
        </w:rPr>
        <w:t>Address</w:t>
      </w:r>
      <w:r>
        <w:rPr>
          <w:spacing w:val="-2"/>
          <w:sz w:val="20"/>
        </w:rPr>
        <w:t>........................................................................................................................................</w:t>
      </w:r>
    </w:p>
    <w:p>
      <w:pPr>
        <w:pStyle w:val="yTable"/>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jc w:val="center"/>
        <w:rPr>
          <w:sz w:val="16"/>
        </w:rPr>
      </w:pPr>
    </w:p>
    <w:p>
      <w:pPr>
        <w:pStyle w:val="yTable"/>
        <w:spacing w:before="0"/>
        <w:jc w:val="center"/>
        <w:outlineLvl w:val="0"/>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amended in Gazette 21 Jan 2005 p. 276; 28 Oct 2005 p. 4919-20.]</w:t>
      </w:r>
    </w:p>
    <w:p>
      <w:pPr>
        <w:pStyle w:val="yTable"/>
        <w:spacing w:before="0"/>
        <w:jc w:val="center"/>
        <w:rPr>
          <w:b/>
          <w:sz w:val="18"/>
        </w:rPr>
      </w:pPr>
    </w:p>
    <w:p>
      <w:pPr>
        <w:pStyle w:val="yTable"/>
        <w:pageBreakBefore/>
        <w:spacing w:before="0"/>
        <w:jc w:val="center"/>
        <w:outlineLvl w:val="0"/>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outlineLvl w:val="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amended in Gazette 21 Jan 2005 p. 276; 28 Oct 2005 p. 4920.]</w:t>
      </w:r>
    </w:p>
    <w:p>
      <w:pPr>
        <w:pStyle w:val="yTable"/>
        <w:tabs>
          <w:tab w:val="left" w:leader="dot" w:pos="4820"/>
        </w:tabs>
        <w:spacing w:before="20"/>
        <w:rPr>
          <w:sz w:val="20"/>
        </w:rPr>
      </w:pPr>
    </w:p>
    <w:p>
      <w:pPr>
        <w:pStyle w:val="yTable"/>
        <w:pageBreakBefore/>
        <w:jc w:val="center"/>
        <w:outlineLvl w:val="0"/>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outlineLvl w:val="0"/>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outlineLvl w:val="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outlineLvl w:val="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rPr>
          <w:spacing w:val="-2"/>
          <w:sz w:val="20"/>
        </w:rPr>
      </w:pPr>
      <w:r>
        <w:rPr>
          <w:spacing w:val="-2"/>
          <w:sz w:val="20"/>
        </w:rPr>
        <w:t>…..…………………………………………………………………………………………</w:t>
      </w:r>
    </w:p>
    <w:p>
      <w:pPr>
        <w:pStyle w:val="yTable"/>
        <w:tabs>
          <w:tab w:val="left" w:leader="dot" w:pos="3402"/>
        </w:tabs>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rPr>
          <w:spacing w:val="-2"/>
          <w:sz w:val="20"/>
        </w:rPr>
      </w:pPr>
      <w:r>
        <w:rPr>
          <w:spacing w:val="-2"/>
          <w:sz w:val="20"/>
        </w:rPr>
        <w:t>…..…………………………………………………………………………………………</w:t>
      </w:r>
    </w:p>
    <w:p>
      <w:pPr>
        <w:pStyle w:val="yTable"/>
        <w:tabs>
          <w:tab w:val="left" w:leader="dot" w:pos="3402"/>
        </w:tabs>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rPr>
          <w:spacing w:val="-2"/>
          <w:sz w:val="20"/>
        </w:rPr>
      </w:pPr>
      <w:r>
        <w:rPr>
          <w:spacing w:val="-2"/>
          <w:sz w:val="20"/>
        </w:rPr>
        <w:t>…..…………………………………………………………………………………………</w:t>
      </w:r>
    </w:p>
    <w:p>
      <w:pPr>
        <w:pStyle w:val="yTable"/>
        <w:tabs>
          <w:tab w:val="left" w:leader="dot" w:pos="3402"/>
        </w:tabs>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rPr>
          <w:spacing w:val="-2"/>
          <w:sz w:val="20"/>
        </w:rPr>
      </w:pPr>
      <w:r>
        <w:rPr>
          <w:spacing w:val="-2"/>
          <w:sz w:val="20"/>
        </w:rPr>
        <w:t>……………………………………………………………………………………………</w:t>
      </w:r>
    </w:p>
    <w:p>
      <w:pPr>
        <w:pStyle w:val="yTable"/>
        <w:tabs>
          <w:tab w:val="left" w:leader="dot" w:pos="3402"/>
        </w:tabs>
        <w:rPr>
          <w:spacing w:val="-2"/>
          <w:sz w:val="20"/>
        </w:rPr>
      </w:pPr>
      <w:r>
        <w:rPr>
          <w:spacing w:val="-2"/>
          <w:sz w:val="20"/>
        </w:rPr>
        <w:t>…………………………………………………………………………………. ………..</w:t>
      </w:r>
    </w:p>
    <w:p>
      <w:pPr>
        <w:pStyle w:val="yTable"/>
        <w:tabs>
          <w:tab w:val="left" w:leader="dot" w:pos="3402"/>
        </w:tabs>
        <w:rPr>
          <w:spacing w:val="-2"/>
          <w:sz w:val="20"/>
        </w:rPr>
      </w:pPr>
      <w:r>
        <w:rPr>
          <w:spacing w:val="-2"/>
          <w:sz w:val="20"/>
        </w:rPr>
        <w:t xml:space="preserve">Signed on behalf of the </w:t>
      </w:r>
      <w:r>
        <w:rPr>
          <w:spacing w:val="-2"/>
          <w:sz w:val="20"/>
        </w:rPr>
        <w:br/>
        <w:t>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2"/>
        </w:numPr>
        <w:tabs>
          <w:tab w:val="clear" w:pos="720"/>
          <w:tab w:val="num" w:pos="284"/>
        </w:tabs>
        <w:spacing w:before="120"/>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2"/>
        </w:numPr>
        <w:tabs>
          <w:tab w:val="clear" w:pos="720"/>
          <w:tab w:val="num" w:pos="284"/>
        </w:tabs>
        <w:spacing w:before="120"/>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2"/>
        </w:numPr>
        <w:tabs>
          <w:tab w:val="clear" w:pos="720"/>
          <w:tab w:val="num" w:pos="284"/>
        </w:tabs>
        <w:spacing w:before="120"/>
        <w:ind w:left="284" w:hanging="284"/>
        <w:rPr>
          <w:spacing w:val="-2"/>
          <w:sz w:val="20"/>
        </w:rPr>
      </w:pPr>
      <w:r>
        <w:rPr>
          <w:spacing w:val="-2"/>
          <w:sz w:val="20"/>
        </w:rPr>
        <w:t>seek advice in relation to the dispute from WorkCover WA;</w:t>
      </w:r>
    </w:p>
    <w:p>
      <w:pPr>
        <w:pStyle w:val="yTable"/>
        <w:numPr>
          <w:ilvl w:val="0"/>
          <w:numId w:val="2"/>
        </w:numPr>
        <w:tabs>
          <w:tab w:val="clear" w:pos="720"/>
          <w:tab w:val="num" w:pos="284"/>
        </w:tabs>
        <w:spacing w:before="120"/>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amended in Gazette 21 Jan 2005 p. 276; 28 Oct 2005 p. 4921-2.]</w:t>
      </w:r>
    </w:p>
    <w:p>
      <w:pPr>
        <w:pStyle w:val="yTable"/>
        <w:pageBreakBefore/>
        <w:jc w:val="center"/>
        <w:outlineLvl w:val="0"/>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outlineLvl w:val="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outlineLvl w:val="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outlineLvl w:val="0"/>
        <w:rPr>
          <w:sz w:val="20"/>
        </w:rPr>
      </w:pPr>
      <w:r>
        <w:rPr>
          <w:sz w:val="20"/>
        </w:rPr>
        <w:t xml:space="preserve">3. </w:t>
      </w:r>
      <w:r>
        <w:rPr>
          <w:rFonts w:ascii="Times" w:hAnsi="Times"/>
          <w:sz w:val="20"/>
        </w:rPr>
        <w:t>Director Dispute Resolution</w:t>
      </w:r>
    </w:p>
    <w:p>
      <w:pPr>
        <w:pStyle w:val="yTable"/>
        <w:tabs>
          <w:tab w:val="right" w:leader="dot" w:pos="7087"/>
        </w:tabs>
        <w:spacing w:before="20"/>
        <w:outlineLvl w:val="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rPr>
          <w:sz w:val="20"/>
        </w:rPr>
      </w:pPr>
      <w:r>
        <w:rPr>
          <w:sz w:val="20"/>
        </w:rPr>
        <w:t>............................................................................................................................................</w:t>
      </w:r>
    </w:p>
    <w:p>
      <w:pPr>
        <w:pStyle w:val="yTable"/>
        <w:tabs>
          <w:tab w:val="left" w:leader="dot" w:pos="7088"/>
        </w:tabs>
        <w:rPr>
          <w:sz w:val="20"/>
        </w:rPr>
      </w:pPr>
      <w:r>
        <w:rPr>
          <w:sz w:val="20"/>
        </w:rPr>
        <w:t>............................................................................................................................................</w:t>
      </w:r>
    </w:p>
    <w:p>
      <w:pPr>
        <w:pStyle w:val="yTable"/>
        <w:tabs>
          <w:tab w:val="left" w:leader="dot" w:pos="7088"/>
        </w:tabs>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rPr>
          <w:sz w:val="20"/>
        </w:rPr>
      </w:pPr>
      <w:r>
        <w:rPr>
          <w:sz w:val="20"/>
        </w:rPr>
        <w:t>……..……………………………………………………………………..………………</w:t>
      </w:r>
    </w:p>
    <w:p>
      <w:pPr>
        <w:pStyle w:val="yTable"/>
        <w:tabs>
          <w:tab w:val="left" w:leader="dot" w:pos="7088"/>
        </w:tabs>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rPr>
          <w:sz w:val="20"/>
        </w:rPr>
      </w:pPr>
      <w:r>
        <w:rPr>
          <w:sz w:val="20"/>
        </w:rPr>
        <w:t>……………………………………………………………………………………………</w:t>
      </w:r>
    </w:p>
    <w:p>
      <w:pPr>
        <w:pStyle w:val="yTable"/>
        <w:tabs>
          <w:tab w:val="left" w:leader="dot" w:pos="7088"/>
        </w:tabs>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rPr>
          <w:sz w:val="20"/>
        </w:rPr>
      </w:pPr>
      <w:r>
        <w:rPr>
          <w:sz w:val="20"/>
        </w:rPr>
        <w:t>……………………………….…………………………………………..………………</w:t>
      </w:r>
    </w:p>
    <w:p>
      <w:pPr>
        <w:pStyle w:val="yTable"/>
        <w:tabs>
          <w:tab w:val="left" w:leader="dot" w:pos="7088"/>
        </w:tabs>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3"/>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3"/>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3"/>
        </w:numPr>
        <w:tabs>
          <w:tab w:val="clear" w:pos="720"/>
          <w:tab w:val="num" w:pos="284"/>
        </w:tabs>
        <w:ind w:left="284" w:hanging="284"/>
        <w:rPr>
          <w:sz w:val="20"/>
        </w:rPr>
      </w:pPr>
      <w:r>
        <w:rPr>
          <w:sz w:val="20"/>
        </w:rPr>
        <w:t>seek advice in relation to the dispute from WorkCover WA;</w:t>
      </w:r>
    </w:p>
    <w:p>
      <w:pPr>
        <w:pStyle w:val="yTable"/>
        <w:numPr>
          <w:ilvl w:val="0"/>
          <w:numId w:val="3"/>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amended in Gazette 21 Jan 2005 p. 276; 28 Oct 2005 p. 4922-3.]</w:t>
      </w:r>
    </w:p>
    <w:p>
      <w:pPr>
        <w:pStyle w:val="yTable"/>
        <w:rPr>
          <w:sz w:val="20"/>
        </w:rPr>
      </w:pPr>
    </w:p>
    <w:p>
      <w:pPr>
        <w:pStyle w:val="yTable"/>
        <w:pageBreakBefore/>
        <w:jc w:val="center"/>
        <w:outlineLvl w:val="0"/>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outlineLvl w:val="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outlineLvl w:val="0"/>
        <w:rPr>
          <w:sz w:val="20"/>
        </w:rPr>
      </w:pPr>
      <w:r>
        <w:rPr>
          <w:sz w:val="20"/>
        </w:rPr>
        <w:t>Signed on behalf of the uninsured or self 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4"/>
        </w:numPr>
        <w:tabs>
          <w:tab w:val="clear" w:pos="720"/>
          <w:tab w:val="num" w:pos="284"/>
        </w:tabs>
        <w:spacing w:before="120"/>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4"/>
        </w:numPr>
        <w:tabs>
          <w:tab w:val="clear" w:pos="720"/>
          <w:tab w:val="num" w:pos="284"/>
        </w:tabs>
        <w:spacing w:before="120"/>
        <w:ind w:left="284" w:hanging="284"/>
        <w:rPr>
          <w:sz w:val="20"/>
        </w:rPr>
      </w:pPr>
      <w:r>
        <w:rPr>
          <w:sz w:val="20"/>
        </w:rPr>
        <w:t>under section 181 of the Act apply to the Director Dispute Resolution for resolution of a dispute by an arbitrator;</w:t>
      </w:r>
    </w:p>
    <w:p>
      <w:pPr>
        <w:pStyle w:val="yTable"/>
        <w:numPr>
          <w:ilvl w:val="0"/>
          <w:numId w:val="4"/>
        </w:numPr>
        <w:tabs>
          <w:tab w:val="clear" w:pos="720"/>
          <w:tab w:val="num" w:pos="284"/>
        </w:tabs>
        <w:spacing w:before="120"/>
        <w:ind w:left="284" w:hanging="284"/>
        <w:rPr>
          <w:sz w:val="20"/>
        </w:rPr>
      </w:pPr>
      <w:r>
        <w:rPr>
          <w:sz w:val="20"/>
        </w:rPr>
        <w:t>seek advice in relation to the dispute from WorkCover WA;</w:t>
      </w:r>
    </w:p>
    <w:p>
      <w:pPr>
        <w:pStyle w:val="yTable"/>
        <w:numPr>
          <w:ilvl w:val="0"/>
          <w:numId w:val="4"/>
        </w:numPr>
        <w:tabs>
          <w:tab w:val="clear" w:pos="720"/>
          <w:tab w:val="num" w:pos="284"/>
        </w:tabs>
        <w:spacing w:before="120"/>
        <w:ind w:left="284" w:hanging="284"/>
        <w:rPr>
          <w:sz w:val="20"/>
        </w:rPr>
      </w:pPr>
      <w:r>
        <w:rPr>
          <w:sz w:val="20"/>
        </w:rPr>
        <w:t>seek advice or assistance in relation to the dispute from your trade union organisation, a legal practitioner or a registered agent.</w:t>
      </w:r>
    </w:p>
    <w:p>
      <w:pPr>
        <w:pStyle w:val="yFootnotesection"/>
      </w:pPr>
      <w:r>
        <w:tab/>
        <w:t>[Form 3D amended in Gazette 21 Jan 2005 p. 276; 28 Oct 2005 p. 4923-4.]</w:t>
      </w:r>
    </w:p>
    <w:p>
      <w:pPr>
        <w:pStyle w:val="yTable"/>
        <w:spacing w:before="120"/>
        <w:rPr>
          <w:sz w:val="20"/>
        </w:rPr>
      </w:pPr>
    </w:p>
    <w:p>
      <w:pPr>
        <w:pStyle w:val="yTable"/>
        <w:pageBreakBefore/>
        <w:jc w:val="center"/>
        <w:outlineLvl w:val="0"/>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outlineLvl w:val="0"/>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outlineLvl w:val="0"/>
        <w:rPr>
          <w:sz w:val="20"/>
        </w:rPr>
      </w:pPr>
      <w:r>
        <w:rPr>
          <w:sz w:val="20"/>
        </w:rPr>
        <w:t>2. Director Dispute Resolution</w:t>
      </w:r>
    </w:p>
    <w:p>
      <w:pPr>
        <w:pStyle w:val="yTable"/>
        <w:tabs>
          <w:tab w:val="right" w:leader="dot" w:pos="7087"/>
        </w:tabs>
        <w:outlineLvl w:val="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5"/>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5"/>
        </w:numPr>
        <w:tabs>
          <w:tab w:val="clear" w:pos="720"/>
          <w:tab w:val="num" w:pos="284"/>
        </w:tabs>
        <w:ind w:left="284" w:hanging="284"/>
        <w:rPr>
          <w:sz w:val="20"/>
        </w:rPr>
      </w:pPr>
      <w:r>
        <w:rPr>
          <w:sz w:val="20"/>
        </w:rPr>
        <w:t>seek advice in relation to the dispute from WorkCover WA;</w:t>
      </w:r>
    </w:p>
    <w:p>
      <w:pPr>
        <w:pStyle w:val="yTable"/>
        <w:numPr>
          <w:ilvl w:val="0"/>
          <w:numId w:val="5"/>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amended in Gazette 21 Jan 2005 p. 276; 28 Oct 2005 p. 4925-6.]</w:t>
      </w:r>
    </w:p>
    <w:p>
      <w:pPr>
        <w:pStyle w:val="yTable"/>
        <w:rPr>
          <w:sz w:val="20"/>
        </w:rPr>
      </w:pPr>
    </w:p>
    <w:p>
      <w:pPr>
        <w:pStyle w:val="yTable"/>
        <w:pageBreakBefore/>
        <w:spacing w:before="0"/>
        <w:jc w:val="center"/>
        <w:outlineLvl w:val="0"/>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outlineLvl w:val="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outlineLvl w:val="0"/>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amended in Gazette 21 Jan 2005 p. 276; 28 Oct 2005 p. 4926.]</w:t>
      </w:r>
    </w:p>
    <w:p>
      <w:pPr>
        <w:pStyle w:val="yTable"/>
        <w:jc w:val="center"/>
        <w:rPr>
          <w:b/>
          <w:sz w:val="16"/>
        </w:rPr>
      </w:pPr>
    </w:p>
    <w:p>
      <w:pPr>
        <w:pStyle w:val="yTable"/>
        <w:pageBreakBefore/>
        <w:spacing w:before="0"/>
        <w:jc w:val="center"/>
        <w:outlineLvl w:val="0"/>
        <w:rPr>
          <w:b/>
          <w:sz w:val="20"/>
        </w:rPr>
      </w:pPr>
      <w:r>
        <w:rPr>
          <w:b/>
          <w:sz w:val="20"/>
        </w:rPr>
        <w:t>Form 5</w:t>
      </w:r>
    </w:p>
    <w:p>
      <w:pPr>
        <w:pStyle w:val="yTable"/>
        <w:spacing w:before="0"/>
        <w:jc w:val="right"/>
        <w:rPr>
          <w:sz w:val="20"/>
        </w:rPr>
      </w:pPr>
      <w:r>
        <w:rPr>
          <w:sz w:val="20"/>
        </w:rPr>
        <w:t>[r. 7(2)]</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rPr>
          <w:sz w:val="20"/>
        </w:rPr>
      </w:pPr>
      <w:r>
        <w:rPr>
          <w:sz w:val="20"/>
        </w:rPr>
        <w:tab/>
        <w:t>at ................................................................................ as to the ways</w:t>
      </w:r>
    </w:p>
    <w:p>
      <w:pPr>
        <w:pStyle w:val="yTable"/>
        <w:tabs>
          <w:tab w:val="left" w:pos="1134"/>
        </w:tabs>
        <w:spacing w:before="0"/>
        <w:ind w:left="1134" w:hanging="1134"/>
        <w:rPr>
          <w:sz w:val="20"/>
        </w:rPr>
      </w:pPr>
      <w:r>
        <w:rPr>
          <w:sz w:val="20"/>
        </w:rPr>
        <w:tab/>
        <w:t>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amended in Gazette 21 Jan 2005 p. 276; 28 Oct 2005 p. 4926.]</w:t>
      </w:r>
    </w:p>
    <w:p>
      <w:pPr>
        <w:pStyle w:val="yTable"/>
        <w:pageBreakBefore/>
        <w:jc w:val="center"/>
        <w:outlineLvl w:val="0"/>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outlineLvl w:val="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......./......../20...............</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spacing w:before="0"/>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outlineLvl w:val="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outlineLvl w:val="0"/>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amended in Gazette 21 Jan 2005 p. 276; 28 Oct 2005 p. 4926.]</w:t>
      </w:r>
    </w:p>
    <w:p>
      <w:pPr>
        <w:pStyle w:val="yTable"/>
        <w:pageBreakBefore/>
        <w:jc w:val="center"/>
        <w:outlineLvl w:val="0"/>
        <w:rPr>
          <w:sz w:val="20"/>
        </w:rPr>
      </w:pPr>
      <w:r>
        <w:rPr>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outlineLvl w:val="0"/>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rPr>
          <w:sz w:val="20"/>
        </w:rPr>
      </w:pPr>
      <w:r>
        <w:rPr>
          <w:sz w:val="20"/>
        </w:rPr>
        <w:t>…………………………………………………………………………………………</w:t>
      </w:r>
    </w:p>
    <w:p>
      <w:pPr>
        <w:pStyle w:val="yTable"/>
        <w:rPr>
          <w:sz w:val="20"/>
        </w:rPr>
      </w:pPr>
      <w:r>
        <w:rPr>
          <w:sz w:val="20"/>
        </w:rPr>
        <w:t>…………………………………………………………………………………………</w:t>
      </w:r>
    </w:p>
    <w:p>
      <w:pPr>
        <w:pStyle w:val="yTable"/>
        <w:tabs>
          <w:tab w:val="left" w:pos="567"/>
        </w:tabs>
        <w:outlineLvl w:val="0"/>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rPr>
          <w:sz w:val="20"/>
        </w:rPr>
      </w:pPr>
      <w:r>
        <w:rPr>
          <w:sz w:val="20"/>
        </w:rPr>
        <w:t>…………………………………………………………………………………………</w:t>
      </w:r>
    </w:p>
    <w:p>
      <w:pPr>
        <w:pStyle w:val="yTable"/>
        <w:rPr>
          <w:sz w:val="20"/>
        </w:rPr>
      </w:pPr>
      <w:r>
        <w:rPr>
          <w:sz w:val="20"/>
        </w:rPr>
        <w:t>………………………………………………………………………………………....</w:t>
      </w:r>
    </w:p>
    <w:p>
      <w:pPr>
        <w:pStyle w:val="yTable"/>
        <w:tabs>
          <w:tab w:val="left" w:pos="567"/>
        </w:tabs>
        <w:outlineLvl w:val="0"/>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rPr>
          <w:sz w:val="20"/>
        </w:rPr>
      </w:pPr>
      <w:r>
        <w:rPr>
          <w:sz w:val="20"/>
        </w:rPr>
        <w:t>…………………………………………………………………………………………</w:t>
      </w:r>
    </w:p>
    <w:p>
      <w:pPr>
        <w:pStyle w:val="yTable"/>
        <w:rPr>
          <w:sz w:val="20"/>
        </w:rPr>
      </w:pPr>
      <w:r>
        <w:rPr>
          <w:sz w:val="20"/>
        </w:rPr>
        <w:t>………………………………………………………………………………………....</w:t>
      </w:r>
    </w:p>
    <w:p>
      <w:pPr>
        <w:pStyle w:val="yTable"/>
        <w:tabs>
          <w:tab w:val="left" w:pos="567"/>
        </w:tabs>
        <w:outlineLvl w:val="0"/>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4927-8.]</w:t>
      </w:r>
    </w:p>
    <w:p>
      <w:pPr>
        <w:pStyle w:val="yEdnotesection"/>
        <w:outlineLvl w:val="9"/>
      </w:pPr>
      <w:r>
        <w:tab/>
        <w:t>[Forms 8-12 deleted]</w:t>
      </w:r>
    </w:p>
    <w:p>
      <w:pPr>
        <w:pStyle w:val="yEdnotesection"/>
        <w:outlineLvl w:val="9"/>
      </w:pPr>
      <w:r>
        <w:tab/>
        <w:t>[Form 13 deleted in Gazette 28 Oct 2005 p. 4928.]</w:t>
      </w:r>
    </w:p>
    <w:p>
      <w:pPr>
        <w:pStyle w:val="yTable"/>
        <w:spacing w:before="0"/>
        <w:jc w:val="right"/>
        <w:rPr>
          <w:sz w:val="20"/>
        </w:rPr>
      </w:pPr>
    </w:p>
    <w:p>
      <w:pPr>
        <w:pStyle w:val="yTable"/>
        <w:pageBreakBefore/>
        <w:jc w:val="center"/>
        <w:outlineLvl w:val="0"/>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w:t>
      </w:r>
    </w:p>
    <w:p>
      <w:pPr>
        <w:pStyle w:val="yTable"/>
        <w:tabs>
          <w:tab w:val="right" w:leader="dot" w:pos="7087"/>
        </w:tabs>
        <w:spacing w:before="0"/>
        <w:rPr>
          <w:sz w:val="20"/>
        </w:rPr>
      </w:pPr>
      <w:r>
        <w:rPr>
          <w:sz w:val="20"/>
        </w:rPr>
        <w:t>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21 Jan 2005 p. 276; 28 Oct 2005 p. 4928.]</w:t>
      </w:r>
    </w:p>
    <w:p>
      <w:pPr>
        <w:pStyle w:val="yTable"/>
        <w:jc w:val="right"/>
        <w:rPr>
          <w:sz w:val="20"/>
        </w:rPr>
      </w:pPr>
    </w:p>
    <w:p>
      <w:pPr>
        <w:pStyle w:val="yTable"/>
        <w:pageBreakBefore/>
        <w:jc w:val="center"/>
        <w:outlineLvl w:val="0"/>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rPr>
          <w:sz w:val="20"/>
        </w:rPr>
      </w:pPr>
      <w:r>
        <w:rPr>
          <w:sz w:val="20"/>
        </w:rPr>
        <w:t>______________________________________________________________________</w:t>
      </w:r>
    </w:p>
    <w:p>
      <w:pPr>
        <w:pStyle w:val="yTable"/>
        <w:rPr>
          <w:sz w:val="20"/>
        </w:rPr>
      </w:pPr>
    </w:p>
    <w:p>
      <w:pPr>
        <w:pStyle w:val="yTable"/>
        <w:rPr>
          <w:sz w:val="20"/>
        </w:rPr>
      </w:pPr>
      <w:r>
        <w:rPr>
          <w:sz w:val="20"/>
        </w:rPr>
        <w:t>* Delete whichever is inapplicable.</w:t>
      </w:r>
    </w:p>
    <w:p>
      <w:pPr>
        <w:pStyle w:val="yFootnotesection"/>
      </w:pPr>
      <w:r>
        <w:tab/>
        <w:t>[Form 15 amended in Gazette 30 Jun 2003 p. 2637-8; 21 Jan 2005 p. 276; 28 Oct 2005 p. 4928-9.]</w:t>
      </w:r>
    </w:p>
    <w:p>
      <w:pPr>
        <w:pStyle w:val="yTable"/>
        <w:pageBreakBefore/>
        <w:jc w:val="center"/>
        <w:outlineLvl w:val="0"/>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outlineLvl w:val="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outlineLvl w:val="0"/>
        <w:rPr>
          <w:sz w:val="20"/>
        </w:rPr>
      </w:pPr>
      <w:r>
        <w:rPr>
          <w:sz w:val="20"/>
        </w:rPr>
        <w:t>Director Dispute Resolution</w:t>
      </w:r>
    </w:p>
    <w:p>
      <w:pPr>
        <w:pStyle w:val="yFootnotesection"/>
      </w:pPr>
      <w:r>
        <w:tab/>
        <w:t>[Form 15A amended in Gazette 21 Jan 2005 p. 276; 28 Oct 2005 p. 4929.]</w:t>
      </w:r>
    </w:p>
    <w:p>
      <w:pPr>
        <w:pStyle w:val="yTable"/>
        <w:spacing w:before="0"/>
        <w:jc w:val="right"/>
        <w:rPr>
          <w:sz w:val="20"/>
        </w:rPr>
      </w:pPr>
    </w:p>
    <w:p>
      <w:pPr>
        <w:pStyle w:val="yTable"/>
        <w:pageBreakBefore/>
        <w:jc w:val="center"/>
        <w:outlineLvl w:val="0"/>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outlineLvl w:val="0"/>
        <w:rPr>
          <w:sz w:val="20"/>
        </w:rPr>
      </w:pPr>
      <w:r>
        <w:rPr>
          <w:sz w:val="20"/>
        </w:rPr>
        <w:t>YOU ARE NOTIFIED</w:t>
      </w:r>
    </w:p>
    <w:p>
      <w:pPr>
        <w:pStyle w:val="yTable"/>
        <w:spacing w:before="120"/>
        <w:jc w:val="center"/>
        <w:outlineLvl w:val="0"/>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rPr>
          <w:sz w:val="20"/>
        </w:rPr>
      </w:pPr>
      <w:r>
        <w:rPr>
          <w:sz w:val="20"/>
        </w:rPr>
        <w:fldChar w:fldCharType="begin"/>
      </w:r>
      <w:r>
        <w:rPr>
          <w:sz w:val="20"/>
        </w:rPr>
        <w:instrText>ADVANCE \R 14.15</w:instrText>
      </w:r>
      <w:r>
        <w:rPr>
          <w:sz w:val="20"/>
        </w:rPr>
        <w:fldChar w:fldCharType="end"/>
      </w:r>
      <w:r>
        <w:rPr>
          <w:sz w:val="20"/>
        </w:rPr>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outlineLvl w:val="0"/>
        <w:rPr>
          <w:sz w:val="20"/>
        </w:rPr>
      </w:pPr>
      <w:r>
        <w:rPr>
          <w:sz w:val="20"/>
        </w:rPr>
        <w:t>Director Dispute Resolution</w:t>
      </w:r>
    </w:p>
    <w:p>
      <w:pPr>
        <w:pStyle w:val="yFootnotesection"/>
      </w:pPr>
      <w:r>
        <w:tab/>
        <w:t>[Form 15B amended in Gazette 21 Jan 2005 p. 276; 28 Oct 2005 p. 4929.]</w:t>
      </w:r>
    </w:p>
    <w:p>
      <w:pPr>
        <w:pStyle w:val="yTable"/>
        <w:pageBreakBefore/>
        <w:jc w:val="center"/>
        <w:outlineLvl w:val="0"/>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240"/>
        <w:rPr>
          <w:sz w:val="20"/>
        </w:rPr>
      </w:pPr>
      <w:r>
        <w:rPr>
          <w:sz w:val="20"/>
        </w:rPr>
        <w:t>Which occurred by:</w:t>
      </w:r>
    </w:p>
    <w:p>
      <w:pPr>
        <w:pStyle w:val="yTable"/>
        <w:tabs>
          <w:tab w:val="left" w:pos="567"/>
          <w:tab w:val="right" w:leader="dot" w:pos="7087"/>
        </w:tabs>
        <w:spacing w:before="1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1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1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1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1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8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8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8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80"/>
        <w:rPr>
          <w:sz w:val="20"/>
        </w:rPr>
      </w:pPr>
      <w:r>
        <w:rPr>
          <w:sz w:val="20"/>
        </w:rPr>
        <w:tab/>
        <w:t>and now is:</w:t>
      </w:r>
    </w:p>
    <w:p>
      <w:pPr>
        <w:pStyle w:val="yTable"/>
        <w:tabs>
          <w:tab w:val="left" w:pos="567"/>
          <w:tab w:val="left" w:pos="1134"/>
          <w:tab w:val="left" w:pos="4820"/>
          <w:tab w:val="right" w:leader="dot" w:pos="7087"/>
        </w:tabs>
        <w:spacing w:before="180"/>
        <w:rPr>
          <w:sz w:val="20"/>
        </w:rPr>
      </w:pPr>
      <w:r>
        <w:rPr>
          <w:sz w:val="20"/>
        </w:rPr>
        <w:tab/>
        <w:t>and it occurred in the following circumstances —</w:t>
      </w:r>
    </w:p>
    <w:p>
      <w:pPr>
        <w:pStyle w:val="yTable"/>
        <w:tabs>
          <w:tab w:val="left" w:pos="567"/>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5529"/>
          <w:tab w:val="right" w:leader="dot" w:pos="7087"/>
        </w:tabs>
        <w:spacing w:before="180"/>
        <w:rPr>
          <w:sz w:val="20"/>
        </w:rPr>
      </w:pPr>
      <w:r>
        <w:rPr>
          <w:sz w:val="20"/>
        </w:rPr>
        <w:tab/>
        <w:t>(a)</w:t>
      </w:r>
      <w:r>
        <w:rPr>
          <w:sz w:val="20"/>
        </w:rPr>
        <w:tab/>
        <w:t>weekly payments in respect of that disability totalling</w:t>
      </w:r>
      <w:r>
        <w:rPr>
          <w:sz w:val="20"/>
        </w:rPr>
        <w:tab/>
        <w:t>$</w:t>
      </w:r>
    </w:p>
    <w:p>
      <w:pPr>
        <w:pStyle w:val="yTable"/>
        <w:tabs>
          <w:tab w:val="left" w:pos="567"/>
          <w:tab w:val="left" w:pos="1134"/>
          <w:tab w:val="left" w:pos="4820"/>
          <w:tab w:val="right" w:leader="dot" w:pos="7087"/>
        </w:tabs>
        <w:spacing w:before="180"/>
        <w:ind w:left="1134"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8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 w:val="right" w:pos="7087"/>
        </w:tabs>
        <w:spacing w:before="0"/>
        <w:ind w:left="113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120"/>
        <w:rPr>
          <w:sz w:val="20"/>
        </w:rPr>
      </w:pPr>
      <w:r>
        <w:rPr>
          <w:sz w:val="20"/>
        </w:rPr>
        <w:tab/>
        <w:t>$</w:t>
      </w:r>
    </w:p>
    <w:p>
      <w:pPr>
        <w:pStyle w:val="yTable"/>
        <w:keepNext/>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keepNext/>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keepNext/>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keepNext/>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 w:val="right" w:leader="dot" w:pos="7087"/>
        </w:tabs>
        <w:ind w:left="1134"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right" w:leader="dot" w:pos="7087"/>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amended in Gazette 21 Jan 2005 p. 276; 28 Oct 2005 p. 4929-31.]</w:t>
      </w:r>
    </w:p>
    <w:p>
      <w:pPr>
        <w:pStyle w:val="yTable"/>
        <w:pageBreakBefore/>
        <w:tabs>
          <w:tab w:val="right" w:leader="dot" w:pos="7087"/>
        </w:tabs>
        <w:spacing w:before="20"/>
        <w:jc w:val="center"/>
        <w:outlineLvl w:val="0"/>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right" w:leader="dot" w:pos="7087"/>
        </w:tabs>
        <w:spacing w:before="0"/>
        <w:rPr>
          <w:sz w:val="20"/>
        </w:rPr>
      </w:pPr>
    </w:p>
    <w:p>
      <w:pPr>
        <w:pStyle w:val="yTable"/>
        <w:tabs>
          <w:tab w:val="left" w:pos="567"/>
          <w:tab w:val="left" w:pos="7312"/>
        </w:tabs>
        <w:spacing w:before="20"/>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spacing w:before="120"/>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spacing w:before="120"/>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spacing w:before="20"/>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spacing w:before="120"/>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spacing w:before="20"/>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spacing w:before="20"/>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20"/>
        <w:ind w:left="567" w:hanging="567"/>
        <w:rPr>
          <w:sz w:val="20"/>
        </w:rPr>
      </w:pPr>
    </w:p>
    <w:p>
      <w:pPr>
        <w:pStyle w:val="yTable"/>
        <w:tabs>
          <w:tab w:val="right" w:leader="dot" w:pos="7087"/>
        </w:tabs>
        <w:spacing w:before="2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outlineLvl w:val="0"/>
        <w:rPr>
          <w:sz w:val="20"/>
        </w:rPr>
      </w:pPr>
      <w:r>
        <w:rPr>
          <w:sz w:val="20"/>
        </w:rPr>
        <w:t>Signature of the worker</w:t>
      </w:r>
    </w:p>
    <w:p>
      <w:pPr>
        <w:pStyle w:val="yFootnotesection"/>
      </w:pPr>
      <w:r>
        <w:tab/>
        <w:t>[Form 15D amended in Gazette 21 Jan 2005 p. 276; 28 Oct 2005 p. 4931-2.]</w:t>
      </w:r>
    </w:p>
    <w:p>
      <w:pPr>
        <w:pStyle w:val="yTable"/>
        <w:tabs>
          <w:tab w:val="right" w:leader="dot" w:pos="7087"/>
        </w:tabs>
        <w:spacing w:before="0"/>
        <w:jc w:val="right"/>
        <w:rPr>
          <w:sz w:val="20"/>
        </w:rPr>
      </w:pPr>
    </w:p>
    <w:p>
      <w:pPr>
        <w:pStyle w:val="yTable"/>
        <w:pageBreakBefore/>
        <w:tabs>
          <w:tab w:val="right" w:leader="dot" w:pos="7087"/>
        </w:tabs>
        <w:spacing w:before="20"/>
        <w:jc w:val="center"/>
        <w:outlineLvl w:val="0"/>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outlineLvl w:val="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amended in Gazette 21 Jan 2005 p. 276; 28 Oct 2005 p. 4932.]</w:t>
      </w:r>
    </w:p>
    <w:p>
      <w:pPr>
        <w:pStyle w:val="yTable"/>
        <w:pageBreakBefore/>
        <w:tabs>
          <w:tab w:val="right" w:leader="dot" w:pos="7087"/>
        </w:tabs>
        <w:spacing w:before="20"/>
        <w:jc w:val="center"/>
        <w:outlineLvl w:val="0"/>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outlineLvl w:val="0"/>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40"/>
        <w:outlineLvl w:val="0"/>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outlineLvl w:val="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outlineLvl w:val="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outlineLvl w:val="0"/>
        <w:rPr>
          <w:sz w:val="20"/>
        </w:rPr>
      </w:pPr>
      <w:r>
        <w:rPr>
          <w:rFonts w:ascii="Times" w:hAnsi="Times"/>
          <w:sz w:val="20"/>
        </w:rPr>
        <w:t>Director Dispute Resolution</w:t>
      </w:r>
    </w:p>
    <w:p>
      <w:pPr>
        <w:pStyle w:val="yFootnotesection"/>
      </w:pPr>
      <w:r>
        <w:tab/>
        <w:t>[Form 15F amended in Gazette 21 Jan 2005 p. 276; 28 Oct 2005 p. 4932.]</w:t>
      </w:r>
    </w:p>
    <w:p>
      <w:pPr>
        <w:pStyle w:val="yTable"/>
        <w:pageBreakBefore/>
        <w:jc w:val="center"/>
        <w:outlineLvl w:val="0"/>
        <w:rPr>
          <w:b/>
          <w:sz w:val="20"/>
        </w:rPr>
      </w:pPr>
      <w:r>
        <w:rPr>
          <w:b/>
          <w:sz w:val="20"/>
        </w:rPr>
        <w:t>Form 15G</w:t>
      </w:r>
    </w:p>
    <w:p>
      <w:pPr>
        <w:pStyle w:val="yTable"/>
        <w:jc w:val="right"/>
        <w:rPr>
          <w:sz w:val="20"/>
        </w:rPr>
      </w:pPr>
      <w:r>
        <w:rPr>
          <w:sz w:val="20"/>
        </w:rPr>
        <w:t>[r. 12AA]</w:t>
      </w:r>
    </w:p>
    <w:p>
      <w:pPr>
        <w:pStyle w:val="yTable"/>
        <w:jc w:val="center"/>
        <w:outlineLvl w:val="0"/>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7"/>
      </w:tblGrid>
      <w:tr>
        <w:trPr>
          <w:cantSplit/>
        </w:trPr>
        <w:tc>
          <w:tcPr>
            <w:tcW w:w="6237"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237" w:type="dxa"/>
            <w:tcBorders>
              <w:top w:val="single" w:sz="4" w:space="0" w:color="auto"/>
              <w:bottom w:val="single" w:sz="4" w:space="0" w:color="auto"/>
            </w:tcBorders>
          </w:tcPr>
          <w:p>
            <w:pPr>
              <w:pStyle w:val="yTable"/>
              <w:rPr>
                <w:sz w:val="16"/>
              </w:rPr>
            </w:pPr>
          </w:p>
        </w:tc>
      </w:tr>
      <w:tr>
        <w:trPr>
          <w:cantSplit/>
          <w:trHeight w:val="269"/>
        </w:trPr>
        <w:tc>
          <w:tcPr>
            <w:tcW w:w="6237" w:type="dxa"/>
            <w:tcBorders>
              <w:top w:val="single" w:sz="4" w:space="0" w:color="auto"/>
              <w:left w:val="single" w:sz="4" w:space="0" w:color="auto"/>
              <w:bottom w:val="single" w:sz="4" w:space="0" w:color="auto"/>
              <w:right w:val="single" w:sz="4" w:space="0" w:color="auto"/>
            </w:tcBorders>
            <w:shd w:val="clear" w:color="auto" w:fill="FFFFFF"/>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237"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237"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4932-4.]</w:t>
      </w:r>
    </w:p>
    <w:p>
      <w:pPr>
        <w:pStyle w:val="yTable"/>
        <w:tabs>
          <w:tab w:val="right" w:leader="dot" w:pos="7087"/>
        </w:tabs>
        <w:spacing w:before="20"/>
        <w:rPr>
          <w:sz w:val="20"/>
        </w:rPr>
      </w:pPr>
    </w:p>
    <w:p>
      <w:pPr>
        <w:pStyle w:val="yTable"/>
        <w:pageBreakBefore/>
        <w:jc w:val="center"/>
        <w:outlineLvl w:val="0"/>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outlineLvl w:val="0"/>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outlineLvl w:val="0"/>
        <w:rPr>
          <w:sz w:val="20"/>
        </w:rPr>
      </w:pPr>
      <w:r>
        <w:rPr>
          <w:sz w:val="20"/>
        </w:rPr>
        <w:t>Signature of responsible officer</w:t>
      </w:r>
    </w:p>
    <w:p>
      <w:pPr>
        <w:pStyle w:val="yFootnotesection"/>
      </w:pPr>
      <w:r>
        <w:tab/>
        <w:t>[Form 16 amended in Gazette 16 Sep 2003 p. 4104; 21 Jan 2005 p. 276 and 277.]</w:t>
      </w:r>
    </w:p>
    <w:p>
      <w:pPr>
        <w:pStyle w:val="yTable"/>
        <w:pageBreakBefore/>
        <w:jc w:val="center"/>
        <w:outlineLvl w:val="0"/>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outlineLvl w:val="0"/>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outlineLvl w:val="0"/>
        <w:rPr>
          <w:sz w:val="20"/>
        </w:rPr>
      </w:pPr>
      <w:r>
        <w:rPr>
          <w:sz w:val="20"/>
        </w:rPr>
        <w:t>Signature of responsible officer</w:t>
      </w:r>
    </w:p>
    <w:p>
      <w:pPr>
        <w:pStyle w:val="yFootnotesection"/>
      </w:pPr>
      <w:r>
        <w:tab/>
        <w:t>[Form 17 amended in Gazette 16 Sep 2003 p. 4104; 21 Jan 2005 p. 276 and 277; 28 Oct 2005 p. 4934.]</w:t>
      </w:r>
    </w:p>
    <w:p>
      <w:pPr>
        <w:pStyle w:val="yTable"/>
        <w:pageBreakBefore/>
        <w:jc w:val="center"/>
        <w:outlineLvl w:val="0"/>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amended in Gazette 21 Jan 2005 p. 276; 28 Oct 2005 p. 4934.]</w:t>
      </w:r>
    </w:p>
    <w:p>
      <w:pPr>
        <w:pStyle w:val="yTable"/>
        <w:pageBreakBefore/>
        <w:jc w:val="center"/>
        <w:outlineLvl w:val="0"/>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outlineLvl w:val="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outlineLvl w:val="0"/>
        <w:rPr>
          <w:b/>
        </w:rPr>
      </w:pPr>
      <w:r>
        <w:rPr>
          <w:b/>
        </w:rPr>
        <w:t>HEARING TEST RESULTS</w:t>
      </w:r>
    </w:p>
    <w:p>
      <w:pPr>
        <w:pStyle w:val="yTable"/>
        <w:spacing w:before="0"/>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tblGrid>
      <w:tr>
        <w:trPr>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outlineLvl w:val="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20"/>
        </w:rPr>
        <w:t>Workers’ Compensation and Injury Management Act 1981</w:t>
      </w:r>
      <w:r>
        <w:rPr>
          <w:sz w:val="14"/>
        </w:rPr>
        <w:t>and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pPr>
      <w:r>
        <w:tab/>
        <w:t>[Form 19A amended in Gazette 21 Jan 2005 p. 276 and 277.]</w:t>
      </w:r>
    </w:p>
    <w:p>
      <w:pPr>
        <w:pStyle w:val="Table"/>
        <w:rPr>
          <w:spacing w:val="-1"/>
          <w:sz w:val="2"/>
        </w:rPr>
      </w:pPr>
    </w:p>
    <w:p>
      <w:pPr>
        <w:pStyle w:val="yTable"/>
        <w:pageBreakBefore/>
        <w:spacing w:before="0"/>
        <w:jc w:val="center"/>
        <w:outlineLvl w:val="0"/>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outlineLvl w:val="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spacing w:before="0"/>
        <w:outlineLvl w:val="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tblGrid>
      <w:tr>
        <w:trPr>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outlineLvl w:val="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20"/>
        </w:rPr>
        <w:t>Workers’ Compensation and Injury Management Act 1981</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spacing w:before="0"/>
        <w:rPr>
          <w:sz w:val="14"/>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pPr>
      <w:r>
        <w:tab/>
        <w:t>[Form 19B amended in Gazette 21 Jan 2005 p. 276 and 277.]</w:t>
      </w:r>
    </w:p>
    <w:p>
      <w:pPr>
        <w:pStyle w:val="yEdnotesection"/>
        <w:outlineLvl w:val="9"/>
      </w:pPr>
      <w:r>
        <w:tab/>
        <w:t>[Form 20 deleted in Gazette 28 Oct 2005 p. 4934.]</w:t>
      </w:r>
    </w:p>
    <w:p>
      <w:pPr>
        <w:pStyle w:val="yTable"/>
        <w:pageBreakBefore/>
        <w:jc w:val="center"/>
        <w:outlineLvl w:val="0"/>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outlineLvl w:val="0"/>
        <w:rPr>
          <w:sz w:val="20"/>
        </w:rPr>
      </w:pPr>
      <w:r>
        <w:rPr>
          <w:sz w:val="20"/>
        </w:rPr>
        <w:t>ADDRESS OF WORKER: ................................................................................................</w:t>
      </w:r>
    </w:p>
    <w:p>
      <w:pPr>
        <w:pStyle w:val="yTable"/>
        <w:tabs>
          <w:tab w:val="right" w:leader="dot" w:pos="7087"/>
        </w:tabs>
        <w:outlineLvl w:val="0"/>
        <w:rPr>
          <w:sz w:val="20"/>
        </w:rPr>
      </w:pPr>
      <w:r>
        <w:rPr>
          <w:sz w:val="20"/>
        </w:rPr>
        <w:t>NAME OF EMPLOYER: ..................................................................................................</w:t>
      </w:r>
    </w:p>
    <w:p>
      <w:pPr>
        <w:pStyle w:val="yTable"/>
        <w:tabs>
          <w:tab w:val="right" w:leader="dot" w:pos="7087"/>
        </w:tabs>
        <w:outlineLvl w:val="0"/>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amended in Gazette 21 Jan 2005 p. 276 and 277.]</w:t>
      </w:r>
    </w:p>
    <w:p>
      <w:pPr>
        <w:pStyle w:val="yTable"/>
        <w:pageBreakBefore/>
        <w:jc w:val="center"/>
        <w:outlineLvl w:val="0"/>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sym w:font="Monotype Sorts" w:char="F06F"/>
            </w:r>
            <w:r>
              <w:rPr>
                <w:sz w:val="16"/>
              </w:rPr>
              <w:tab/>
              <w:t>not less than 30%</w:t>
            </w:r>
          </w:p>
          <w:p>
            <w:pPr>
              <w:pStyle w:val="yTable"/>
              <w:rPr>
                <w:sz w:val="16"/>
              </w:rPr>
            </w:pPr>
            <w:r>
              <w:sym w:font="Monotype Sorts" w:char="F06F"/>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sym w:font="Monotype Sorts" w:char="F06F"/>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amended in Gazette 21 Jan 2005 p. 276; 28 Oct 2005 p. 4934-5.]</w:t>
      </w:r>
    </w:p>
    <w:p>
      <w:pPr>
        <w:pStyle w:val="yTable"/>
        <w:pageBreakBefore/>
        <w:jc w:val="center"/>
        <w:outlineLvl w:val="0"/>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sym w:font="Monotype Sorts" w:char="006F"/>
            </w:r>
            <w:r>
              <w:rPr>
                <w:sz w:val="16"/>
              </w:rPr>
              <w:tab/>
              <w:t>not less than 30%</w:t>
            </w:r>
          </w:p>
          <w:p>
            <w:pPr>
              <w:pStyle w:val="yTable"/>
              <w:rPr>
                <w:sz w:val="16"/>
              </w:rPr>
            </w:pPr>
            <w:r>
              <w:sym w:font="Monotype Sorts" w:char="F06F"/>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sym w:font="Monotype Sorts" w:char="F06F"/>
            </w:r>
          </w:p>
        </w:tc>
      </w:tr>
    </w:tbl>
    <w:p>
      <w:pPr>
        <w:pStyle w:val="yTable"/>
        <w:pageBreakBefor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
                <w:sz w:val="20"/>
              </w:rPr>
            </w:pPr>
          </w:p>
          <w:p>
            <w:pPr>
              <w:pStyle w:val="yTable"/>
              <w:jc w:val="center"/>
              <w:rPr>
                <w:b/>
                <w:sz w:val="20"/>
              </w:rPr>
            </w:pPr>
          </w:p>
          <w:p>
            <w:pPr>
              <w:pStyle w:val="yTable"/>
              <w:jc w:val="center"/>
              <w:rPr>
                <w:b/>
                <w:sz w:val="20"/>
              </w:rPr>
            </w:pPr>
          </w:p>
          <w:p>
            <w:pPr>
              <w:pStyle w:val="yTable"/>
              <w:jc w:val="center"/>
              <w:rPr>
                <w:b/>
                <w:sz w:val="20"/>
              </w:rPr>
            </w:pPr>
          </w:p>
          <w:p>
            <w:pPr>
              <w:pStyle w:val="yTable"/>
              <w:jc w:val="center"/>
              <w:rPr>
                <w:b/>
                <w:sz w:val="20"/>
              </w:rPr>
            </w:pPr>
            <w:r>
              <w:rPr>
                <w:b/>
                <w:sz w:val="20"/>
              </w:rPr>
              <w:sym w:font="Monotype Sorts" w:char="F070"/>
            </w:r>
          </w:p>
          <w:p>
            <w:pPr>
              <w:pStyle w:val="yTable"/>
              <w:jc w:val="center"/>
              <w:rPr>
                <w:b/>
                <w:sz w:val="20"/>
              </w:rPr>
            </w:pPr>
          </w:p>
          <w:p>
            <w:pPr>
              <w:pStyle w:val="yTable"/>
              <w:jc w:val="center"/>
              <w:rPr>
                <w:b/>
                <w:sz w:val="20"/>
              </w:rPr>
            </w:pPr>
          </w:p>
          <w:p>
            <w:pPr>
              <w:pStyle w:val="yTable"/>
              <w:jc w:val="center"/>
              <w:rPr>
                <w:b/>
                <w:sz w:val="20"/>
              </w:rPr>
            </w:pPr>
            <w:r>
              <w:rPr>
                <w:b/>
                <w:sz w:val="20"/>
              </w:rPr>
              <w:sym w:font="Monotype Sorts" w:char="F070"/>
            </w:r>
          </w:p>
          <w:p>
            <w:pPr>
              <w:pStyle w:val="yTable"/>
              <w:jc w:val="center"/>
              <w:rPr>
                <w:b/>
                <w:sz w:val="20"/>
              </w:rPr>
            </w:pPr>
          </w:p>
          <w:p>
            <w:pPr>
              <w:pStyle w:val="yTable"/>
              <w:jc w:val="center"/>
              <w:rPr>
                <w:b/>
                <w:sz w:val="20"/>
              </w:rPr>
            </w:pPr>
          </w:p>
          <w:p>
            <w:pPr>
              <w:pStyle w:val="yTable"/>
              <w:jc w:val="center"/>
              <w:rPr>
                <w:b/>
                <w:sz w:val="20"/>
              </w:rPr>
            </w:pPr>
          </w:p>
          <w:p>
            <w:pPr>
              <w:pStyle w:val="yTable"/>
              <w:jc w:val="center"/>
              <w:rPr>
                <w:sz w:val="20"/>
              </w:rPr>
            </w:pPr>
            <w:r>
              <w:rPr>
                <w:b/>
                <w:sz w:val="20"/>
              </w:rPr>
              <w:sym w:font="Monotype Sorts" w:char="F070"/>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4902-5; amended in Gazette 21 Jan 2005 p. 276; 28 Oct 2005 p. 4935.]</w:t>
      </w:r>
    </w:p>
    <w:p>
      <w:pPr>
        <w:pStyle w:val="yTable"/>
        <w:pageBreakBefore/>
        <w:jc w:val="center"/>
        <w:outlineLvl w:val="0"/>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sym w:font="Monotype Sorts" w:char="F06F"/>
            </w:r>
            <w:r>
              <w:rPr>
                <w:sz w:val="16"/>
              </w:rPr>
              <w:tab/>
              <w:t>not less than 30%</w:t>
            </w:r>
          </w:p>
          <w:p>
            <w:pPr>
              <w:pStyle w:val="yTable"/>
              <w:rPr>
                <w:sz w:val="16"/>
              </w:rPr>
            </w:pPr>
            <w:r>
              <w:sym w:font="Monotype Sorts" w:char="F06F"/>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sym w:font="Monotype Sorts" w:char="F06F"/>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
                <w:sz w:val="16"/>
              </w:rPr>
            </w:pPr>
          </w:p>
          <w:p>
            <w:pPr>
              <w:pStyle w:val="yTable"/>
              <w:jc w:val="center"/>
              <w:rPr>
                <w:b/>
                <w:sz w:val="20"/>
              </w:rPr>
            </w:pPr>
            <w:r>
              <w:rPr>
                <w:b/>
                <w:sz w:val="20"/>
              </w:rPr>
              <w:br/>
            </w:r>
            <w:r>
              <w:rPr>
                <w:b/>
                <w:sz w:val="20"/>
              </w:rPr>
              <w:br/>
            </w:r>
            <w:r>
              <w:rPr>
                <w:b/>
                <w:sz w:val="20"/>
              </w:rPr>
              <w:sym w:font="Monotype Sorts" w:char="F070"/>
            </w:r>
          </w:p>
          <w:p>
            <w:pPr>
              <w:pStyle w:val="yTable"/>
              <w:jc w:val="center"/>
              <w:rPr>
                <w:b/>
                <w:sz w:val="16"/>
              </w:rPr>
            </w:pPr>
          </w:p>
          <w:p>
            <w:pPr>
              <w:pStyle w:val="yTable"/>
              <w:jc w:val="center"/>
              <w:rPr>
                <w:b/>
                <w:sz w:val="20"/>
              </w:rPr>
            </w:pPr>
            <w:r>
              <w:rPr>
                <w:b/>
                <w:sz w:val="20"/>
              </w:rPr>
              <w:br/>
            </w:r>
            <w:r>
              <w:rPr>
                <w:b/>
                <w:sz w:val="20"/>
              </w:rPr>
              <w:br/>
            </w:r>
            <w:r>
              <w:rPr>
                <w:b/>
                <w:sz w:val="20"/>
              </w:rPr>
              <w:br/>
            </w:r>
            <w:r>
              <w:rPr>
                <w:b/>
                <w:sz w:val="20"/>
              </w:rPr>
              <w:br/>
            </w:r>
            <w:r>
              <w:rPr>
                <w:b/>
                <w:sz w:val="20"/>
              </w:rPr>
              <w:sym w:font="Monotype Sorts" w:char="F070"/>
            </w:r>
          </w:p>
          <w:p>
            <w:pPr>
              <w:pStyle w:val="yTable"/>
              <w:jc w:val="center"/>
              <w:rPr>
                <w:b/>
                <w:sz w:val="16"/>
              </w:rPr>
            </w:pPr>
          </w:p>
          <w:p>
            <w:pPr>
              <w:pStyle w:val="yTable"/>
              <w:jc w:val="center"/>
              <w:rPr>
                <w:sz w:val="20"/>
              </w:rPr>
            </w:pPr>
            <w:r>
              <w:rPr>
                <w:b/>
                <w:sz w:val="20"/>
              </w:rPr>
              <w:br/>
            </w:r>
            <w:r>
              <w:rPr>
                <w:b/>
                <w:sz w:val="20"/>
              </w:rPr>
              <w:br/>
            </w:r>
            <w:r>
              <w:rPr>
                <w:b/>
                <w:sz w:val="20"/>
              </w:rPr>
              <w:br/>
            </w:r>
            <w:r>
              <w:rPr>
                <w:b/>
                <w:sz w:val="20"/>
              </w:rPr>
              <w:br/>
            </w:r>
            <w:r>
              <w:rPr>
                <w:b/>
                <w:sz w:val="20"/>
              </w:rPr>
              <w:sym w:font="Monotype Sorts" w:char="F070"/>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4905-8; amended in Gazette 21 Jan 2005 p. 276; 28 Oct 2005 p. 4936.]</w:t>
      </w:r>
    </w:p>
    <w:p>
      <w:pPr>
        <w:pStyle w:val="yTable"/>
        <w:pageBreakBefore/>
        <w:jc w:val="center"/>
        <w:outlineLvl w:val="0"/>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sym w:font="Monotype Sorts" w:char="F06F"/>
            </w:r>
          </w:p>
          <w:p>
            <w:pPr>
              <w:pStyle w:val="yTable"/>
              <w:tabs>
                <w:tab w:val="left" w:pos="1451"/>
              </w:tabs>
              <w:rPr>
                <w:sz w:val="16"/>
              </w:rPr>
            </w:pPr>
            <w:r>
              <w:sym w:font="Monotype Sorts" w:char="F06F"/>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sz w:val="16"/>
              </w:rPr>
            </w:pPr>
          </w:p>
        </w:tc>
        <w:tc>
          <w:tcPr>
            <w:tcW w:w="2693" w:type="dxa"/>
            <w:gridSpan w:val="2"/>
            <w:tcBorders>
              <w:top w:val="nil"/>
              <w:left w:val="nil"/>
              <w:bottom w:val="nil"/>
              <w:right w:val="nil"/>
            </w:tcBorders>
          </w:tcPr>
          <w:p>
            <w:pPr>
              <w:pStyle w:val="yTable"/>
              <w:rPr>
                <w:sz w:val="16"/>
              </w:rPr>
            </w:pPr>
          </w:p>
        </w:tc>
        <w:tc>
          <w:tcPr>
            <w:tcW w:w="780" w:type="dxa"/>
            <w:tcBorders>
              <w:top w:val="nil"/>
              <w:left w:val="nil"/>
              <w:bottom w:val="nil"/>
              <w:right w:val="nil"/>
            </w:tcBorders>
          </w:tcPr>
          <w:p>
            <w:pPr>
              <w:pStyle w:val="yTable"/>
              <w:rPr>
                <w:sz w:val="16"/>
              </w:rPr>
            </w:pPr>
          </w:p>
        </w:tc>
        <w:tc>
          <w:tcPr>
            <w:tcW w:w="1347" w:type="dxa"/>
            <w:tcBorders>
              <w:top w:val="nil"/>
              <w:left w:val="nil"/>
              <w:bottom w:val="nil"/>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bl>
    <w:p>
      <w:pPr>
        <w:pStyle w:val="yFootnotesection"/>
      </w:pPr>
      <w:r>
        <w:tab/>
        <w:t>[Form 23 amended in Gazette 21 Jan 2005 p. 276; 28 Oct 2005 p. 4936-7.]</w:t>
      </w:r>
    </w:p>
    <w:p>
      <w:pPr>
        <w:pStyle w:val="yTable"/>
        <w:pageBreakBefore/>
        <w:jc w:val="center"/>
        <w:outlineLvl w:val="0"/>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sym w:font="Monotype Sorts" w:char="F06F"/>
            </w:r>
          </w:p>
          <w:p>
            <w:pPr>
              <w:pStyle w:val="yTable"/>
              <w:tabs>
                <w:tab w:val="left" w:pos="1451"/>
              </w:tabs>
              <w:rPr>
                <w:sz w:val="16"/>
              </w:rPr>
            </w:pPr>
            <w:r>
              <w:sym w:font="Monotype Sorts" w:char="F06F"/>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Monotype Sorts" w:char="F070"/>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Monotype Sorts" w:char="F070"/>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pageBreakBefor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4908-10; amended in Gazette 21 Jan 2005 p. 276; 28 Oct 2005 p. 4937-8; 9 Dec 2005 p. 5897.]</w:t>
      </w:r>
    </w:p>
    <w:p>
      <w:pPr>
        <w:pStyle w:val="yTable"/>
        <w:pageBreakBefore/>
        <w:jc w:val="center"/>
        <w:outlineLvl w:val="0"/>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sym w:font="Monotype Sorts" w:char="F06F"/>
            </w:r>
          </w:p>
          <w:p>
            <w:pPr>
              <w:pStyle w:val="yTable"/>
              <w:tabs>
                <w:tab w:val="left" w:pos="1451"/>
              </w:tabs>
              <w:rPr>
                <w:sz w:val="16"/>
              </w:rPr>
            </w:pPr>
            <w:r>
              <w:sym w:font="Monotype Sorts" w:char="F06F"/>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Monotype Sorts" w:char="F070"/>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Monotype Sorts" w:char="F070"/>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outlineLvl w:val="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4911-13; amended in Gazette 21 Jan 2005 p. 276; 28 Oct 2005 p. 4937-8; 9 Dec 2005 p. 5897.]</w:t>
      </w:r>
    </w:p>
    <w:p>
      <w:pPr>
        <w:pStyle w:val="yTable"/>
        <w:pageBreakBefore/>
        <w:jc w:val="center"/>
        <w:outlineLvl w:val="0"/>
        <w:rPr>
          <w:b/>
          <w:sz w:val="20"/>
        </w:rPr>
      </w:pPr>
      <w:r>
        <w:rPr>
          <w:b/>
          <w:sz w:val="20"/>
        </w:rPr>
        <w:t>Form 24</w:t>
      </w:r>
    </w:p>
    <w:p>
      <w:pPr>
        <w:pStyle w:val="yTable"/>
        <w:jc w:val="right"/>
        <w:rPr>
          <w:sz w:val="20"/>
        </w:rPr>
      </w:pPr>
      <w:r>
        <w:rPr>
          <w:sz w:val="20"/>
        </w:rPr>
        <w:t>[r. 19K(1), (2)]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keepNext/>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keepNext/>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sym w:font="Monotype Sorts" w:char="F06F"/>
            </w:r>
            <w:r>
              <w:rPr>
                <w:sz w:val="16"/>
              </w:rPr>
              <w:tab/>
              <w:t>not less than 30%</w:t>
            </w:r>
          </w:p>
          <w:p>
            <w:pPr>
              <w:pStyle w:val="yTable"/>
              <w:rPr>
                <w:sz w:val="16"/>
              </w:rPr>
            </w:pPr>
            <w:r>
              <w:sym w:font="Monotype Sorts" w:char="F06F"/>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pPr>
          </w:p>
        </w:tc>
        <w:tc>
          <w:tcPr>
            <w:tcW w:w="2693" w:type="dxa"/>
            <w:tcBorders>
              <w:top w:val="nil"/>
              <w:left w:val="nil"/>
              <w:bottom w:val="nil"/>
              <w:right w:val="nil"/>
            </w:tcBorders>
          </w:tcPr>
          <w:p>
            <w:pPr>
              <w:pStyle w:val="yTable"/>
              <w:rPr>
                <w:sz w:val="16"/>
              </w:rPr>
            </w:pPr>
          </w:p>
        </w:tc>
        <w:tc>
          <w:tcPr>
            <w:tcW w:w="780" w:type="dxa"/>
            <w:tcBorders>
              <w:top w:val="nil"/>
              <w:left w:val="nil"/>
              <w:bottom w:val="nil"/>
              <w:right w:val="nil"/>
            </w:tcBorders>
          </w:tcPr>
          <w:p>
            <w:pPr>
              <w:pStyle w:val="yTable"/>
              <w:rPr>
                <w:sz w:val="16"/>
              </w:rPr>
            </w:pPr>
          </w:p>
        </w:tc>
        <w:tc>
          <w:tcPr>
            <w:tcW w:w="1347" w:type="dxa"/>
            <w:tcBorders>
              <w:top w:val="nil"/>
              <w:left w:val="nil"/>
              <w:bottom w:val="nil"/>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pPr>
          </w:p>
        </w:tc>
        <w:tc>
          <w:tcPr>
            <w:tcW w:w="2693" w:type="dxa"/>
            <w:tcBorders>
              <w:top w:val="single" w:sz="4" w:space="0" w:color="auto"/>
              <w:left w:val="nil"/>
              <w:bottom w:val="nil"/>
              <w:right w:val="nil"/>
            </w:tcBorders>
          </w:tcPr>
          <w:p>
            <w:pPr>
              <w:pStyle w:val="yTable"/>
              <w:rPr>
                <w:sz w:val="16"/>
              </w:rPr>
            </w:pPr>
          </w:p>
        </w:tc>
        <w:tc>
          <w:tcPr>
            <w:tcW w:w="780" w:type="dxa"/>
            <w:tcBorders>
              <w:top w:val="single" w:sz="4" w:space="0" w:color="auto"/>
              <w:left w:val="nil"/>
              <w:bottom w:val="nil"/>
              <w:right w:val="nil"/>
            </w:tcBorders>
          </w:tcPr>
          <w:p>
            <w:pPr>
              <w:pStyle w:val="yTable"/>
              <w:rPr>
                <w:sz w:val="16"/>
              </w:rPr>
            </w:pPr>
          </w:p>
        </w:tc>
        <w:tc>
          <w:tcPr>
            <w:tcW w:w="1347" w:type="dxa"/>
            <w:tcBorders>
              <w:top w:val="single" w:sz="4" w:space="0" w:color="auto"/>
              <w:left w:val="nil"/>
              <w:bottom w:val="single" w:sz="4" w:space="0" w:color="auto"/>
              <w:right w:val="nil"/>
            </w:tcBorders>
          </w:tcPr>
          <w:p>
            <w:pPr>
              <w:pStyle w:val="yTable"/>
              <w:rPr>
                <w:sz w:val="16"/>
              </w:rPr>
            </w:pPr>
          </w:p>
        </w:tc>
        <w:tc>
          <w:tcPr>
            <w:tcW w:w="283" w:type="dxa"/>
            <w:tcBorders>
              <w:top w:val="single" w:sz="4" w:space="0" w:color="auto"/>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pPr>
          </w:p>
        </w:tc>
        <w:tc>
          <w:tcPr>
            <w:tcW w:w="2693" w:type="dxa"/>
            <w:tcBorders>
              <w:top w:val="nil"/>
              <w:left w:val="nil"/>
              <w:bottom w:val="nil"/>
              <w:right w:val="nil"/>
            </w:tcBorders>
          </w:tcPr>
          <w:p>
            <w:pPr>
              <w:pStyle w:val="yTable"/>
              <w:rPr>
                <w:sz w:val="16"/>
              </w:rPr>
            </w:pPr>
          </w:p>
        </w:tc>
        <w:tc>
          <w:tcPr>
            <w:tcW w:w="780" w:type="dxa"/>
            <w:tcBorders>
              <w:top w:val="nil"/>
              <w:left w:val="nil"/>
              <w:bottom w:val="nil"/>
              <w:right w:val="nil"/>
            </w:tcBorders>
          </w:tcPr>
          <w:p>
            <w:pPr>
              <w:pStyle w:val="yTable"/>
              <w:rPr>
                <w:sz w:val="16"/>
              </w:rPr>
            </w:pPr>
          </w:p>
        </w:tc>
        <w:tc>
          <w:tcPr>
            <w:tcW w:w="1347" w:type="dxa"/>
            <w:tcBorders>
              <w:top w:val="nil"/>
              <w:left w:val="nil"/>
              <w:bottom w:val="nil"/>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amended in Gazette 21 Jan 2005 p. 276; 28 Oct 2005 p. 4938.]</w:t>
      </w:r>
    </w:p>
    <w:p>
      <w:pPr>
        <w:pStyle w:val="yTable"/>
        <w:pageBreakBefore/>
        <w:jc w:val="center"/>
        <w:outlineLvl w:val="0"/>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sym w:font="Monotype Sorts" w:char="F06F"/>
            </w:r>
          </w:p>
          <w:p>
            <w:pPr>
              <w:pStyle w:val="yTable"/>
              <w:tabs>
                <w:tab w:val="left" w:pos="630"/>
                <w:tab w:val="left" w:pos="1309"/>
                <w:tab w:val="left" w:pos="6521"/>
              </w:tabs>
              <w:spacing w:before="40"/>
              <w:ind w:right="292"/>
              <w:rPr>
                <w:sz w:val="16"/>
              </w:rPr>
            </w:pPr>
            <w:r>
              <w:rPr>
                <w:sz w:val="16"/>
              </w:rPr>
              <w:t>No</w:t>
            </w:r>
            <w:r>
              <w:tab/>
            </w:r>
            <w:r>
              <w:sym w:font="Monotype Sorts" w:char="F06F"/>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sym w:font="Monotype Sorts" w:char="F06F"/>
            </w:r>
          </w:p>
          <w:p>
            <w:pPr>
              <w:pStyle w:val="yTable"/>
              <w:tabs>
                <w:tab w:val="left" w:pos="630"/>
                <w:tab w:val="left" w:pos="1168"/>
                <w:tab w:val="left" w:pos="6521"/>
              </w:tabs>
              <w:ind w:right="317"/>
              <w:rPr>
                <w:sz w:val="16"/>
              </w:rPr>
            </w:pPr>
            <w:r>
              <w:rPr>
                <w:sz w:val="16"/>
              </w:rPr>
              <w:t>No</w:t>
            </w:r>
            <w:r>
              <w:tab/>
            </w:r>
            <w:r>
              <w:sym w:font="Monotype Sorts" w:char="F06F"/>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outlineLvl w:val="0"/>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80"/>
        </w:trPr>
        <w:tc>
          <w:tcPr>
            <w:tcW w:w="1275" w:type="dxa"/>
            <w:tcBorders>
              <w:top w:val="single" w:sz="4" w:space="0" w:color="auto"/>
              <w:left w:val="single" w:sz="4" w:space="0" w:color="auto"/>
              <w:bottom w:val="nil"/>
              <w:right w:val="nil"/>
            </w:tcBorders>
          </w:tcPr>
          <w:p>
            <w:pPr>
              <w:pStyle w:val="yTable"/>
              <w:spacing w:before="40"/>
              <w:rPr>
                <w:b/>
              </w:rPr>
            </w:pPr>
            <w:r>
              <w:rPr>
                <w:b/>
              </w:rPr>
              <w:t>Signature of Worker</w:t>
            </w:r>
          </w:p>
        </w:tc>
        <w:tc>
          <w:tcPr>
            <w:tcW w:w="2835" w:type="dxa"/>
            <w:tcBorders>
              <w:top w:val="single" w:sz="4" w:space="0" w:color="auto"/>
              <w:left w:val="nil"/>
              <w:bottom w:val="single" w:sz="4" w:space="0" w:color="auto"/>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single" w:sz="4" w:space="0" w:color="auto"/>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shd w:val="pct15" w:color="auto" w:fill="FFFFFF"/>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r>
              <w:t xml:space="preserve">  </w:t>
            </w:r>
          </w:p>
        </w:tc>
      </w:tr>
    </w:tbl>
    <w:p>
      <w:pPr>
        <w:pStyle w:val="yTabl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amended in Gazette 21 Jan 2005 p. 276; 28 Oct 2005 p. 4938.]</w:t>
      </w:r>
    </w:p>
    <w:p>
      <w:pPr>
        <w:pStyle w:val="yTable"/>
        <w:pageBreakBefore/>
        <w:jc w:val="center"/>
        <w:outlineLvl w:val="0"/>
        <w:rPr>
          <w:b/>
          <w:sz w:val="20"/>
        </w:rPr>
      </w:pPr>
      <w:r>
        <w:rPr>
          <w:b/>
          <w:sz w:val="20"/>
        </w:rPr>
        <w:t>Form 26</w:t>
      </w:r>
    </w:p>
    <w:p>
      <w:pPr>
        <w:pStyle w:val="yTable"/>
        <w:jc w:val="right"/>
        <w:rPr>
          <w:sz w:val="20"/>
        </w:rPr>
      </w:pPr>
      <w:r>
        <w:rPr>
          <w:sz w:val="20"/>
        </w:rPr>
        <w:t>[r. 19N(3)(a) and (5)(a)]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sym w:font="Monotype Sorts" w:char="F06F"/>
            </w:r>
            <w:r>
              <w:t xml:space="preserve"> </w:t>
            </w:r>
            <w:r>
              <w:rPr>
                <w:sz w:val="16"/>
              </w:rPr>
              <w:t xml:space="preserve">regulation 19N(2)(a)                    OR                  </w:t>
            </w:r>
            <w:r>
              <w:sym w:font="Monotype Sorts" w:char="F06F"/>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sym w:font="Monotype Sorts" w:char="F06F"/>
            </w:r>
            <w:r>
              <w:rPr>
                <w:sz w:val="16"/>
              </w:rPr>
              <w:tab/>
              <w:t xml:space="preserve">is granted until          /         /         OR            </w:t>
            </w:r>
            <w:r>
              <w:sym w:font="Monotype Sorts" w:char="F06F"/>
            </w:r>
            <w:r>
              <w:rPr>
                <w:sz w:val="16"/>
              </w:rPr>
              <w:tab/>
              <w:t xml:space="preserve">is not granted </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sym w:font="Monotype Sorts" w:char="F06F"/>
            </w:r>
            <w:r>
              <w:t xml:space="preserve"> </w:t>
            </w:r>
            <w:r>
              <w:rPr>
                <w:sz w:val="16"/>
              </w:rPr>
              <w:t xml:space="preserve">regulation 19N(2)(a)                    OR                  </w:t>
            </w:r>
            <w:r>
              <w:sym w:font="Monotype Sorts" w:char="F06F"/>
            </w:r>
            <w:r>
              <w:t xml:space="preserve"> </w:t>
            </w:r>
            <w:r>
              <w:rPr>
                <w:sz w:val="16"/>
              </w:rPr>
              <w:t xml:space="preserve">regulation 19N(2)(c) </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pPr>
      <w:r>
        <w:tab/>
        <w:t>[Form 26 amended in Gazette 21 Jan 2005 p. 276; 28 Oct 2005 p. 4938-9.]</w:t>
      </w:r>
    </w:p>
    <w:p>
      <w:pPr>
        <w:pStyle w:val="yTable"/>
        <w:pageBreakBefore/>
        <w:jc w:val="center"/>
        <w:outlineLvl w:val="0"/>
        <w:rPr>
          <w:b/>
          <w:sz w:val="20"/>
        </w:rPr>
      </w:pPr>
      <w:r>
        <w:rPr>
          <w:b/>
          <w:sz w:val="20"/>
        </w:rPr>
        <w:t>Form 27</w:t>
      </w:r>
    </w:p>
    <w:p>
      <w:pPr>
        <w:pStyle w:val="yTable"/>
        <w:jc w:val="right"/>
        <w:rPr>
          <w:sz w:val="20"/>
        </w:rPr>
      </w:pPr>
      <w:r>
        <w:rPr>
          <w:sz w:val="20"/>
        </w:rPr>
        <w:t>[r. 19N(4)(a)]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sym w:font="Monotype Sorts" w:char="F06F"/>
            </w:r>
            <w:r>
              <w:rPr>
                <w:sz w:val="16"/>
              </w:rPr>
              <w:tab/>
              <w:t xml:space="preserve">is granted until          /         /         OR            </w:t>
            </w:r>
            <w:r>
              <w:sym w:font="Monotype Sorts" w:char="F06F"/>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amended in Gazette 21 Jan 2005 p. 276; 28 Oct 2005 p. 4939.]</w:t>
      </w:r>
    </w:p>
    <w:p>
      <w:pPr>
        <w:pStyle w:val="yTable"/>
        <w:pageBreakBefore/>
        <w:spacing w:before="0"/>
        <w:jc w:val="center"/>
        <w:outlineLvl w:val="0"/>
        <w:rPr>
          <w:b/>
          <w:sz w:val="20"/>
        </w:rPr>
      </w:pPr>
      <w:r>
        <w:rPr>
          <w:b/>
          <w:sz w:val="20"/>
        </w:rPr>
        <w:t>Form 28</w:t>
      </w:r>
    </w:p>
    <w:p>
      <w:pPr>
        <w:pStyle w:val="yTable"/>
        <w:jc w:val="right"/>
        <w:rPr>
          <w:sz w:val="20"/>
        </w:rPr>
      </w:pPr>
      <w:r>
        <w:rPr>
          <w:sz w:val="20"/>
        </w:rPr>
        <w:t>[r. 19N(3a)(a)]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sym w:font="Monotype Sorts" w:char="F06F"/>
            </w:r>
            <w:r>
              <w:rPr>
                <w:sz w:val="16"/>
              </w:rPr>
              <w:tab/>
              <w:t xml:space="preserve">is granted until          /         /         OR            </w:t>
            </w:r>
            <w:r>
              <w:sym w:font="Monotype Sorts" w:char="F06F"/>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amended in Gazette 21 Jan 2005 p. 276; 28 Oct 2005 p. 4939.]</w:t>
      </w:r>
    </w:p>
    <w:p>
      <w:pPr>
        <w:pStyle w:val="yTable"/>
        <w:pageBreakBefore/>
        <w:jc w:val="center"/>
        <w:outlineLvl w:val="0"/>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outlineLvl w:val="0"/>
        <w:rPr>
          <w:sz w:val="20"/>
        </w:rPr>
      </w:pPr>
      <w:r>
        <w:rPr>
          <w:sz w:val="20"/>
        </w:rPr>
        <w:t>Director Dispute Resolution Directorate</w:t>
      </w:r>
    </w:p>
    <w:p>
      <w:pPr>
        <w:pStyle w:val="yFootnotesection"/>
      </w:pPr>
      <w:r>
        <w:tab/>
        <w:t>[Form 29 inserted in Gazette 28 Oct 2005 p. 4939-40.]</w:t>
      </w:r>
    </w:p>
    <w:p>
      <w:pPr>
        <w:pStyle w:val="yTable"/>
        <w:pageBreakBefore/>
        <w:jc w:val="center"/>
        <w:outlineLvl w:val="0"/>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outlineLvl w:val="0"/>
        <w:rPr>
          <w:sz w:val="20"/>
        </w:rPr>
      </w:pPr>
      <w:r>
        <w:rPr>
          <w:sz w:val="20"/>
        </w:rPr>
        <w:t>Arbitrator</w:t>
      </w:r>
    </w:p>
    <w:p>
      <w:pPr>
        <w:pStyle w:val="yFootnotesection"/>
        <w:rPr>
          <w:sz w:val="20"/>
        </w:rPr>
      </w:pPr>
      <w:r>
        <w:tab/>
        <w:t>[Form 30 inserted in Gazette 28 Oct 2005 p. 4941.]</w:t>
      </w:r>
    </w:p>
    <w:p>
      <w:pPr>
        <w:pStyle w:val="yTable"/>
        <w:pageBreakBefore/>
        <w:jc w:val="center"/>
        <w:outlineLvl w:val="0"/>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ind w:left="426"/>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4942-4.]</w:t>
      </w:r>
    </w:p>
    <w:p>
      <w:pPr>
        <w:pStyle w:val="yTable"/>
        <w:pageBreakBefore/>
        <w:jc w:val="center"/>
        <w:outlineLvl w:val="0"/>
        <w:rPr>
          <w:b/>
        </w:rPr>
      </w:pPr>
      <w:r>
        <w:rPr>
          <w:b/>
        </w:rPr>
        <w:t>Form 32</w:t>
      </w:r>
    </w:p>
    <w:p>
      <w:pPr>
        <w:pStyle w:val="yTable"/>
        <w:jc w:val="right"/>
        <w:rPr>
          <w:sz w:val="20"/>
        </w:rPr>
      </w:pPr>
      <w:r>
        <w:rPr>
          <w:sz w:val="20"/>
        </w:rPr>
        <w:t>[r. 20]</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4944-6.]</w:t>
      </w:r>
    </w:p>
    <w:p>
      <w:pPr>
        <w:pStyle w:val="yTable"/>
        <w:pageBreakBefore/>
        <w:jc w:val="center"/>
        <w:outlineLvl w:val="0"/>
        <w:rPr>
          <w:b/>
        </w:rPr>
      </w:pPr>
      <w:r>
        <w:rPr>
          <w:b/>
        </w:rPr>
        <w:t>Form 33</w:t>
      </w:r>
    </w:p>
    <w:p>
      <w:pPr>
        <w:pStyle w:val="yTable"/>
        <w:jc w:val="right"/>
        <w:rPr>
          <w:sz w:val="20"/>
        </w:rPr>
      </w:pPr>
      <w:r>
        <w:rPr>
          <w:sz w:val="20"/>
        </w:rPr>
        <w:t>[r. 21]</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before="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4946-8.]</w:t>
      </w:r>
    </w:p>
    <w:p>
      <w:pPr>
        <w:pStyle w:val="yTable"/>
        <w:pageBreakBefore/>
        <w:jc w:val="center"/>
        <w:outlineLvl w:val="0"/>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ind w:left="425"/>
        <w:outlineLvl w:val="0"/>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shd w:val="clear" w:color="auto" w:fill="FFFFFF"/>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shd w:val="clear" w:color="auto" w:fill="FFFFFF"/>
          </w:tcPr>
          <w:p>
            <w:pPr>
              <w:pStyle w:val="yTable"/>
              <w:spacing w:before="0"/>
              <w:jc w:val="center"/>
              <w:rPr>
                <w:b/>
                <w:sz w:val="16"/>
              </w:rPr>
            </w:pPr>
            <w:r>
              <w:rPr>
                <w:b/>
                <w:sz w:val="16"/>
              </w:rPr>
              <w:t>You should seek appropriate independent advice before lodging this form.</w:t>
            </w:r>
          </w:p>
        </w:tc>
      </w:tr>
    </w:tbl>
    <w:p>
      <w:pPr>
        <w:pStyle w:val="yTable"/>
        <w:keepNext/>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4948-50.]</w:t>
      </w:r>
    </w:p>
    <w:p>
      <w:pPr>
        <w:pStyle w:val="yTable"/>
        <w:pageBreakBefore/>
        <w:jc w:val="center"/>
        <w:outlineLvl w:val="0"/>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ind w:left="426"/>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ind w:left="426"/>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4951-3.]</w:t>
      </w:r>
    </w:p>
    <w:p>
      <w:pPr>
        <w:pStyle w:val="yTable"/>
        <w:pageBreakBefore/>
        <w:jc w:val="center"/>
        <w:outlineLvl w:val="0"/>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outlineLvl w:val="0"/>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outlineLvl w:val="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4953-4.]</w:t>
      </w:r>
    </w:p>
    <w:p>
      <w:pPr>
        <w:pStyle w:val="yTable"/>
        <w:pageBreakBefore/>
        <w:jc w:val="center"/>
        <w:outlineLvl w:val="0"/>
        <w:rPr>
          <w:b/>
        </w:rPr>
      </w:pPr>
      <w:r>
        <w:rPr>
          <w:b/>
        </w:rPr>
        <w:t>Form 37</w:t>
      </w:r>
    </w:p>
    <w:p>
      <w:pPr>
        <w:pStyle w:val="yTable"/>
        <w:jc w:val="right"/>
        <w:rPr>
          <w:sz w:val="20"/>
        </w:rPr>
      </w:pPr>
      <w:r>
        <w:rPr>
          <w:sz w:val="20"/>
        </w:rPr>
        <w:t>[r. 47(4)(a)]</w:t>
      </w:r>
    </w:p>
    <w:p>
      <w:pPr>
        <w:pStyle w:val="yTable"/>
        <w:spacing w:before="120"/>
        <w:jc w:val="center"/>
        <w:outlineLvl w:val="0"/>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keepNext/>
              <w:keepLines/>
              <w:rPr>
                <w:sz w:val="16"/>
              </w:rPr>
            </w:pPr>
          </w:p>
        </w:tc>
        <w:tc>
          <w:tcPr>
            <w:tcW w:w="283" w:type="dxa"/>
            <w:tcBorders>
              <w:top w:val="nil"/>
              <w:bottom w:val="nil"/>
              <w:right w:val="nil"/>
            </w:tcBorders>
          </w:tcPr>
          <w:p>
            <w:pPr>
              <w:pStyle w:val="yTable"/>
              <w:keepNext/>
              <w:keepLines/>
              <w:rPr>
                <w:sz w:val="16"/>
              </w:rPr>
            </w:pPr>
          </w:p>
        </w:tc>
        <w:tc>
          <w:tcPr>
            <w:tcW w:w="2977" w:type="dxa"/>
          </w:tcPr>
          <w:p>
            <w:pPr>
              <w:pStyle w:val="yTable"/>
              <w:keepNext/>
              <w:keepLines/>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4955-6.]</w:t>
      </w:r>
    </w:p>
    <w:p>
      <w:pPr>
        <w:pStyle w:val="yTable"/>
        <w:pageBreakBefore/>
        <w:jc w:val="center"/>
        <w:outlineLvl w:val="0"/>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ind w:left="425"/>
        <w:outlineLvl w:val="0"/>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keepNext/>
              <w:keepLines/>
              <w:rPr>
                <w:sz w:val="16"/>
              </w:rPr>
            </w:pPr>
          </w:p>
        </w:tc>
        <w:tc>
          <w:tcPr>
            <w:tcW w:w="283" w:type="dxa"/>
            <w:tcBorders>
              <w:top w:val="nil"/>
              <w:bottom w:val="nil"/>
              <w:right w:val="nil"/>
            </w:tcBorders>
          </w:tcPr>
          <w:p>
            <w:pPr>
              <w:pStyle w:val="yTable"/>
              <w:keepNext/>
              <w:keepLines/>
              <w:rPr>
                <w:sz w:val="16"/>
              </w:rPr>
            </w:pPr>
          </w:p>
        </w:tc>
        <w:tc>
          <w:tcPr>
            <w:tcW w:w="2977" w:type="dxa"/>
          </w:tcPr>
          <w:p>
            <w:pPr>
              <w:pStyle w:val="yTable"/>
              <w:keepNext/>
              <w:keepLines/>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4957-8.]</w:t>
      </w:r>
    </w:p>
    <w:p>
      <w:pPr>
        <w:pStyle w:val="yTable"/>
        <w:pageBreakBefore/>
        <w:jc w:val="center"/>
        <w:outlineLvl w:val="0"/>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outlineLvl w:val="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ind w:left="426"/>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4959-61.]</w:t>
      </w:r>
    </w:p>
    <w:p>
      <w:pPr>
        <w:pStyle w:val="yTable"/>
        <w:pageBreakBefore/>
        <w:jc w:val="center"/>
        <w:outlineLvl w:val="0"/>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4962-3.]</w:t>
      </w:r>
    </w:p>
    <w:p>
      <w:pPr>
        <w:pStyle w:val="yTable"/>
        <w:pageBreakBefore/>
        <w:jc w:val="center"/>
        <w:outlineLvl w:val="0"/>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rPr>
                <w:snapToGrid w:val="0"/>
                <w:sz w:val="20"/>
              </w:rPr>
            </w:pPr>
            <w:r>
              <w:rPr>
                <w:snapToGrid w:val="0"/>
                <w:sz w:val="20"/>
              </w:rPr>
              <w:t>………………………………………………………………………………….</w:t>
            </w:r>
          </w:p>
          <w:p>
            <w:pPr>
              <w:pStyle w:val="yTable"/>
              <w:tabs>
                <w:tab w:val="right" w:leader="dot" w:pos="7088"/>
              </w:tabs>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Footnotesection"/>
        <w:tabs>
          <w:tab w:val="clear" w:pos="893"/>
          <w:tab w:val="left" w:pos="426"/>
        </w:tabs>
        <w:ind w:left="426" w:hanging="426"/>
      </w:pPr>
      <w:r>
        <w:tab/>
        <w:t>[Appendix I corrigendum in Gazette 23 Apr 1982 p. 1384; amended in Gazette 27 Aug 1982 p. 3427; 25 Jul 1986 p. 2484</w:t>
      </w:r>
      <w:r>
        <w:noBreakHyphen/>
        <w:t>5; 26 Feb 1991 p. 939; 8 Mar 1991 p. 1072</w:t>
      </w:r>
      <w:r>
        <w:noBreakHyphen/>
        <w:t>6; 28 Jun 1991 p. 3291</w:t>
      </w:r>
      <w:r>
        <w:noBreakHyphen/>
        <w:t>4; 3 Apr 1992 p. 1543</w:t>
      </w:r>
      <w:r>
        <w:noBreakHyphen/>
        <w:t>5; 5 Feb 1993 p. 1059</w:t>
      </w:r>
      <w:r>
        <w:noBreakHyphen/>
        <w:t>60; 29 Oct 1993 p. 5930; 24 Dec 1993 p. 6845</w:t>
      </w:r>
      <w:r>
        <w:noBreakHyphen/>
        <w:t>50; 18 Feb 1994 p. 662</w:t>
      </w:r>
      <w:r>
        <w:noBreakHyphen/>
        <w:t>4; 24 Jun 1994 p. 2889; 13 Apr 1999 p. 1533</w:t>
      </w:r>
      <w:r>
        <w:noBreakHyphen/>
        <w:t>41 (printer’s correction in Gazette 16 Apr 1999 p. 1598); 15 Oct 1999 p. 4893</w:t>
      </w:r>
      <w:r>
        <w:noBreakHyphen/>
        <w:t>8, 4899, 4900</w:t>
      </w:r>
      <w:r>
        <w:noBreakHyphen/>
        <w:t>2, 4907</w:t>
      </w:r>
      <w:r>
        <w:noBreakHyphen/>
        <w:t>12; 14 Dec 1999 p. 6151</w:t>
      </w:r>
      <w:r>
        <w:noBreakHyphen/>
        <w:t>63; 17 Nov 2000 p. 6317</w:t>
      </w:r>
      <w:r>
        <w:noBreakHyphen/>
        <w:t>21; 16 Sep 2003 p. 4104; 26 Oct 2004 p. 4902-13; 21 Jan 2005 p. 276 and 277; 28 Oct 2005 p. 4912-63.]</w:t>
      </w:r>
    </w:p>
    <w:p>
      <w:pPr>
        <w:pStyle w:val="yScheduleHeading"/>
        <w:outlineLvl w:val="0"/>
      </w:pPr>
      <w:bookmarkStart w:id="132" w:name="_Toc390078413"/>
      <w:r>
        <w:rPr>
          <w:rStyle w:val="CharSchNo"/>
        </w:rPr>
        <w:t>Appendix II</w:t>
      </w:r>
      <w:bookmarkEnd w:id="132"/>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outlineLvl w:val="0"/>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outlineLvl w:val="0"/>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outlineLvl w:val="0"/>
      </w:pPr>
      <w:bookmarkStart w:id="133" w:name="_Toc390078414"/>
      <w:r>
        <w:rPr>
          <w:rStyle w:val="CharSchNo"/>
        </w:rPr>
        <w:t>Appendix III</w:t>
      </w:r>
      <w:bookmarkEnd w:id="133"/>
    </w:p>
    <w:p>
      <w:pPr>
        <w:pStyle w:val="yShoulderClause"/>
        <w:rPr>
          <w:sz w:val="20"/>
        </w:rPr>
      </w:pPr>
      <w:r>
        <w:rPr>
          <w:sz w:val="20"/>
        </w:rPr>
        <w:t>[r. 19E]</w:t>
      </w:r>
    </w:p>
    <w:p>
      <w:pPr>
        <w:pStyle w:val="yTable"/>
        <w:jc w:val="center"/>
        <w:outlineLvl w:val="0"/>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outlineLvl w:val="0"/>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outlineLvl w:val="0"/>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outlineLvl w:val="0"/>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outlineLvl w:val="0"/>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outlineLvl w:val="0"/>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outlineLvl w:val="0"/>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 30 Jun 2003 p. 2637</w:t>
      </w:r>
      <w:r>
        <w:noBreakHyphen/>
        <w:t>8.]</w:t>
      </w:r>
    </w:p>
    <w:p>
      <w:pPr>
        <w:pStyle w:val="yScheduleHeading"/>
        <w:outlineLvl w:val="0"/>
      </w:pPr>
      <w:bookmarkStart w:id="134" w:name="_Toc390078415"/>
      <w:r>
        <w:rPr>
          <w:rStyle w:val="CharSchNo"/>
        </w:rPr>
        <w:t>Appendix IV</w:t>
      </w:r>
      <w:r>
        <w:t> — </w:t>
      </w:r>
      <w:r>
        <w:rPr>
          <w:rStyle w:val="CharSchText"/>
        </w:rPr>
        <w:t>Registered agents code of conduct</w:t>
      </w:r>
      <w:bookmarkEnd w:id="134"/>
    </w:p>
    <w:p>
      <w:pPr>
        <w:pStyle w:val="yShoulderClause"/>
      </w:pPr>
      <w:r>
        <w:t>[r. 26]</w:t>
      </w:r>
    </w:p>
    <w:p>
      <w:pPr>
        <w:pStyle w:val="yFootnoteheading"/>
      </w:pPr>
      <w:r>
        <w:tab/>
        <w:t>[Heading inserted in Gazette 28 Oct 2005 p. 4964.]</w:t>
      </w:r>
    </w:p>
    <w:p>
      <w:pPr>
        <w:pStyle w:val="yHeading5"/>
        <w:outlineLvl w:val="0"/>
      </w:pPr>
      <w:bookmarkStart w:id="135" w:name="_Toc390078416"/>
      <w:r>
        <w:t>1.</w:t>
      </w:r>
      <w:r>
        <w:rPr>
          <w:b w:val="0"/>
        </w:rPr>
        <w:tab/>
      </w:r>
      <w:r>
        <w:t>Duties of registered agent</w:t>
      </w:r>
      <w:bookmarkEnd w:id="135"/>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0"/>
      </w:pPr>
      <w:bookmarkStart w:id="136" w:name="_Toc390078417"/>
      <w:r>
        <w:t>2.</w:t>
      </w:r>
      <w:r>
        <w:rPr>
          <w:b w:val="0"/>
        </w:rPr>
        <w:tab/>
      </w:r>
      <w:r>
        <w:t>Integrity and diligence</w:t>
      </w:r>
      <w:bookmarkEnd w:id="136"/>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4964-5.]</w:t>
      </w:r>
    </w:p>
    <w:p>
      <w:pPr>
        <w:pStyle w:val="yHeading5"/>
        <w:outlineLvl w:val="0"/>
      </w:pPr>
      <w:bookmarkStart w:id="137" w:name="_Toc390078418"/>
      <w:r>
        <w:t>3.</w:t>
      </w:r>
      <w:r>
        <w:rPr>
          <w:b w:val="0"/>
        </w:rPr>
        <w:tab/>
      </w:r>
      <w:r>
        <w:t>Confidentiality</w:t>
      </w:r>
      <w:bookmarkEnd w:id="13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4965-6.]</w:t>
      </w:r>
    </w:p>
    <w:p>
      <w:pPr>
        <w:pStyle w:val="yHeading5"/>
        <w:outlineLvl w:val="0"/>
      </w:pPr>
      <w:bookmarkStart w:id="138" w:name="_Toc390078419"/>
      <w:r>
        <w:t>4.</w:t>
      </w:r>
      <w:r>
        <w:rPr>
          <w:b w:val="0"/>
        </w:rPr>
        <w:tab/>
      </w:r>
      <w:r>
        <w:t>Conflict of interest</w:t>
      </w:r>
      <w:bookmarkEnd w:id="13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0"/>
      </w:pPr>
      <w:bookmarkStart w:id="139" w:name="_Toc390078420"/>
      <w:r>
        <w:t>5.</w:t>
      </w:r>
      <w:r>
        <w:rPr>
          <w:b w:val="0"/>
        </w:rPr>
        <w:tab/>
      </w:r>
      <w:r>
        <w:t>Proceedings</w:t>
      </w:r>
      <w:bookmarkEnd w:id="13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4966-7.]</w:t>
      </w:r>
    </w:p>
    <w:p>
      <w:pPr>
        <w:pStyle w:val="yHeading5"/>
        <w:outlineLvl w:val="0"/>
      </w:pPr>
      <w:bookmarkStart w:id="140" w:name="_Toc390078421"/>
      <w:r>
        <w:t>6.</w:t>
      </w:r>
      <w:r>
        <w:rPr>
          <w:b w:val="0"/>
        </w:rPr>
        <w:tab/>
      </w:r>
      <w:r>
        <w:t>Advertising</w:t>
      </w:r>
      <w:bookmarkEnd w:id="140"/>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0"/>
      </w:pPr>
      <w:bookmarkStart w:id="141" w:name="_Toc390078422"/>
      <w:r>
        <w:t>7.</w:t>
      </w:r>
      <w:r>
        <w:rPr>
          <w:b w:val="0"/>
        </w:rPr>
        <w:tab/>
      </w:r>
      <w:r>
        <w:t>Withdrawal</w:t>
      </w:r>
      <w:bookmarkEnd w:id="14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4967-9.]</w:t>
      </w:r>
    </w:p>
    <w:p>
      <w:pPr>
        <w:pStyle w:val="yHeading5"/>
        <w:outlineLvl w:val="0"/>
      </w:pPr>
      <w:bookmarkStart w:id="142" w:name="_Toc390078423"/>
      <w:r>
        <w:t>8.</w:t>
      </w:r>
      <w:r>
        <w:rPr>
          <w:b w:val="0"/>
        </w:rPr>
        <w:tab/>
      </w:r>
      <w:r>
        <w:t>Fees</w:t>
      </w:r>
      <w:bookmarkEnd w:id="14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0"/>
      </w:pPr>
      <w:bookmarkStart w:id="143" w:name="_Toc390078424"/>
      <w:r>
        <w:t>9.</w:t>
      </w:r>
      <w:r>
        <w:rPr>
          <w:b w:val="0"/>
        </w:rPr>
        <w:tab/>
      </w:r>
      <w:r>
        <w:t>Records</w:t>
      </w:r>
      <w:bookmarkEnd w:id="143"/>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0"/>
      </w:pPr>
      <w:bookmarkStart w:id="144" w:name="_Toc390078425"/>
      <w:r>
        <w:t>10.</w:t>
      </w:r>
      <w:r>
        <w:rPr>
          <w:b w:val="0"/>
        </w:rPr>
        <w:tab/>
      </w:r>
      <w:r>
        <w:t>Trust moneys</w:t>
      </w:r>
      <w:bookmarkEnd w:id="14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0"/>
      </w:pPr>
      <w:bookmarkStart w:id="145" w:name="_Toc390078426"/>
      <w:r>
        <w:t>11.</w:t>
      </w:r>
      <w:r>
        <w:rPr>
          <w:b w:val="0"/>
        </w:rPr>
        <w:tab/>
      </w:r>
      <w:r>
        <w:t>Costs</w:t>
      </w:r>
      <w:bookmarkEnd w:id="145"/>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0"/>
      </w:pPr>
      <w:bookmarkStart w:id="146" w:name="_Toc390078427"/>
      <w:r>
        <w:rPr>
          <w:rStyle w:val="CharSchNo"/>
        </w:rPr>
        <w:t>Appendix V</w:t>
      </w:r>
      <w:r>
        <w:t xml:space="preserve"> — </w:t>
      </w:r>
      <w:r>
        <w:rPr>
          <w:rStyle w:val="CharSchText"/>
        </w:rPr>
        <w:t>Prescribed offences and modified penalties</w:t>
      </w:r>
      <w:bookmarkEnd w:id="146"/>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ageBreakBefore/>
            </w:pPr>
            <w:r>
              <w:t>171(1)</w:t>
            </w:r>
          </w:p>
        </w:tc>
        <w:tc>
          <w:tcPr>
            <w:tcW w:w="3827" w:type="dxa"/>
          </w:tcPr>
          <w:p>
            <w:pPr>
              <w:pStyle w:val="yTable"/>
              <w:pageBreakBefore/>
              <w:ind w:right="-63"/>
            </w:pPr>
            <w:r>
              <w:t>Failing to transmit to WorkCover WA statements and means for conveying information in machine</w:t>
            </w:r>
            <w:r>
              <w:noBreakHyphen/>
              <w:t>readable form ....</w:t>
            </w:r>
          </w:p>
        </w:tc>
        <w:tc>
          <w:tcPr>
            <w:tcW w:w="1215" w:type="dxa"/>
          </w:tcPr>
          <w:p>
            <w:pPr>
              <w:pStyle w:val="yTable"/>
              <w:pageBreakBefor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4970-2.]</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outlineLvl w:val="0"/>
      </w:pPr>
      <w:bookmarkStart w:id="147" w:name="_Toc390078428"/>
      <w:r>
        <w:t>Notes</w:t>
      </w:r>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8" w:name="_Toc390078429"/>
      <w:r>
        <w:rPr>
          <w:snapToGrid w:val="0"/>
        </w:rPr>
        <w:t>Compilation table</w:t>
      </w:r>
      <w:bookmarkEnd w:id="148"/>
    </w:p>
    <w:tbl>
      <w:tblPr>
        <w:tblW w:w="0" w:type="auto"/>
        <w:tblInd w:w="-86" w:type="dxa"/>
        <w:tblLayout w:type="fixed"/>
        <w:tblCellMar>
          <w:left w:w="56" w:type="dxa"/>
          <w:right w:w="56" w:type="dxa"/>
        </w:tblCellMar>
        <w:tblLook w:val="0000" w:firstRow="0" w:lastRow="0" w:firstColumn="0" w:lastColumn="0" w:noHBand="0" w:noVBand="0"/>
      </w:tblPr>
      <w:tblGrid>
        <w:gridCol w:w="3232"/>
        <w:gridCol w:w="1276"/>
        <w:gridCol w:w="2693"/>
      </w:tblGrid>
      <w:tr>
        <w:trPr>
          <w:cantSplit/>
          <w:tblHeader/>
        </w:trPr>
        <w:tc>
          <w:tcPr>
            <w:tcW w:w="3232"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232" w:type="dxa"/>
          </w:tcPr>
          <w:p>
            <w:pPr>
              <w:pStyle w:val="nTable"/>
              <w:spacing w:before="60"/>
              <w:ind w:right="113"/>
              <w:rPr>
                <w:sz w:val="19"/>
                <w:vertAlign w:val="superscript"/>
              </w:rPr>
            </w:pPr>
            <w:r>
              <w:rPr>
                <w:i/>
                <w:sz w:val="19"/>
              </w:rPr>
              <w:t>Workers’ Compensation and Assistance Regulations 1982</w:t>
            </w:r>
            <w:r>
              <w:rPr>
                <w:sz w:val="19"/>
              </w:rPr>
              <w:t xml:space="preserve"> </w:t>
            </w:r>
            <w:r>
              <w:rPr>
                <w:sz w:val="19"/>
                <w:vertAlign w:val="superscript"/>
              </w:rPr>
              <w:t>5, 6</w:t>
            </w:r>
          </w:p>
        </w:tc>
        <w:tc>
          <w:tcPr>
            <w:tcW w:w="1276" w:type="dxa"/>
          </w:tcPr>
          <w:p>
            <w:pPr>
              <w:pStyle w:val="nTable"/>
              <w:spacing w:before="60"/>
              <w:rPr>
                <w:sz w:val="19"/>
              </w:rPr>
            </w:pPr>
            <w:r>
              <w:rPr>
                <w:sz w:val="19"/>
              </w:rPr>
              <w:t>8 Apr 1982 p. 1229</w:t>
            </w:r>
            <w:r>
              <w:rPr>
                <w:sz w:val="19"/>
              </w:rPr>
              <w:noBreakHyphen/>
              <w:t>50</w:t>
            </w:r>
            <w:r>
              <w:rPr>
                <w:sz w:val="19"/>
              </w:rPr>
              <w:br/>
              <w:t>(Corrigendum 23 Apr 1982 p. 1384)</w:t>
            </w:r>
          </w:p>
        </w:tc>
        <w:tc>
          <w:tcPr>
            <w:tcW w:w="2693" w:type="dxa"/>
          </w:tcPr>
          <w:p>
            <w:pPr>
              <w:pStyle w:val="nTable"/>
              <w:spacing w:before="60"/>
              <w:rPr>
                <w:sz w:val="19"/>
              </w:rPr>
            </w:pPr>
            <w:r>
              <w:rPr>
                <w:sz w:val="19"/>
              </w:rPr>
              <w:t xml:space="preserve">3 May 1982 (see r. 2 and </w:t>
            </w:r>
            <w:r>
              <w:rPr>
                <w:i/>
                <w:sz w:val="19"/>
              </w:rPr>
              <w:t>Gazette</w:t>
            </w:r>
            <w:r>
              <w:rPr>
                <w:sz w:val="19"/>
              </w:rPr>
              <w:t xml:space="preserve"> 8 Apr 1982 p. 1205)</w:t>
            </w:r>
          </w:p>
        </w:tc>
      </w:tr>
      <w:tr>
        <w:trPr>
          <w:cantSplit/>
        </w:trPr>
        <w:tc>
          <w:tcPr>
            <w:tcW w:w="3232" w:type="dxa"/>
          </w:tcPr>
          <w:p>
            <w:pPr>
              <w:pStyle w:val="nTable"/>
              <w:spacing w:before="60"/>
              <w:ind w:right="113"/>
              <w:rPr>
                <w:i/>
                <w:sz w:val="19"/>
              </w:rPr>
            </w:pPr>
            <w:r>
              <w:rPr>
                <w:i/>
                <w:sz w:val="19"/>
              </w:rPr>
              <w:t>Workers’ Compensation and Assistance Amendment Regulations 1982</w:t>
            </w:r>
          </w:p>
        </w:tc>
        <w:tc>
          <w:tcPr>
            <w:tcW w:w="1276" w:type="dxa"/>
          </w:tcPr>
          <w:p>
            <w:pPr>
              <w:pStyle w:val="nTable"/>
              <w:spacing w:before="60"/>
              <w:rPr>
                <w:sz w:val="19"/>
              </w:rPr>
            </w:pPr>
            <w:r>
              <w:rPr>
                <w:sz w:val="19"/>
              </w:rPr>
              <w:t>14 May 1982 p. 1519</w:t>
            </w:r>
          </w:p>
        </w:tc>
        <w:tc>
          <w:tcPr>
            <w:tcW w:w="2693" w:type="dxa"/>
          </w:tcPr>
          <w:p>
            <w:pPr>
              <w:pStyle w:val="nTable"/>
              <w:spacing w:before="60"/>
              <w:rPr>
                <w:sz w:val="19"/>
              </w:rPr>
            </w:pPr>
            <w:r>
              <w:rPr>
                <w:sz w:val="19"/>
              </w:rPr>
              <w:t>14 May 1982</w:t>
            </w:r>
          </w:p>
        </w:tc>
      </w:tr>
      <w:tr>
        <w:trPr>
          <w:cantSplit/>
        </w:trPr>
        <w:tc>
          <w:tcPr>
            <w:tcW w:w="3232" w:type="dxa"/>
          </w:tcPr>
          <w:p>
            <w:pPr>
              <w:pStyle w:val="nTable"/>
              <w:spacing w:before="60"/>
              <w:ind w:right="113"/>
              <w:rPr>
                <w:i/>
                <w:sz w:val="19"/>
              </w:rPr>
            </w:pPr>
            <w:r>
              <w:rPr>
                <w:i/>
                <w:sz w:val="19"/>
              </w:rPr>
              <w:t>Workers’ Compensation and Assistance Amendment Regulations (No. 2) 1982</w:t>
            </w:r>
          </w:p>
        </w:tc>
        <w:tc>
          <w:tcPr>
            <w:tcW w:w="1276" w:type="dxa"/>
          </w:tcPr>
          <w:p>
            <w:pPr>
              <w:pStyle w:val="nTable"/>
              <w:spacing w:before="60"/>
              <w:rPr>
                <w:sz w:val="19"/>
              </w:rPr>
            </w:pPr>
            <w:r>
              <w:rPr>
                <w:sz w:val="19"/>
              </w:rPr>
              <w:t>27 Aug 1982 p. 3427</w:t>
            </w:r>
            <w:r>
              <w:rPr>
                <w:sz w:val="19"/>
              </w:rPr>
              <w:noBreakHyphen/>
              <w:t>9</w:t>
            </w:r>
          </w:p>
        </w:tc>
        <w:tc>
          <w:tcPr>
            <w:tcW w:w="2693" w:type="dxa"/>
          </w:tcPr>
          <w:p>
            <w:pPr>
              <w:pStyle w:val="nTable"/>
              <w:spacing w:before="60"/>
              <w:rPr>
                <w:sz w:val="19"/>
              </w:rPr>
            </w:pPr>
            <w:r>
              <w:rPr>
                <w:sz w:val="19"/>
              </w:rPr>
              <w:t>27 Aug 1982</w:t>
            </w:r>
          </w:p>
        </w:tc>
      </w:tr>
      <w:tr>
        <w:trPr>
          <w:cantSplit/>
        </w:trPr>
        <w:tc>
          <w:tcPr>
            <w:tcW w:w="3232" w:type="dxa"/>
          </w:tcPr>
          <w:p>
            <w:pPr>
              <w:pStyle w:val="nTable"/>
              <w:spacing w:before="60"/>
              <w:ind w:right="113"/>
              <w:rPr>
                <w:i/>
                <w:sz w:val="19"/>
              </w:rPr>
            </w:pPr>
            <w:r>
              <w:rPr>
                <w:i/>
                <w:sz w:val="19"/>
              </w:rPr>
              <w:t>Workers’ Compensation and Assistance Amendment Regulations 1983</w:t>
            </w:r>
          </w:p>
        </w:tc>
        <w:tc>
          <w:tcPr>
            <w:tcW w:w="1276" w:type="dxa"/>
          </w:tcPr>
          <w:p>
            <w:pPr>
              <w:pStyle w:val="nTable"/>
              <w:spacing w:before="60"/>
              <w:rPr>
                <w:sz w:val="19"/>
              </w:rPr>
            </w:pPr>
            <w:r>
              <w:rPr>
                <w:sz w:val="19"/>
              </w:rPr>
              <w:t>30 Dec 1983 p. 5121</w:t>
            </w:r>
          </w:p>
        </w:tc>
        <w:tc>
          <w:tcPr>
            <w:tcW w:w="2693" w:type="dxa"/>
          </w:tcPr>
          <w:p>
            <w:pPr>
              <w:pStyle w:val="nTable"/>
              <w:spacing w:before="60"/>
              <w:rPr>
                <w:sz w:val="19"/>
              </w:rPr>
            </w:pPr>
            <w:r>
              <w:rPr>
                <w:sz w:val="19"/>
              </w:rPr>
              <w:t>30 Dec 1983</w:t>
            </w:r>
          </w:p>
        </w:tc>
      </w:tr>
      <w:tr>
        <w:trPr>
          <w:cantSplit/>
        </w:trPr>
        <w:tc>
          <w:tcPr>
            <w:tcW w:w="3232" w:type="dxa"/>
          </w:tcPr>
          <w:p>
            <w:pPr>
              <w:pStyle w:val="nTable"/>
              <w:spacing w:before="60"/>
              <w:ind w:right="113"/>
              <w:rPr>
                <w:i/>
                <w:sz w:val="19"/>
              </w:rPr>
            </w:pPr>
            <w:r>
              <w:rPr>
                <w:i/>
                <w:sz w:val="19"/>
              </w:rPr>
              <w:t>Workers’ Compensation and Assistance Amendment Regulations 1986</w:t>
            </w:r>
          </w:p>
        </w:tc>
        <w:tc>
          <w:tcPr>
            <w:tcW w:w="1276" w:type="dxa"/>
          </w:tcPr>
          <w:p>
            <w:pPr>
              <w:pStyle w:val="nTable"/>
              <w:spacing w:before="60"/>
              <w:rPr>
                <w:sz w:val="19"/>
              </w:rPr>
            </w:pPr>
            <w:r>
              <w:rPr>
                <w:sz w:val="19"/>
              </w:rPr>
              <w:t>25 Jul 1986 p. 2484</w:t>
            </w:r>
            <w:r>
              <w:rPr>
                <w:sz w:val="19"/>
              </w:rPr>
              <w:noBreakHyphen/>
              <w:t>5</w:t>
            </w:r>
          </w:p>
        </w:tc>
        <w:tc>
          <w:tcPr>
            <w:tcW w:w="2693" w:type="dxa"/>
          </w:tcPr>
          <w:p>
            <w:pPr>
              <w:pStyle w:val="nTable"/>
              <w:spacing w:before="60"/>
              <w:rPr>
                <w:sz w:val="19"/>
              </w:rPr>
            </w:pPr>
            <w:r>
              <w:rPr>
                <w:sz w:val="19"/>
              </w:rPr>
              <w:t xml:space="preserve">25 Jul 1986 (see r. 2 and </w:t>
            </w:r>
            <w:r>
              <w:rPr>
                <w:i/>
                <w:sz w:val="19"/>
              </w:rPr>
              <w:t>Gazette</w:t>
            </w:r>
            <w:r>
              <w:rPr>
                <w:sz w:val="19"/>
              </w:rPr>
              <w:t xml:space="preserve"> 25 Jul 1986 p. 2453)</w:t>
            </w:r>
          </w:p>
        </w:tc>
      </w:tr>
      <w:tr>
        <w:trPr>
          <w:cantSplit/>
        </w:trPr>
        <w:tc>
          <w:tcPr>
            <w:tcW w:w="3232" w:type="dxa"/>
          </w:tcPr>
          <w:p>
            <w:pPr>
              <w:pStyle w:val="nTable"/>
              <w:spacing w:before="60"/>
              <w:ind w:right="113"/>
              <w:rPr>
                <w:i/>
                <w:sz w:val="19"/>
              </w:rPr>
            </w:pPr>
            <w:r>
              <w:rPr>
                <w:i/>
                <w:sz w:val="19"/>
              </w:rPr>
              <w:t>Workers’ Compensation and Assistance Amendment Regulations 1987</w:t>
            </w:r>
          </w:p>
        </w:tc>
        <w:tc>
          <w:tcPr>
            <w:tcW w:w="1276" w:type="dxa"/>
          </w:tcPr>
          <w:p>
            <w:pPr>
              <w:pStyle w:val="nTable"/>
              <w:spacing w:before="60"/>
              <w:rPr>
                <w:sz w:val="19"/>
              </w:rPr>
            </w:pPr>
            <w:r>
              <w:rPr>
                <w:sz w:val="19"/>
              </w:rPr>
              <w:t>22 May 1987 p. 2193</w:t>
            </w:r>
          </w:p>
        </w:tc>
        <w:tc>
          <w:tcPr>
            <w:tcW w:w="2693" w:type="dxa"/>
          </w:tcPr>
          <w:p>
            <w:pPr>
              <w:pStyle w:val="nTable"/>
              <w:spacing w:before="60"/>
              <w:rPr>
                <w:sz w:val="19"/>
              </w:rPr>
            </w:pPr>
            <w:r>
              <w:rPr>
                <w:sz w:val="19"/>
              </w:rPr>
              <w:t xml:space="preserve">22 May 1987 (see r. 2 and </w:t>
            </w:r>
            <w:r>
              <w:rPr>
                <w:i/>
                <w:sz w:val="19"/>
              </w:rPr>
              <w:t>Gazette</w:t>
            </w:r>
            <w:r>
              <w:rPr>
                <w:sz w:val="19"/>
              </w:rPr>
              <w:t xml:space="preserve"> 22 May 1987 p. 2167)</w:t>
            </w:r>
          </w:p>
        </w:tc>
      </w:tr>
      <w:tr>
        <w:trPr>
          <w:cantSplit/>
        </w:trPr>
        <w:tc>
          <w:tcPr>
            <w:tcW w:w="3232" w:type="dxa"/>
          </w:tcPr>
          <w:p>
            <w:pPr>
              <w:pStyle w:val="nTable"/>
              <w:spacing w:before="60"/>
              <w:ind w:right="113"/>
              <w:rPr>
                <w:i/>
                <w:sz w:val="19"/>
              </w:rPr>
            </w:pPr>
            <w:r>
              <w:rPr>
                <w:i/>
                <w:sz w:val="19"/>
              </w:rPr>
              <w:t>Workers’ Compensation and Assistance Amendment Regulations (No. 2) 1987</w:t>
            </w:r>
          </w:p>
        </w:tc>
        <w:tc>
          <w:tcPr>
            <w:tcW w:w="1276" w:type="dxa"/>
          </w:tcPr>
          <w:p>
            <w:pPr>
              <w:pStyle w:val="nTable"/>
              <w:spacing w:before="60"/>
              <w:rPr>
                <w:sz w:val="19"/>
              </w:rPr>
            </w:pPr>
            <w:r>
              <w:rPr>
                <w:sz w:val="19"/>
              </w:rPr>
              <w:t>19 Jun 1987 p. 2410</w:t>
            </w:r>
          </w:p>
        </w:tc>
        <w:tc>
          <w:tcPr>
            <w:tcW w:w="2693" w:type="dxa"/>
          </w:tcPr>
          <w:p>
            <w:pPr>
              <w:pStyle w:val="nTable"/>
              <w:spacing w:before="60"/>
              <w:rPr>
                <w:sz w:val="19"/>
              </w:rPr>
            </w:pPr>
            <w:r>
              <w:rPr>
                <w:sz w:val="19"/>
              </w:rPr>
              <w:t>1 Jul 1987 (see r. 2)</w:t>
            </w:r>
          </w:p>
        </w:tc>
      </w:tr>
      <w:tr>
        <w:trPr>
          <w:cantSplit/>
        </w:trPr>
        <w:tc>
          <w:tcPr>
            <w:tcW w:w="3232" w:type="dxa"/>
          </w:tcPr>
          <w:p>
            <w:pPr>
              <w:pStyle w:val="nTable"/>
              <w:spacing w:before="60"/>
              <w:ind w:right="113"/>
              <w:rPr>
                <w:i/>
                <w:sz w:val="19"/>
              </w:rPr>
            </w:pPr>
            <w:r>
              <w:rPr>
                <w:i/>
                <w:sz w:val="19"/>
              </w:rPr>
              <w:t>Workers’ Compensation and Assistance Amendment Regulations 1988</w:t>
            </w:r>
          </w:p>
        </w:tc>
        <w:tc>
          <w:tcPr>
            <w:tcW w:w="1276" w:type="dxa"/>
          </w:tcPr>
          <w:p>
            <w:pPr>
              <w:pStyle w:val="nTable"/>
              <w:spacing w:before="60"/>
              <w:rPr>
                <w:sz w:val="19"/>
              </w:rPr>
            </w:pPr>
            <w:r>
              <w:rPr>
                <w:sz w:val="19"/>
              </w:rPr>
              <w:t>2 Sep 1988 p. 3464</w:t>
            </w:r>
          </w:p>
        </w:tc>
        <w:tc>
          <w:tcPr>
            <w:tcW w:w="2693" w:type="dxa"/>
          </w:tcPr>
          <w:p>
            <w:pPr>
              <w:pStyle w:val="nTable"/>
              <w:spacing w:before="60"/>
              <w:rPr>
                <w:sz w:val="19"/>
              </w:rPr>
            </w:pPr>
            <w:r>
              <w:rPr>
                <w:sz w:val="19"/>
              </w:rPr>
              <w:t>2 Sep 1988</w:t>
            </w:r>
          </w:p>
        </w:tc>
      </w:tr>
      <w:tr>
        <w:trPr>
          <w:cantSplit/>
        </w:trPr>
        <w:tc>
          <w:tcPr>
            <w:tcW w:w="3232" w:type="dxa"/>
          </w:tcPr>
          <w:p>
            <w:pPr>
              <w:pStyle w:val="nTable"/>
              <w:spacing w:before="60"/>
              <w:ind w:right="113"/>
              <w:rPr>
                <w:i/>
                <w:sz w:val="19"/>
              </w:rPr>
            </w:pPr>
            <w:r>
              <w:rPr>
                <w:i/>
                <w:sz w:val="19"/>
              </w:rPr>
              <w:t>Workers’ Compensation and Assistance Amendment Regulations (No. 2) 1989</w:t>
            </w:r>
          </w:p>
        </w:tc>
        <w:tc>
          <w:tcPr>
            <w:tcW w:w="1276" w:type="dxa"/>
          </w:tcPr>
          <w:p>
            <w:pPr>
              <w:pStyle w:val="nTable"/>
              <w:spacing w:before="60"/>
              <w:rPr>
                <w:sz w:val="19"/>
              </w:rPr>
            </w:pPr>
            <w:r>
              <w:rPr>
                <w:sz w:val="19"/>
              </w:rPr>
              <w:t>22 Sep 1989 p. 3490</w:t>
            </w:r>
            <w:r>
              <w:rPr>
                <w:sz w:val="19"/>
              </w:rPr>
              <w:noBreakHyphen/>
              <w:t>1</w:t>
            </w:r>
          </w:p>
        </w:tc>
        <w:tc>
          <w:tcPr>
            <w:tcW w:w="2693" w:type="dxa"/>
          </w:tcPr>
          <w:p>
            <w:pPr>
              <w:pStyle w:val="nTable"/>
              <w:spacing w:before="60"/>
              <w:rPr>
                <w:sz w:val="19"/>
              </w:rPr>
            </w:pPr>
            <w:r>
              <w:rPr>
                <w:sz w:val="19"/>
              </w:rPr>
              <w:t>22 Sep 1989</w:t>
            </w:r>
          </w:p>
        </w:tc>
      </w:tr>
      <w:tr>
        <w:trPr>
          <w:cantSplit/>
        </w:trPr>
        <w:tc>
          <w:tcPr>
            <w:tcW w:w="3232" w:type="dxa"/>
          </w:tcPr>
          <w:p>
            <w:pPr>
              <w:pStyle w:val="nTable"/>
              <w:spacing w:before="60"/>
              <w:ind w:right="113"/>
              <w:rPr>
                <w:i/>
                <w:sz w:val="19"/>
              </w:rPr>
            </w:pPr>
            <w:r>
              <w:rPr>
                <w:i/>
                <w:sz w:val="19"/>
              </w:rPr>
              <w:t>Workers’ Compensation and Assistance Amendment Regulations 1991</w:t>
            </w:r>
          </w:p>
        </w:tc>
        <w:tc>
          <w:tcPr>
            <w:tcW w:w="1276" w:type="dxa"/>
          </w:tcPr>
          <w:p>
            <w:pPr>
              <w:pStyle w:val="nTable"/>
              <w:spacing w:before="60"/>
              <w:rPr>
                <w:sz w:val="19"/>
              </w:rPr>
            </w:pPr>
            <w:r>
              <w:rPr>
                <w:sz w:val="19"/>
              </w:rPr>
              <w:t>26 Feb 1991 p. 931</w:t>
            </w:r>
            <w:r>
              <w:rPr>
                <w:sz w:val="19"/>
              </w:rPr>
              <w:noBreakHyphen/>
              <w:t>56</w:t>
            </w:r>
          </w:p>
        </w:tc>
        <w:tc>
          <w:tcPr>
            <w:tcW w:w="2693" w:type="dxa"/>
          </w:tcPr>
          <w:p>
            <w:pPr>
              <w:pStyle w:val="nTable"/>
              <w:spacing w:before="60"/>
              <w:rPr>
                <w:sz w:val="19"/>
              </w:rPr>
            </w:pPr>
            <w:r>
              <w:rPr>
                <w:sz w:val="19"/>
              </w:rPr>
              <w:t xml:space="preserve">1 Mar 1991 (see r. 2 and </w:t>
            </w:r>
            <w:r>
              <w:rPr>
                <w:i/>
                <w:sz w:val="19"/>
              </w:rPr>
              <w:t>Gazette</w:t>
            </w:r>
            <w:r>
              <w:rPr>
                <w:sz w:val="19"/>
              </w:rPr>
              <w:t xml:space="preserve"> 1 Mar 1991 p. 967)</w:t>
            </w:r>
          </w:p>
        </w:tc>
      </w:tr>
      <w:tr>
        <w:trPr>
          <w:cantSplit/>
        </w:trPr>
        <w:tc>
          <w:tcPr>
            <w:tcW w:w="3232" w:type="dxa"/>
          </w:tcPr>
          <w:p>
            <w:pPr>
              <w:pStyle w:val="nTable"/>
              <w:spacing w:before="60"/>
              <w:ind w:right="113"/>
              <w:rPr>
                <w:i/>
                <w:sz w:val="19"/>
              </w:rPr>
            </w:pPr>
            <w:r>
              <w:rPr>
                <w:i/>
                <w:sz w:val="19"/>
              </w:rPr>
              <w:t>Workers’ Compensation and Assistance Amendment Regulations (No. 2) 1991</w:t>
            </w:r>
          </w:p>
        </w:tc>
        <w:tc>
          <w:tcPr>
            <w:tcW w:w="1276" w:type="dxa"/>
          </w:tcPr>
          <w:p>
            <w:pPr>
              <w:pStyle w:val="nTable"/>
              <w:spacing w:before="60"/>
              <w:rPr>
                <w:sz w:val="19"/>
              </w:rPr>
            </w:pPr>
            <w:r>
              <w:rPr>
                <w:sz w:val="19"/>
              </w:rPr>
              <w:t>8 Mar 1991 p. 1071</w:t>
            </w:r>
            <w:r>
              <w:rPr>
                <w:sz w:val="19"/>
              </w:rPr>
              <w:noBreakHyphen/>
              <w:t>6</w:t>
            </w:r>
          </w:p>
        </w:tc>
        <w:tc>
          <w:tcPr>
            <w:tcW w:w="2693" w:type="dxa"/>
          </w:tcPr>
          <w:p>
            <w:pPr>
              <w:pStyle w:val="nTable"/>
              <w:spacing w:before="60"/>
              <w:rPr>
                <w:sz w:val="19"/>
              </w:rPr>
            </w:pPr>
            <w:r>
              <w:rPr>
                <w:sz w:val="19"/>
              </w:rPr>
              <w:t xml:space="preserve">8 Mar 1991 (see r. 2 and </w:t>
            </w:r>
            <w:r>
              <w:rPr>
                <w:i/>
                <w:sz w:val="19"/>
              </w:rPr>
              <w:t>Gazette</w:t>
            </w:r>
            <w:r>
              <w:rPr>
                <w:sz w:val="19"/>
              </w:rPr>
              <w:t xml:space="preserve"> 8 Mar 1991 p. 1030)</w:t>
            </w:r>
          </w:p>
        </w:tc>
      </w:tr>
      <w:tr>
        <w:trPr>
          <w:cantSplit/>
        </w:trPr>
        <w:tc>
          <w:tcPr>
            <w:tcW w:w="3232" w:type="dxa"/>
          </w:tcPr>
          <w:p>
            <w:pPr>
              <w:pStyle w:val="nTable"/>
              <w:spacing w:before="60"/>
              <w:ind w:right="113"/>
              <w:rPr>
                <w:i/>
                <w:sz w:val="19"/>
              </w:rPr>
            </w:pPr>
            <w:r>
              <w:rPr>
                <w:i/>
                <w:sz w:val="19"/>
              </w:rPr>
              <w:t>Workers’ Compensation and Rehabilitation Amendment Regulations (No. 3) 1991</w:t>
            </w:r>
          </w:p>
        </w:tc>
        <w:tc>
          <w:tcPr>
            <w:tcW w:w="1276" w:type="dxa"/>
          </w:tcPr>
          <w:p>
            <w:pPr>
              <w:pStyle w:val="nTable"/>
              <w:spacing w:before="60"/>
              <w:rPr>
                <w:sz w:val="19"/>
              </w:rPr>
            </w:pPr>
            <w:r>
              <w:rPr>
                <w:sz w:val="19"/>
              </w:rPr>
              <w:t>28 Jun 1991 p. 3291</w:t>
            </w:r>
            <w:r>
              <w:rPr>
                <w:sz w:val="19"/>
              </w:rPr>
              <w:noBreakHyphen/>
              <w:t>4</w:t>
            </w:r>
          </w:p>
        </w:tc>
        <w:tc>
          <w:tcPr>
            <w:tcW w:w="2693" w:type="dxa"/>
          </w:tcPr>
          <w:p>
            <w:pPr>
              <w:pStyle w:val="nTable"/>
              <w:spacing w:before="60"/>
              <w:rPr>
                <w:sz w:val="19"/>
              </w:rPr>
            </w:pPr>
            <w:r>
              <w:rPr>
                <w:sz w:val="19"/>
              </w:rPr>
              <w:t>1 Jul 1991 (see r. 2)</w:t>
            </w:r>
          </w:p>
        </w:tc>
      </w:tr>
      <w:tr>
        <w:trPr>
          <w:cantSplit/>
        </w:trPr>
        <w:tc>
          <w:tcPr>
            <w:tcW w:w="3232" w:type="dxa"/>
          </w:tcPr>
          <w:p>
            <w:pPr>
              <w:pStyle w:val="nTable"/>
              <w:spacing w:before="60"/>
              <w:ind w:right="113"/>
              <w:rPr>
                <w:i/>
                <w:sz w:val="19"/>
              </w:rPr>
            </w:pPr>
            <w:r>
              <w:rPr>
                <w:i/>
                <w:sz w:val="19"/>
              </w:rPr>
              <w:t>Workers’ Compensation and Rehabilitation Amendment Regulations (No. 4) 1991</w:t>
            </w:r>
          </w:p>
        </w:tc>
        <w:tc>
          <w:tcPr>
            <w:tcW w:w="1276" w:type="dxa"/>
          </w:tcPr>
          <w:p>
            <w:pPr>
              <w:pStyle w:val="nTable"/>
              <w:spacing w:before="60"/>
              <w:rPr>
                <w:sz w:val="19"/>
              </w:rPr>
            </w:pPr>
            <w:r>
              <w:rPr>
                <w:sz w:val="19"/>
              </w:rPr>
              <w:t>6 Dec 1991 p. 6118</w:t>
            </w:r>
            <w:r>
              <w:rPr>
                <w:sz w:val="19"/>
              </w:rPr>
              <w:noBreakHyphen/>
              <w:t>19</w:t>
            </w:r>
          </w:p>
        </w:tc>
        <w:tc>
          <w:tcPr>
            <w:tcW w:w="2693" w:type="dxa"/>
          </w:tcPr>
          <w:p>
            <w:pPr>
              <w:pStyle w:val="nTable"/>
              <w:spacing w:before="60"/>
              <w:rPr>
                <w:sz w:val="19"/>
              </w:rPr>
            </w:pPr>
            <w:r>
              <w:rPr>
                <w:sz w:val="19"/>
              </w:rPr>
              <w:t>6 Dec 1991</w:t>
            </w:r>
          </w:p>
        </w:tc>
      </w:tr>
      <w:tr>
        <w:trPr>
          <w:cantSplit/>
        </w:trPr>
        <w:tc>
          <w:tcPr>
            <w:tcW w:w="3232" w:type="dxa"/>
          </w:tcPr>
          <w:p>
            <w:pPr>
              <w:pStyle w:val="nTable"/>
              <w:spacing w:before="60"/>
              <w:ind w:right="113"/>
              <w:rPr>
                <w:i/>
                <w:sz w:val="19"/>
              </w:rPr>
            </w:pPr>
            <w:r>
              <w:rPr>
                <w:i/>
                <w:sz w:val="19"/>
              </w:rPr>
              <w:t>Workers’ Compensation and Rehabilitation Amendment Regulations (No. 2) 1992</w:t>
            </w:r>
          </w:p>
        </w:tc>
        <w:tc>
          <w:tcPr>
            <w:tcW w:w="1276" w:type="dxa"/>
          </w:tcPr>
          <w:p>
            <w:pPr>
              <w:pStyle w:val="nTable"/>
              <w:spacing w:before="60"/>
              <w:rPr>
                <w:sz w:val="19"/>
              </w:rPr>
            </w:pPr>
            <w:r>
              <w:rPr>
                <w:sz w:val="19"/>
              </w:rPr>
              <w:t>3 Apr 1992 p. 1540</w:t>
            </w:r>
            <w:r>
              <w:rPr>
                <w:sz w:val="19"/>
              </w:rPr>
              <w:noBreakHyphen/>
              <w:t>1</w:t>
            </w:r>
          </w:p>
        </w:tc>
        <w:tc>
          <w:tcPr>
            <w:tcW w:w="2693" w:type="dxa"/>
          </w:tcPr>
          <w:p>
            <w:pPr>
              <w:pStyle w:val="nTable"/>
              <w:spacing w:before="60"/>
              <w:rPr>
                <w:sz w:val="19"/>
              </w:rPr>
            </w:pPr>
            <w:r>
              <w:rPr>
                <w:sz w:val="19"/>
              </w:rPr>
              <w:t>3 Apr 1992</w:t>
            </w:r>
          </w:p>
        </w:tc>
      </w:tr>
      <w:tr>
        <w:trPr>
          <w:cantSplit/>
        </w:trPr>
        <w:tc>
          <w:tcPr>
            <w:tcW w:w="3232" w:type="dxa"/>
          </w:tcPr>
          <w:p>
            <w:pPr>
              <w:pStyle w:val="nTable"/>
              <w:spacing w:before="60"/>
              <w:ind w:right="113"/>
              <w:rPr>
                <w:i/>
                <w:sz w:val="19"/>
              </w:rPr>
            </w:pPr>
            <w:r>
              <w:rPr>
                <w:i/>
                <w:sz w:val="19"/>
              </w:rPr>
              <w:t>Workers’ Compensation and Rehabilitation Amendment Regulations 1992</w:t>
            </w:r>
          </w:p>
        </w:tc>
        <w:tc>
          <w:tcPr>
            <w:tcW w:w="1276" w:type="dxa"/>
          </w:tcPr>
          <w:p>
            <w:pPr>
              <w:pStyle w:val="nTable"/>
              <w:spacing w:before="60"/>
              <w:rPr>
                <w:sz w:val="19"/>
              </w:rPr>
            </w:pPr>
            <w:r>
              <w:rPr>
                <w:sz w:val="19"/>
              </w:rPr>
              <w:t>3 Apr 1992 p. 1541</w:t>
            </w:r>
            <w:r>
              <w:rPr>
                <w:sz w:val="19"/>
              </w:rPr>
              <w:noBreakHyphen/>
              <w:t>5</w:t>
            </w:r>
          </w:p>
        </w:tc>
        <w:tc>
          <w:tcPr>
            <w:tcW w:w="2693" w:type="dxa"/>
          </w:tcPr>
          <w:p>
            <w:pPr>
              <w:pStyle w:val="nTable"/>
              <w:spacing w:before="60"/>
              <w:rPr>
                <w:sz w:val="19"/>
              </w:rPr>
            </w:pPr>
            <w:r>
              <w:rPr>
                <w:sz w:val="19"/>
              </w:rPr>
              <w:t>3 Apr 1992</w:t>
            </w:r>
          </w:p>
        </w:tc>
      </w:tr>
      <w:tr>
        <w:trPr>
          <w:cantSplit/>
        </w:trPr>
        <w:tc>
          <w:tcPr>
            <w:tcW w:w="7201" w:type="dxa"/>
            <w:gridSpan w:val="3"/>
          </w:tcPr>
          <w:p>
            <w:pPr>
              <w:pStyle w:val="nTable"/>
              <w:spacing w:before="6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232" w:type="dxa"/>
          </w:tcPr>
          <w:p>
            <w:pPr>
              <w:pStyle w:val="nTable"/>
              <w:spacing w:before="60"/>
              <w:rPr>
                <w:i/>
              </w:rPr>
            </w:pPr>
            <w:r>
              <w:rPr>
                <w:i/>
              </w:rPr>
              <w:t>Workers</w:t>
            </w:r>
            <w:r>
              <w:rPr>
                <w:i/>
                <w:sz w:val="19"/>
              </w:rPr>
              <w:t>’</w:t>
            </w:r>
            <w:r>
              <w:rPr>
                <w:i/>
              </w:rPr>
              <w:t xml:space="preserve"> Compensation and Rehabilitation Amendment Regulations (No. 4) 1992</w:t>
            </w:r>
          </w:p>
        </w:tc>
        <w:tc>
          <w:tcPr>
            <w:tcW w:w="1276" w:type="dxa"/>
          </w:tcPr>
          <w:p>
            <w:pPr>
              <w:pStyle w:val="nTable"/>
              <w:spacing w:before="60"/>
            </w:pPr>
            <w:r>
              <w:t>16 Oct 1992 p. 5201</w:t>
            </w:r>
          </w:p>
        </w:tc>
        <w:tc>
          <w:tcPr>
            <w:tcW w:w="2693" w:type="dxa"/>
          </w:tcPr>
          <w:p>
            <w:pPr>
              <w:pStyle w:val="nTable"/>
              <w:spacing w:before="60"/>
            </w:pPr>
            <w:r>
              <w:t>16 Oct 1992</w:t>
            </w:r>
          </w:p>
        </w:tc>
      </w:tr>
      <w:tr>
        <w:tc>
          <w:tcPr>
            <w:tcW w:w="3232" w:type="dxa"/>
          </w:tcPr>
          <w:p>
            <w:pPr>
              <w:pStyle w:val="nTable"/>
              <w:spacing w:before="60"/>
              <w:rPr>
                <w:i/>
              </w:rPr>
            </w:pPr>
            <w:r>
              <w:rPr>
                <w:i/>
              </w:rPr>
              <w:t>Workers</w:t>
            </w:r>
            <w:r>
              <w:rPr>
                <w:i/>
                <w:sz w:val="19"/>
              </w:rPr>
              <w:t>’</w:t>
            </w:r>
            <w:r>
              <w:rPr>
                <w:i/>
              </w:rPr>
              <w:t xml:space="preserve"> Compensation and Rehabilitation Amendment Regulations 1993</w:t>
            </w:r>
          </w:p>
        </w:tc>
        <w:tc>
          <w:tcPr>
            <w:tcW w:w="1276" w:type="dxa"/>
          </w:tcPr>
          <w:p>
            <w:pPr>
              <w:pStyle w:val="nTable"/>
              <w:spacing w:before="60"/>
            </w:pPr>
            <w:r>
              <w:t>5 Feb 1993 p. 1059</w:t>
            </w:r>
            <w:r>
              <w:noBreakHyphen/>
              <w:t>60</w:t>
            </w:r>
          </w:p>
        </w:tc>
        <w:tc>
          <w:tcPr>
            <w:tcW w:w="2693" w:type="dxa"/>
          </w:tcPr>
          <w:p>
            <w:pPr>
              <w:pStyle w:val="nTable"/>
              <w:spacing w:before="60"/>
            </w:pPr>
            <w:r>
              <w:t xml:space="preserve">5 Feb 1993 (see r. 2 and </w:t>
            </w:r>
            <w:r>
              <w:rPr>
                <w:i/>
              </w:rPr>
              <w:t>Gazette</w:t>
            </w:r>
            <w:r>
              <w:t xml:space="preserve"> 5 Feb 1993 p. 975)</w:t>
            </w:r>
          </w:p>
        </w:tc>
      </w:tr>
      <w:tr>
        <w:tc>
          <w:tcPr>
            <w:tcW w:w="3232" w:type="dxa"/>
          </w:tcPr>
          <w:p>
            <w:pPr>
              <w:pStyle w:val="nTable"/>
              <w:spacing w:before="60"/>
              <w:rPr>
                <w:i/>
              </w:rPr>
            </w:pPr>
            <w:r>
              <w:rPr>
                <w:i/>
              </w:rPr>
              <w:t>Workers</w:t>
            </w:r>
            <w:r>
              <w:rPr>
                <w:i/>
                <w:sz w:val="19"/>
              </w:rPr>
              <w:t>’</w:t>
            </w:r>
            <w:r>
              <w:rPr>
                <w:i/>
              </w:rPr>
              <w:t xml:space="preserve"> Compensation and Rehabilitation Amendment Regulations (No. 3) 1993</w:t>
            </w:r>
          </w:p>
        </w:tc>
        <w:tc>
          <w:tcPr>
            <w:tcW w:w="1276" w:type="dxa"/>
          </w:tcPr>
          <w:p>
            <w:pPr>
              <w:pStyle w:val="nTable"/>
              <w:spacing w:before="60"/>
            </w:pPr>
            <w:r>
              <w:t>17 Sep 1993 p. 5182</w:t>
            </w:r>
          </w:p>
        </w:tc>
        <w:tc>
          <w:tcPr>
            <w:tcW w:w="2693" w:type="dxa"/>
          </w:tcPr>
          <w:p>
            <w:pPr>
              <w:pStyle w:val="nTable"/>
              <w:spacing w:before="60"/>
            </w:pPr>
            <w:r>
              <w:t>17 Sep 1993</w:t>
            </w:r>
          </w:p>
        </w:tc>
      </w:tr>
      <w:tr>
        <w:tc>
          <w:tcPr>
            <w:tcW w:w="3232" w:type="dxa"/>
          </w:tcPr>
          <w:p>
            <w:pPr>
              <w:pStyle w:val="nTable"/>
              <w:spacing w:before="60"/>
              <w:rPr>
                <w:i/>
              </w:rPr>
            </w:pPr>
            <w:r>
              <w:rPr>
                <w:i/>
              </w:rPr>
              <w:t>Workers</w:t>
            </w:r>
            <w:r>
              <w:rPr>
                <w:i/>
                <w:sz w:val="19"/>
              </w:rPr>
              <w:t>’</w:t>
            </w:r>
            <w:r>
              <w:rPr>
                <w:i/>
              </w:rPr>
              <w:t xml:space="preserve"> Compensation and Rehabilitation Amendment Regulations (No. 2) 1993</w:t>
            </w:r>
          </w:p>
        </w:tc>
        <w:tc>
          <w:tcPr>
            <w:tcW w:w="1276" w:type="dxa"/>
          </w:tcPr>
          <w:p>
            <w:pPr>
              <w:pStyle w:val="nTable"/>
              <w:spacing w:before="60"/>
            </w:pPr>
            <w:r>
              <w:t>29 Oct 1993 p. 5929</w:t>
            </w:r>
            <w:r>
              <w:noBreakHyphen/>
              <w:t>30</w:t>
            </w:r>
          </w:p>
        </w:tc>
        <w:tc>
          <w:tcPr>
            <w:tcW w:w="2693" w:type="dxa"/>
          </w:tcPr>
          <w:p>
            <w:pPr>
              <w:pStyle w:val="nTable"/>
              <w:spacing w:before="60"/>
            </w:pPr>
            <w:r>
              <w:t>29 Oct 1993</w:t>
            </w:r>
          </w:p>
        </w:tc>
      </w:tr>
      <w:tr>
        <w:tc>
          <w:tcPr>
            <w:tcW w:w="3232" w:type="dxa"/>
          </w:tcPr>
          <w:p>
            <w:pPr>
              <w:pStyle w:val="nTable"/>
              <w:spacing w:before="60"/>
              <w:rPr>
                <w:i/>
              </w:rPr>
            </w:pPr>
            <w:r>
              <w:rPr>
                <w:i/>
              </w:rPr>
              <w:t>Workers</w:t>
            </w:r>
            <w:r>
              <w:rPr>
                <w:i/>
                <w:sz w:val="19"/>
              </w:rPr>
              <w:t>’</w:t>
            </w:r>
            <w:r>
              <w:rPr>
                <w:i/>
              </w:rPr>
              <w:t xml:space="preserve"> Compensation and Rehabilitation Amendment Regulations (No. 4) 1993</w:t>
            </w:r>
          </w:p>
        </w:tc>
        <w:tc>
          <w:tcPr>
            <w:tcW w:w="1276" w:type="dxa"/>
          </w:tcPr>
          <w:p>
            <w:pPr>
              <w:pStyle w:val="nTable"/>
              <w:spacing w:before="60"/>
            </w:pPr>
            <w:r>
              <w:t>24 Dec 1993 p. 6844</w:t>
            </w:r>
            <w:r>
              <w:noBreakHyphen/>
              <w:t>50</w:t>
            </w:r>
          </w:p>
        </w:tc>
        <w:tc>
          <w:tcPr>
            <w:tcW w:w="2693" w:type="dxa"/>
          </w:tcPr>
          <w:p>
            <w:pPr>
              <w:pStyle w:val="nTable"/>
              <w:spacing w:before="60"/>
            </w:pPr>
            <w:r>
              <w:t xml:space="preserve">24 Dec 1993 (see r. 2 and </w:t>
            </w:r>
            <w:r>
              <w:rPr>
                <w:i/>
              </w:rPr>
              <w:t>Gazette</w:t>
            </w:r>
            <w:r>
              <w:t xml:space="preserve"> 24 Dec 1993 p. 6795)</w:t>
            </w:r>
          </w:p>
        </w:tc>
      </w:tr>
      <w:tr>
        <w:tc>
          <w:tcPr>
            <w:tcW w:w="3232" w:type="dxa"/>
          </w:tcPr>
          <w:p>
            <w:pPr>
              <w:pStyle w:val="nTable"/>
              <w:spacing w:before="60"/>
              <w:rPr>
                <w:i/>
              </w:rPr>
            </w:pPr>
            <w:r>
              <w:rPr>
                <w:i/>
              </w:rPr>
              <w:t>Workers</w:t>
            </w:r>
            <w:r>
              <w:rPr>
                <w:i/>
                <w:sz w:val="19"/>
              </w:rPr>
              <w:t>’</w:t>
            </w:r>
            <w:r>
              <w:rPr>
                <w:i/>
              </w:rPr>
              <w:t xml:space="preserve"> Compensation and Rehabilitation Amendment Regulations 1994</w:t>
            </w:r>
          </w:p>
        </w:tc>
        <w:tc>
          <w:tcPr>
            <w:tcW w:w="1276" w:type="dxa"/>
          </w:tcPr>
          <w:p>
            <w:pPr>
              <w:pStyle w:val="nTable"/>
              <w:spacing w:before="60"/>
            </w:pPr>
            <w:r>
              <w:t>18 Feb 1994 p. 660</w:t>
            </w:r>
            <w:r>
              <w:noBreakHyphen/>
              <w:t>4</w:t>
            </w:r>
          </w:p>
        </w:tc>
        <w:tc>
          <w:tcPr>
            <w:tcW w:w="2693" w:type="dxa"/>
          </w:tcPr>
          <w:p>
            <w:pPr>
              <w:pStyle w:val="nTable"/>
              <w:spacing w:before="60"/>
            </w:pPr>
            <w:r>
              <w:t>1 Mar 1994 (see r. 2)</w:t>
            </w:r>
          </w:p>
        </w:tc>
      </w:tr>
      <w:tr>
        <w:tc>
          <w:tcPr>
            <w:tcW w:w="3232" w:type="dxa"/>
          </w:tcPr>
          <w:p>
            <w:pPr>
              <w:pStyle w:val="nTable"/>
              <w:spacing w:before="60"/>
              <w:rPr>
                <w:i/>
              </w:rPr>
            </w:pPr>
            <w:r>
              <w:rPr>
                <w:i/>
              </w:rPr>
              <w:t>Workers</w:t>
            </w:r>
            <w:r>
              <w:rPr>
                <w:i/>
                <w:sz w:val="19"/>
              </w:rPr>
              <w:t>’</w:t>
            </w:r>
            <w:r>
              <w:rPr>
                <w:i/>
              </w:rPr>
              <w:t xml:space="preserve"> Compensation and Rehabilitation Amendment Regulations (No. 2) 1994</w:t>
            </w:r>
          </w:p>
        </w:tc>
        <w:tc>
          <w:tcPr>
            <w:tcW w:w="1276" w:type="dxa"/>
          </w:tcPr>
          <w:p>
            <w:pPr>
              <w:pStyle w:val="nTable"/>
              <w:spacing w:before="60"/>
            </w:pPr>
            <w:r>
              <w:t>31 Mar 1994 p. 1444</w:t>
            </w:r>
          </w:p>
        </w:tc>
        <w:tc>
          <w:tcPr>
            <w:tcW w:w="2693" w:type="dxa"/>
          </w:tcPr>
          <w:p>
            <w:pPr>
              <w:pStyle w:val="nTable"/>
              <w:spacing w:before="60"/>
            </w:pPr>
            <w:r>
              <w:t>31 Mar 1994</w:t>
            </w:r>
          </w:p>
        </w:tc>
      </w:tr>
      <w:tr>
        <w:tc>
          <w:tcPr>
            <w:tcW w:w="3232" w:type="dxa"/>
          </w:tcPr>
          <w:p>
            <w:pPr>
              <w:pStyle w:val="nTable"/>
              <w:spacing w:before="60"/>
              <w:rPr>
                <w:i/>
              </w:rPr>
            </w:pPr>
            <w:r>
              <w:rPr>
                <w:i/>
              </w:rPr>
              <w:t>Workers</w:t>
            </w:r>
            <w:r>
              <w:rPr>
                <w:i/>
                <w:sz w:val="19"/>
              </w:rPr>
              <w:t>’</w:t>
            </w:r>
            <w:r>
              <w:rPr>
                <w:i/>
              </w:rPr>
              <w:t xml:space="preserve"> Compensation and Rehabilitation Amendment Regulations (No. 3) 1994</w:t>
            </w:r>
          </w:p>
        </w:tc>
        <w:tc>
          <w:tcPr>
            <w:tcW w:w="1276" w:type="dxa"/>
          </w:tcPr>
          <w:p>
            <w:pPr>
              <w:pStyle w:val="nTable"/>
              <w:spacing w:before="60"/>
            </w:pPr>
            <w:r>
              <w:t>24 Jun 1994 p. 2888</w:t>
            </w:r>
            <w:r>
              <w:noBreakHyphen/>
              <w:t>9</w:t>
            </w:r>
          </w:p>
        </w:tc>
        <w:tc>
          <w:tcPr>
            <w:tcW w:w="2693" w:type="dxa"/>
          </w:tcPr>
          <w:p>
            <w:pPr>
              <w:pStyle w:val="nTable"/>
              <w:spacing w:before="60"/>
            </w:pPr>
            <w:r>
              <w:t>24 Jun 1994</w:t>
            </w:r>
          </w:p>
        </w:tc>
      </w:tr>
      <w:tr>
        <w:tc>
          <w:tcPr>
            <w:tcW w:w="3232" w:type="dxa"/>
          </w:tcPr>
          <w:p>
            <w:pPr>
              <w:pStyle w:val="nTable"/>
              <w:keepNext/>
              <w:spacing w:before="60"/>
              <w:rPr>
                <w:i/>
              </w:rPr>
            </w:pPr>
            <w:r>
              <w:rPr>
                <w:i/>
              </w:rPr>
              <w:t>Workers</w:t>
            </w:r>
            <w:r>
              <w:rPr>
                <w:i/>
                <w:sz w:val="19"/>
              </w:rPr>
              <w:t>’</w:t>
            </w:r>
            <w:r>
              <w:rPr>
                <w:i/>
              </w:rPr>
              <w:t xml:space="preserve"> Compensation and Rehabilitation Amendment Regulations (No. 4) 1994</w:t>
            </w:r>
          </w:p>
        </w:tc>
        <w:tc>
          <w:tcPr>
            <w:tcW w:w="1276" w:type="dxa"/>
          </w:tcPr>
          <w:p>
            <w:pPr>
              <w:pStyle w:val="nTable"/>
              <w:keepNext/>
              <w:spacing w:before="60"/>
            </w:pPr>
            <w:r>
              <w:t>23 Aug 1994 p. 4394</w:t>
            </w:r>
            <w:r>
              <w:noBreakHyphen/>
              <w:t>5</w:t>
            </w:r>
          </w:p>
        </w:tc>
        <w:tc>
          <w:tcPr>
            <w:tcW w:w="2693" w:type="dxa"/>
          </w:tcPr>
          <w:p>
            <w:pPr>
              <w:pStyle w:val="nTable"/>
              <w:keepNext/>
              <w:spacing w:before="60"/>
            </w:pPr>
            <w:r>
              <w:t>23 Aug 1994</w:t>
            </w:r>
          </w:p>
        </w:tc>
      </w:tr>
      <w:tr>
        <w:trPr>
          <w:cantSplit/>
        </w:trPr>
        <w:tc>
          <w:tcPr>
            <w:tcW w:w="7201" w:type="dxa"/>
            <w:gridSpan w:val="3"/>
          </w:tcPr>
          <w:p>
            <w:pPr>
              <w:pStyle w:val="nTable"/>
              <w:spacing w:before="60"/>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232" w:type="dxa"/>
          </w:tcPr>
          <w:p>
            <w:pPr>
              <w:pStyle w:val="nTable"/>
              <w:spacing w:before="60"/>
              <w:ind w:right="113"/>
              <w:rPr>
                <w:sz w:val="19"/>
              </w:rPr>
            </w:pPr>
            <w:r>
              <w:rPr>
                <w:i/>
                <w:sz w:val="19"/>
              </w:rPr>
              <w:t>Workers’ Compensation and Rehabilitation Amendment Regulations 1995</w:t>
            </w:r>
          </w:p>
        </w:tc>
        <w:tc>
          <w:tcPr>
            <w:tcW w:w="1276" w:type="dxa"/>
          </w:tcPr>
          <w:p>
            <w:pPr>
              <w:pStyle w:val="nTable"/>
              <w:spacing w:before="60"/>
              <w:rPr>
                <w:sz w:val="19"/>
              </w:rPr>
            </w:pPr>
            <w:r>
              <w:rPr>
                <w:sz w:val="19"/>
              </w:rPr>
              <w:t>25 Aug 1995 p. 3885</w:t>
            </w:r>
            <w:r>
              <w:rPr>
                <w:sz w:val="19"/>
              </w:rPr>
              <w:noBreakHyphen/>
              <w:t>7</w:t>
            </w:r>
          </w:p>
        </w:tc>
        <w:tc>
          <w:tcPr>
            <w:tcW w:w="2693" w:type="dxa"/>
          </w:tcPr>
          <w:p>
            <w:pPr>
              <w:pStyle w:val="nTable"/>
              <w:spacing w:before="60"/>
              <w:rPr>
                <w:sz w:val="19"/>
              </w:rPr>
            </w:pPr>
            <w:r>
              <w:rPr>
                <w:sz w:val="19"/>
              </w:rPr>
              <w:t>25 Aug 1995</w:t>
            </w:r>
          </w:p>
        </w:tc>
      </w:tr>
      <w:tr>
        <w:trPr>
          <w:cantSplit/>
        </w:trPr>
        <w:tc>
          <w:tcPr>
            <w:tcW w:w="3232" w:type="dxa"/>
          </w:tcPr>
          <w:p>
            <w:pPr>
              <w:pStyle w:val="nTable"/>
              <w:spacing w:before="60"/>
              <w:ind w:right="113"/>
              <w:rPr>
                <w:sz w:val="19"/>
              </w:rPr>
            </w:pPr>
            <w:r>
              <w:rPr>
                <w:i/>
                <w:sz w:val="19"/>
              </w:rPr>
              <w:t>Workers’ Compensation and Rehabilitation Amendment Regulations (No. 2) 1995</w:t>
            </w:r>
          </w:p>
        </w:tc>
        <w:tc>
          <w:tcPr>
            <w:tcW w:w="1276" w:type="dxa"/>
          </w:tcPr>
          <w:p>
            <w:pPr>
              <w:pStyle w:val="nTable"/>
              <w:spacing w:before="60"/>
              <w:rPr>
                <w:sz w:val="19"/>
              </w:rPr>
            </w:pPr>
            <w:r>
              <w:rPr>
                <w:sz w:val="19"/>
              </w:rPr>
              <w:t>15 Sep 1995 p. 4358</w:t>
            </w:r>
          </w:p>
        </w:tc>
        <w:tc>
          <w:tcPr>
            <w:tcW w:w="2693" w:type="dxa"/>
          </w:tcPr>
          <w:p>
            <w:pPr>
              <w:pStyle w:val="nTable"/>
              <w:spacing w:before="60"/>
              <w:rPr>
                <w:sz w:val="19"/>
              </w:rPr>
            </w:pPr>
            <w:r>
              <w:rPr>
                <w:sz w:val="19"/>
              </w:rPr>
              <w:t>15 Sep 1995</w:t>
            </w:r>
          </w:p>
        </w:tc>
      </w:tr>
      <w:tr>
        <w:trPr>
          <w:cantSplit/>
        </w:trPr>
        <w:tc>
          <w:tcPr>
            <w:tcW w:w="3232" w:type="dxa"/>
          </w:tcPr>
          <w:p>
            <w:pPr>
              <w:pStyle w:val="nTable"/>
              <w:spacing w:before="60"/>
              <w:ind w:right="113"/>
              <w:rPr>
                <w:sz w:val="19"/>
              </w:rPr>
            </w:pPr>
            <w:r>
              <w:rPr>
                <w:i/>
                <w:sz w:val="19"/>
              </w:rPr>
              <w:t>Workers’ Compensation and Rehabilitation Amendment Regulations 1996</w:t>
            </w:r>
          </w:p>
        </w:tc>
        <w:tc>
          <w:tcPr>
            <w:tcW w:w="1276" w:type="dxa"/>
          </w:tcPr>
          <w:p>
            <w:pPr>
              <w:pStyle w:val="nTable"/>
              <w:spacing w:before="60"/>
              <w:rPr>
                <w:sz w:val="19"/>
              </w:rPr>
            </w:pPr>
            <w:r>
              <w:rPr>
                <w:sz w:val="19"/>
              </w:rPr>
              <w:t>17 Jan 1997 p. 444</w:t>
            </w:r>
          </w:p>
        </w:tc>
        <w:tc>
          <w:tcPr>
            <w:tcW w:w="2693" w:type="dxa"/>
          </w:tcPr>
          <w:p>
            <w:pPr>
              <w:pStyle w:val="nTable"/>
              <w:spacing w:before="60"/>
              <w:rPr>
                <w:sz w:val="19"/>
              </w:rPr>
            </w:pPr>
            <w:r>
              <w:rPr>
                <w:sz w:val="19"/>
              </w:rPr>
              <w:t>17 Jan 1997</w:t>
            </w:r>
          </w:p>
        </w:tc>
      </w:tr>
      <w:tr>
        <w:trPr>
          <w:cantSplit/>
        </w:trPr>
        <w:tc>
          <w:tcPr>
            <w:tcW w:w="3232" w:type="dxa"/>
          </w:tcPr>
          <w:p>
            <w:pPr>
              <w:pStyle w:val="nTable"/>
              <w:spacing w:before="60"/>
              <w:ind w:right="113"/>
              <w:rPr>
                <w:sz w:val="19"/>
              </w:rPr>
            </w:pPr>
            <w:r>
              <w:rPr>
                <w:i/>
                <w:sz w:val="19"/>
              </w:rPr>
              <w:t>Workers’ Compensation and Rehabilitation Amendment Regulations 1997</w:t>
            </w:r>
          </w:p>
        </w:tc>
        <w:tc>
          <w:tcPr>
            <w:tcW w:w="1276" w:type="dxa"/>
          </w:tcPr>
          <w:p>
            <w:pPr>
              <w:pStyle w:val="nTable"/>
              <w:spacing w:before="60"/>
              <w:rPr>
                <w:sz w:val="19"/>
              </w:rPr>
            </w:pPr>
            <w:r>
              <w:rPr>
                <w:sz w:val="19"/>
              </w:rPr>
              <w:t>12 Aug 1997 p. 4568</w:t>
            </w:r>
          </w:p>
        </w:tc>
        <w:tc>
          <w:tcPr>
            <w:tcW w:w="2693" w:type="dxa"/>
          </w:tcPr>
          <w:p>
            <w:pPr>
              <w:pStyle w:val="nTable"/>
              <w:spacing w:before="60"/>
              <w:rPr>
                <w:sz w:val="19"/>
              </w:rPr>
            </w:pPr>
            <w:r>
              <w:rPr>
                <w:sz w:val="19"/>
              </w:rPr>
              <w:t>12 Aug 1997</w:t>
            </w:r>
          </w:p>
        </w:tc>
      </w:tr>
      <w:tr>
        <w:trPr>
          <w:cantSplit/>
        </w:trPr>
        <w:tc>
          <w:tcPr>
            <w:tcW w:w="3232" w:type="dxa"/>
          </w:tcPr>
          <w:p>
            <w:pPr>
              <w:pStyle w:val="nTable"/>
              <w:spacing w:before="60"/>
              <w:ind w:right="113"/>
              <w:rPr>
                <w:sz w:val="19"/>
              </w:rPr>
            </w:pPr>
            <w:r>
              <w:rPr>
                <w:i/>
                <w:sz w:val="19"/>
              </w:rPr>
              <w:t>Workers’ Compensation and Rehabilitation Amendment Regulations 1998</w:t>
            </w:r>
          </w:p>
        </w:tc>
        <w:tc>
          <w:tcPr>
            <w:tcW w:w="1276" w:type="dxa"/>
          </w:tcPr>
          <w:p>
            <w:pPr>
              <w:pStyle w:val="nTable"/>
              <w:spacing w:before="60"/>
              <w:rPr>
                <w:sz w:val="19"/>
              </w:rPr>
            </w:pPr>
            <w:r>
              <w:rPr>
                <w:sz w:val="19"/>
              </w:rPr>
              <w:t>12 Jun 1998</w:t>
            </w:r>
            <w:r>
              <w:rPr>
                <w:sz w:val="19"/>
              </w:rPr>
              <w:br/>
              <w:t>p. 3205</w:t>
            </w:r>
          </w:p>
        </w:tc>
        <w:tc>
          <w:tcPr>
            <w:tcW w:w="2693" w:type="dxa"/>
          </w:tcPr>
          <w:p>
            <w:pPr>
              <w:pStyle w:val="nTable"/>
              <w:spacing w:before="60"/>
              <w:rPr>
                <w:sz w:val="19"/>
              </w:rPr>
            </w:pPr>
            <w:r>
              <w:rPr>
                <w:sz w:val="19"/>
              </w:rPr>
              <w:t>1 Jul 1998 (see r. 2)</w:t>
            </w:r>
          </w:p>
        </w:tc>
      </w:tr>
      <w:tr>
        <w:trPr>
          <w:cantSplit/>
        </w:trPr>
        <w:tc>
          <w:tcPr>
            <w:tcW w:w="3232" w:type="dxa"/>
          </w:tcPr>
          <w:p>
            <w:pPr>
              <w:pStyle w:val="nTable"/>
              <w:spacing w:before="60"/>
              <w:ind w:right="113"/>
              <w:rPr>
                <w:i/>
                <w:sz w:val="19"/>
              </w:rPr>
            </w:pPr>
            <w:r>
              <w:rPr>
                <w:i/>
                <w:sz w:val="19"/>
              </w:rPr>
              <w:t>Workers’ Compensation and Rehabilitation Amendment Regulations 1999</w:t>
            </w:r>
          </w:p>
        </w:tc>
        <w:tc>
          <w:tcPr>
            <w:tcW w:w="1276" w:type="dxa"/>
          </w:tcPr>
          <w:p>
            <w:pPr>
              <w:pStyle w:val="nTable"/>
              <w:keepNext/>
              <w:keepLines/>
              <w:spacing w:before="60"/>
              <w:rPr>
                <w:sz w:val="19"/>
              </w:rPr>
            </w:pPr>
            <w:r>
              <w:rPr>
                <w:sz w:val="19"/>
              </w:rPr>
              <w:t>13 Apr 1999 p. 1529</w:t>
            </w:r>
            <w:r>
              <w:rPr>
                <w:sz w:val="19"/>
              </w:rPr>
              <w:noBreakHyphen/>
              <w:t>41 (correction 16 Apr 1999 p. 1598)</w:t>
            </w:r>
          </w:p>
        </w:tc>
        <w:tc>
          <w:tcPr>
            <w:tcW w:w="2693" w:type="dxa"/>
          </w:tcPr>
          <w:p>
            <w:pPr>
              <w:pStyle w:val="nTable"/>
              <w:keepNext/>
              <w:keepLines/>
              <w:spacing w:before="60"/>
              <w:rPr>
                <w:sz w:val="19"/>
              </w:rPr>
            </w:pPr>
            <w:r>
              <w:rPr>
                <w:sz w:val="19"/>
              </w:rPr>
              <w:t>3 May 1999 (see r. 2)</w:t>
            </w:r>
          </w:p>
        </w:tc>
      </w:tr>
      <w:tr>
        <w:trPr>
          <w:cantSplit/>
        </w:trPr>
        <w:tc>
          <w:tcPr>
            <w:tcW w:w="3232" w:type="dxa"/>
          </w:tcPr>
          <w:p>
            <w:pPr>
              <w:pStyle w:val="nTable"/>
              <w:spacing w:before="60"/>
              <w:ind w:right="113"/>
              <w:rPr>
                <w:i/>
                <w:sz w:val="19"/>
              </w:rPr>
            </w:pPr>
            <w:r>
              <w:rPr>
                <w:i/>
                <w:sz w:val="19"/>
              </w:rPr>
              <w:t>Workers’ Compensation and Rehabilitation Amendment Regulations (No. 3) 1999</w:t>
            </w:r>
          </w:p>
        </w:tc>
        <w:tc>
          <w:tcPr>
            <w:tcW w:w="1276" w:type="dxa"/>
          </w:tcPr>
          <w:p>
            <w:pPr>
              <w:pStyle w:val="nTable"/>
              <w:keepNext/>
              <w:keepLines/>
              <w:spacing w:before="60"/>
              <w:rPr>
                <w:sz w:val="19"/>
              </w:rPr>
            </w:pPr>
            <w:r>
              <w:rPr>
                <w:sz w:val="19"/>
              </w:rPr>
              <w:t>22 Jun 1999 p. 2692</w:t>
            </w:r>
            <w:r>
              <w:rPr>
                <w:sz w:val="19"/>
              </w:rPr>
              <w:noBreakHyphen/>
              <w:t>3</w:t>
            </w:r>
          </w:p>
        </w:tc>
        <w:tc>
          <w:tcPr>
            <w:tcW w:w="2693" w:type="dxa"/>
          </w:tcPr>
          <w:p>
            <w:pPr>
              <w:pStyle w:val="nTable"/>
              <w:keepNext/>
              <w:keepLines/>
              <w:spacing w:before="60"/>
              <w:rPr>
                <w:sz w:val="19"/>
              </w:rPr>
            </w:pPr>
            <w:r>
              <w:rPr>
                <w:sz w:val="19"/>
              </w:rPr>
              <w:t>1 Jul 1999 (see r. 2)</w:t>
            </w:r>
          </w:p>
        </w:tc>
      </w:tr>
      <w:tr>
        <w:trPr>
          <w:cantSplit/>
        </w:trPr>
        <w:tc>
          <w:tcPr>
            <w:tcW w:w="3232" w:type="dxa"/>
          </w:tcPr>
          <w:p>
            <w:pPr>
              <w:pStyle w:val="nTable"/>
              <w:spacing w:before="60"/>
              <w:ind w:right="113"/>
              <w:rPr>
                <w:i/>
                <w:sz w:val="19"/>
              </w:rPr>
            </w:pPr>
            <w:r>
              <w:rPr>
                <w:i/>
                <w:sz w:val="19"/>
              </w:rPr>
              <w:t>Workers’ Compensation and Rehabilitation Amendment Regulations (No. 4) 1999</w:t>
            </w:r>
          </w:p>
        </w:tc>
        <w:tc>
          <w:tcPr>
            <w:tcW w:w="1276" w:type="dxa"/>
          </w:tcPr>
          <w:p>
            <w:pPr>
              <w:pStyle w:val="nTable"/>
              <w:keepNext/>
              <w:keepLines/>
              <w:spacing w:before="60"/>
              <w:rPr>
                <w:sz w:val="19"/>
              </w:rPr>
            </w:pPr>
            <w:r>
              <w:rPr>
                <w:sz w:val="19"/>
              </w:rPr>
              <w:t>15 Oct 1999 p. 4890</w:t>
            </w:r>
            <w:r>
              <w:rPr>
                <w:sz w:val="19"/>
              </w:rPr>
              <w:noBreakHyphen/>
              <w:t>8</w:t>
            </w:r>
          </w:p>
        </w:tc>
        <w:tc>
          <w:tcPr>
            <w:tcW w:w="2693" w:type="dxa"/>
          </w:tcPr>
          <w:p>
            <w:pPr>
              <w:pStyle w:val="nTable"/>
              <w:keepNext/>
              <w:keepLines/>
              <w:spacing w:before="60"/>
              <w:rPr>
                <w:sz w:val="19"/>
              </w:rPr>
            </w:pPr>
            <w:r>
              <w:rPr>
                <w:sz w:val="19"/>
              </w:rPr>
              <w:t>15 Oct 1999 (see r. 2)</w:t>
            </w:r>
          </w:p>
        </w:tc>
      </w:tr>
      <w:tr>
        <w:trPr>
          <w:cantSplit/>
        </w:trPr>
        <w:tc>
          <w:tcPr>
            <w:tcW w:w="3232" w:type="dxa"/>
          </w:tcPr>
          <w:p>
            <w:pPr>
              <w:pStyle w:val="nTable"/>
              <w:spacing w:before="60"/>
              <w:ind w:right="113"/>
              <w:rPr>
                <w:i/>
                <w:sz w:val="19"/>
              </w:rPr>
            </w:pPr>
            <w:r>
              <w:rPr>
                <w:i/>
                <w:sz w:val="19"/>
              </w:rPr>
              <w:t>Workers’ Compensation and Rehabilitation Amendment Regulations (No. 5) 1999</w:t>
            </w:r>
          </w:p>
        </w:tc>
        <w:tc>
          <w:tcPr>
            <w:tcW w:w="1276" w:type="dxa"/>
          </w:tcPr>
          <w:p>
            <w:pPr>
              <w:pStyle w:val="nTable"/>
              <w:keepNext/>
              <w:keepLines/>
              <w:spacing w:before="60"/>
              <w:rPr>
                <w:sz w:val="19"/>
              </w:rPr>
            </w:pPr>
            <w:r>
              <w:rPr>
                <w:sz w:val="19"/>
              </w:rPr>
              <w:t>15 Oct 1999 p. 4899</w:t>
            </w:r>
          </w:p>
        </w:tc>
        <w:tc>
          <w:tcPr>
            <w:tcW w:w="2693" w:type="dxa"/>
          </w:tcPr>
          <w:p>
            <w:pPr>
              <w:pStyle w:val="nTable"/>
              <w:keepNext/>
              <w:keepLines/>
              <w:spacing w:before="60"/>
              <w:rPr>
                <w:sz w:val="19"/>
              </w:rPr>
            </w:pPr>
            <w:r>
              <w:rPr>
                <w:sz w:val="19"/>
              </w:rPr>
              <w:t xml:space="preserve">15 Oct 1999 (see r. 2 and </w:t>
            </w:r>
            <w:r>
              <w:rPr>
                <w:i/>
                <w:sz w:val="19"/>
              </w:rPr>
              <w:t>Gazette</w:t>
            </w:r>
            <w:r>
              <w:rPr>
                <w:sz w:val="19"/>
              </w:rPr>
              <w:t xml:space="preserve"> 15 Oct 1999 p. 4889)</w:t>
            </w:r>
          </w:p>
        </w:tc>
      </w:tr>
      <w:tr>
        <w:trPr>
          <w:cantSplit/>
        </w:trPr>
        <w:tc>
          <w:tcPr>
            <w:tcW w:w="3232" w:type="dxa"/>
          </w:tcPr>
          <w:p>
            <w:pPr>
              <w:pStyle w:val="nTable"/>
              <w:spacing w:before="60"/>
              <w:ind w:right="113"/>
              <w:rPr>
                <w:i/>
                <w:sz w:val="19"/>
              </w:rPr>
            </w:pPr>
            <w:r>
              <w:rPr>
                <w:i/>
                <w:sz w:val="19"/>
              </w:rPr>
              <w:t>Workers’ Compensation and Rehabilitation Amendment Regulations (No. 6) 1999</w:t>
            </w:r>
          </w:p>
        </w:tc>
        <w:tc>
          <w:tcPr>
            <w:tcW w:w="1276" w:type="dxa"/>
          </w:tcPr>
          <w:p>
            <w:pPr>
              <w:pStyle w:val="nTable"/>
              <w:spacing w:before="60"/>
              <w:rPr>
                <w:sz w:val="19"/>
              </w:rPr>
            </w:pPr>
            <w:r>
              <w:rPr>
                <w:sz w:val="19"/>
              </w:rPr>
              <w:t>15 Oct 1999 p. 4900</w:t>
            </w:r>
            <w:r>
              <w:rPr>
                <w:sz w:val="19"/>
              </w:rPr>
              <w:noBreakHyphen/>
              <w:t>2</w:t>
            </w:r>
          </w:p>
        </w:tc>
        <w:tc>
          <w:tcPr>
            <w:tcW w:w="2693" w:type="dxa"/>
          </w:tcPr>
          <w:p>
            <w:pPr>
              <w:pStyle w:val="nTable"/>
              <w:spacing w:before="60"/>
              <w:rPr>
                <w:sz w:val="19"/>
              </w:rPr>
            </w:pPr>
            <w:r>
              <w:rPr>
                <w:sz w:val="19"/>
              </w:rPr>
              <w:t xml:space="preserve">15 Oct 1999 (see r. 2 and </w:t>
            </w:r>
            <w:r>
              <w:rPr>
                <w:i/>
                <w:sz w:val="19"/>
              </w:rPr>
              <w:t>Gazette</w:t>
            </w:r>
            <w:r>
              <w:rPr>
                <w:sz w:val="19"/>
              </w:rPr>
              <w:t xml:space="preserve"> 15 Oct 1999 p. 4889)</w:t>
            </w:r>
          </w:p>
        </w:tc>
      </w:tr>
      <w:tr>
        <w:trPr>
          <w:cantSplit/>
        </w:trPr>
        <w:tc>
          <w:tcPr>
            <w:tcW w:w="3232" w:type="dxa"/>
          </w:tcPr>
          <w:p>
            <w:pPr>
              <w:pStyle w:val="nTable"/>
              <w:spacing w:before="60"/>
              <w:ind w:right="113"/>
              <w:rPr>
                <w:i/>
                <w:sz w:val="19"/>
              </w:rPr>
            </w:pPr>
            <w:r>
              <w:rPr>
                <w:i/>
                <w:sz w:val="19"/>
              </w:rPr>
              <w:t>Workers’ Compensation and Rehabilitation Amendment Regulations (No. 7) 1999</w:t>
            </w:r>
          </w:p>
        </w:tc>
        <w:tc>
          <w:tcPr>
            <w:tcW w:w="1276" w:type="dxa"/>
          </w:tcPr>
          <w:p>
            <w:pPr>
              <w:pStyle w:val="nTable"/>
              <w:spacing w:before="60"/>
              <w:rPr>
                <w:sz w:val="19"/>
              </w:rPr>
            </w:pPr>
            <w:r>
              <w:rPr>
                <w:sz w:val="19"/>
              </w:rPr>
              <w:t>15 Oct 1999 p. 4903</w:t>
            </w:r>
          </w:p>
        </w:tc>
        <w:tc>
          <w:tcPr>
            <w:tcW w:w="2693" w:type="dxa"/>
          </w:tcPr>
          <w:p>
            <w:pPr>
              <w:pStyle w:val="nTable"/>
              <w:spacing w:before="60"/>
              <w:rPr>
                <w:sz w:val="19"/>
              </w:rPr>
            </w:pPr>
            <w:r>
              <w:rPr>
                <w:sz w:val="19"/>
              </w:rPr>
              <w:t xml:space="preserve">15 Oct 1999 (see r. 2 and </w:t>
            </w:r>
            <w:r>
              <w:rPr>
                <w:i/>
                <w:sz w:val="19"/>
              </w:rPr>
              <w:t>Gazette</w:t>
            </w:r>
            <w:r>
              <w:rPr>
                <w:sz w:val="19"/>
              </w:rPr>
              <w:t xml:space="preserve"> 15 Oct 1999 p. 4889)</w:t>
            </w:r>
          </w:p>
        </w:tc>
      </w:tr>
      <w:tr>
        <w:trPr>
          <w:cantSplit/>
        </w:trPr>
        <w:tc>
          <w:tcPr>
            <w:tcW w:w="3232" w:type="dxa"/>
          </w:tcPr>
          <w:p>
            <w:pPr>
              <w:pStyle w:val="nTable"/>
              <w:spacing w:before="60"/>
              <w:ind w:right="113"/>
              <w:rPr>
                <w:i/>
                <w:sz w:val="19"/>
              </w:rPr>
            </w:pPr>
            <w:r>
              <w:rPr>
                <w:i/>
                <w:sz w:val="19"/>
              </w:rPr>
              <w:t>Workers’ Compensation and Rehabilitation Amendment Regulations (No. 8) 1999</w:t>
            </w:r>
          </w:p>
        </w:tc>
        <w:tc>
          <w:tcPr>
            <w:tcW w:w="1276" w:type="dxa"/>
          </w:tcPr>
          <w:p>
            <w:pPr>
              <w:pStyle w:val="nTable"/>
              <w:spacing w:before="60"/>
              <w:rPr>
                <w:sz w:val="19"/>
              </w:rPr>
            </w:pPr>
            <w:r>
              <w:rPr>
                <w:sz w:val="19"/>
              </w:rPr>
              <w:t>15 Oct 1999 p. 4904</w:t>
            </w:r>
          </w:p>
        </w:tc>
        <w:tc>
          <w:tcPr>
            <w:tcW w:w="2693" w:type="dxa"/>
          </w:tcPr>
          <w:p>
            <w:pPr>
              <w:pStyle w:val="nTable"/>
              <w:spacing w:before="60"/>
              <w:rPr>
                <w:sz w:val="19"/>
              </w:rPr>
            </w:pPr>
            <w:r>
              <w:rPr>
                <w:sz w:val="19"/>
              </w:rPr>
              <w:t xml:space="preserve">15 Oct 1999 (see r. 2 and </w:t>
            </w:r>
            <w:r>
              <w:rPr>
                <w:i/>
                <w:sz w:val="19"/>
              </w:rPr>
              <w:t>Gazette</w:t>
            </w:r>
            <w:r>
              <w:rPr>
                <w:sz w:val="19"/>
              </w:rPr>
              <w:t xml:space="preserve"> 15 Oct 1999 p. 4889)</w:t>
            </w:r>
          </w:p>
        </w:tc>
      </w:tr>
      <w:tr>
        <w:trPr>
          <w:cantSplit/>
        </w:trPr>
        <w:tc>
          <w:tcPr>
            <w:tcW w:w="3232" w:type="dxa"/>
          </w:tcPr>
          <w:p>
            <w:pPr>
              <w:pStyle w:val="nTable"/>
              <w:spacing w:before="60"/>
              <w:ind w:right="113"/>
              <w:rPr>
                <w:i/>
                <w:sz w:val="19"/>
              </w:rPr>
            </w:pPr>
            <w:r>
              <w:rPr>
                <w:i/>
                <w:sz w:val="19"/>
              </w:rPr>
              <w:t>Workers’ Compensation and Rehabilitation Amendment Regulations (No. 9) 1999</w:t>
            </w:r>
          </w:p>
        </w:tc>
        <w:tc>
          <w:tcPr>
            <w:tcW w:w="1276" w:type="dxa"/>
          </w:tcPr>
          <w:p>
            <w:pPr>
              <w:pStyle w:val="nTable"/>
              <w:spacing w:before="60"/>
              <w:rPr>
                <w:sz w:val="19"/>
              </w:rPr>
            </w:pPr>
            <w:r>
              <w:rPr>
                <w:sz w:val="19"/>
              </w:rPr>
              <w:t>15 Oct 1999 p. 4905</w:t>
            </w:r>
          </w:p>
        </w:tc>
        <w:tc>
          <w:tcPr>
            <w:tcW w:w="2693" w:type="dxa"/>
          </w:tcPr>
          <w:p>
            <w:pPr>
              <w:pStyle w:val="nTable"/>
              <w:spacing w:before="60"/>
              <w:rPr>
                <w:sz w:val="19"/>
              </w:rPr>
            </w:pPr>
            <w:r>
              <w:rPr>
                <w:sz w:val="19"/>
              </w:rPr>
              <w:t xml:space="preserve">15 Oct 1999 (see r. 2 and </w:t>
            </w:r>
            <w:r>
              <w:rPr>
                <w:i/>
                <w:sz w:val="19"/>
              </w:rPr>
              <w:t>Gazette</w:t>
            </w:r>
            <w:r>
              <w:rPr>
                <w:sz w:val="19"/>
              </w:rPr>
              <w:t xml:space="preserve"> 15 Oct 1999 p. 4889)</w:t>
            </w:r>
          </w:p>
        </w:tc>
      </w:tr>
      <w:tr>
        <w:trPr>
          <w:cantSplit/>
        </w:trPr>
        <w:tc>
          <w:tcPr>
            <w:tcW w:w="3232" w:type="dxa"/>
          </w:tcPr>
          <w:p>
            <w:pPr>
              <w:pStyle w:val="nTable"/>
              <w:spacing w:before="60"/>
              <w:ind w:right="113"/>
              <w:rPr>
                <w:i/>
                <w:sz w:val="19"/>
              </w:rPr>
            </w:pPr>
            <w:r>
              <w:rPr>
                <w:i/>
                <w:sz w:val="19"/>
              </w:rPr>
              <w:t>Workers’ Compensation and Rehabilitation Amendment Regulations (No. 10) 1999</w:t>
            </w:r>
          </w:p>
        </w:tc>
        <w:tc>
          <w:tcPr>
            <w:tcW w:w="1276" w:type="dxa"/>
          </w:tcPr>
          <w:p>
            <w:pPr>
              <w:pStyle w:val="nTable"/>
              <w:spacing w:before="60"/>
              <w:rPr>
                <w:sz w:val="19"/>
              </w:rPr>
            </w:pPr>
            <w:r>
              <w:rPr>
                <w:sz w:val="19"/>
              </w:rPr>
              <w:t>15 Oct 1999 p. 4906</w:t>
            </w:r>
            <w:r>
              <w:rPr>
                <w:sz w:val="19"/>
              </w:rPr>
              <w:noBreakHyphen/>
              <w:t>12</w:t>
            </w:r>
          </w:p>
        </w:tc>
        <w:tc>
          <w:tcPr>
            <w:tcW w:w="2693" w:type="dxa"/>
          </w:tcPr>
          <w:p>
            <w:pPr>
              <w:pStyle w:val="nTable"/>
              <w:spacing w:before="60"/>
              <w:rPr>
                <w:sz w:val="19"/>
              </w:rPr>
            </w:pPr>
            <w:r>
              <w:rPr>
                <w:sz w:val="19"/>
              </w:rPr>
              <w:t>15 Oct 1999 (see r. 2)</w:t>
            </w:r>
          </w:p>
        </w:tc>
      </w:tr>
      <w:tr>
        <w:trPr>
          <w:cantSplit/>
        </w:trPr>
        <w:tc>
          <w:tcPr>
            <w:tcW w:w="3232" w:type="dxa"/>
          </w:tcPr>
          <w:p>
            <w:pPr>
              <w:pStyle w:val="nTable"/>
              <w:spacing w:before="60"/>
              <w:ind w:right="113"/>
              <w:rPr>
                <w:i/>
                <w:sz w:val="19"/>
              </w:rPr>
            </w:pPr>
            <w:r>
              <w:rPr>
                <w:i/>
                <w:sz w:val="19"/>
              </w:rPr>
              <w:t>Workers’ Compensation and Rehabilitation Amendment Regulations (No. 11) 1999</w:t>
            </w:r>
          </w:p>
        </w:tc>
        <w:tc>
          <w:tcPr>
            <w:tcW w:w="1276" w:type="dxa"/>
          </w:tcPr>
          <w:p>
            <w:pPr>
              <w:pStyle w:val="nTable"/>
              <w:spacing w:before="60"/>
              <w:rPr>
                <w:sz w:val="19"/>
              </w:rPr>
            </w:pPr>
            <w:r>
              <w:rPr>
                <w:sz w:val="19"/>
              </w:rPr>
              <w:t>14 Dec 1999 p. 6145</w:t>
            </w:r>
            <w:r>
              <w:rPr>
                <w:sz w:val="19"/>
              </w:rPr>
              <w:noBreakHyphen/>
              <w:t>63</w:t>
            </w:r>
          </w:p>
        </w:tc>
        <w:tc>
          <w:tcPr>
            <w:tcW w:w="2693" w:type="dxa"/>
          </w:tcPr>
          <w:p>
            <w:pPr>
              <w:pStyle w:val="nTable"/>
              <w:spacing w:before="60"/>
              <w:rPr>
                <w:sz w:val="19"/>
              </w:rPr>
            </w:pPr>
            <w:r>
              <w:rPr>
                <w:sz w:val="19"/>
              </w:rPr>
              <w:t>14 Dec 1999</w:t>
            </w:r>
          </w:p>
        </w:tc>
      </w:tr>
      <w:tr>
        <w:trPr>
          <w:cantSplit/>
        </w:trPr>
        <w:tc>
          <w:tcPr>
            <w:tcW w:w="7201" w:type="dxa"/>
            <w:gridSpan w:val="3"/>
          </w:tcPr>
          <w:p>
            <w:pPr>
              <w:pStyle w:val="nTable"/>
              <w:spacing w:before="6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232" w:type="dxa"/>
          </w:tcPr>
          <w:p>
            <w:pPr>
              <w:pStyle w:val="nTable"/>
              <w:spacing w:before="60"/>
              <w:ind w:right="113"/>
              <w:rPr>
                <w:i/>
                <w:sz w:val="19"/>
              </w:rPr>
            </w:pPr>
            <w:r>
              <w:rPr>
                <w:i/>
                <w:sz w:val="19"/>
              </w:rPr>
              <w:t>Workers’ Compensation and Rehabilitation Amendment Regulations 2000</w:t>
            </w:r>
          </w:p>
        </w:tc>
        <w:tc>
          <w:tcPr>
            <w:tcW w:w="1276" w:type="dxa"/>
          </w:tcPr>
          <w:p>
            <w:pPr>
              <w:pStyle w:val="nTable"/>
              <w:keepNext/>
              <w:keepLines/>
              <w:spacing w:before="60"/>
              <w:rPr>
                <w:sz w:val="19"/>
              </w:rPr>
            </w:pPr>
            <w:r>
              <w:rPr>
                <w:sz w:val="19"/>
              </w:rPr>
              <w:t>17 Nov 2000 p. 6307</w:t>
            </w:r>
            <w:r>
              <w:rPr>
                <w:sz w:val="19"/>
              </w:rPr>
              <w:noBreakHyphen/>
              <w:t>22</w:t>
            </w:r>
          </w:p>
        </w:tc>
        <w:tc>
          <w:tcPr>
            <w:tcW w:w="2693" w:type="dxa"/>
          </w:tcPr>
          <w:p>
            <w:pPr>
              <w:pStyle w:val="nTable"/>
              <w:keepNext/>
              <w:keepLines/>
              <w:spacing w:before="60"/>
              <w:rPr>
                <w:sz w:val="19"/>
              </w:rPr>
            </w:pPr>
            <w:r>
              <w:rPr>
                <w:sz w:val="19"/>
              </w:rPr>
              <w:t>17 Nov 2000</w:t>
            </w:r>
          </w:p>
        </w:tc>
      </w:tr>
      <w:tr>
        <w:trPr>
          <w:cantSplit/>
        </w:trPr>
        <w:tc>
          <w:tcPr>
            <w:tcW w:w="3232" w:type="dxa"/>
          </w:tcPr>
          <w:p>
            <w:pPr>
              <w:pStyle w:val="nTable"/>
              <w:spacing w:before="60"/>
              <w:ind w:right="113"/>
            </w:pPr>
            <w:r>
              <w:rPr>
                <w:i/>
              </w:rPr>
              <w:t xml:space="preserve">Corporations (Consequential Amendments) Regulations 2001 </w:t>
            </w:r>
            <w:r>
              <w:t>Pt. 7</w:t>
            </w:r>
          </w:p>
        </w:tc>
        <w:tc>
          <w:tcPr>
            <w:tcW w:w="1276" w:type="dxa"/>
          </w:tcPr>
          <w:p>
            <w:pPr>
              <w:pStyle w:val="nTable"/>
              <w:spacing w:before="60"/>
              <w:rPr>
                <w:sz w:val="19"/>
              </w:rPr>
            </w:pPr>
            <w:r>
              <w:rPr>
                <w:sz w:val="19"/>
              </w:rPr>
              <w:t>28 Sep 2001 p. 5353</w:t>
            </w:r>
            <w:r>
              <w:rPr>
                <w:sz w:val="19"/>
              </w:rPr>
              <w:noBreakHyphen/>
              <w:t>8</w:t>
            </w:r>
          </w:p>
        </w:tc>
        <w:tc>
          <w:tcPr>
            <w:tcW w:w="2693" w:type="dxa"/>
          </w:tcPr>
          <w:p>
            <w:pPr>
              <w:pStyle w:val="nTable"/>
              <w:keepNext/>
              <w:keepLines/>
              <w:spacing w:before="60"/>
              <w:rPr>
                <w:sz w:val="19"/>
              </w:rPr>
            </w:pPr>
            <w:r>
              <w:rPr>
                <w:sz w:val="19"/>
              </w:rPr>
              <w:t xml:space="preserve">15 Jul 2001 (see r. 2 and Cwlth </w:t>
            </w:r>
            <w:r>
              <w:rPr>
                <w:i/>
                <w:sz w:val="19"/>
              </w:rPr>
              <w:t>Gazette</w:t>
            </w:r>
            <w:r>
              <w:rPr>
                <w:sz w:val="19"/>
              </w:rPr>
              <w:t xml:space="preserve"> 13 Jul 2001 No. S285)</w:t>
            </w:r>
          </w:p>
        </w:tc>
      </w:tr>
      <w:tr>
        <w:trPr>
          <w:cantSplit/>
        </w:trPr>
        <w:tc>
          <w:tcPr>
            <w:tcW w:w="3232" w:type="dxa"/>
          </w:tcPr>
          <w:p>
            <w:pPr>
              <w:pStyle w:val="nTable"/>
              <w:spacing w:before="60"/>
              <w:ind w:right="113"/>
              <w:rPr>
                <w:i/>
              </w:rPr>
            </w:pPr>
            <w:r>
              <w:rPr>
                <w:i/>
              </w:rPr>
              <w:t>Workers’ Compensation and Rehabilitation Amendment Regulations 2002</w:t>
            </w:r>
          </w:p>
        </w:tc>
        <w:tc>
          <w:tcPr>
            <w:tcW w:w="1276" w:type="dxa"/>
          </w:tcPr>
          <w:p>
            <w:pPr>
              <w:pStyle w:val="nTable"/>
              <w:spacing w:before="60"/>
              <w:rPr>
                <w:sz w:val="19"/>
              </w:rPr>
            </w:pPr>
            <w:r>
              <w:rPr>
                <w:sz w:val="19"/>
              </w:rPr>
              <w:t>8 Mar 2002 p. 948</w:t>
            </w:r>
            <w:r>
              <w:rPr>
                <w:sz w:val="19"/>
              </w:rPr>
              <w:noBreakHyphen/>
              <w:t>9</w:t>
            </w:r>
          </w:p>
        </w:tc>
        <w:tc>
          <w:tcPr>
            <w:tcW w:w="2693" w:type="dxa"/>
          </w:tcPr>
          <w:p>
            <w:pPr>
              <w:pStyle w:val="nTable"/>
              <w:keepNext/>
              <w:keepLines/>
              <w:spacing w:before="60"/>
              <w:rPr>
                <w:sz w:val="19"/>
              </w:rPr>
            </w:pPr>
            <w:r>
              <w:rPr>
                <w:sz w:val="19"/>
              </w:rPr>
              <w:t>8 Mar 2002</w:t>
            </w:r>
          </w:p>
        </w:tc>
      </w:tr>
      <w:tr>
        <w:trPr>
          <w:cantSplit/>
        </w:trPr>
        <w:tc>
          <w:tcPr>
            <w:tcW w:w="7201" w:type="dxa"/>
            <w:gridSpan w:val="3"/>
          </w:tcPr>
          <w:p>
            <w:pPr>
              <w:pStyle w:val="nTable"/>
              <w:keepNext/>
              <w:keepLines/>
              <w:spacing w:before="6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232" w:type="dxa"/>
          </w:tcPr>
          <w:p>
            <w:pPr>
              <w:pStyle w:val="nTable"/>
              <w:spacing w:before="60"/>
              <w:ind w:right="113"/>
              <w:rPr>
                <w:i/>
              </w:rPr>
            </w:pPr>
            <w:r>
              <w:rPr>
                <w:i/>
                <w:sz w:val="19"/>
              </w:rPr>
              <w:t>Equality of Status Subsidiary Legislation Amendment Regulations 2003</w:t>
            </w:r>
            <w:r>
              <w:rPr>
                <w:sz w:val="19"/>
              </w:rPr>
              <w:t xml:space="preserve"> Pt. 42</w:t>
            </w:r>
          </w:p>
        </w:tc>
        <w:tc>
          <w:tcPr>
            <w:tcW w:w="1276" w:type="dxa"/>
          </w:tcPr>
          <w:p>
            <w:pPr>
              <w:pStyle w:val="nTable"/>
              <w:spacing w:before="60"/>
              <w:rPr>
                <w:sz w:val="19"/>
              </w:rPr>
            </w:pPr>
            <w:r>
              <w:rPr>
                <w:sz w:val="19"/>
              </w:rPr>
              <w:t>30 Jun 2003 p. 2581</w:t>
            </w:r>
            <w:r>
              <w:rPr>
                <w:sz w:val="19"/>
              </w:rPr>
              <w:noBreakHyphen/>
              <w:t>638</w:t>
            </w:r>
          </w:p>
        </w:tc>
        <w:tc>
          <w:tcPr>
            <w:tcW w:w="2693" w:type="dxa"/>
          </w:tcPr>
          <w:p>
            <w:pPr>
              <w:pStyle w:val="nTable"/>
              <w:keepNext/>
              <w:keepLines/>
              <w:spacing w:before="6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232" w:type="dxa"/>
          </w:tcPr>
          <w:p>
            <w:pPr>
              <w:pStyle w:val="nTable"/>
              <w:spacing w:before="60"/>
              <w:ind w:right="113"/>
              <w:rPr>
                <w:i/>
                <w:sz w:val="19"/>
              </w:rPr>
            </w:pPr>
            <w:r>
              <w:rPr>
                <w:i/>
                <w:sz w:val="19"/>
              </w:rPr>
              <w:t>Workers’ Compensation and Rehabilitation Amendment Regulations 2003</w:t>
            </w:r>
          </w:p>
        </w:tc>
        <w:tc>
          <w:tcPr>
            <w:tcW w:w="1276" w:type="dxa"/>
          </w:tcPr>
          <w:p>
            <w:pPr>
              <w:pStyle w:val="nTable"/>
              <w:spacing w:before="60"/>
              <w:rPr>
                <w:sz w:val="19"/>
              </w:rPr>
            </w:pPr>
            <w:r>
              <w:rPr>
                <w:sz w:val="19"/>
              </w:rPr>
              <w:t>16 Sep 2003 p. 4103-4</w:t>
            </w:r>
          </w:p>
        </w:tc>
        <w:tc>
          <w:tcPr>
            <w:tcW w:w="2693" w:type="dxa"/>
          </w:tcPr>
          <w:p>
            <w:pPr>
              <w:pStyle w:val="nTable"/>
              <w:keepNext/>
              <w:keepLines/>
              <w:spacing w:before="60"/>
              <w:rPr>
                <w:sz w:val="19"/>
              </w:rPr>
            </w:pPr>
            <w:r>
              <w:rPr>
                <w:sz w:val="19"/>
              </w:rPr>
              <w:t>16 Sep 2003</w:t>
            </w:r>
          </w:p>
        </w:tc>
      </w:tr>
      <w:tr>
        <w:trPr>
          <w:cantSplit/>
        </w:trPr>
        <w:tc>
          <w:tcPr>
            <w:tcW w:w="3232" w:type="dxa"/>
          </w:tcPr>
          <w:p>
            <w:pPr>
              <w:pStyle w:val="nTable"/>
              <w:spacing w:before="60"/>
              <w:ind w:right="113"/>
              <w:rPr>
                <w:i/>
                <w:sz w:val="19"/>
              </w:rPr>
            </w:pPr>
            <w:r>
              <w:rPr>
                <w:i/>
                <w:sz w:val="19"/>
              </w:rPr>
              <w:t>Workers’ Compensation and Rehabilitation Amendment Regulations 2004</w:t>
            </w:r>
          </w:p>
        </w:tc>
        <w:tc>
          <w:tcPr>
            <w:tcW w:w="1276" w:type="dxa"/>
          </w:tcPr>
          <w:p>
            <w:pPr>
              <w:pStyle w:val="nTable"/>
              <w:spacing w:before="60"/>
              <w:rPr>
                <w:sz w:val="19"/>
              </w:rPr>
            </w:pPr>
            <w:r>
              <w:rPr>
                <w:sz w:val="19"/>
              </w:rPr>
              <w:t>8 Apr 2004 p. 1177</w:t>
            </w:r>
          </w:p>
        </w:tc>
        <w:tc>
          <w:tcPr>
            <w:tcW w:w="2693" w:type="dxa"/>
          </w:tcPr>
          <w:p>
            <w:pPr>
              <w:pStyle w:val="nTable"/>
              <w:keepNext/>
              <w:keepLines/>
              <w:spacing w:before="60"/>
              <w:rPr>
                <w:sz w:val="19"/>
              </w:rPr>
            </w:pPr>
            <w:r>
              <w:rPr>
                <w:sz w:val="19"/>
              </w:rPr>
              <w:t>8 Apr 2004</w:t>
            </w:r>
          </w:p>
        </w:tc>
      </w:tr>
      <w:tr>
        <w:trPr>
          <w:cantSplit/>
        </w:trPr>
        <w:tc>
          <w:tcPr>
            <w:tcW w:w="3232" w:type="dxa"/>
          </w:tcPr>
          <w:p>
            <w:pPr>
              <w:pStyle w:val="nTable"/>
              <w:spacing w:before="60"/>
              <w:ind w:right="113"/>
              <w:rPr>
                <w:i/>
                <w:sz w:val="19"/>
              </w:rPr>
            </w:pPr>
            <w:r>
              <w:rPr>
                <w:i/>
                <w:sz w:val="19"/>
              </w:rPr>
              <w:t>Workers’ Compensation and Rehabilitation Amendment Regulations (No. 2) 2004</w:t>
            </w:r>
          </w:p>
        </w:tc>
        <w:tc>
          <w:tcPr>
            <w:tcW w:w="1276" w:type="dxa"/>
          </w:tcPr>
          <w:p>
            <w:pPr>
              <w:pStyle w:val="nTable"/>
              <w:spacing w:before="60"/>
              <w:rPr>
                <w:sz w:val="19"/>
              </w:rPr>
            </w:pPr>
            <w:r>
              <w:rPr>
                <w:sz w:val="19"/>
              </w:rPr>
              <w:t>26 Oct 2004 p. 4895-913</w:t>
            </w:r>
          </w:p>
        </w:tc>
        <w:tc>
          <w:tcPr>
            <w:tcW w:w="2693" w:type="dxa"/>
          </w:tcPr>
          <w:p>
            <w:pPr>
              <w:pStyle w:val="nTable"/>
              <w:keepNext/>
              <w:keepLines/>
              <w:spacing w:before="60"/>
              <w:rPr>
                <w:sz w:val="19"/>
              </w:rPr>
            </w:pPr>
            <w:r>
              <w:rPr>
                <w:sz w:val="19"/>
              </w:rPr>
              <w:t>26 Oct 2004 (see r. 2)</w:t>
            </w:r>
          </w:p>
        </w:tc>
      </w:tr>
      <w:tr>
        <w:trPr>
          <w:cantSplit/>
        </w:trPr>
        <w:tc>
          <w:tcPr>
            <w:tcW w:w="3232" w:type="dxa"/>
          </w:tcPr>
          <w:p>
            <w:pPr>
              <w:pStyle w:val="nTable"/>
              <w:spacing w:before="60"/>
              <w:ind w:right="113"/>
              <w:rPr>
                <w:i/>
                <w:sz w:val="19"/>
              </w:rPr>
            </w:pPr>
            <w:r>
              <w:rPr>
                <w:i/>
                <w:sz w:val="19"/>
              </w:rPr>
              <w:t>Workers’ Compensation and Rehabilitation Amendment Regulations (No. 3) 2004</w:t>
            </w:r>
          </w:p>
        </w:tc>
        <w:tc>
          <w:tcPr>
            <w:tcW w:w="1276" w:type="dxa"/>
          </w:tcPr>
          <w:p>
            <w:pPr>
              <w:pStyle w:val="nTable"/>
              <w:spacing w:before="60"/>
              <w:rPr>
                <w:sz w:val="19"/>
              </w:rPr>
            </w:pPr>
            <w:r>
              <w:rPr>
                <w:sz w:val="19"/>
              </w:rPr>
              <w:t>29 Oct 2004 p. 4939</w:t>
            </w:r>
            <w:r>
              <w:rPr>
                <w:sz w:val="19"/>
              </w:rPr>
              <w:noBreakHyphen/>
              <w:t>40</w:t>
            </w:r>
          </w:p>
        </w:tc>
        <w:tc>
          <w:tcPr>
            <w:tcW w:w="2693" w:type="dxa"/>
          </w:tcPr>
          <w:p>
            <w:pPr>
              <w:pStyle w:val="nTable"/>
              <w:keepNext/>
              <w:keepLines/>
              <w:spacing w:before="60"/>
              <w:rPr>
                <w:sz w:val="19"/>
              </w:rPr>
            </w:pPr>
            <w:r>
              <w:rPr>
                <w:sz w:val="19"/>
              </w:rPr>
              <w:t>29 Oct 2004</w:t>
            </w:r>
          </w:p>
        </w:tc>
      </w:tr>
      <w:tr>
        <w:trPr>
          <w:cantSplit/>
        </w:trPr>
        <w:tc>
          <w:tcPr>
            <w:tcW w:w="3232" w:type="dxa"/>
          </w:tcPr>
          <w:p>
            <w:pPr>
              <w:pStyle w:val="nTable"/>
              <w:spacing w:before="60"/>
              <w:ind w:right="113"/>
              <w:rPr>
                <w:i/>
                <w:sz w:val="19"/>
              </w:rPr>
            </w:pPr>
            <w:r>
              <w:rPr>
                <w:i/>
                <w:sz w:val="19"/>
              </w:rPr>
              <w:t>Workers’ Compensation and Rehabilitation Amendment Regulations 2005</w:t>
            </w:r>
          </w:p>
        </w:tc>
        <w:tc>
          <w:tcPr>
            <w:tcW w:w="1276" w:type="dxa"/>
          </w:tcPr>
          <w:p>
            <w:pPr>
              <w:pStyle w:val="nTable"/>
              <w:spacing w:before="60"/>
              <w:rPr>
                <w:sz w:val="19"/>
              </w:rPr>
            </w:pPr>
            <w:r>
              <w:rPr>
                <w:sz w:val="19"/>
              </w:rPr>
              <w:t>21 Jan 2005 p. 275-7</w:t>
            </w:r>
          </w:p>
        </w:tc>
        <w:tc>
          <w:tcPr>
            <w:tcW w:w="2693" w:type="dxa"/>
          </w:tcPr>
          <w:p>
            <w:pPr>
              <w:pStyle w:val="nTable"/>
              <w:keepNext/>
              <w:keepLines/>
              <w:spacing w:before="60"/>
              <w:rPr>
                <w:sz w:val="19"/>
              </w:rPr>
            </w:pPr>
            <w:r>
              <w:rPr>
                <w:sz w:val="19"/>
              </w:rPr>
              <w:t>21 Jan 2005</w:t>
            </w:r>
          </w:p>
        </w:tc>
      </w:tr>
      <w:tr>
        <w:trPr>
          <w:cantSplit/>
        </w:trPr>
        <w:tc>
          <w:tcPr>
            <w:tcW w:w="3232" w:type="dxa"/>
          </w:tcPr>
          <w:p>
            <w:pPr>
              <w:pStyle w:val="nTable"/>
              <w:spacing w:before="60"/>
              <w:ind w:right="113"/>
              <w:rPr>
                <w:i/>
                <w:sz w:val="19"/>
              </w:rPr>
            </w:pPr>
            <w:r>
              <w:rPr>
                <w:i/>
                <w:sz w:val="19"/>
              </w:rPr>
              <w:t>Workers’ Compensation and Injury Management Amendment Regulations (No. 2) 2005</w:t>
            </w:r>
          </w:p>
        </w:tc>
        <w:tc>
          <w:tcPr>
            <w:tcW w:w="1276" w:type="dxa"/>
          </w:tcPr>
          <w:p>
            <w:pPr>
              <w:pStyle w:val="nTable"/>
              <w:spacing w:before="60"/>
              <w:rPr>
                <w:sz w:val="19"/>
              </w:rPr>
            </w:pPr>
            <w:r>
              <w:rPr>
                <w:sz w:val="19"/>
              </w:rPr>
              <w:t>28 Oct 2005 p. 4853-972</w:t>
            </w:r>
          </w:p>
        </w:tc>
        <w:tc>
          <w:tcPr>
            <w:tcW w:w="2693" w:type="dxa"/>
          </w:tcPr>
          <w:p>
            <w:pPr>
              <w:pStyle w:val="nTable"/>
              <w:keepNext/>
              <w:keepLines/>
              <w:spacing w:before="60"/>
              <w:rPr>
                <w:sz w:val="19"/>
              </w:rPr>
            </w:pPr>
            <w:r>
              <w:rPr>
                <w:sz w:val="19"/>
              </w:rPr>
              <w:t>14 Nov 2005 (see r. 2)</w:t>
            </w:r>
          </w:p>
        </w:tc>
      </w:tr>
      <w:tr>
        <w:trPr>
          <w:cantSplit/>
        </w:trPr>
        <w:tc>
          <w:tcPr>
            <w:tcW w:w="3232" w:type="dxa"/>
            <w:tcBorders>
              <w:bottom w:val="single" w:sz="4" w:space="0" w:color="auto"/>
            </w:tcBorders>
          </w:tcPr>
          <w:p>
            <w:pPr>
              <w:pStyle w:val="nTable"/>
              <w:spacing w:before="60"/>
              <w:ind w:right="113"/>
              <w:rPr>
                <w:i/>
                <w:sz w:val="19"/>
              </w:rPr>
            </w:pPr>
            <w:r>
              <w:rPr>
                <w:i/>
                <w:sz w:val="19"/>
              </w:rPr>
              <w:t>Workers’ Compensation and Injury Management Amendment Regulations (No. 3) 2005</w:t>
            </w:r>
          </w:p>
        </w:tc>
        <w:tc>
          <w:tcPr>
            <w:tcW w:w="1276" w:type="dxa"/>
            <w:tcBorders>
              <w:bottom w:val="single" w:sz="4" w:space="0" w:color="auto"/>
            </w:tcBorders>
          </w:tcPr>
          <w:p>
            <w:pPr>
              <w:pStyle w:val="nTable"/>
              <w:spacing w:before="60"/>
              <w:rPr>
                <w:sz w:val="19"/>
              </w:rPr>
            </w:pPr>
            <w:r>
              <w:rPr>
                <w:sz w:val="19"/>
              </w:rPr>
              <w:t>9 Dec 2005 p. 5891-7</w:t>
            </w:r>
          </w:p>
        </w:tc>
        <w:tc>
          <w:tcPr>
            <w:tcW w:w="2693" w:type="dxa"/>
            <w:tcBorders>
              <w:bottom w:val="single" w:sz="4" w:space="0" w:color="auto"/>
            </w:tcBorders>
          </w:tcPr>
          <w:p>
            <w:pPr>
              <w:pStyle w:val="nTable"/>
              <w:keepNext/>
              <w:keepLines/>
              <w:spacing w:before="60"/>
              <w:rPr>
                <w:sz w:val="19"/>
              </w:rPr>
            </w:pPr>
            <w:r>
              <w:rPr>
                <w:sz w:val="19"/>
              </w:rPr>
              <w:t>9 Dec 2005</w:t>
            </w:r>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Footnote no longer applicable.</w:t>
      </w:r>
    </w:p>
    <w:p>
      <w:pPr>
        <w:pStyle w:val="nSubsection"/>
      </w:pPr>
      <w:r>
        <w:rPr>
          <w:vertAlign w:val="superscript"/>
        </w:rPr>
        <w:t>5</w:t>
      </w:r>
      <w:r>
        <w:tab/>
        <w:t xml:space="preserve">Now known as the </w:t>
      </w:r>
      <w:r>
        <w:rPr>
          <w:i/>
        </w:rPr>
        <w:t>Workers’ Compensation and Rehabilitation Regulations 1982</w:t>
      </w:r>
      <w:r>
        <w:t>;</w:t>
      </w:r>
      <w:r>
        <w:rPr>
          <w:i/>
        </w:rPr>
        <w:t xml:space="preserve"> </w:t>
      </w:r>
      <w:r>
        <w:t>citation changed (see note under r. 1).</w:t>
      </w:r>
    </w:p>
    <w:p>
      <w:pPr>
        <w:pStyle w:val="nSubsection"/>
      </w:pPr>
      <w:r>
        <w:rPr>
          <w:vertAlign w:val="superscript"/>
        </w:rPr>
        <w:t>6</w:t>
      </w:r>
      <w:r>
        <w:tab/>
        <w:t xml:space="preserve">Now known as the </w:t>
      </w:r>
      <w:r>
        <w:rPr>
          <w:i/>
        </w:rPr>
        <w:t>Workers’ Compensation and Injury Management Regulations 1982</w:t>
      </w:r>
      <w:r>
        <w:t>;</w:t>
      </w:r>
      <w:r>
        <w:rPr>
          <w:i/>
        </w:rPr>
        <w:t xml:space="preserve"> </w:t>
      </w:r>
      <w:r>
        <w:t>citation changed (see note under r. 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C879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2C3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6631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AA5B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BA89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3F25C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C45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C482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1E6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8ECA4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6908F7E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98CA2B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B4A1234"/>
    <w:multiLevelType w:val="hybridMultilevel"/>
    <w:tmpl w:val="F3C2FC28"/>
    <w:lvl w:ilvl="0" w:tplc="2724E3D2">
      <w:start w:val="1"/>
      <w:numFmt w:val="bullet"/>
      <w:lvlText w:val=""/>
      <w:lvlJc w:val="left"/>
      <w:pPr>
        <w:tabs>
          <w:tab w:val="num" w:pos="720"/>
        </w:tabs>
        <w:ind w:left="720" w:hanging="360"/>
      </w:pPr>
      <w:rPr>
        <w:rFonts w:ascii="Symbol" w:hAnsi="Symbol" w:hint="default"/>
      </w:rPr>
    </w:lvl>
    <w:lvl w:ilvl="1" w:tplc="A90CB240" w:tentative="1">
      <w:start w:val="1"/>
      <w:numFmt w:val="bullet"/>
      <w:lvlText w:val="o"/>
      <w:lvlJc w:val="left"/>
      <w:pPr>
        <w:tabs>
          <w:tab w:val="num" w:pos="1440"/>
        </w:tabs>
        <w:ind w:left="1440" w:hanging="360"/>
      </w:pPr>
      <w:rPr>
        <w:rFonts w:ascii="Courier New" w:hAnsi="Courier New" w:hint="default"/>
      </w:rPr>
    </w:lvl>
    <w:lvl w:ilvl="2" w:tplc="B734B37A" w:tentative="1">
      <w:start w:val="1"/>
      <w:numFmt w:val="bullet"/>
      <w:lvlText w:val=""/>
      <w:lvlJc w:val="left"/>
      <w:pPr>
        <w:tabs>
          <w:tab w:val="num" w:pos="2160"/>
        </w:tabs>
        <w:ind w:left="2160" w:hanging="360"/>
      </w:pPr>
      <w:rPr>
        <w:rFonts w:ascii="Wingdings" w:hAnsi="Wingdings" w:hint="default"/>
      </w:rPr>
    </w:lvl>
    <w:lvl w:ilvl="3" w:tplc="CCC2C3A6" w:tentative="1">
      <w:start w:val="1"/>
      <w:numFmt w:val="bullet"/>
      <w:lvlText w:val=""/>
      <w:lvlJc w:val="left"/>
      <w:pPr>
        <w:tabs>
          <w:tab w:val="num" w:pos="2880"/>
        </w:tabs>
        <w:ind w:left="2880" w:hanging="360"/>
      </w:pPr>
      <w:rPr>
        <w:rFonts w:ascii="Symbol" w:hAnsi="Symbol" w:hint="default"/>
      </w:rPr>
    </w:lvl>
    <w:lvl w:ilvl="4" w:tplc="500E993C" w:tentative="1">
      <w:start w:val="1"/>
      <w:numFmt w:val="bullet"/>
      <w:lvlText w:val="o"/>
      <w:lvlJc w:val="left"/>
      <w:pPr>
        <w:tabs>
          <w:tab w:val="num" w:pos="3600"/>
        </w:tabs>
        <w:ind w:left="3600" w:hanging="360"/>
      </w:pPr>
      <w:rPr>
        <w:rFonts w:ascii="Courier New" w:hAnsi="Courier New" w:hint="default"/>
      </w:rPr>
    </w:lvl>
    <w:lvl w:ilvl="5" w:tplc="05701170" w:tentative="1">
      <w:start w:val="1"/>
      <w:numFmt w:val="bullet"/>
      <w:lvlText w:val=""/>
      <w:lvlJc w:val="left"/>
      <w:pPr>
        <w:tabs>
          <w:tab w:val="num" w:pos="4320"/>
        </w:tabs>
        <w:ind w:left="4320" w:hanging="360"/>
      </w:pPr>
      <w:rPr>
        <w:rFonts w:ascii="Wingdings" w:hAnsi="Wingdings" w:hint="default"/>
      </w:rPr>
    </w:lvl>
    <w:lvl w:ilvl="6" w:tplc="671C3262" w:tentative="1">
      <w:start w:val="1"/>
      <w:numFmt w:val="bullet"/>
      <w:lvlText w:val=""/>
      <w:lvlJc w:val="left"/>
      <w:pPr>
        <w:tabs>
          <w:tab w:val="num" w:pos="5040"/>
        </w:tabs>
        <w:ind w:left="5040" w:hanging="360"/>
      </w:pPr>
      <w:rPr>
        <w:rFonts w:ascii="Symbol" w:hAnsi="Symbol" w:hint="default"/>
      </w:rPr>
    </w:lvl>
    <w:lvl w:ilvl="7" w:tplc="1F7C3500" w:tentative="1">
      <w:start w:val="1"/>
      <w:numFmt w:val="bullet"/>
      <w:lvlText w:val="o"/>
      <w:lvlJc w:val="left"/>
      <w:pPr>
        <w:tabs>
          <w:tab w:val="num" w:pos="5760"/>
        </w:tabs>
        <w:ind w:left="5760" w:hanging="360"/>
      </w:pPr>
      <w:rPr>
        <w:rFonts w:ascii="Courier New" w:hAnsi="Courier New" w:hint="default"/>
      </w:rPr>
    </w:lvl>
    <w:lvl w:ilvl="8" w:tplc="D0887734"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7F6240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1D6521"/>
    <w:multiLevelType w:val="hybridMultilevel"/>
    <w:tmpl w:val="E3BEA10A"/>
    <w:lvl w:ilvl="0" w:tplc="1ADE1C4A">
      <w:start w:val="1"/>
      <w:numFmt w:val="bullet"/>
      <w:lvlText w:val=""/>
      <w:lvlJc w:val="left"/>
      <w:pPr>
        <w:tabs>
          <w:tab w:val="num" w:pos="720"/>
        </w:tabs>
        <w:ind w:left="720" w:hanging="360"/>
      </w:pPr>
      <w:rPr>
        <w:rFonts w:ascii="Symbol" w:hAnsi="Symbol" w:hint="default"/>
      </w:rPr>
    </w:lvl>
    <w:lvl w:ilvl="1" w:tplc="88B61A1E" w:tentative="1">
      <w:start w:val="1"/>
      <w:numFmt w:val="bullet"/>
      <w:lvlText w:val="o"/>
      <w:lvlJc w:val="left"/>
      <w:pPr>
        <w:tabs>
          <w:tab w:val="num" w:pos="1440"/>
        </w:tabs>
        <w:ind w:left="1440" w:hanging="360"/>
      </w:pPr>
      <w:rPr>
        <w:rFonts w:ascii="Courier New" w:hAnsi="Courier New" w:hint="default"/>
      </w:rPr>
    </w:lvl>
    <w:lvl w:ilvl="2" w:tplc="38044B1A" w:tentative="1">
      <w:start w:val="1"/>
      <w:numFmt w:val="bullet"/>
      <w:lvlText w:val=""/>
      <w:lvlJc w:val="left"/>
      <w:pPr>
        <w:tabs>
          <w:tab w:val="num" w:pos="2160"/>
        </w:tabs>
        <w:ind w:left="2160" w:hanging="360"/>
      </w:pPr>
      <w:rPr>
        <w:rFonts w:ascii="Wingdings" w:hAnsi="Wingdings" w:hint="default"/>
      </w:rPr>
    </w:lvl>
    <w:lvl w:ilvl="3" w:tplc="883849EC" w:tentative="1">
      <w:start w:val="1"/>
      <w:numFmt w:val="bullet"/>
      <w:lvlText w:val=""/>
      <w:lvlJc w:val="left"/>
      <w:pPr>
        <w:tabs>
          <w:tab w:val="num" w:pos="2880"/>
        </w:tabs>
        <w:ind w:left="2880" w:hanging="360"/>
      </w:pPr>
      <w:rPr>
        <w:rFonts w:ascii="Symbol" w:hAnsi="Symbol" w:hint="default"/>
      </w:rPr>
    </w:lvl>
    <w:lvl w:ilvl="4" w:tplc="45D0B37A" w:tentative="1">
      <w:start w:val="1"/>
      <w:numFmt w:val="bullet"/>
      <w:lvlText w:val="o"/>
      <w:lvlJc w:val="left"/>
      <w:pPr>
        <w:tabs>
          <w:tab w:val="num" w:pos="3600"/>
        </w:tabs>
        <w:ind w:left="3600" w:hanging="360"/>
      </w:pPr>
      <w:rPr>
        <w:rFonts w:ascii="Courier New" w:hAnsi="Courier New" w:hint="default"/>
      </w:rPr>
    </w:lvl>
    <w:lvl w:ilvl="5" w:tplc="D9CA9BE0" w:tentative="1">
      <w:start w:val="1"/>
      <w:numFmt w:val="bullet"/>
      <w:lvlText w:val=""/>
      <w:lvlJc w:val="left"/>
      <w:pPr>
        <w:tabs>
          <w:tab w:val="num" w:pos="4320"/>
        </w:tabs>
        <w:ind w:left="4320" w:hanging="360"/>
      </w:pPr>
      <w:rPr>
        <w:rFonts w:ascii="Wingdings" w:hAnsi="Wingdings" w:hint="default"/>
      </w:rPr>
    </w:lvl>
    <w:lvl w:ilvl="6" w:tplc="6E32DCE0" w:tentative="1">
      <w:start w:val="1"/>
      <w:numFmt w:val="bullet"/>
      <w:lvlText w:val=""/>
      <w:lvlJc w:val="left"/>
      <w:pPr>
        <w:tabs>
          <w:tab w:val="num" w:pos="5040"/>
        </w:tabs>
        <w:ind w:left="5040" w:hanging="360"/>
      </w:pPr>
      <w:rPr>
        <w:rFonts w:ascii="Symbol" w:hAnsi="Symbol" w:hint="default"/>
      </w:rPr>
    </w:lvl>
    <w:lvl w:ilvl="7" w:tplc="001C8FE0" w:tentative="1">
      <w:start w:val="1"/>
      <w:numFmt w:val="bullet"/>
      <w:lvlText w:val="o"/>
      <w:lvlJc w:val="left"/>
      <w:pPr>
        <w:tabs>
          <w:tab w:val="num" w:pos="5760"/>
        </w:tabs>
        <w:ind w:left="5760" w:hanging="360"/>
      </w:pPr>
      <w:rPr>
        <w:rFonts w:ascii="Courier New" w:hAnsi="Courier New" w:hint="default"/>
      </w:rPr>
    </w:lvl>
    <w:lvl w:ilvl="8" w:tplc="15525A5A" w:tentative="1">
      <w:start w:val="1"/>
      <w:numFmt w:val="bullet"/>
      <w:lvlText w:val=""/>
      <w:lvlJc w:val="left"/>
      <w:pPr>
        <w:tabs>
          <w:tab w:val="num" w:pos="6480"/>
        </w:tabs>
        <w:ind w:left="6480" w:hanging="360"/>
      </w:pPr>
      <w:rPr>
        <w:rFonts w:ascii="Wingdings" w:hAnsi="Wingdings" w:hint="default"/>
      </w:r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E6E0246"/>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3F601383"/>
    <w:multiLevelType w:val="hybridMultilevel"/>
    <w:tmpl w:val="662887FA"/>
    <w:lvl w:ilvl="0" w:tplc="AA32BD8C">
      <w:start w:val="1"/>
      <w:numFmt w:val="bullet"/>
      <w:lvlText w:val=""/>
      <w:lvlJc w:val="left"/>
      <w:pPr>
        <w:tabs>
          <w:tab w:val="num" w:pos="720"/>
        </w:tabs>
        <w:ind w:left="720" w:hanging="360"/>
      </w:pPr>
      <w:rPr>
        <w:rFonts w:ascii="Symbol" w:hAnsi="Symbol" w:hint="default"/>
      </w:rPr>
    </w:lvl>
    <w:lvl w:ilvl="1" w:tplc="194A7B72" w:tentative="1">
      <w:start w:val="1"/>
      <w:numFmt w:val="bullet"/>
      <w:lvlText w:val="o"/>
      <w:lvlJc w:val="left"/>
      <w:pPr>
        <w:tabs>
          <w:tab w:val="num" w:pos="1440"/>
        </w:tabs>
        <w:ind w:left="1440" w:hanging="360"/>
      </w:pPr>
      <w:rPr>
        <w:rFonts w:ascii="Courier New" w:hAnsi="Courier New" w:hint="default"/>
      </w:rPr>
    </w:lvl>
    <w:lvl w:ilvl="2" w:tplc="63C4E0CC" w:tentative="1">
      <w:start w:val="1"/>
      <w:numFmt w:val="bullet"/>
      <w:lvlText w:val=""/>
      <w:lvlJc w:val="left"/>
      <w:pPr>
        <w:tabs>
          <w:tab w:val="num" w:pos="2160"/>
        </w:tabs>
        <w:ind w:left="2160" w:hanging="360"/>
      </w:pPr>
      <w:rPr>
        <w:rFonts w:ascii="Wingdings" w:hAnsi="Wingdings" w:hint="default"/>
      </w:rPr>
    </w:lvl>
    <w:lvl w:ilvl="3" w:tplc="7CD8D5DA" w:tentative="1">
      <w:start w:val="1"/>
      <w:numFmt w:val="bullet"/>
      <w:lvlText w:val=""/>
      <w:lvlJc w:val="left"/>
      <w:pPr>
        <w:tabs>
          <w:tab w:val="num" w:pos="2880"/>
        </w:tabs>
        <w:ind w:left="2880" w:hanging="360"/>
      </w:pPr>
      <w:rPr>
        <w:rFonts w:ascii="Symbol" w:hAnsi="Symbol" w:hint="default"/>
      </w:rPr>
    </w:lvl>
    <w:lvl w:ilvl="4" w:tplc="B2167D68" w:tentative="1">
      <w:start w:val="1"/>
      <w:numFmt w:val="bullet"/>
      <w:lvlText w:val="o"/>
      <w:lvlJc w:val="left"/>
      <w:pPr>
        <w:tabs>
          <w:tab w:val="num" w:pos="3600"/>
        </w:tabs>
        <w:ind w:left="3600" w:hanging="360"/>
      </w:pPr>
      <w:rPr>
        <w:rFonts w:ascii="Courier New" w:hAnsi="Courier New" w:hint="default"/>
      </w:rPr>
    </w:lvl>
    <w:lvl w:ilvl="5" w:tplc="9FA4DD60" w:tentative="1">
      <w:start w:val="1"/>
      <w:numFmt w:val="bullet"/>
      <w:lvlText w:val=""/>
      <w:lvlJc w:val="left"/>
      <w:pPr>
        <w:tabs>
          <w:tab w:val="num" w:pos="4320"/>
        </w:tabs>
        <w:ind w:left="4320" w:hanging="360"/>
      </w:pPr>
      <w:rPr>
        <w:rFonts w:ascii="Wingdings" w:hAnsi="Wingdings" w:hint="default"/>
      </w:rPr>
    </w:lvl>
    <w:lvl w:ilvl="6" w:tplc="64208604" w:tentative="1">
      <w:start w:val="1"/>
      <w:numFmt w:val="bullet"/>
      <w:lvlText w:val=""/>
      <w:lvlJc w:val="left"/>
      <w:pPr>
        <w:tabs>
          <w:tab w:val="num" w:pos="5040"/>
        </w:tabs>
        <w:ind w:left="5040" w:hanging="360"/>
      </w:pPr>
      <w:rPr>
        <w:rFonts w:ascii="Symbol" w:hAnsi="Symbol" w:hint="default"/>
      </w:rPr>
    </w:lvl>
    <w:lvl w:ilvl="7" w:tplc="A768B3D0" w:tentative="1">
      <w:start w:val="1"/>
      <w:numFmt w:val="bullet"/>
      <w:lvlText w:val="o"/>
      <w:lvlJc w:val="left"/>
      <w:pPr>
        <w:tabs>
          <w:tab w:val="num" w:pos="5760"/>
        </w:tabs>
        <w:ind w:left="5760" w:hanging="360"/>
      </w:pPr>
      <w:rPr>
        <w:rFonts w:ascii="Courier New" w:hAnsi="Courier New" w:hint="default"/>
      </w:rPr>
    </w:lvl>
    <w:lvl w:ilvl="8" w:tplc="C5807ADA"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AB39E6"/>
    <w:multiLevelType w:val="hybridMultilevel"/>
    <w:tmpl w:val="DE9EEC18"/>
    <w:lvl w:ilvl="0" w:tplc="C78E170C">
      <w:start w:val="1"/>
      <w:numFmt w:val="bullet"/>
      <w:lvlText w:val=""/>
      <w:lvlJc w:val="left"/>
      <w:pPr>
        <w:tabs>
          <w:tab w:val="num" w:pos="720"/>
        </w:tabs>
        <w:ind w:left="720" w:hanging="360"/>
      </w:pPr>
      <w:rPr>
        <w:rFonts w:ascii="Symbol" w:hAnsi="Symbol" w:hint="default"/>
      </w:rPr>
    </w:lvl>
    <w:lvl w:ilvl="1" w:tplc="7E3EA7D8" w:tentative="1">
      <w:start w:val="1"/>
      <w:numFmt w:val="bullet"/>
      <w:lvlText w:val="o"/>
      <w:lvlJc w:val="left"/>
      <w:pPr>
        <w:tabs>
          <w:tab w:val="num" w:pos="1440"/>
        </w:tabs>
        <w:ind w:left="1440" w:hanging="360"/>
      </w:pPr>
      <w:rPr>
        <w:rFonts w:ascii="Courier New" w:hAnsi="Courier New" w:hint="default"/>
      </w:rPr>
    </w:lvl>
    <w:lvl w:ilvl="2" w:tplc="AAEEDEEE" w:tentative="1">
      <w:start w:val="1"/>
      <w:numFmt w:val="bullet"/>
      <w:lvlText w:val=""/>
      <w:lvlJc w:val="left"/>
      <w:pPr>
        <w:tabs>
          <w:tab w:val="num" w:pos="2160"/>
        </w:tabs>
        <w:ind w:left="2160" w:hanging="360"/>
      </w:pPr>
      <w:rPr>
        <w:rFonts w:ascii="Wingdings" w:hAnsi="Wingdings" w:hint="default"/>
      </w:rPr>
    </w:lvl>
    <w:lvl w:ilvl="3" w:tplc="03647C5C" w:tentative="1">
      <w:start w:val="1"/>
      <w:numFmt w:val="bullet"/>
      <w:lvlText w:val=""/>
      <w:lvlJc w:val="left"/>
      <w:pPr>
        <w:tabs>
          <w:tab w:val="num" w:pos="2880"/>
        </w:tabs>
        <w:ind w:left="2880" w:hanging="360"/>
      </w:pPr>
      <w:rPr>
        <w:rFonts w:ascii="Symbol" w:hAnsi="Symbol" w:hint="default"/>
      </w:rPr>
    </w:lvl>
    <w:lvl w:ilvl="4" w:tplc="6C8233BA" w:tentative="1">
      <w:start w:val="1"/>
      <w:numFmt w:val="bullet"/>
      <w:lvlText w:val="o"/>
      <w:lvlJc w:val="left"/>
      <w:pPr>
        <w:tabs>
          <w:tab w:val="num" w:pos="3600"/>
        </w:tabs>
        <w:ind w:left="3600" w:hanging="360"/>
      </w:pPr>
      <w:rPr>
        <w:rFonts w:ascii="Courier New" w:hAnsi="Courier New" w:hint="default"/>
      </w:rPr>
    </w:lvl>
    <w:lvl w:ilvl="5" w:tplc="C21E9E5C" w:tentative="1">
      <w:start w:val="1"/>
      <w:numFmt w:val="bullet"/>
      <w:lvlText w:val=""/>
      <w:lvlJc w:val="left"/>
      <w:pPr>
        <w:tabs>
          <w:tab w:val="num" w:pos="4320"/>
        </w:tabs>
        <w:ind w:left="4320" w:hanging="360"/>
      </w:pPr>
      <w:rPr>
        <w:rFonts w:ascii="Wingdings" w:hAnsi="Wingdings" w:hint="default"/>
      </w:rPr>
    </w:lvl>
    <w:lvl w:ilvl="6" w:tplc="BEAC80CA" w:tentative="1">
      <w:start w:val="1"/>
      <w:numFmt w:val="bullet"/>
      <w:lvlText w:val=""/>
      <w:lvlJc w:val="left"/>
      <w:pPr>
        <w:tabs>
          <w:tab w:val="num" w:pos="5040"/>
        </w:tabs>
        <w:ind w:left="5040" w:hanging="360"/>
      </w:pPr>
      <w:rPr>
        <w:rFonts w:ascii="Symbol" w:hAnsi="Symbol" w:hint="default"/>
      </w:rPr>
    </w:lvl>
    <w:lvl w:ilvl="7" w:tplc="43B2574E" w:tentative="1">
      <w:start w:val="1"/>
      <w:numFmt w:val="bullet"/>
      <w:lvlText w:val="o"/>
      <w:lvlJc w:val="left"/>
      <w:pPr>
        <w:tabs>
          <w:tab w:val="num" w:pos="5760"/>
        </w:tabs>
        <w:ind w:left="5760" w:hanging="360"/>
      </w:pPr>
      <w:rPr>
        <w:rFonts w:ascii="Courier New" w:hAnsi="Courier New" w:hint="default"/>
      </w:rPr>
    </w:lvl>
    <w:lvl w:ilvl="8" w:tplc="C09EF636" w:tentative="1">
      <w:start w:val="1"/>
      <w:numFmt w:val="bullet"/>
      <w:lvlText w:val=""/>
      <w:lvlJc w:val="left"/>
      <w:pPr>
        <w:tabs>
          <w:tab w:val="num" w:pos="6480"/>
        </w:tabs>
        <w:ind w:left="6480" w:hanging="360"/>
      </w:pPr>
      <w:rPr>
        <w:rFonts w:ascii="Wingdings" w:hAnsi="Wingdings" w:hint="default"/>
      </w:r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5A22BB8"/>
    <w:multiLevelType w:val="hybridMultilevel"/>
    <w:tmpl w:val="C778EA8E"/>
    <w:lvl w:ilvl="0" w:tplc="E12AA77E">
      <w:start w:val="1"/>
      <w:numFmt w:val="bullet"/>
      <w:lvlText w:val=""/>
      <w:lvlJc w:val="left"/>
      <w:pPr>
        <w:tabs>
          <w:tab w:val="num" w:pos="720"/>
        </w:tabs>
        <w:ind w:left="720" w:hanging="360"/>
      </w:pPr>
      <w:rPr>
        <w:rFonts w:ascii="Symbol" w:hAnsi="Symbol" w:hint="default"/>
      </w:rPr>
    </w:lvl>
    <w:lvl w:ilvl="1" w:tplc="FEA47362" w:tentative="1">
      <w:start w:val="1"/>
      <w:numFmt w:val="bullet"/>
      <w:lvlText w:val="o"/>
      <w:lvlJc w:val="left"/>
      <w:pPr>
        <w:tabs>
          <w:tab w:val="num" w:pos="1440"/>
        </w:tabs>
        <w:ind w:left="1440" w:hanging="360"/>
      </w:pPr>
      <w:rPr>
        <w:rFonts w:ascii="Courier New" w:hAnsi="Courier New" w:hint="default"/>
      </w:rPr>
    </w:lvl>
    <w:lvl w:ilvl="2" w:tplc="E6AE2670" w:tentative="1">
      <w:start w:val="1"/>
      <w:numFmt w:val="bullet"/>
      <w:lvlText w:val=""/>
      <w:lvlJc w:val="left"/>
      <w:pPr>
        <w:tabs>
          <w:tab w:val="num" w:pos="2160"/>
        </w:tabs>
        <w:ind w:left="2160" w:hanging="360"/>
      </w:pPr>
      <w:rPr>
        <w:rFonts w:ascii="Wingdings" w:hAnsi="Wingdings" w:hint="default"/>
      </w:rPr>
    </w:lvl>
    <w:lvl w:ilvl="3" w:tplc="DDCA0F50" w:tentative="1">
      <w:start w:val="1"/>
      <w:numFmt w:val="bullet"/>
      <w:lvlText w:val=""/>
      <w:lvlJc w:val="left"/>
      <w:pPr>
        <w:tabs>
          <w:tab w:val="num" w:pos="2880"/>
        </w:tabs>
        <w:ind w:left="2880" w:hanging="360"/>
      </w:pPr>
      <w:rPr>
        <w:rFonts w:ascii="Symbol" w:hAnsi="Symbol" w:hint="default"/>
      </w:rPr>
    </w:lvl>
    <w:lvl w:ilvl="4" w:tplc="D91457D8" w:tentative="1">
      <w:start w:val="1"/>
      <w:numFmt w:val="bullet"/>
      <w:lvlText w:val="o"/>
      <w:lvlJc w:val="left"/>
      <w:pPr>
        <w:tabs>
          <w:tab w:val="num" w:pos="3600"/>
        </w:tabs>
        <w:ind w:left="3600" w:hanging="360"/>
      </w:pPr>
      <w:rPr>
        <w:rFonts w:ascii="Courier New" w:hAnsi="Courier New" w:hint="default"/>
      </w:rPr>
    </w:lvl>
    <w:lvl w:ilvl="5" w:tplc="5A6AF706" w:tentative="1">
      <w:start w:val="1"/>
      <w:numFmt w:val="bullet"/>
      <w:lvlText w:val=""/>
      <w:lvlJc w:val="left"/>
      <w:pPr>
        <w:tabs>
          <w:tab w:val="num" w:pos="4320"/>
        </w:tabs>
        <w:ind w:left="4320" w:hanging="360"/>
      </w:pPr>
      <w:rPr>
        <w:rFonts w:ascii="Wingdings" w:hAnsi="Wingdings" w:hint="default"/>
      </w:rPr>
    </w:lvl>
    <w:lvl w:ilvl="6" w:tplc="5DF263A0" w:tentative="1">
      <w:start w:val="1"/>
      <w:numFmt w:val="bullet"/>
      <w:lvlText w:val=""/>
      <w:lvlJc w:val="left"/>
      <w:pPr>
        <w:tabs>
          <w:tab w:val="num" w:pos="5040"/>
        </w:tabs>
        <w:ind w:left="5040" w:hanging="360"/>
      </w:pPr>
      <w:rPr>
        <w:rFonts w:ascii="Symbol" w:hAnsi="Symbol" w:hint="default"/>
      </w:rPr>
    </w:lvl>
    <w:lvl w:ilvl="7" w:tplc="7F50A8C4" w:tentative="1">
      <w:start w:val="1"/>
      <w:numFmt w:val="bullet"/>
      <w:lvlText w:val="o"/>
      <w:lvlJc w:val="left"/>
      <w:pPr>
        <w:tabs>
          <w:tab w:val="num" w:pos="5760"/>
        </w:tabs>
        <w:ind w:left="5760" w:hanging="360"/>
      </w:pPr>
      <w:rPr>
        <w:rFonts w:ascii="Courier New" w:hAnsi="Courier New" w:hint="default"/>
      </w:rPr>
    </w:lvl>
    <w:lvl w:ilvl="8" w:tplc="12DE2C9E" w:tentative="1">
      <w:start w:val="1"/>
      <w:numFmt w:val="bullet"/>
      <w:lvlText w:val=""/>
      <w:lvlJc w:val="left"/>
      <w:pPr>
        <w:tabs>
          <w:tab w:val="num" w:pos="6480"/>
        </w:tabs>
        <w:ind w:left="6480" w:hanging="360"/>
      </w:pPr>
      <w:rPr>
        <w:rFonts w:ascii="Wingdings" w:hAnsi="Wingdings" w:hint="default"/>
      </w:rPr>
    </w:lvl>
  </w:abstractNum>
  <w:abstractNum w:abstractNumId="3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22"/>
  </w:num>
  <w:num w:numId="3">
    <w:abstractNumId w:val="27"/>
  </w:num>
  <w:num w:numId="4">
    <w:abstractNumId w:val="38"/>
  </w:num>
  <w:num w:numId="5">
    <w:abstractNumId w:val="36"/>
  </w:num>
  <w:num w:numId="6">
    <w:abstractNumId w:val="19"/>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401"/>
    <w:docVar w:name="WAFER_20140609112401" w:val="RemoveTocBookmarks,RemoveUnusedBookmarks,RemoveLanguageTags,UsedStyles,ResetPageSize"/>
    <w:docVar w:name="WAFER_20140609112401_GUID" w:val="c415f0c9-70fb-49f3-b878-603a41b1cf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418" w:right="1134"/>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418" w:right="1134"/>
    </w:pPr>
    <w:rPr>
      <w:b/>
      <w:noProof/>
      <w:sz w:val="22"/>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418" w:right="1134"/>
    </w:pPr>
    <w:rPr>
      <w:b/>
      <w:noProof/>
      <w:sz w:val="22"/>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418" w:right="1134"/>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418" w:right="1134"/>
    </w:pPr>
    <w:rPr>
      <w:b/>
      <w:noProof/>
      <w:sz w:val="22"/>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7"/>
      </w:numPr>
    </w:pPr>
  </w:style>
  <w:style w:type="paragraph" w:styleId="ListBullet2">
    <w:name w:val="List Bullet 2"/>
    <w:basedOn w:val="Normal"/>
    <w:autoRedefine/>
    <w:semiHidden/>
    <w:pPr>
      <w:numPr>
        <w:numId w:val="8"/>
      </w:numPr>
      <w:tabs>
        <w:tab w:val="clear" w:pos="643"/>
        <w:tab w:val="num" w:pos="720"/>
      </w:tabs>
      <w:ind w:left="720"/>
    </w:pPr>
  </w:style>
  <w:style w:type="paragraph" w:styleId="ListBullet3">
    <w:name w:val="List Bullet 3"/>
    <w:basedOn w:val="Normal"/>
    <w:autoRedefine/>
    <w:semiHidden/>
    <w:pPr>
      <w:numPr>
        <w:numId w:val="9"/>
      </w:numPr>
      <w:tabs>
        <w:tab w:val="clear" w:pos="926"/>
        <w:tab w:val="num" w:pos="1080"/>
      </w:tabs>
      <w:ind w:left="1080"/>
    </w:pPr>
  </w:style>
  <w:style w:type="paragraph" w:styleId="ListBullet4">
    <w:name w:val="List Bullet 4"/>
    <w:basedOn w:val="Normal"/>
    <w:autoRedefine/>
    <w:semiHidden/>
    <w:pPr>
      <w:numPr>
        <w:numId w:val="10"/>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2"/>
      </w:numPr>
    </w:pPr>
  </w:style>
  <w:style w:type="paragraph" w:styleId="ListNumber2">
    <w:name w:val="List Number 2"/>
    <w:basedOn w:val="Normal"/>
    <w:semiHidden/>
    <w:pPr>
      <w:numPr>
        <w:numId w:val="13"/>
      </w:numPr>
      <w:tabs>
        <w:tab w:val="clear" w:pos="643"/>
        <w:tab w:val="num" w:pos="720"/>
      </w:tabs>
      <w:ind w:left="720"/>
    </w:pPr>
  </w:style>
  <w:style w:type="paragraph" w:styleId="ListNumber3">
    <w:name w:val="List Number 3"/>
    <w:basedOn w:val="Normal"/>
    <w:semiHidden/>
    <w:pPr>
      <w:numPr>
        <w:numId w:val="14"/>
      </w:numPr>
      <w:tabs>
        <w:tab w:val="clear" w:pos="926"/>
        <w:tab w:val="num" w:pos="1080"/>
      </w:tabs>
      <w:ind w:left="1080"/>
    </w:pPr>
  </w:style>
  <w:style w:type="paragraph" w:styleId="ListNumber4">
    <w:name w:val="List Number 4"/>
    <w:basedOn w:val="Normal"/>
    <w:semiHidden/>
    <w:pPr>
      <w:numPr>
        <w:numId w:val="15"/>
      </w:numPr>
      <w:tabs>
        <w:tab w:val="clear" w:pos="1209"/>
        <w:tab w:val="num" w:pos="1440"/>
      </w:tabs>
      <w:ind w:left="1440"/>
    </w:pPr>
  </w:style>
  <w:style w:type="paragraph" w:styleId="ListNumber5">
    <w:name w:val="List Number 5"/>
    <w:basedOn w:val="Normal"/>
    <w:semiHidden/>
    <w:pPr>
      <w:numPr>
        <w:numId w:val="1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7"/>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image" Target="media/image3.wmf"/><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241</Pages>
  <Words>51010</Words>
  <Characters>279538</Characters>
  <Application>Microsoft Office Word</Application>
  <DocSecurity>0</DocSecurity>
  <Lines>18635</Lines>
  <Paragraphs>11018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1982 - 04-i0-04</dc:title>
  <dc:subject/>
  <dc:creator/>
  <cp:keywords/>
  <dc:description/>
  <cp:lastModifiedBy>svcMRProcess</cp:lastModifiedBy>
  <cp:revision>4</cp:revision>
  <cp:lastPrinted>2005-11-02T09:17:00Z</cp:lastPrinted>
  <dcterms:created xsi:type="dcterms:W3CDTF">2020-02-29T07:12:00Z</dcterms:created>
  <dcterms:modified xsi:type="dcterms:W3CDTF">2020-02-29T07:12:00Z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20051209</vt:lpwstr>
  </property>
  <property fmtid="{D5CDD505-2E9C-101B-9397-08002B2CF9AE}" pid="4" name="DocumentType">
    <vt:lpwstr>Reg</vt:lpwstr>
  </property>
  <property fmtid="{D5CDD505-2E9C-101B-9397-08002B2CF9AE}" pid="5" name="OwlsUID">
    <vt:i4>4885</vt:i4>
  </property>
  <property fmtid="{D5CDD505-2E9C-101B-9397-08002B2CF9AE}" pid="6" name="AsAtDate">
    <vt:lpwstr>09 Dec 2005</vt:lpwstr>
  </property>
  <property fmtid="{D5CDD505-2E9C-101B-9397-08002B2CF9AE}" pid="7" name="Suffix">
    <vt:lpwstr>04-i0-04</vt:lpwstr>
  </property>
</Properties>
</file>