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_Toc163817907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_Toc163817908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_Toc163817909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_Toc163817910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_Toc163817911 \h </w:instrText>
      </w:r>
      <w:r>
        <w:fldChar w:fldCharType="separate"/>
      </w:r>
      <w:r>
        <w:t>10</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_Toc163817912 \h </w:instrText>
      </w:r>
      <w:r>
        <w:fldChar w:fldCharType="separate"/>
      </w:r>
      <w:r>
        <w:t>13</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_Toc163817913 \h </w:instrText>
      </w:r>
      <w:r>
        <w:fldChar w:fldCharType="separate"/>
      </w:r>
      <w:r>
        <w:t>13</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_Toc163817914 \h </w:instrText>
      </w:r>
      <w:r>
        <w:fldChar w:fldCharType="separate"/>
      </w:r>
      <w:r>
        <w:t>14</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_Toc163817915 \h </w:instrText>
      </w:r>
      <w:r>
        <w:fldChar w:fldCharType="separate"/>
      </w:r>
      <w:r>
        <w:t>14</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_Toc163817916 \h </w:instrText>
      </w:r>
      <w:r>
        <w:fldChar w:fldCharType="separate"/>
      </w:r>
      <w:r>
        <w:t>14</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_Toc163817917 \h </w:instrText>
      </w:r>
      <w:r>
        <w:fldChar w:fldCharType="separate"/>
      </w:r>
      <w:r>
        <w:t>15</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_Toc163817918 \h </w:instrText>
      </w:r>
      <w:r>
        <w:fldChar w:fldCharType="separate"/>
      </w:r>
      <w:r>
        <w:t>16</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_Toc163817919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_Toc163817922 \h </w:instrText>
      </w:r>
      <w:r>
        <w:fldChar w:fldCharType="separate"/>
      </w:r>
      <w:r>
        <w:t>18</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_Toc163817923 \h </w:instrText>
      </w:r>
      <w:r>
        <w:fldChar w:fldCharType="separate"/>
      </w:r>
      <w:r>
        <w:t>20</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_Toc163817924 \h </w:instrText>
      </w:r>
      <w:r>
        <w:fldChar w:fldCharType="separate"/>
      </w:r>
      <w:r>
        <w:t>21</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_Toc163817925 \h </w:instrText>
      </w:r>
      <w:r>
        <w:fldChar w:fldCharType="separate"/>
      </w:r>
      <w:r>
        <w:t>21</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_Toc163817926 \h </w:instrText>
      </w:r>
      <w:r>
        <w:fldChar w:fldCharType="separate"/>
      </w:r>
      <w:r>
        <w:t>22</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_Toc163817927 \h </w:instrText>
      </w:r>
      <w:r>
        <w:fldChar w:fldCharType="separate"/>
      </w:r>
      <w:r>
        <w:t>22</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_Toc163817928 \h </w:instrText>
      </w:r>
      <w:r>
        <w:fldChar w:fldCharType="separate"/>
      </w:r>
      <w:r>
        <w:t>22</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_Toc163817929 \h </w:instrText>
      </w:r>
      <w:r>
        <w:fldChar w:fldCharType="separate"/>
      </w:r>
      <w:r>
        <w:t>24</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_Toc163817930 \h </w:instrText>
      </w:r>
      <w:r>
        <w:fldChar w:fldCharType="separate"/>
      </w:r>
      <w:r>
        <w:t>25</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_Toc163817931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_Toc163817934 \h </w:instrText>
      </w:r>
      <w:r>
        <w:fldChar w:fldCharType="separate"/>
      </w:r>
      <w:r>
        <w:t>28</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_Toc163817935 \h </w:instrText>
      </w:r>
      <w:r>
        <w:fldChar w:fldCharType="separate"/>
      </w:r>
      <w:r>
        <w:t>30</w:t>
      </w:r>
      <w:r>
        <w:fldChar w:fldCharType="end"/>
      </w:r>
    </w:p>
    <w:p>
      <w:pPr>
        <w:pStyle w:val="TOC8"/>
        <w:rPr>
          <w:rFonts w:asciiTheme="minorHAnsi" w:eastAsiaTheme="minorEastAsia" w:hAnsiTheme="minorHAnsi" w:cstheme="minorBidi"/>
          <w:szCs w:val="22"/>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_Toc163817936 \h </w:instrText>
      </w:r>
      <w:r>
        <w:fldChar w:fldCharType="separate"/>
      </w:r>
      <w:r>
        <w:t>32</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_Toc163817937 \h </w:instrText>
      </w:r>
      <w:r>
        <w:fldChar w:fldCharType="separate"/>
      </w:r>
      <w:r>
        <w:t>32</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_Toc163817938 \h </w:instrText>
      </w:r>
      <w:r>
        <w:fldChar w:fldCharType="separate"/>
      </w:r>
      <w:r>
        <w:t>35</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_Toc163817939 \h </w:instrText>
      </w:r>
      <w:r>
        <w:fldChar w:fldCharType="separate"/>
      </w:r>
      <w:r>
        <w:t>36</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_Toc163817940 \h </w:instrText>
      </w:r>
      <w:r>
        <w:fldChar w:fldCharType="separate"/>
      </w:r>
      <w:r>
        <w:t>37</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_Toc163817941 \h </w:instrText>
      </w:r>
      <w:r>
        <w:fldChar w:fldCharType="separate"/>
      </w:r>
      <w:r>
        <w:t>37</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_Toc163817942 \h </w:instrText>
      </w:r>
      <w:r>
        <w:fldChar w:fldCharType="separate"/>
      </w:r>
      <w:r>
        <w:t>37</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_Toc163817943 \h </w:instrText>
      </w:r>
      <w:r>
        <w:fldChar w:fldCharType="separate"/>
      </w:r>
      <w:r>
        <w:t>38</w:t>
      </w:r>
      <w:r>
        <w:fldChar w:fldCharType="end"/>
      </w:r>
    </w:p>
    <w:p>
      <w:pPr>
        <w:pStyle w:val="TOC8"/>
        <w:rPr>
          <w:rFonts w:asciiTheme="minorHAnsi" w:eastAsiaTheme="minorEastAsia" w:hAnsiTheme="minorHAnsi" w:cstheme="minorBidi"/>
          <w:szCs w:val="22"/>
        </w:rPr>
      </w:pPr>
      <w:r>
        <w:t>32A.</w:t>
      </w:r>
      <w:r>
        <w:tab/>
        <w:t>Condition on service approval — maximum number of family day care educators</w:t>
      </w:r>
      <w:r>
        <w:tab/>
      </w:r>
      <w:r>
        <w:fldChar w:fldCharType="begin"/>
      </w:r>
      <w:r>
        <w:instrText xml:space="preserve"> PAGEREF _Toc163817944 \h </w:instrText>
      </w:r>
      <w:r>
        <w:fldChar w:fldCharType="separate"/>
      </w:r>
      <w:r>
        <w:t>38</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_Toc163817945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_Toc163817947 \h </w:instrText>
      </w:r>
      <w:r>
        <w:fldChar w:fldCharType="separate"/>
      </w:r>
      <w:r>
        <w:t>39</w:t>
      </w:r>
      <w:r>
        <w:fldChar w:fldCharType="end"/>
      </w:r>
    </w:p>
    <w:p>
      <w:pPr>
        <w:pStyle w:val="TOC8"/>
        <w:rPr>
          <w:rFonts w:asciiTheme="minorHAnsi" w:eastAsiaTheme="minorEastAsia" w:hAnsiTheme="minorHAnsi" w:cstheme="minorBidi"/>
          <w:szCs w:val="22"/>
        </w:rPr>
      </w:pPr>
      <w:r>
        <w:t>35.</w:t>
      </w:r>
      <w:r>
        <w:tab/>
        <w:t>Notice of addition of new nominated supervisor</w:t>
      </w:r>
      <w:r>
        <w:tab/>
      </w:r>
      <w:r>
        <w:fldChar w:fldCharType="begin"/>
      </w:r>
      <w:r>
        <w:instrText xml:space="preserve"> PAGEREF _Toc163817948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_Toc163817950 \h </w:instrText>
      </w:r>
      <w:r>
        <w:fldChar w:fldCharType="separate"/>
      </w:r>
      <w:r>
        <w:t>41</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_Toc163817951 \h </w:instrText>
      </w:r>
      <w:r>
        <w:fldChar w:fldCharType="separate"/>
      </w:r>
      <w:r>
        <w:t>42</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_Toc163817952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_Toc163817954 \h </w:instrText>
      </w:r>
      <w:r>
        <w:fldChar w:fldCharType="separate"/>
      </w:r>
      <w:r>
        <w:t>43</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_Toc163817955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regulations</w:t>
      </w:r>
      <w:r>
        <w:tab/>
      </w:r>
      <w:r>
        <w:fldChar w:fldCharType="begin"/>
      </w:r>
      <w:r>
        <w:instrText xml:space="preserve"> PAGEREF _Toc163817957 \h </w:instrText>
      </w:r>
      <w:r>
        <w:fldChar w:fldCharType="separate"/>
      </w:r>
      <w:r>
        <w:t>43</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_Toc163817958 \h </w:instrText>
      </w:r>
      <w:r>
        <w:fldChar w:fldCharType="separate"/>
      </w:r>
      <w:r>
        <w:t>44</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_Toc163817959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regulations</w:t>
      </w:r>
      <w:r>
        <w:tab/>
      </w:r>
      <w:r>
        <w:fldChar w:fldCharType="begin"/>
      </w:r>
      <w:r>
        <w:instrText xml:space="preserve"> PAGEREF _Toc163817961 \h </w:instrText>
      </w:r>
      <w:r>
        <w:fldChar w:fldCharType="separate"/>
      </w:r>
      <w:r>
        <w:t>45</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_Toc163817962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_Toc163817965 \h </w:instrText>
      </w:r>
      <w:r>
        <w:fldChar w:fldCharType="separate"/>
      </w:r>
      <w:r>
        <w:t>48</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_Toc163817966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_Toc163817968 \h </w:instrText>
      </w:r>
      <w:r>
        <w:fldChar w:fldCharType="separate"/>
      </w:r>
      <w:r>
        <w:t>49</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_Toc163817969 \h </w:instrText>
      </w:r>
      <w:r>
        <w:fldChar w:fldCharType="separate"/>
      </w:r>
      <w:r>
        <w:t>50</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_Toc163817970 \h </w:instrText>
      </w:r>
      <w:r>
        <w:fldChar w:fldCharType="separate"/>
      </w:r>
      <w:r>
        <w:t>50</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_Toc163817971 \h </w:instrText>
      </w:r>
      <w:r>
        <w:fldChar w:fldCharType="separate"/>
      </w:r>
      <w:r>
        <w:t>50</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_Toc163817972 \h </w:instrText>
      </w:r>
      <w:r>
        <w:fldChar w:fldCharType="separate"/>
      </w:r>
      <w:r>
        <w:t>51</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_Toc163817973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_Toc163817976 \h </w:instrText>
      </w:r>
      <w:r>
        <w:fldChar w:fldCharType="separate"/>
      </w:r>
      <w:r>
        <w:t>53</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_Toc163817977 \h </w:instrText>
      </w:r>
      <w:r>
        <w:fldChar w:fldCharType="separate"/>
      </w:r>
      <w:r>
        <w:t>55</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_Toc163817978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_Toc163817980 \h </w:instrText>
      </w:r>
      <w:r>
        <w:fldChar w:fldCharType="separate"/>
      </w:r>
      <w:r>
        <w:t>55</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_Toc163817981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_Toc163817984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_Toc163817986 \h </w:instrText>
      </w:r>
      <w:r>
        <w:fldChar w:fldCharType="separate"/>
      </w:r>
      <w:r>
        <w:t>57</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_Toc163817987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70A.</w:t>
      </w:r>
      <w:r>
        <w:tab/>
        <w:t>Prescribed rating levels for application for highest rating</w:t>
      </w:r>
      <w:r>
        <w:tab/>
      </w:r>
      <w:r>
        <w:fldChar w:fldCharType="begin"/>
      </w:r>
      <w:r>
        <w:instrText xml:space="preserve"> PAGEREF _Toc163817989 \h </w:instrText>
      </w:r>
      <w:r>
        <w:fldChar w:fldCharType="separate"/>
      </w:r>
      <w:r>
        <w:t>58</w:t>
      </w:r>
      <w:r>
        <w:fldChar w:fldCharType="end"/>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_Toc163817990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_Toc163817992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4.1AA — Location of principal office</w:t>
      </w:r>
    </w:p>
    <w:p>
      <w:pPr>
        <w:pStyle w:val="TOC8"/>
        <w:rPr>
          <w:rFonts w:asciiTheme="minorHAnsi" w:eastAsiaTheme="minorEastAsia" w:hAnsiTheme="minorHAnsi" w:cstheme="minorBidi"/>
          <w:szCs w:val="22"/>
        </w:rPr>
      </w:pPr>
      <w:r>
        <w:t>72A.</w:t>
      </w:r>
      <w:r>
        <w:tab/>
        <w:t>Location of principal office of family day care service</w:t>
      </w:r>
      <w:r>
        <w:tab/>
      </w:r>
      <w:r>
        <w:fldChar w:fldCharType="begin"/>
      </w:r>
      <w:r>
        <w:instrText xml:space="preserve"> PAGEREF _Toc163817995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_Toc163817997 \h </w:instrText>
      </w:r>
      <w:r>
        <w:fldChar w:fldCharType="separate"/>
      </w:r>
      <w:r>
        <w:t>62</w:t>
      </w:r>
      <w:r>
        <w:fldChar w:fldCharType="end"/>
      </w:r>
    </w:p>
    <w:p>
      <w:pPr>
        <w:pStyle w:val="TOC8"/>
        <w:rPr>
          <w:rFonts w:asciiTheme="minorHAnsi" w:eastAsiaTheme="minorEastAsia" w:hAnsiTheme="minorHAnsi" w:cstheme="minorBidi"/>
          <w:szCs w:val="22"/>
        </w:rPr>
      </w:pPr>
      <w:r>
        <w:t>74.</w:t>
      </w:r>
      <w:r>
        <w:tab/>
        <w:t>Documenting of child assessments and evidence of development of educational programs</w:t>
      </w:r>
      <w:r>
        <w:tab/>
      </w:r>
      <w:r>
        <w:fldChar w:fldCharType="begin"/>
      </w:r>
      <w:r>
        <w:instrText xml:space="preserve"> PAGEREF _Toc163817998 \h </w:instrText>
      </w:r>
      <w:r>
        <w:fldChar w:fldCharType="separate"/>
      </w:r>
      <w:r>
        <w:t>62</w:t>
      </w:r>
      <w:r>
        <w:fldChar w:fldCharType="end"/>
      </w:r>
    </w:p>
    <w:p>
      <w:pPr>
        <w:pStyle w:val="TOC8"/>
        <w:rPr>
          <w:rFonts w:asciiTheme="minorHAnsi" w:eastAsiaTheme="minorEastAsia" w:hAnsiTheme="minorHAnsi" w:cstheme="minorBidi"/>
          <w:szCs w:val="22"/>
        </w:rPr>
      </w:pPr>
      <w:r>
        <w:lastRenderedPageBreak/>
        <w:t>75.</w:t>
      </w:r>
      <w:r>
        <w:tab/>
        <w:t>Information about educational program to be kept available</w:t>
      </w:r>
      <w:r>
        <w:tab/>
      </w:r>
      <w:r>
        <w:fldChar w:fldCharType="begin"/>
      </w:r>
      <w:r>
        <w:instrText xml:space="preserve"> PAGEREF _Toc163817999 \h </w:instrText>
      </w:r>
      <w:r>
        <w:fldChar w:fldCharType="separate"/>
      </w:r>
      <w:r>
        <w:t>63</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_Toc163818000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_Toc163818003 \h </w:instrText>
      </w:r>
      <w:r>
        <w:fldChar w:fldCharType="separate"/>
      </w:r>
      <w:r>
        <w:t>64</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_Toc163818004 \h </w:instrText>
      </w:r>
      <w:r>
        <w:fldChar w:fldCharType="separate"/>
      </w:r>
      <w:r>
        <w:t>65</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_Toc163818005 \h </w:instrText>
      </w:r>
      <w:r>
        <w:fldChar w:fldCharType="separate"/>
      </w:r>
      <w:r>
        <w:t>66</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_Toc163818006 \h </w:instrText>
      </w:r>
      <w:r>
        <w:fldChar w:fldCharType="separate"/>
      </w:r>
      <w:r>
        <w:t>68</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_Toc163818007 \h </w:instrText>
      </w:r>
      <w:r>
        <w:fldChar w:fldCharType="separate"/>
      </w:r>
      <w:r>
        <w:t>69</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_Toc163818008 \h </w:instrText>
      </w:r>
      <w:r>
        <w:fldChar w:fldCharType="separate"/>
      </w:r>
      <w:r>
        <w:t>70</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_Toc163818009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1A — Sleep and rest</w:t>
      </w:r>
    </w:p>
    <w:p>
      <w:pPr>
        <w:pStyle w:val="TOC8"/>
        <w:rPr>
          <w:rFonts w:asciiTheme="minorHAnsi" w:eastAsiaTheme="minorEastAsia" w:hAnsiTheme="minorHAnsi" w:cstheme="minorBidi"/>
          <w:szCs w:val="22"/>
        </w:rPr>
      </w:pPr>
      <w:r>
        <w:t>84A.</w:t>
      </w:r>
      <w:r>
        <w:tab/>
        <w:t>Sleep and rest</w:t>
      </w:r>
      <w:r>
        <w:tab/>
      </w:r>
      <w:r>
        <w:fldChar w:fldCharType="begin"/>
      </w:r>
      <w:r>
        <w:instrText xml:space="preserve"> PAGEREF _Toc163818011 \h </w:instrText>
      </w:r>
      <w:r>
        <w:fldChar w:fldCharType="separate"/>
      </w:r>
      <w:r>
        <w:t>71</w:t>
      </w:r>
      <w:r>
        <w:fldChar w:fldCharType="end"/>
      </w:r>
    </w:p>
    <w:p>
      <w:pPr>
        <w:pStyle w:val="TOC8"/>
        <w:rPr>
          <w:rFonts w:asciiTheme="minorHAnsi" w:eastAsiaTheme="minorEastAsia" w:hAnsiTheme="minorHAnsi" w:cstheme="minorBidi"/>
          <w:szCs w:val="22"/>
        </w:rPr>
      </w:pPr>
      <w:r>
        <w:t>84B.</w:t>
      </w:r>
      <w:r>
        <w:tab/>
        <w:t>Sleep and rest policies and procedures</w:t>
      </w:r>
      <w:r>
        <w:tab/>
      </w:r>
      <w:r>
        <w:fldChar w:fldCharType="begin"/>
      </w:r>
      <w:r>
        <w:instrText xml:space="preserve"> PAGEREF _Toc163818012 \h </w:instrText>
      </w:r>
      <w:r>
        <w:fldChar w:fldCharType="separate"/>
      </w:r>
      <w:r>
        <w:t>72</w:t>
      </w:r>
      <w:r>
        <w:fldChar w:fldCharType="end"/>
      </w:r>
    </w:p>
    <w:p>
      <w:pPr>
        <w:pStyle w:val="TOC8"/>
        <w:rPr>
          <w:rFonts w:asciiTheme="minorHAnsi" w:eastAsiaTheme="minorEastAsia" w:hAnsiTheme="minorHAnsi" w:cstheme="minorBidi"/>
          <w:szCs w:val="22"/>
        </w:rPr>
      </w:pPr>
      <w:r>
        <w:t>84C.</w:t>
      </w:r>
      <w:r>
        <w:tab/>
        <w:t>Risk assessment for purposes of sleep and rest policies and procedures</w:t>
      </w:r>
      <w:r>
        <w:tab/>
      </w:r>
      <w:r>
        <w:fldChar w:fldCharType="begin"/>
      </w:r>
      <w:r>
        <w:instrText xml:space="preserve"> PAGEREF _Toc163818013 \h </w:instrText>
      </w:r>
      <w:r>
        <w:fldChar w:fldCharType="separate"/>
      </w:r>
      <w:r>
        <w:t>74</w:t>
      </w:r>
      <w:r>
        <w:fldChar w:fldCharType="end"/>
      </w:r>
    </w:p>
    <w:p>
      <w:pPr>
        <w:pStyle w:val="TOC8"/>
        <w:rPr>
          <w:rFonts w:asciiTheme="minorHAnsi" w:eastAsiaTheme="minorEastAsia" w:hAnsiTheme="minorHAnsi" w:cstheme="minorBidi"/>
          <w:szCs w:val="22"/>
        </w:rPr>
      </w:pPr>
      <w:r>
        <w:t xml:space="preserve">84D. </w:t>
      </w:r>
      <w:r>
        <w:tab/>
        <w:t>Prohibition of bassinets</w:t>
      </w:r>
      <w:r>
        <w:tab/>
      </w:r>
      <w:r>
        <w:fldChar w:fldCharType="begin"/>
      </w:r>
      <w:r>
        <w:instrText xml:space="preserve"> PAGEREF _Toc163818014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_Toc163818016 \h </w:instrText>
      </w:r>
      <w:r>
        <w:fldChar w:fldCharType="separate"/>
      </w:r>
      <w:r>
        <w:t>77</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_Toc163818017 \h </w:instrText>
      </w:r>
      <w:r>
        <w:fldChar w:fldCharType="separate"/>
      </w:r>
      <w:r>
        <w:t>77</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_Toc163818018 \h </w:instrText>
      </w:r>
      <w:r>
        <w:fldChar w:fldCharType="separate"/>
      </w:r>
      <w:r>
        <w:t>77</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_Toc163818019 \h </w:instrText>
      </w:r>
      <w:r>
        <w:fldChar w:fldCharType="separate"/>
      </w:r>
      <w:r>
        <w:t>79</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_Toc163818020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_Toc163818022 \h </w:instrText>
      </w:r>
      <w:r>
        <w:fldChar w:fldCharType="separate"/>
      </w:r>
      <w:r>
        <w:t>81</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_Toc163818023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_Toc163818025 \h </w:instrText>
      </w:r>
      <w:r>
        <w:fldChar w:fldCharType="separate"/>
      </w:r>
      <w:r>
        <w:t>83</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_Toc163818026 \h </w:instrText>
      </w:r>
      <w:r>
        <w:fldChar w:fldCharType="separate"/>
      </w:r>
      <w:r>
        <w:t>84</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_Toc163818027 \h </w:instrText>
      </w:r>
      <w:r>
        <w:fldChar w:fldCharType="separate"/>
      </w:r>
      <w:r>
        <w:t>86</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_Toc163818028 \h </w:instrText>
      </w:r>
      <w:r>
        <w:fldChar w:fldCharType="separate"/>
      </w:r>
      <w:r>
        <w:t>86</w:t>
      </w:r>
      <w:r>
        <w:fldChar w:fldCharType="end"/>
      </w:r>
    </w:p>
    <w:p>
      <w:pPr>
        <w:pStyle w:val="TOC8"/>
        <w:rPr>
          <w:rFonts w:asciiTheme="minorHAnsi" w:eastAsiaTheme="minorEastAsia" w:hAnsiTheme="minorHAnsi" w:cstheme="minorBidi"/>
          <w:szCs w:val="22"/>
        </w:rPr>
      </w:pPr>
      <w:r>
        <w:lastRenderedPageBreak/>
        <w:t>96.</w:t>
      </w:r>
      <w:r>
        <w:tab/>
        <w:t>Self</w:t>
      </w:r>
      <w:r>
        <w:noBreakHyphen/>
        <w:t>administration of medication</w:t>
      </w:r>
      <w:r>
        <w:tab/>
      </w:r>
      <w:r>
        <w:fldChar w:fldCharType="begin"/>
      </w:r>
      <w:r>
        <w:instrText xml:space="preserve"> PAGEREF _Toc163818029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_Toc163818031 \h </w:instrText>
      </w:r>
      <w:r>
        <w:fldChar w:fldCharType="separate"/>
      </w:r>
      <w:r>
        <w:t>88</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_Toc163818032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_Toc163818034 \h </w:instrText>
      </w:r>
      <w:r>
        <w:fldChar w:fldCharType="separate"/>
      </w:r>
      <w:r>
        <w:t>91</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_Toc163818035 \h </w:instrText>
      </w:r>
      <w:r>
        <w:fldChar w:fldCharType="separate"/>
      </w:r>
      <w:r>
        <w:t>91</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_Toc163818036 \h </w:instrText>
      </w:r>
      <w:r>
        <w:fldChar w:fldCharType="separate"/>
      </w:r>
      <w:r>
        <w:t>92</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_Toc163818037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Division 6A — Safe arrival of children</w:t>
      </w:r>
    </w:p>
    <w:p>
      <w:pPr>
        <w:pStyle w:val="TOC8"/>
        <w:rPr>
          <w:rFonts w:asciiTheme="minorHAnsi" w:eastAsiaTheme="minorEastAsia" w:hAnsiTheme="minorHAnsi" w:cstheme="minorBidi"/>
          <w:szCs w:val="22"/>
        </w:rPr>
      </w:pPr>
      <w:r>
        <w:t>102AA.</w:t>
      </w:r>
      <w:r>
        <w:tab/>
        <w:t>Definition</w:t>
      </w:r>
      <w:r>
        <w:tab/>
      </w:r>
      <w:r>
        <w:fldChar w:fldCharType="begin"/>
      </w:r>
      <w:r>
        <w:instrText xml:space="preserve"> PAGEREF _Toc163818039 \h </w:instrText>
      </w:r>
      <w:r>
        <w:fldChar w:fldCharType="separate"/>
      </w:r>
      <w:r>
        <w:t>95</w:t>
      </w:r>
      <w:r>
        <w:fldChar w:fldCharType="end"/>
      </w:r>
    </w:p>
    <w:p>
      <w:pPr>
        <w:pStyle w:val="TOC8"/>
        <w:rPr>
          <w:rFonts w:asciiTheme="minorHAnsi" w:eastAsiaTheme="minorEastAsia" w:hAnsiTheme="minorHAnsi" w:cstheme="minorBidi"/>
          <w:szCs w:val="22"/>
        </w:rPr>
      </w:pPr>
      <w:r>
        <w:t>102AAB.</w:t>
      </w:r>
      <w:r>
        <w:tab/>
        <w:t>Safe arrival of children policies and procedures</w:t>
      </w:r>
      <w:r>
        <w:tab/>
      </w:r>
      <w:r>
        <w:fldChar w:fldCharType="begin"/>
      </w:r>
      <w:r>
        <w:instrText xml:space="preserve"> PAGEREF _Toc163818040 \h </w:instrText>
      </w:r>
      <w:r>
        <w:fldChar w:fldCharType="separate"/>
      </w:r>
      <w:r>
        <w:t>95</w:t>
      </w:r>
      <w:r>
        <w:fldChar w:fldCharType="end"/>
      </w:r>
    </w:p>
    <w:p>
      <w:pPr>
        <w:pStyle w:val="TOC8"/>
        <w:rPr>
          <w:rFonts w:asciiTheme="minorHAnsi" w:eastAsiaTheme="minorEastAsia" w:hAnsiTheme="minorHAnsi" w:cstheme="minorBidi"/>
          <w:szCs w:val="22"/>
        </w:rPr>
      </w:pPr>
      <w:r>
        <w:t>102AAC.</w:t>
      </w:r>
      <w:r>
        <w:tab/>
        <w:t>Risk assessment for the purposes of safe arrival of children policies and procedures</w:t>
      </w:r>
      <w:r>
        <w:tab/>
      </w:r>
      <w:r>
        <w:fldChar w:fldCharType="begin"/>
      </w:r>
      <w:r>
        <w:instrText xml:space="preserve"> PAGEREF _Toc163818041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Division 7 — Transportation of children other than as part of excursion</w:t>
      </w:r>
    </w:p>
    <w:p>
      <w:pPr>
        <w:pStyle w:val="TOC8"/>
        <w:rPr>
          <w:rFonts w:asciiTheme="minorHAnsi" w:eastAsiaTheme="minorEastAsia" w:hAnsiTheme="minorHAnsi" w:cstheme="minorBidi"/>
          <w:szCs w:val="22"/>
        </w:rPr>
      </w:pPr>
      <w:r>
        <w:t>102A.</w:t>
      </w:r>
      <w:r>
        <w:tab/>
        <w:t>Application of Division</w:t>
      </w:r>
      <w:r>
        <w:tab/>
      </w:r>
      <w:r>
        <w:fldChar w:fldCharType="begin"/>
      </w:r>
      <w:r>
        <w:instrText xml:space="preserve"> PAGEREF _Toc163818043 \h </w:instrText>
      </w:r>
      <w:r>
        <w:fldChar w:fldCharType="separate"/>
      </w:r>
      <w:r>
        <w:t>98</w:t>
      </w:r>
      <w:r>
        <w:fldChar w:fldCharType="end"/>
      </w:r>
    </w:p>
    <w:p>
      <w:pPr>
        <w:pStyle w:val="TOC8"/>
        <w:rPr>
          <w:rFonts w:asciiTheme="minorHAnsi" w:eastAsiaTheme="minorEastAsia" w:hAnsiTheme="minorHAnsi" w:cstheme="minorBidi"/>
          <w:szCs w:val="22"/>
        </w:rPr>
      </w:pPr>
      <w:r>
        <w:t>102B.</w:t>
      </w:r>
      <w:r>
        <w:tab/>
        <w:t>Transport risk assessment must be conducted before service transports child</w:t>
      </w:r>
      <w:r>
        <w:tab/>
      </w:r>
      <w:r>
        <w:fldChar w:fldCharType="begin"/>
      </w:r>
      <w:r>
        <w:instrText xml:space="preserve"> PAGEREF _Toc163818044 \h </w:instrText>
      </w:r>
      <w:r>
        <w:fldChar w:fldCharType="separate"/>
      </w:r>
      <w:r>
        <w:t>99</w:t>
      </w:r>
      <w:r>
        <w:fldChar w:fldCharType="end"/>
      </w:r>
    </w:p>
    <w:p>
      <w:pPr>
        <w:pStyle w:val="TOC8"/>
        <w:rPr>
          <w:rFonts w:asciiTheme="minorHAnsi" w:eastAsiaTheme="minorEastAsia" w:hAnsiTheme="minorHAnsi" w:cstheme="minorBidi"/>
          <w:szCs w:val="22"/>
        </w:rPr>
      </w:pPr>
      <w:r>
        <w:t>102C.</w:t>
      </w:r>
      <w:r>
        <w:tab/>
        <w:t>Conduct of risk assessment for transporting of children by education and care service</w:t>
      </w:r>
      <w:r>
        <w:tab/>
      </w:r>
      <w:r>
        <w:fldChar w:fldCharType="begin"/>
      </w:r>
      <w:r>
        <w:instrText xml:space="preserve"> PAGEREF _Toc163818045 \h </w:instrText>
      </w:r>
      <w:r>
        <w:fldChar w:fldCharType="separate"/>
      </w:r>
      <w:r>
        <w:t>100</w:t>
      </w:r>
      <w:r>
        <w:fldChar w:fldCharType="end"/>
      </w:r>
    </w:p>
    <w:p>
      <w:pPr>
        <w:pStyle w:val="TOC8"/>
        <w:rPr>
          <w:rFonts w:asciiTheme="minorHAnsi" w:eastAsiaTheme="minorEastAsia" w:hAnsiTheme="minorHAnsi" w:cstheme="minorBidi"/>
          <w:szCs w:val="22"/>
        </w:rPr>
      </w:pPr>
      <w:r>
        <w:t>102D.</w:t>
      </w:r>
      <w:r>
        <w:tab/>
        <w:t>Authorisation for service to transport children</w:t>
      </w:r>
      <w:r>
        <w:tab/>
      </w:r>
      <w:r>
        <w:fldChar w:fldCharType="begin"/>
      </w:r>
      <w:r>
        <w:instrText xml:space="preserve"> PAGEREF _Toc163818046 \h </w:instrText>
      </w:r>
      <w:r>
        <w:fldChar w:fldCharType="separate"/>
      </w:r>
      <w:r>
        <w:t>101</w:t>
      </w:r>
      <w:r>
        <w:fldChar w:fldCharType="end"/>
      </w:r>
    </w:p>
    <w:p>
      <w:pPr>
        <w:pStyle w:val="TOC8"/>
        <w:rPr>
          <w:rFonts w:asciiTheme="minorHAnsi" w:eastAsiaTheme="minorEastAsia" w:hAnsiTheme="minorHAnsi" w:cstheme="minorBidi"/>
          <w:szCs w:val="22"/>
        </w:rPr>
      </w:pPr>
      <w:r>
        <w:t>102E.</w:t>
      </w:r>
      <w:r>
        <w:tab/>
        <w:t>Children embarking a means of transport — centre</w:t>
      </w:r>
      <w:r>
        <w:noBreakHyphen/>
        <w:t>based service</w:t>
      </w:r>
      <w:r>
        <w:tab/>
      </w:r>
      <w:r>
        <w:fldChar w:fldCharType="begin"/>
      </w:r>
      <w:r>
        <w:instrText xml:space="preserve"> PAGEREF _Toc163818047 \h </w:instrText>
      </w:r>
      <w:r>
        <w:fldChar w:fldCharType="separate"/>
      </w:r>
      <w:r>
        <w:t>102</w:t>
      </w:r>
      <w:r>
        <w:fldChar w:fldCharType="end"/>
      </w:r>
    </w:p>
    <w:p>
      <w:pPr>
        <w:pStyle w:val="TOC8"/>
        <w:rPr>
          <w:rFonts w:asciiTheme="minorHAnsi" w:eastAsiaTheme="minorEastAsia" w:hAnsiTheme="minorHAnsi" w:cstheme="minorBidi"/>
          <w:szCs w:val="22"/>
        </w:rPr>
      </w:pPr>
      <w:r>
        <w:t>102F.</w:t>
      </w:r>
      <w:r>
        <w:tab/>
        <w:t>Children disembarking a means of transport — centre</w:t>
      </w:r>
      <w:r>
        <w:noBreakHyphen/>
        <w:t>based service</w:t>
      </w:r>
      <w:r>
        <w:tab/>
      </w:r>
      <w:r>
        <w:fldChar w:fldCharType="begin"/>
      </w:r>
      <w:r>
        <w:instrText xml:space="preserve"> PAGEREF _Toc163818048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_Toc163818051 \h </w:instrText>
      </w:r>
      <w:r>
        <w:fldChar w:fldCharType="separate"/>
      </w:r>
      <w:r>
        <w:t>105</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_Toc163818052 \h </w:instrText>
      </w:r>
      <w:r>
        <w:fldChar w:fldCharType="separate"/>
      </w:r>
      <w:r>
        <w:t>106</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_Toc163818053 \h </w:instrText>
      </w:r>
      <w:r>
        <w:fldChar w:fldCharType="separate"/>
      </w:r>
      <w:r>
        <w:t>106</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_Toc163818054 \h </w:instrText>
      </w:r>
      <w:r>
        <w:fldChar w:fldCharType="separate"/>
      </w:r>
      <w:r>
        <w:t>107</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_Toc163818055 \h </w:instrText>
      </w:r>
      <w:r>
        <w:fldChar w:fldCharType="separate"/>
      </w:r>
      <w:r>
        <w:t>107</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_Toc163818056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109.</w:t>
      </w:r>
      <w:r>
        <w:tab/>
        <w:t>Toilet and hygiene facilities</w:t>
      </w:r>
      <w:r>
        <w:tab/>
      </w:r>
      <w:r>
        <w:fldChar w:fldCharType="begin"/>
      </w:r>
      <w:r>
        <w:instrText xml:space="preserve"> PAGEREF _Toc163818057 \h </w:instrText>
      </w:r>
      <w:r>
        <w:fldChar w:fldCharType="separate"/>
      </w:r>
      <w:r>
        <w:t>110</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_Toc163818058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_Toc163818060 \h </w:instrText>
      </w:r>
      <w:r>
        <w:fldChar w:fldCharType="separate"/>
      </w:r>
      <w:r>
        <w:t>110</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_Toc163818061 \h </w:instrText>
      </w:r>
      <w:r>
        <w:fldChar w:fldCharType="separate"/>
      </w:r>
      <w:r>
        <w:t>111</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_Toc163818062 \h </w:instrText>
      </w:r>
      <w:r>
        <w:fldChar w:fldCharType="separate"/>
      </w:r>
      <w:r>
        <w:t>112</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_Toc163818063 \h </w:instrText>
      </w:r>
      <w:r>
        <w:fldChar w:fldCharType="separate"/>
      </w:r>
      <w:r>
        <w:t>112</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_Toc163818064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_Toc163818066 \h </w:instrText>
      </w:r>
      <w:r>
        <w:fldChar w:fldCharType="separate"/>
      </w:r>
      <w:r>
        <w:t>113</w:t>
      </w:r>
      <w:r>
        <w:fldChar w:fldCharType="end"/>
      </w:r>
    </w:p>
    <w:p>
      <w:pPr>
        <w:pStyle w:val="TOC8"/>
        <w:rPr>
          <w:rFonts w:asciiTheme="minorHAnsi" w:eastAsiaTheme="minorEastAsia" w:hAnsiTheme="minorHAnsi" w:cstheme="minorBidi"/>
          <w:szCs w:val="22"/>
        </w:rPr>
      </w:pPr>
      <w:r>
        <w:t>116A.</w:t>
      </w:r>
      <w:r>
        <w:tab/>
        <w:t>Inspection of swimming pools, water features and other potential water hazards at family day care residences and approved family day care venues</w:t>
      </w:r>
      <w:r>
        <w:tab/>
      </w:r>
      <w:r>
        <w:fldChar w:fldCharType="begin"/>
      </w:r>
      <w:r>
        <w:instrText xml:space="preserve"> PAGEREF _Toc163818067 \h </w:instrText>
      </w:r>
      <w:r>
        <w:fldChar w:fldCharType="separate"/>
      </w:r>
      <w:r>
        <w:t>115</w:t>
      </w:r>
      <w:r>
        <w:fldChar w:fldCharType="end"/>
      </w:r>
    </w:p>
    <w:p>
      <w:pPr>
        <w:pStyle w:val="TOC8"/>
        <w:rPr>
          <w:rFonts w:asciiTheme="minorHAnsi" w:eastAsiaTheme="minorEastAsia" w:hAnsiTheme="minorHAnsi" w:cstheme="minorBidi"/>
          <w:szCs w:val="22"/>
        </w:rPr>
      </w:pPr>
      <w:r>
        <w:t>116B.</w:t>
      </w:r>
      <w:r>
        <w:tab/>
        <w:t>Inspection report</w:t>
      </w:r>
      <w:r>
        <w:tab/>
      </w:r>
      <w:r>
        <w:fldChar w:fldCharType="begin"/>
      </w:r>
      <w:r>
        <w:instrText xml:space="preserve"> PAGEREF _Toc163818068 \h </w:instrText>
      </w:r>
      <w:r>
        <w:fldChar w:fldCharType="separate"/>
      </w:r>
      <w:r>
        <w:t>115</w:t>
      </w:r>
      <w:r>
        <w:fldChar w:fldCharType="end"/>
      </w:r>
    </w:p>
    <w:p>
      <w:pPr>
        <w:pStyle w:val="TOC8"/>
        <w:rPr>
          <w:rFonts w:asciiTheme="minorHAnsi" w:eastAsiaTheme="minorEastAsia" w:hAnsiTheme="minorHAnsi" w:cstheme="minorBidi"/>
          <w:szCs w:val="22"/>
        </w:rPr>
      </w:pPr>
      <w:r>
        <w:t>116C.</w:t>
      </w:r>
      <w:r>
        <w:tab/>
        <w:t>Compliance with fencing requirements for swimming pools at family day care residences and approved family day care venues</w:t>
      </w:r>
      <w:r>
        <w:tab/>
      </w:r>
      <w:r>
        <w:fldChar w:fldCharType="begin"/>
      </w:r>
      <w:r>
        <w:instrText xml:space="preserve"> PAGEREF _Toc163818069 \h </w:instrText>
      </w:r>
      <w:r>
        <w:fldChar w:fldCharType="separate"/>
      </w:r>
      <w:r>
        <w:t>115</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_Toc163818070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Part 4.3A — Minimum requirements for persons in day</w:t>
      </w:r>
      <w:r>
        <w:noBreakHyphen/>
        <w:t>to</w:t>
      </w:r>
      <w:r>
        <w:noBreakHyphen/>
        <w:t>day charge and nominated supervisors</w:t>
      </w:r>
    </w:p>
    <w:p>
      <w:pPr>
        <w:pStyle w:val="TOC8"/>
        <w:rPr>
          <w:rFonts w:asciiTheme="minorHAnsi" w:eastAsiaTheme="minorEastAsia" w:hAnsiTheme="minorHAnsi" w:cstheme="minorBidi"/>
          <w:szCs w:val="22"/>
        </w:rPr>
      </w:pPr>
      <w:r>
        <w:t>117A.</w:t>
      </w:r>
      <w:r>
        <w:tab/>
        <w:t>Placing a person in day</w:t>
      </w:r>
      <w:r>
        <w:noBreakHyphen/>
        <w:t>to</w:t>
      </w:r>
      <w:r>
        <w:noBreakHyphen/>
        <w:t>day charge</w:t>
      </w:r>
      <w:r>
        <w:tab/>
      </w:r>
      <w:r>
        <w:fldChar w:fldCharType="begin"/>
      </w:r>
      <w:r>
        <w:instrText xml:space="preserve"> PAGEREF _Toc163818072 \h </w:instrText>
      </w:r>
      <w:r>
        <w:fldChar w:fldCharType="separate"/>
      </w:r>
      <w:r>
        <w:t>116</w:t>
      </w:r>
      <w:r>
        <w:fldChar w:fldCharType="end"/>
      </w:r>
    </w:p>
    <w:p>
      <w:pPr>
        <w:pStyle w:val="TOC8"/>
        <w:rPr>
          <w:rFonts w:asciiTheme="minorHAnsi" w:eastAsiaTheme="minorEastAsia" w:hAnsiTheme="minorHAnsi" w:cstheme="minorBidi"/>
          <w:szCs w:val="22"/>
        </w:rPr>
      </w:pPr>
      <w:r>
        <w:t>117B.</w:t>
      </w:r>
      <w:r>
        <w:tab/>
        <w:t>Minimum requirements for a person in day</w:t>
      </w:r>
      <w:r>
        <w:noBreakHyphen/>
        <w:t>to</w:t>
      </w:r>
      <w:r>
        <w:noBreakHyphen/>
        <w:t>day charge</w:t>
      </w:r>
      <w:r>
        <w:tab/>
      </w:r>
      <w:r>
        <w:fldChar w:fldCharType="begin"/>
      </w:r>
      <w:r>
        <w:instrText xml:space="preserve"> PAGEREF _Toc163818073 \h </w:instrText>
      </w:r>
      <w:r>
        <w:fldChar w:fldCharType="separate"/>
      </w:r>
      <w:r>
        <w:t>117</w:t>
      </w:r>
      <w:r>
        <w:fldChar w:fldCharType="end"/>
      </w:r>
    </w:p>
    <w:p>
      <w:pPr>
        <w:pStyle w:val="TOC8"/>
        <w:rPr>
          <w:rFonts w:asciiTheme="minorHAnsi" w:eastAsiaTheme="minorEastAsia" w:hAnsiTheme="minorHAnsi" w:cstheme="minorBidi"/>
          <w:szCs w:val="22"/>
        </w:rPr>
      </w:pPr>
      <w:r>
        <w:t>117C.</w:t>
      </w:r>
      <w:r>
        <w:tab/>
        <w:t>Minimum requirements for a nominated supervisor</w:t>
      </w:r>
      <w:r>
        <w:tab/>
      </w:r>
      <w:r>
        <w:fldChar w:fldCharType="begin"/>
      </w:r>
      <w:r>
        <w:instrText xml:space="preserve"> PAGEREF _Toc163818074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_Toc163818077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_Toc163818079 \h </w:instrText>
      </w:r>
      <w:r>
        <w:fldChar w:fldCharType="separate"/>
      </w:r>
      <w:r>
        <w:t>119</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_Toc163818080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family day care co</w:t>
      </w:r>
      <w:r>
        <w:noBreakHyphen/>
        <w:t>ordinators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_Toc163818082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122.</w:t>
      </w:r>
      <w:r>
        <w:tab/>
        <w:t>Educators must be working directly with children to be included in ratios</w:t>
      </w:r>
      <w:r>
        <w:tab/>
      </w:r>
      <w:r>
        <w:fldChar w:fldCharType="begin"/>
      </w:r>
      <w:r>
        <w:instrText xml:space="preserve"> PAGEREF _Toc163818083 \h </w:instrText>
      </w:r>
      <w:r>
        <w:fldChar w:fldCharType="separate"/>
      </w:r>
      <w:r>
        <w:t>121</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_Toc163818084 \h </w:instrText>
      </w:r>
      <w:r>
        <w:fldChar w:fldCharType="separate"/>
      </w:r>
      <w:r>
        <w:t>121</w:t>
      </w:r>
      <w:r>
        <w:fldChar w:fldCharType="end"/>
      </w:r>
    </w:p>
    <w:p>
      <w:pPr>
        <w:pStyle w:val="TOC8"/>
        <w:rPr>
          <w:rFonts w:asciiTheme="minorHAnsi" w:eastAsiaTheme="minorEastAsia" w:hAnsiTheme="minorHAnsi" w:cstheme="minorBidi"/>
          <w:szCs w:val="22"/>
        </w:rPr>
      </w:pPr>
      <w:r>
        <w:t>123A.</w:t>
      </w:r>
      <w:r>
        <w:tab/>
        <w:t>Family day care co</w:t>
      </w:r>
      <w:r>
        <w:noBreakHyphen/>
        <w:t>ordinator to educator ratios — family day care service</w:t>
      </w:r>
      <w:r>
        <w:tab/>
      </w:r>
      <w:r>
        <w:fldChar w:fldCharType="begin"/>
      </w:r>
      <w:r>
        <w:instrText xml:space="preserve"> PAGEREF _Toc163818085 \h </w:instrText>
      </w:r>
      <w:r>
        <w:fldChar w:fldCharType="separate"/>
      </w:r>
      <w:r>
        <w:t>124</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_Toc163818086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_Toc163818088 \h </w:instrText>
      </w:r>
      <w:r>
        <w:fldChar w:fldCharType="separate"/>
      </w:r>
      <w:r>
        <w:t>127</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_Toc163818089 \h </w:instrText>
      </w:r>
      <w:r>
        <w:fldChar w:fldCharType="separate"/>
      </w:r>
      <w:r>
        <w:t>127</w:t>
      </w:r>
      <w:r>
        <w:fldChar w:fldCharType="end"/>
      </w:r>
    </w:p>
    <w:p>
      <w:pPr>
        <w:pStyle w:val="TOC8"/>
        <w:rPr>
          <w:rFonts w:asciiTheme="minorHAnsi" w:eastAsiaTheme="minorEastAsia" w:hAnsiTheme="minorHAnsi" w:cstheme="minorBidi"/>
          <w:szCs w:val="22"/>
        </w:rPr>
      </w:pPr>
      <w:r>
        <w:t>126A.</w:t>
      </w:r>
      <w:r>
        <w:tab/>
        <w:t>Illness or absence of qualified educator who is required to meet relevant educator to child ratio</w:t>
      </w:r>
      <w:r>
        <w:tab/>
      </w:r>
      <w:r>
        <w:fldChar w:fldCharType="begin"/>
      </w:r>
      <w:r>
        <w:instrText xml:space="preserve"> PAGEREF _Toc163818090 \h </w:instrText>
      </w:r>
      <w:r>
        <w:fldChar w:fldCharType="separate"/>
      </w:r>
      <w:r>
        <w:t>128</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_Toc163818091 \h </w:instrText>
      </w:r>
      <w:r>
        <w:fldChar w:fldCharType="separate"/>
      </w:r>
      <w:r>
        <w:t>129</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_Toc163818092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_Toc163818094 \h </w:instrText>
      </w:r>
      <w:r>
        <w:fldChar w:fldCharType="separate"/>
      </w:r>
      <w:r>
        <w:t>130</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_Toc163818095 \h </w:instrText>
      </w:r>
      <w:r>
        <w:fldChar w:fldCharType="separate"/>
      </w:r>
      <w:r>
        <w:t>130</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_Toc163818096 \h </w:instrText>
      </w:r>
      <w:r>
        <w:fldChar w:fldCharType="separate"/>
      </w:r>
      <w:r>
        <w:t>131</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_Toc163818097 \h </w:instrText>
      </w:r>
      <w:r>
        <w:fldChar w:fldCharType="separate"/>
      </w:r>
      <w:r>
        <w:t>131</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_Toc163818098 \h </w:instrText>
      </w:r>
      <w:r>
        <w:fldChar w:fldCharType="separate"/>
      </w:r>
      <w:r>
        <w:t>132</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_Toc163818099 \h </w:instrText>
      </w:r>
      <w:r>
        <w:fldChar w:fldCharType="separate"/>
      </w:r>
      <w:r>
        <w:t>133</w:t>
      </w:r>
      <w:r>
        <w:fldChar w:fldCharType="end"/>
      </w:r>
    </w:p>
    <w:p>
      <w:pPr>
        <w:pStyle w:val="TOC8"/>
        <w:rPr>
          <w:rFonts w:asciiTheme="minorHAnsi" w:eastAsiaTheme="minorEastAsia" w:hAnsiTheme="minorHAnsi" w:cstheme="minorBidi"/>
          <w:szCs w:val="22"/>
        </w:rPr>
      </w:pPr>
      <w:r>
        <w:t>135.</w:t>
      </w:r>
      <w:r>
        <w:tab/>
        <w:t>Illness or absence of early childhood teacher or suitably qualified person</w:t>
      </w:r>
      <w:r>
        <w:tab/>
      </w:r>
      <w:r>
        <w:fldChar w:fldCharType="begin"/>
      </w:r>
      <w:r>
        <w:instrText xml:space="preserve"> PAGEREF _Toc163818100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_Toc163818102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_Toc163818104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138.</w:t>
      </w:r>
      <w:r>
        <w:tab/>
        <w:t>Application for qualification to be assessed for inclusion on the list of approved qualifications</w:t>
      </w:r>
      <w:r>
        <w:tab/>
      </w:r>
      <w:r>
        <w:fldChar w:fldCharType="begin"/>
      </w:r>
      <w:r>
        <w:instrText xml:space="preserve"> PAGEREF _Toc163818105 \h </w:instrText>
      </w:r>
      <w:r>
        <w:fldChar w:fldCharType="separate"/>
      </w:r>
      <w:r>
        <w:t>140</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_Toc163818106 \h </w:instrText>
      </w:r>
      <w:r>
        <w:fldChar w:fldCharType="separate"/>
      </w:r>
      <w:r>
        <w:t>141</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_Toc163818107 \h </w:instrText>
      </w:r>
      <w:r>
        <w:fldChar w:fldCharType="separate"/>
      </w:r>
      <w:r>
        <w:t>141</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_Toc163818108 \h </w:instrText>
      </w:r>
      <w:r>
        <w:fldChar w:fldCharType="separate"/>
      </w:r>
      <w:r>
        <w:t>144</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_Toc163818109 \h </w:instrText>
      </w:r>
      <w:r>
        <w:fldChar w:fldCharType="separate"/>
      </w:r>
      <w:r>
        <w:t>145</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_Toc163818110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Division 7A — Minimum requirements for a family day care educator</w:t>
      </w:r>
    </w:p>
    <w:p>
      <w:pPr>
        <w:pStyle w:val="TOC8"/>
        <w:rPr>
          <w:rFonts w:asciiTheme="minorHAnsi" w:eastAsiaTheme="minorEastAsia" w:hAnsiTheme="minorHAnsi" w:cstheme="minorBidi"/>
          <w:szCs w:val="22"/>
        </w:rPr>
      </w:pPr>
      <w:r>
        <w:t>143A.</w:t>
      </w:r>
      <w:r>
        <w:tab/>
        <w:t>Minimum requirements for a family day care educator</w:t>
      </w:r>
      <w:r>
        <w:tab/>
      </w:r>
      <w:r>
        <w:fldChar w:fldCharType="begin"/>
      </w:r>
      <w:r>
        <w:instrText xml:space="preserve"> PAGEREF _Toc163818112 \h </w:instrText>
      </w:r>
      <w:r>
        <w:fldChar w:fldCharType="separate"/>
      </w:r>
      <w:r>
        <w:t>146</w:t>
      </w:r>
      <w:r>
        <w:fldChar w:fldCharType="end"/>
      </w:r>
    </w:p>
    <w:p>
      <w:pPr>
        <w:pStyle w:val="TOC8"/>
        <w:rPr>
          <w:rFonts w:asciiTheme="minorHAnsi" w:eastAsiaTheme="minorEastAsia" w:hAnsiTheme="minorHAnsi" w:cstheme="minorBidi"/>
          <w:szCs w:val="22"/>
        </w:rPr>
      </w:pPr>
      <w:r>
        <w:t>143B.</w:t>
      </w:r>
      <w:r>
        <w:tab/>
        <w:t>Ongoing management of family day care educators</w:t>
      </w:r>
      <w:r>
        <w:tab/>
      </w:r>
      <w:r>
        <w:fldChar w:fldCharType="begin"/>
      </w:r>
      <w:r>
        <w:instrText xml:space="preserve"> PAGEREF _Toc163818113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_Toc163818115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_Toc163818117 \h </w:instrText>
      </w:r>
      <w:r>
        <w:fldChar w:fldCharType="separate"/>
      </w:r>
      <w:r>
        <w:t>149</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_Toc163818118 \h </w:instrText>
      </w:r>
      <w:r>
        <w:fldChar w:fldCharType="separate"/>
      </w:r>
      <w:r>
        <w:t>150</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_Toc163818119 \h </w:instrText>
      </w:r>
      <w:r>
        <w:fldChar w:fldCharType="separate"/>
      </w:r>
      <w:r>
        <w:t>151</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_Toc163818120 \h </w:instrText>
      </w:r>
      <w:r>
        <w:fldChar w:fldCharType="separate"/>
      </w:r>
      <w:r>
        <w:t>152</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_Toc163818121 \h </w:instrText>
      </w:r>
      <w:r>
        <w:fldChar w:fldCharType="separate"/>
      </w:r>
      <w:r>
        <w:t>152</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_Toc163818122 \h </w:instrText>
      </w:r>
      <w:r>
        <w:fldChar w:fldCharType="separate"/>
      </w:r>
      <w:r>
        <w:t>153</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_Toc163818123 \h </w:instrText>
      </w:r>
      <w:r>
        <w:fldChar w:fldCharType="separate"/>
      </w:r>
      <w:r>
        <w:t>153</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_Toc163818124 \h </w:instrText>
      </w:r>
      <w:r>
        <w:fldChar w:fldCharType="separate"/>
      </w:r>
      <w:r>
        <w:t>153</w:t>
      </w:r>
      <w:r>
        <w:fldChar w:fldCharType="end"/>
      </w:r>
    </w:p>
    <w:p>
      <w:pPr>
        <w:pStyle w:val="TOC8"/>
        <w:rPr>
          <w:rFonts w:asciiTheme="minorHAnsi" w:eastAsiaTheme="minorEastAsia" w:hAnsiTheme="minorHAnsi" w:cstheme="minorBidi"/>
          <w:szCs w:val="22"/>
        </w:rPr>
      </w:pPr>
      <w:r>
        <w:t>152A.</w:t>
      </w:r>
      <w:r>
        <w:tab/>
        <w:t>Record of replacement of educator</w:t>
      </w:r>
      <w:r>
        <w:tab/>
      </w:r>
      <w:r>
        <w:fldChar w:fldCharType="begin"/>
      </w:r>
      <w:r>
        <w:instrText xml:space="preserve"> PAGEREF _Toc163818125 \h </w:instrText>
      </w:r>
      <w:r>
        <w:fldChar w:fldCharType="separate"/>
      </w:r>
      <w:r>
        <w:t>154</w:t>
      </w:r>
      <w:r>
        <w:fldChar w:fldCharType="end"/>
      </w:r>
    </w:p>
    <w:p>
      <w:pPr>
        <w:pStyle w:val="TOC8"/>
        <w:rPr>
          <w:rFonts w:asciiTheme="minorHAnsi" w:eastAsiaTheme="minorEastAsia" w:hAnsiTheme="minorHAnsi" w:cstheme="minorBidi"/>
          <w:szCs w:val="22"/>
        </w:rPr>
      </w:pPr>
      <w:r>
        <w:t>152B.</w:t>
      </w:r>
      <w:r>
        <w:tab/>
        <w:t>Record of replacement of early childhood teacher or suitably qualified person</w:t>
      </w:r>
      <w:r>
        <w:tab/>
      </w:r>
      <w:r>
        <w:fldChar w:fldCharType="begin"/>
      </w:r>
      <w:r>
        <w:instrText xml:space="preserve"> PAGEREF _Toc163818126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co</w:t>
      </w:r>
      <w:r>
        <w:noBreakHyphen/>
        <w:t>ordinators and assistants and records of family day care service</w:t>
      </w:r>
    </w:p>
    <w:p>
      <w:pPr>
        <w:pStyle w:val="TOC8"/>
        <w:rPr>
          <w:rFonts w:asciiTheme="minorHAnsi" w:eastAsiaTheme="minorEastAsia" w:hAnsiTheme="minorHAnsi" w:cstheme="minorBidi"/>
          <w:szCs w:val="22"/>
        </w:rPr>
      </w:pPr>
      <w:r>
        <w:t>153.</w:t>
      </w:r>
      <w:r>
        <w:tab/>
        <w:t>Register of family day care educators, co-ordinators and educator assistants</w:t>
      </w:r>
      <w:r>
        <w:tab/>
      </w:r>
      <w:r>
        <w:fldChar w:fldCharType="begin"/>
      </w:r>
      <w:r>
        <w:instrText xml:space="preserve"> PAGEREF _Toc163818128 \h </w:instrText>
      </w:r>
      <w:r>
        <w:fldChar w:fldCharType="separate"/>
      </w:r>
      <w:r>
        <w:t>155</w:t>
      </w:r>
      <w:r>
        <w:fldChar w:fldCharType="end"/>
      </w:r>
    </w:p>
    <w:p>
      <w:pPr>
        <w:pStyle w:val="TOC8"/>
        <w:rPr>
          <w:rFonts w:asciiTheme="minorHAnsi" w:eastAsiaTheme="minorEastAsia" w:hAnsiTheme="minorHAnsi" w:cstheme="minorBidi"/>
          <w:szCs w:val="22"/>
        </w:rPr>
      </w:pPr>
      <w:r>
        <w:t>154.</w:t>
      </w:r>
      <w:r>
        <w:tab/>
        <w:t>Record of staff engaged or employed by family day care service</w:t>
      </w:r>
      <w:r>
        <w:tab/>
      </w:r>
      <w:r>
        <w:fldChar w:fldCharType="begin"/>
      </w:r>
      <w:r>
        <w:instrText xml:space="preserve"> PAGEREF _Toc163818129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_Toc163818131 \h </w:instrText>
      </w:r>
      <w:r>
        <w:fldChar w:fldCharType="separate"/>
      </w:r>
      <w:r>
        <w:t>162</w:t>
      </w:r>
      <w:r>
        <w:fldChar w:fldCharType="end"/>
      </w:r>
    </w:p>
    <w:p>
      <w:pPr>
        <w:pStyle w:val="TOC8"/>
        <w:rPr>
          <w:rFonts w:asciiTheme="minorHAnsi" w:eastAsiaTheme="minorEastAsia" w:hAnsiTheme="minorHAnsi" w:cstheme="minorBidi"/>
          <w:szCs w:val="22"/>
        </w:rPr>
      </w:pPr>
      <w:r>
        <w:lastRenderedPageBreak/>
        <w:t>156.</w:t>
      </w:r>
      <w:r>
        <w:tab/>
        <w:t>Relationships in groups</w:t>
      </w:r>
      <w:r>
        <w:tab/>
      </w:r>
      <w:r>
        <w:fldChar w:fldCharType="begin"/>
      </w:r>
      <w:r>
        <w:instrText xml:space="preserve"> PAGEREF _Toc163818132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_Toc163818134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Part 4.7 — Governance and leadership</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_Toc163818137 \h </w:instrText>
      </w:r>
      <w:r>
        <w:fldChar w:fldCharType="separate"/>
      </w:r>
      <w:r>
        <w:t>165</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_Toc163818138 \h </w:instrText>
      </w:r>
      <w:r>
        <w:fldChar w:fldCharType="separate"/>
      </w:r>
      <w:r>
        <w:t>166</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_Toc163818139 \h </w:instrText>
      </w:r>
      <w:r>
        <w:fldChar w:fldCharType="separate"/>
      </w:r>
      <w:r>
        <w:t>166</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_Toc163818140 \h </w:instrText>
      </w:r>
      <w:r>
        <w:fldChar w:fldCharType="separate"/>
      </w:r>
      <w:r>
        <w:t>168</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_Toc163818141 \h </w:instrText>
      </w:r>
      <w:r>
        <w:fldChar w:fldCharType="separate"/>
      </w:r>
      <w:r>
        <w:t>169</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_Toc163818142 \h </w:instrText>
      </w:r>
      <w:r>
        <w:fldChar w:fldCharType="separate"/>
      </w:r>
      <w:r>
        <w:t>171</w:t>
      </w:r>
      <w:r>
        <w:fldChar w:fldCharType="end"/>
      </w:r>
    </w:p>
    <w:p>
      <w:pPr>
        <w:pStyle w:val="TOC8"/>
        <w:rPr>
          <w:rFonts w:asciiTheme="minorHAnsi" w:eastAsiaTheme="minorEastAsia" w:hAnsiTheme="minorHAnsi" w:cstheme="minorBidi"/>
          <w:szCs w:val="22"/>
        </w:rPr>
      </w:pPr>
      <w:r>
        <w:t>164.</w:t>
      </w:r>
      <w:r>
        <w:tab/>
        <w:t>Requirement for notice in relation to persons at residence</w:t>
      </w:r>
      <w:r>
        <w:tab/>
      </w:r>
      <w:r>
        <w:fldChar w:fldCharType="begin"/>
      </w:r>
      <w:r>
        <w:instrText xml:space="preserve"> PAGEREF _Toc163818143 \h </w:instrText>
      </w:r>
      <w:r>
        <w:fldChar w:fldCharType="separate"/>
      </w:r>
      <w:r>
        <w:t>172</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_Toc163818144 \h </w:instrText>
      </w:r>
      <w:r>
        <w:fldChar w:fldCharType="separate"/>
      </w:r>
      <w:r>
        <w:t>174</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_Toc163818145 \h </w:instrText>
      </w:r>
      <w:r>
        <w:fldChar w:fldCharType="separate"/>
      </w:r>
      <w:r>
        <w:t>174</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_Toc163818146 \h </w:instrText>
      </w:r>
      <w:r>
        <w:fldChar w:fldCharType="separate"/>
      </w:r>
      <w:r>
        <w:t>175</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_Toc163818148 \h </w:instrText>
      </w:r>
      <w:r>
        <w:fldChar w:fldCharType="separate"/>
      </w:r>
      <w:r>
        <w:t>176</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_Toc163818149 \h </w:instrText>
      </w:r>
      <w:r>
        <w:fldChar w:fldCharType="separate"/>
      </w:r>
      <w:r>
        <w:t>179</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_Toc163818150 \h </w:instrText>
      </w:r>
      <w:r>
        <w:fldChar w:fldCharType="separate"/>
      </w:r>
      <w:r>
        <w:t>180</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_Toc163818151 \h </w:instrText>
      </w:r>
      <w:r>
        <w:fldChar w:fldCharType="separate"/>
      </w:r>
      <w:r>
        <w:t>181</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_Toc163818152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_Toc163818154 \h </w:instrText>
      </w:r>
      <w:r>
        <w:fldChar w:fldCharType="separate"/>
      </w:r>
      <w:r>
        <w:t>182</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_Toc163818155 \h </w:instrText>
      </w:r>
      <w:r>
        <w:fldChar w:fldCharType="separate"/>
      </w:r>
      <w:r>
        <w:t>184</w:t>
      </w:r>
      <w:r>
        <w:fldChar w:fldCharType="end"/>
      </w:r>
    </w:p>
    <w:p>
      <w:pPr>
        <w:pStyle w:val="TOC8"/>
        <w:rPr>
          <w:rFonts w:asciiTheme="minorHAnsi" w:eastAsiaTheme="minorEastAsia" w:hAnsiTheme="minorHAnsi" w:cstheme="minorBidi"/>
          <w:szCs w:val="22"/>
        </w:rPr>
      </w:pPr>
      <w:r>
        <w:t>174A.</w:t>
      </w:r>
      <w:r>
        <w:tab/>
        <w:t>Prescribed information to accompany notice</w:t>
      </w:r>
      <w:r>
        <w:tab/>
      </w:r>
      <w:r>
        <w:fldChar w:fldCharType="begin"/>
      </w:r>
      <w:r>
        <w:instrText xml:space="preserve"> PAGEREF _Toc163818156 \h </w:instrText>
      </w:r>
      <w:r>
        <w:fldChar w:fldCharType="separate"/>
      </w:r>
      <w:r>
        <w:t>185</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_Toc163818157 \h </w:instrText>
      </w:r>
      <w:r>
        <w:fldChar w:fldCharType="separate"/>
      </w:r>
      <w:r>
        <w:t>185</w:t>
      </w:r>
      <w:r>
        <w:fldChar w:fldCharType="end"/>
      </w:r>
    </w:p>
    <w:p>
      <w:pPr>
        <w:pStyle w:val="TOC8"/>
        <w:rPr>
          <w:rFonts w:asciiTheme="minorHAnsi" w:eastAsiaTheme="minorEastAsia" w:hAnsiTheme="minorHAnsi" w:cstheme="minorBidi"/>
          <w:szCs w:val="22"/>
        </w:rPr>
      </w:pPr>
      <w:r>
        <w:lastRenderedPageBreak/>
        <w:t>176.</w:t>
      </w:r>
      <w:r>
        <w:tab/>
        <w:t>Time to notify certain information to Regulatory Authority</w:t>
      </w:r>
      <w:r>
        <w:tab/>
      </w:r>
      <w:r>
        <w:fldChar w:fldCharType="begin"/>
      </w:r>
      <w:r>
        <w:instrText xml:space="preserve"> PAGEREF _Toc163818158 \h </w:instrText>
      </w:r>
      <w:r>
        <w:fldChar w:fldCharType="separate"/>
      </w:r>
      <w:r>
        <w:t>187</w:t>
      </w:r>
      <w:r>
        <w:fldChar w:fldCharType="end"/>
      </w:r>
    </w:p>
    <w:p>
      <w:pPr>
        <w:pStyle w:val="TOC8"/>
        <w:rPr>
          <w:rFonts w:asciiTheme="minorHAnsi" w:eastAsiaTheme="minorEastAsia" w:hAnsiTheme="minorHAnsi" w:cstheme="minorBidi"/>
          <w:szCs w:val="22"/>
        </w:rPr>
      </w:pPr>
      <w:r>
        <w:t>176A.</w:t>
      </w:r>
      <w:r>
        <w:tab/>
        <w:t>Prescribed information to be notified to approved provider by family day care educator</w:t>
      </w:r>
      <w:r>
        <w:tab/>
      </w:r>
      <w:r>
        <w:fldChar w:fldCharType="begin"/>
      </w:r>
      <w:r>
        <w:instrText xml:space="preserve"> PAGEREF _Toc163818159 \h </w:instrText>
      </w:r>
      <w:r>
        <w:fldChar w:fldCharType="separate"/>
      </w:r>
      <w:r>
        <w:t>188</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_Toc163818160 \h </w:instrText>
      </w:r>
      <w:r>
        <w:fldChar w:fldCharType="separate"/>
      </w:r>
      <w:r>
        <w:t>189</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_Toc163818161 \h </w:instrText>
      </w:r>
      <w:r>
        <w:fldChar w:fldCharType="separate"/>
      </w:r>
      <w:r>
        <w:t>192</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_Toc163818162 \h </w:instrText>
      </w:r>
      <w:r>
        <w:fldChar w:fldCharType="separate"/>
      </w:r>
      <w:r>
        <w:t>194</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_Toc163818163 \h </w:instrText>
      </w:r>
      <w:r>
        <w:fldChar w:fldCharType="separate"/>
      </w:r>
      <w:r>
        <w:t>194</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_Toc163818164 \h </w:instrText>
      </w:r>
      <w:r>
        <w:fldChar w:fldCharType="separate"/>
      </w:r>
      <w:r>
        <w:t>195</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_Toc163818165 \h </w:instrText>
      </w:r>
      <w:r>
        <w:fldChar w:fldCharType="separate"/>
      </w:r>
      <w:r>
        <w:t>196</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_Toc163818166 \h </w:instrText>
      </w:r>
      <w:r>
        <w:fldChar w:fldCharType="separate"/>
      </w:r>
      <w:r>
        <w:t>196</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_Toc163818167 \h </w:instrText>
      </w:r>
      <w:r>
        <w:fldChar w:fldCharType="separate"/>
      </w:r>
      <w:r>
        <w:t>197</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_Toc163818168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_Toc163818171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_Toc163818173 \h </w:instrText>
      </w:r>
      <w:r>
        <w:fldChar w:fldCharType="separate"/>
      </w:r>
      <w:r>
        <w:t>200</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_Toc163818174 \h </w:instrText>
      </w:r>
      <w:r>
        <w:fldChar w:fldCharType="separate"/>
      </w:r>
      <w:r>
        <w:t>200</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_Toc163818175 \h </w:instrText>
      </w:r>
      <w:r>
        <w:fldChar w:fldCharType="separate"/>
      </w:r>
      <w:r>
        <w:t>201</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_Toc163818176 \h </w:instrText>
      </w:r>
      <w:r>
        <w:fldChar w:fldCharType="separate"/>
      </w:r>
      <w:r>
        <w:t>201</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_Toc163818177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_Toc163818180 \h </w:instrText>
      </w:r>
      <w:r>
        <w:fldChar w:fldCharType="separate"/>
      </w:r>
      <w:r>
        <w:t>204</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_Toc163818181 \h </w:instrText>
      </w:r>
      <w:r>
        <w:fldChar w:fldCharType="separate"/>
      </w:r>
      <w:r>
        <w:t>205</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_Toc163818182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_Toc163818185 \h </w:instrText>
      </w:r>
      <w:r>
        <w:fldChar w:fldCharType="separate"/>
      </w:r>
      <w:r>
        <w:t>206</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_Toc163818186 \h </w:instrText>
      </w:r>
      <w:r>
        <w:fldChar w:fldCharType="separate"/>
      </w:r>
      <w:r>
        <w:t>206</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_Toc163818187 \h </w:instrText>
      </w:r>
      <w:r>
        <w:fldChar w:fldCharType="separate"/>
      </w:r>
      <w:r>
        <w:t>208</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_Toc163818188 \h </w:instrText>
      </w:r>
      <w:r>
        <w:fldChar w:fldCharType="separate"/>
      </w:r>
      <w:r>
        <w:t>209</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_Toc163818189 \h </w:instrText>
      </w:r>
      <w:r>
        <w:fldChar w:fldCharType="separate"/>
      </w:r>
      <w:r>
        <w:t>209</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_Toc163818190 \h </w:instrText>
      </w:r>
      <w:r>
        <w:fldChar w:fldCharType="separate"/>
      </w:r>
      <w:r>
        <w:t>210</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_Toc163818191 \h </w:instrText>
      </w:r>
      <w:r>
        <w:fldChar w:fldCharType="separate"/>
      </w:r>
      <w:r>
        <w:t>210</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_Toc163818192 \h </w:instrText>
      </w:r>
      <w:r>
        <w:fldChar w:fldCharType="separate"/>
      </w:r>
      <w:r>
        <w:t>212</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_Toc163818193 \h </w:instrText>
      </w:r>
      <w:r>
        <w:fldChar w:fldCharType="separate"/>
      </w:r>
      <w:r>
        <w:t>213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_Toc163818195 \h </w:instrText>
      </w:r>
      <w:r>
        <w:fldChar w:fldCharType="separate"/>
      </w:r>
      <w:r>
        <w:t>213</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_Toc163818196 \h </w:instrText>
      </w:r>
      <w:r>
        <w:fldChar w:fldCharType="separate"/>
      </w:r>
      <w:r>
        <w:t>213</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_Toc163818197 \h </w:instrText>
      </w:r>
      <w:r>
        <w:fldChar w:fldCharType="separate"/>
      </w:r>
      <w:r>
        <w:t>216</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_Toc163818198 \h </w:instrText>
      </w:r>
      <w:r>
        <w:fldChar w:fldCharType="separate"/>
      </w:r>
      <w:r>
        <w:t>217</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_Toc163818199 \h </w:instrText>
      </w:r>
      <w:r>
        <w:fldChar w:fldCharType="separate"/>
      </w:r>
      <w:r>
        <w:t>218</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_Toc163818200 \h </w:instrText>
      </w:r>
      <w:r>
        <w:fldChar w:fldCharType="separate"/>
      </w:r>
      <w:r>
        <w:t>219</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_Toc163818201 \h </w:instrText>
      </w:r>
      <w:r>
        <w:fldChar w:fldCharType="separate"/>
      </w:r>
      <w:r>
        <w:t>220</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_Toc163818202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_Toc163818204 \h </w:instrText>
      </w:r>
      <w:r>
        <w:fldChar w:fldCharType="separate"/>
      </w:r>
      <w:r>
        <w:t>221</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_Toc163818205 \h </w:instrText>
      </w:r>
      <w:r>
        <w:fldChar w:fldCharType="separate"/>
      </w:r>
      <w:r>
        <w:t>221</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_Toc163818206 \h </w:instrText>
      </w:r>
      <w:r>
        <w:fldChar w:fldCharType="separate"/>
      </w:r>
      <w:r>
        <w:t>222</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_Toc163818207 \h </w:instrText>
      </w:r>
      <w:r>
        <w:fldChar w:fldCharType="separate"/>
      </w:r>
      <w:r>
        <w:t>222</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_Toc163818208 \h </w:instrText>
      </w:r>
      <w:r>
        <w:fldChar w:fldCharType="separate"/>
      </w:r>
      <w:r>
        <w:t>223</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_Toc163818209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_Toc163818211 \h </w:instrText>
      </w:r>
      <w:r>
        <w:fldChar w:fldCharType="separate"/>
      </w:r>
      <w:r>
        <w:t>225</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_Toc163818212 \h </w:instrText>
      </w:r>
      <w:r>
        <w:fldChar w:fldCharType="separate"/>
      </w:r>
      <w:r>
        <w:t>226</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_Toc163818213 \h </w:instrText>
      </w:r>
      <w:r>
        <w:fldChar w:fldCharType="separate"/>
      </w:r>
      <w:r>
        <w:t>227</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_Toc163818214 \h </w:instrText>
      </w:r>
      <w:r>
        <w:fldChar w:fldCharType="separate"/>
      </w:r>
      <w:r>
        <w:t>228</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_Toc163818215 \h </w:instrText>
      </w:r>
      <w:r>
        <w:fldChar w:fldCharType="separate"/>
      </w:r>
      <w:r>
        <w:t>229</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_Toc163818216 \h </w:instrText>
      </w:r>
      <w:r>
        <w:fldChar w:fldCharType="separate"/>
      </w:r>
      <w:r>
        <w:t>229</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_Toc163818217 \h </w:instrText>
      </w:r>
      <w:r>
        <w:fldChar w:fldCharType="separate"/>
      </w:r>
      <w:r>
        <w:t>231</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_Toc163818218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_Toc163818220 \h </w:instrText>
      </w:r>
      <w:r>
        <w:fldChar w:fldCharType="separate"/>
      </w:r>
      <w:r>
        <w:t>232</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_Toc163818221 \h </w:instrText>
      </w:r>
      <w:r>
        <w:fldChar w:fldCharType="separate"/>
      </w:r>
      <w:r>
        <w:t>232</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_Toc163818222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_Toc163818224 \h </w:instrText>
      </w:r>
      <w:r>
        <w:fldChar w:fldCharType="separate"/>
      </w:r>
      <w:r>
        <w:t>237</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_Toc163818225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6"/>
        <w:tabs>
          <w:tab w:val="right" w:leader="dot" w:pos="7077"/>
        </w:tabs>
        <w:rPr>
          <w:rFonts w:asciiTheme="minorHAnsi" w:eastAsiaTheme="minorEastAsia" w:hAnsiTheme="minorHAnsi" w:cstheme="minorBidi"/>
          <w:b w:val="0"/>
          <w:sz w:val="22"/>
          <w:szCs w:val="22"/>
        </w:rPr>
      </w:pPr>
      <w:r>
        <w:t>Division 1 — Provisions applying generally to fees</w:t>
      </w:r>
    </w:p>
    <w:p>
      <w:pPr>
        <w:pStyle w:val="TOC8"/>
        <w:rPr>
          <w:rFonts w:asciiTheme="minorHAnsi" w:eastAsiaTheme="minorEastAsia" w:hAnsiTheme="minorHAnsi" w:cstheme="minorBidi"/>
          <w:szCs w:val="22"/>
        </w:rPr>
      </w:pPr>
      <w:r>
        <w:t>232.</w:t>
      </w:r>
      <w:r>
        <w:tab/>
        <w:t>Definitions</w:t>
      </w:r>
      <w:r>
        <w:tab/>
      </w:r>
      <w:r>
        <w:fldChar w:fldCharType="begin"/>
      </w:r>
      <w:r>
        <w:instrText xml:space="preserve"> PAGEREF _Toc163818228 \h </w:instrText>
      </w:r>
      <w:r>
        <w:fldChar w:fldCharType="separate"/>
      </w:r>
      <w:r>
        <w:t>238</w:t>
      </w:r>
      <w:r>
        <w:fldChar w:fldCharType="end"/>
      </w:r>
    </w:p>
    <w:p>
      <w:pPr>
        <w:pStyle w:val="TOC8"/>
        <w:rPr>
          <w:rFonts w:asciiTheme="minorHAnsi" w:eastAsiaTheme="minorEastAsia" w:hAnsiTheme="minorHAnsi" w:cstheme="minorBidi"/>
          <w:szCs w:val="22"/>
        </w:rPr>
      </w:pPr>
      <w:r>
        <w:t>233.</w:t>
      </w:r>
      <w:r>
        <w:tab/>
        <w:t>Calculation of indexation factor for financial year</w:t>
      </w:r>
      <w:r>
        <w:tab/>
      </w:r>
      <w:r>
        <w:fldChar w:fldCharType="begin"/>
      </w:r>
      <w:r>
        <w:instrText xml:space="preserve"> PAGEREF _Toc163818229 \h </w:instrText>
      </w:r>
      <w:r>
        <w:fldChar w:fldCharType="separate"/>
      </w:r>
      <w:r>
        <w:t>239</w:t>
      </w:r>
      <w:r>
        <w:fldChar w:fldCharType="end"/>
      </w:r>
    </w:p>
    <w:p>
      <w:pPr>
        <w:pStyle w:val="TOC8"/>
        <w:rPr>
          <w:rFonts w:asciiTheme="minorHAnsi" w:eastAsiaTheme="minorEastAsia" w:hAnsiTheme="minorHAnsi" w:cstheme="minorBidi"/>
          <w:szCs w:val="22"/>
        </w:rPr>
      </w:pPr>
      <w:r>
        <w:t>234.</w:t>
      </w:r>
      <w:r>
        <w:tab/>
        <w:t>Fee amount to be rounded down to nearest whole dollar</w:t>
      </w:r>
      <w:r>
        <w:tab/>
      </w:r>
      <w:r>
        <w:fldChar w:fldCharType="begin"/>
      </w:r>
      <w:r>
        <w:instrText xml:space="preserve"> PAGEREF _Toc163818230 \h </w:instrText>
      </w:r>
      <w:r>
        <w:fldChar w:fldCharType="separate"/>
      </w:r>
      <w:r>
        <w:t>240</w:t>
      </w:r>
      <w:r>
        <w:fldChar w:fldCharType="end"/>
      </w:r>
    </w:p>
    <w:p>
      <w:pPr>
        <w:pStyle w:val="TOC8"/>
        <w:rPr>
          <w:rFonts w:asciiTheme="minorHAnsi" w:eastAsiaTheme="minorEastAsia" w:hAnsiTheme="minorHAnsi" w:cstheme="minorBidi"/>
          <w:szCs w:val="22"/>
        </w:rPr>
      </w:pPr>
      <w:r>
        <w:t>235.</w:t>
      </w:r>
      <w:r>
        <w:tab/>
        <w:t>Late payment fees (annual fees)</w:t>
      </w:r>
      <w:r>
        <w:tab/>
      </w:r>
      <w:r>
        <w:fldChar w:fldCharType="begin"/>
      </w:r>
      <w:r>
        <w:instrText xml:space="preserve"> PAGEREF _Toc163818231 \h </w:instrText>
      </w:r>
      <w:r>
        <w:fldChar w:fldCharType="separate"/>
      </w:r>
      <w:r>
        <w:t>240</w:t>
      </w:r>
      <w:r>
        <w:fldChar w:fldCharType="end"/>
      </w:r>
    </w:p>
    <w:p>
      <w:pPr>
        <w:pStyle w:val="TOC8"/>
        <w:rPr>
          <w:rFonts w:asciiTheme="minorHAnsi" w:eastAsiaTheme="minorEastAsia" w:hAnsiTheme="minorHAnsi" w:cstheme="minorBidi"/>
          <w:szCs w:val="22"/>
        </w:rPr>
      </w:pPr>
      <w:r>
        <w:t>236.</w:t>
      </w:r>
      <w:r>
        <w:tab/>
        <w:t>Waiver, reduction, deferral and refund of fees</w:t>
      </w:r>
      <w:r>
        <w:tab/>
      </w:r>
      <w:r>
        <w:fldChar w:fldCharType="begin"/>
      </w:r>
      <w:r>
        <w:instrText xml:space="preserve"> PAGEREF _Toc163818232 \h </w:instrText>
      </w:r>
      <w:r>
        <w:fldChar w:fldCharType="separate"/>
      </w:r>
      <w:r>
        <w:t>241</w:t>
      </w:r>
      <w:r>
        <w:fldChar w:fldCharType="end"/>
      </w:r>
    </w:p>
    <w:p>
      <w:pPr>
        <w:pStyle w:val="TOC8"/>
        <w:rPr>
          <w:rFonts w:asciiTheme="minorHAnsi" w:eastAsiaTheme="minorEastAsia" w:hAnsiTheme="minorHAnsi" w:cstheme="minorBidi"/>
          <w:szCs w:val="22"/>
        </w:rPr>
      </w:pPr>
      <w:r>
        <w:t>236A.</w:t>
      </w:r>
      <w:r>
        <w:tab/>
        <w:t>Publication of prescribed and other required fees</w:t>
      </w:r>
      <w:r>
        <w:tab/>
      </w:r>
      <w:r>
        <w:fldChar w:fldCharType="begin"/>
      </w:r>
      <w:r>
        <w:instrText xml:space="preserve"> PAGEREF _Toc163818233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Division 2 — Prescribed and other fees between commencement day and 30 June 2023</w:t>
      </w:r>
    </w:p>
    <w:p>
      <w:pPr>
        <w:pStyle w:val="TOC8"/>
        <w:rPr>
          <w:rFonts w:asciiTheme="minorHAnsi" w:eastAsiaTheme="minorEastAsia" w:hAnsiTheme="minorHAnsi" w:cstheme="minorBidi"/>
          <w:szCs w:val="22"/>
        </w:rPr>
      </w:pPr>
      <w:r>
        <w:t>236B.</w:t>
      </w:r>
      <w:r>
        <w:tab/>
        <w:t>Prescribed fees and other fees for period beginning on commencement day and ending on 30 June 2023</w:t>
      </w:r>
      <w:r>
        <w:tab/>
      </w:r>
      <w:r>
        <w:fldChar w:fldCharType="begin"/>
      </w:r>
      <w:r>
        <w:instrText xml:space="preserve"> PAGEREF _Toc163818235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Division 3 — Prescribed and other fees on and after 1 July 2023</w:t>
      </w:r>
    </w:p>
    <w:p>
      <w:pPr>
        <w:pStyle w:val="TOC8"/>
        <w:rPr>
          <w:rFonts w:asciiTheme="minorHAnsi" w:eastAsiaTheme="minorEastAsia" w:hAnsiTheme="minorHAnsi" w:cstheme="minorBidi"/>
          <w:szCs w:val="22"/>
        </w:rPr>
      </w:pPr>
      <w:r>
        <w:t>236C.</w:t>
      </w:r>
      <w:r>
        <w:tab/>
        <w:t>Prescribed fee — application for provider approval</w:t>
      </w:r>
      <w:r>
        <w:tab/>
      </w:r>
      <w:r>
        <w:fldChar w:fldCharType="begin"/>
      </w:r>
      <w:r>
        <w:instrText xml:space="preserve"> PAGEREF _Toc163818237 \h </w:instrText>
      </w:r>
      <w:r>
        <w:fldChar w:fldCharType="separate"/>
      </w:r>
      <w:r>
        <w:t>242</w:t>
      </w:r>
      <w:r>
        <w:fldChar w:fldCharType="end"/>
      </w:r>
    </w:p>
    <w:p>
      <w:pPr>
        <w:pStyle w:val="TOC8"/>
        <w:rPr>
          <w:rFonts w:asciiTheme="minorHAnsi" w:eastAsiaTheme="minorEastAsia" w:hAnsiTheme="minorHAnsi" w:cstheme="minorBidi"/>
          <w:szCs w:val="22"/>
        </w:rPr>
      </w:pPr>
      <w:r>
        <w:t>236D.</w:t>
      </w:r>
      <w:r>
        <w:tab/>
        <w:t>Prescribed fees — application for service approval</w:t>
      </w:r>
      <w:r>
        <w:tab/>
      </w:r>
      <w:r>
        <w:fldChar w:fldCharType="begin"/>
      </w:r>
      <w:r>
        <w:instrText xml:space="preserve"> PAGEREF _Toc163818238 \h </w:instrText>
      </w:r>
      <w:r>
        <w:fldChar w:fldCharType="separate"/>
      </w:r>
      <w:r>
        <w:t>243</w:t>
      </w:r>
      <w:r>
        <w:fldChar w:fldCharType="end"/>
      </w:r>
    </w:p>
    <w:p>
      <w:pPr>
        <w:pStyle w:val="TOC8"/>
        <w:rPr>
          <w:rFonts w:asciiTheme="minorHAnsi" w:eastAsiaTheme="minorEastAsia" w:hAnsiTheme="minorHAnsi" w:cstheme="minorBidi"/>
          <w:szCs w:val="22"/>
        </w:rPr>
      </w:pPr>
      <w:r>
        <w:t>236E.</w:t>
      </w:r>
      <w:r>
        <w:tab/>
        <w:t>Prescribed annual fees</w:t>
      </w:r>
      <w:r>
        <w:tab/>
      </w:r>
      <w:r>
        <w:fldChar w:fldCharType="begin"/>
      </w:r>
      <w:r>
        <w:instrText xml:space="preserve"> PAGEREF _Toc163818239 \h </w:instrText>
      </w:r>
      <w:r>
        <w:fldChar w:fldCharType="separate"/>
      </w:r>
      <w:r>
        <w:t>246</w:t>
      </w:r>
      <w:r>
        <w:fldChar w:fldCharType="end"/>
      </w:r>
    </w:p>
    <w:p>
      <w:pPr>
        <w:pStyle w:val="TOC8"/>
        <w:rPr>
          <w:rFonts w:asciiTheme="minorHAnsi" w:eastAsiaTheme="minorEastAsia" w:hAnsiTheme="minorHAnsi" w:cstheme="minorBidi"/>
          <w:szCs w:val="22"/>
        </w:rPr>
      </w:pPr>
      <w:r>
        <w:lastRenderedPageBreak/>
        <w:t>236F.</w:t>
      </w:r>
      <w:r>
        <w:tab/>
        <w:t>Prescribed fee — application for amendment of service approval</w:t>
      </w:r>
      <w:r>
        <w:tab/>
      </w:r>
      <w:r>
        <w:fldChar w:fldCharType="begin"/>
      </w:r>
      <w:r>
        <w:instrText xml:space="preserve"> PAGEREF _Toc163818240 \h </w:instrText>
      </w:r>
      <w:r>
        <w:fldChar w:fldCharType="separate"/>
      </w:r>
      <w:r>
        <w:t>248</w:t>
      </w:r>
      <w:r>
        <w:fldChar w:fldCharType="end"/>
      </w:r>
    </w:p>
    <w:p>
      <w:pPr>
        <w:pStyle w:val="TOC8"/>
        <w:rPr>
          <w:rFonts w:asciiTheme="minorHAnsi" w:eastAsiaTheme="minorEastAsia" w:hAnsiTheme="minorHAnsi" w:cstheme="minorBidi"/>
          <w:szCs w:val="22"/>
        </w:rPr>
      </w:pPr>
      <w:r>
        <w:t>236G.</w:t>
      </w:r>
      <w:r>
        <w:tab/>
        <w:t>Prescribed fee — notification of intended transfer of service approval</w:t>
      </w:r>
      <w:r>
        <w:tab/>
      </w:r>
      <w:r>
        <w:fldChar w:fldCharType="begin"/>
      </w:r>
      <w:r>
        <w:instrText xml:space="preserve"> PAGEREF _Toc163818241 \h </w:instrText>
      </w:r>
      <w:r>
        <w:fldChar w:fldCharType="separate"/>
      </w:r>
      <w:r>
        <w:t>249</w:t>
      </w:r>
      <w:r>
        <w:fldChar w:fldCharType="end"/>
      </w:r>
    </w:p>
    <w:p>
      <w:pPr>
        <w:pStyle w:val="TOC8"/>
        <w:rPr>
          <w:rFonts w:asciiTheme="minorHAnsi" w:eastAsiaTheme="minorEastAsia" w:hAnsiTheme="minorHAnsi" w:cstheme="minorBidi"/>
          <w:szCs w:val="22"/>
        </w:rPr>
      </w:pPr>
      <w:r>
        <w:t>236H.</w:t>
      </w:r>
      <w:r>
        <w:tab/>
        <w:t>Prescribed fee — application for service waiver</w:t>
      </w:r>
      <w:r>
        <w:tab/>
      </w:r>
      <w:r>
        <w:fldChar w:fldCharType="begin"/>
      </w:r>
      <w:r>
        <w:instrText xml:space="preserve"> PAGEREF _Toc163818242 \h </w:instrText>
      </w:r>
      <w:r>
        <w:fldChar w:fldCharType="separate"/>
      </w:r>
      <w:r>
        <w:t>251</w:t>
      </w:r>
      <w:r>
        <w:fldChar w:fldCharType="end"/>
      </w:r>
    </w:p>
    <w:p>
      <w:pPr>
        <w:pStyle w:val="TOC8"/>
        <w:rPr>
          <w:rFonts w:asciiTheme="minorHAnsi" w:eastAsiaTheme="minorEastAsia" w:hAnsiTheme="minorHAnsi" w:cstheme="minorBidi"/>
          <w:szCs w:val="22"/>
        </w:rPr>
      </w:pPr>
      <w:r>
        <w:t>236I.</w:t>
      </w:r>
      <w:r>
        <w:tab/>
        <w:t>Prescribed fee — application for temporary waiver</w:t>
      </w:r>
      <w:r>
        <w:tab/>
      </w:r>
      <w:r>
        <w:fldChar w:fldCharType="begin"/>
      </w:r>
      <w:r>
        <w:instrText xml:space="preserve"> PAGEREF _Toc163818243 \h </w:instrText>
      </w:r>
      <w:r>
        <w:fldChar w:fldCharType="separate"/>
      </w:r>
      <w:r>
        <w:t>251</w:t>
      </w:r>
      <w:r>
        <w:fldChar w:fldCharType="end"/>
      </w:r>
    </w:p>
    <w:p>
      <w:pPr>
        <w:pStyle w:val="TOC8"/>
        <w:rPr>
          <w:rFonts w:asciiTheme="minorHAnsi" w:eastAsiaTheme="minorEastAsia" w:hAnsiTheme="minorHAnsi" w:cstheme="minorBidi"/>
          <w:szCs w:val="22"/>
        </w:rPr>
      </w:pPr>
      <w:r>
        <w:t>236J.</w:t>
      </w:r>
      <w:r>
        <w:tab/>
        <w:t>Prescribed fee — application to extend temporary waiver</w:t>
      </w:r>
      <w:r>
        <w:tab/>
      </w:r>
      <w:r>
        <w:fldChar w:fldCharType="begin"/>
      </w:r>
      <w:r>
        <w:instrText xml:space="preserve"> PAGEREF _Toc163818244 \h </w:instrText>
      </w:r>
      <w:r>
        <w:fldChar w:fldCharType="separate"/>
      </w:r>
      <w:r>
        <w:t>252</w:t>
      </w:r>
      <w:r>
        <w:fldChar w:fldCharType="end"/>
      </w:r>
    </w:p>
    <w:p>
      <w:pPr>
        <w:pStyle w:val="TOC8"/>
        <w:rPr>
          <w:rFonts w:asciiTheme="minorHAnsi" w:eastAsiaTheme="minorEastAsia" w:hAnsiTheme="minorHAnsi" w:cstheme="minorBidi"/>
          <w:szCs w:val="22"/>
        </w:rPr>
      </w:pPr>
      <w:r>
        <w:t>236K.</w:t>
      </w:r>
      <w:r>
        <w:tab/>
        <w:t>Prescribed fee — application for reassessment and re</w:t>
      </w:r>
      <w:r>
        <w:noBreakHyphen/>
        <w:t>rating</w:t>
      </w:r>
      <w:r>
        <w:tab/>
      </w:r>
      <w:r>
        <w:fldChar w:fldCharType="begin"/>
      </w:r>
      <w:r>
        <w:instrText xml:space="preserve"> PAGEREF _Toc163818245 \h </w:instrText>
      </w:r>
      <w:r>
        <w:fldChar w:fldCharType="separate"/>
      </w:r>
      <w:r>
        <w:t>252</w:t>
      </w:r>
      <w:r>
        <w:fldChar w:fldCharType="end"/>
      </w:r>
    </w:p>
    <w:p>
      <w:pPr>
        <w:pStyle w:val="TOC8"/>
        <w:rPr>
          <w:rFonts w:asciiTheme="minorHAnsi" w:eastAsiaTheme="minorEastAsia" w:hAnsiTheme="minorHAnsi" w:cstheme="minorBidi"/>
          <w:szCs w:val="22"/>
        </w:rPr>
      </w:pPr>
      <w:r>
        <w:t>236L.</w:t>
      </w:r>
      <w:r>
        <w:tab/>
        <w:t>Prescribed fee — application for review by Ratings Review Panel of rating level</w:t>
      </w:r>
      <w:r>
        <w:tab/>
      </w:r>
      <w:r>
        <w:fldChar w:fldCharType="begin"/>
      </w:r>
      <w:r>
        <w:instrText xml:space="preserve"> PAGEREF _Toc163818246 \h </w:instrText>
      </w:r>
      <w:r>
        <w:fldChar w:fldCharType="separate"/>
      </w:r>
      <w:r>
        <w:t>253</w:t>
      </w:r>
      <w:r>
        <w:fldChar w:fldCharType="end"/>
      </w:r>
    </w:p>
    <w:p>
      <w:pPr>
        <w:pStyle w:val="TOC8"/>
        <w:rPr>
          <w:rFonts w:asciiTheme="minorHAnsi" w:eastAsiaTheme="minorEastAsia" w:hAnsiTheme="minorHAnsi" w:cstheme="minorBidi"/>
          <w:szCs w:val="22"/>
        </w:rPr>
      </w:pPr>
      <w:r>
        <w:t>236M.</w:t>
      </w:r>
      <w:r>
        <w:tab/>
        <w:t>Prescribed fees — copy of or extract from registers</w:t>
      </w:r>
      <w:r>
        <w:tab/>
      </w:r>
      <w:r>
        <w:fldChar w:fldCharType="begin"/>
      </w:r>
      <w:r>
        <w:instrText xml:space="preserve"> PAGEREF _Toc163818247 \h </w:instrText>
      </w:r>
      <w:r>
        <w:fldChar w:fldCharType="separate"/>
      </w:r>
      <w:r>
        <w:t>256</w:t>
      </w:r>
      <w:r>
        <w:fldChar w:fldCharType="end"/>
      </w:r>
    </w:p>
    <w:p>
      <w:pPr>
        <w:pStyle w:val="TOC8"/>
        <w:rPr>
          <w:rFonts w:asciiTheme="minorHAnsi" w:eastAsiaTheme="minorEastAsia" w:hAnsiTheme="minorHAnsi" w:cstheme="minorBidi"/>
          <w:szCs w:val="22"/>
        </w:rPr>
      </w:pPr>
      <w:r>
        <w:t>236N.</w:t>
      </w:r>
      <w:r>
        <w:tab/>
        <w:t>Prescribed fees — other applications</w:t>
      </w:r>
      <w:r>
        <w:tab/>
      </w:r>
      <w:r>
        <w:fldChar w:fldCharType="begin"/>
      </w:r>
      <w:r>
        <w:instrText xml:space="preserve"> PAGEREF _Toc163818248 \h </w:instrText>
      </w:r>
      <w:r>
        <w:fldChar w:fldCharType="separate"/>
      </w:r>
      <w:r>
        <w:t>256</w:t>
      </w:r>
      <w:r>
        <w:fldChar w:fldCharType="end"/>
      </w:r>
    </w:p>
    <w:p>
      <w:pPr>
        <w:pStyle w:val="TOC8"/>
        <w:rPr>
          <w:rFonts w:asciiTheme="minorHAnsi" w:eastAsiaTheme="minorEastAsia" w:hAnsiTheme="minorHAnsi" w:cstheme="minorBidi"/>
          <w:szCs w:val="22"/>
        </w:rPr>
      </w:pPr>
      <w:r>
        <w:t>236O.</w:t>
      </w:r>
      <w:r>
        <w:tab/>
        <w:t>Relevant fee — application for qualification to be assessed for inclusion on list of approved qualifications</w:t>
      </w:r>
      <w:r>
        <w:tab/>
      </w:r>
      <w:r>
        <w:fldChar w:fldCharType="begin"/>
      </w:r>
      <w:r>
        <w:instrText xml:space="preserve"> PAGEREF _Toc163818249 \h </w:instrText>
      </w:r>
      <w:r>
        <w:fldChar w:fldCharType="separate"/>
      </w:r>
      <w:r>
        <w:t>257</w:t>
      </w:r>
      <w:r>
        <w:fldChar w:fldCharType="end"/>
      </w:r>
    </w:p>
    <w:p>
      <w:pPr>
        <w:pStyle w:val="TOC8"/>
        <w:rPr>
          <w:rFonts w:asciiTheme="minorHAnsi" w:eastAsiaTheme="minorEastAsia" w:hAnsiTheme="minorHAnsi" w:cstheme="minorBidi"/>
          <w:szCs w:val="22"/>
        </w:rPr>
      </w:pPr>
      <w:r>
        <w:t>236P.</w:t>
      </w:r>
      <w:r>
        <w:tab/>
        <w:t>Relevant fee — application for determination of equivalent qualification</w:t>
      </w:r>
      <w:r>
        <w:tab/>
      </w:r>
      <w:r>
        <w:fldChar w:fldCharType="begin"/>
      </w:r>
      <w:r>
        <w:instrText xml:space="preserve"> PAGEREF _Toc163818250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_Toc163818252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_Toc163818256 \h </w:instrText>
      </w:r>
      <w:r>
        <w:fldChar w:fldCharType="separate"/>
      </w:r>
      <w:r>
        <w:t>260</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_Toc163818257 \h </w:instrText>
      </w:r>
      <w:r>
        <w:fldChar w:fldCharType="separate"/>
      </w:r>
      <w:r>
        <w:t>261</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_Toc163818258 \h </w:instrText>
      </w:r>
      <w:r>
        <w:fldChar w:fldCharType="separate"/>
      </w:r>
      <w:r>
        <w:t>263</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_Toc163818259 \h </w:instrText>
      </w:r>
      <w:r>
        <w:fldChar w:fldCharType="separate"/>
      </w:r>
      <w:r>
        <w:t>263</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_Toc163818260 \h </w:instrText>
      </w:r>
      <w:r>
        <w:fldChar w:fldCharType="separate"/>
      </w:r>
      <w:r>
        <w:t>266</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_Toc163818261 \h </w:instrText>
      </w:r>
      <w:r>
        <w:fldChar w:fldCharType="separate"/>
      </w:r>
      <w:r>
        <w:t>267</w:t>
      </w:r>
      <w:r>
        <w:fldChar w:fldCharType="end"/>
      </w:r>
    </w:p>
    <w:p>
      <w:pPr>
        <w:pStyle w:val="TOC8"/>
        <w:rPr>
          <w:rFonts w:asciiTheme="minorHAnsi" w:eastAsiaTheme="minorEastAsia" w:hAnsiTheme="minorHAnsi" w:cstheme="minorBidi"/>
          <w:szCs w:val="22"/>
        </w:rPr>
      </w:pPr>
      <w:r>
        <w:lastRenderedPageBreak/>
        <w:t>243A.</w:t>
      </w:r>
      <w:r>
        <w:tab/>
        <w:t>Persons taken to hold an approved diploma level education and care qualification for regulation 128 in Queensland</w:t>
      </w:r>
      <w:r>
        <w:tab/>
      </w:r>
      <w:r>
        <w:fldChar w:fldCharType="begin"/>
      </w:r>
      <w:r>
        <w:instrText xml:space="preserve"> PAGEREF _Toc163818262 \h </w:instrText>
      </w:r>
      <w:r>
        <w:fldChar w:fldCharType="separate"/>
      </w:r>
      <w:r>
        <w:t>268</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_Toc163818263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_Toc163818265 \h </w:instrText>
      </w:r>
      <w:r>
        <w:fldChar w:fldCharType="separate"/>
      </w:r>
      <w:r>
        <w:t>269</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_Toc163818266 \h </w:instrText>
      </w:r>
      <w:r>
        <w:fldChar w:fldCharType="separate"/>
      </w:r>
      <w:r>
        <w:t>269</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_Toc163818267 \h </w:instrText>
      </w:r>
      <w:r>
        <w:fldChar w:fldCharType="separate"/>
      </w:r>
      <w:r>
        <w:t>270</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_Toc163818268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_Toc163818270 \h </w:instrText>
      </w:r>
      <w:r>
        <w:fldChar w:fldCharType="separate"/>
      </w:r>
      <w:r>
        <w:t>272</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_Toc163818271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6"/>
        <w:tabs>
          <w:tab w:val="right" w:leader="dot" w:pos="7077"/>
        </w:tabs>
        <w:rPr>
          <w:rFonts w:asciiTheme="minorHAnsi" w:eastAsiaTheme="minorEastAsia" w:hAnsiTheme="minorHAnsi" w:cstheme="minorBidi"/>
          <w:b w:val="0"/>
          <w:sz w:val="22"/>
          <w:szCs w:val="22"/>
        </w:rPr>
      </w:pPr>
      <w:r>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_Toc163818274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_Toc163818276 \h </w:instrText>
      </w:r>
      <w:r>
        <w:fldChar w:fldCharType="separate"/>
      </w:r>
      <w:r>
        <w:t>273</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_Toc163818277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_Toc163818287 \h </w:instrText>
      </w:r>
      <w:r>
        <w:fldChar w:fldCharType="separate"/>
      </w:r>
      <w:r>
        <w:t>275</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_Toc163818288 \h </w:instrText>
      </w:r>
      <w:r>
        <w:fldChar w:fldCharType="separate"/>
      </w:r>
      <w:r>
        <w:t>275</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_Toc163818290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and qualification requirements for educators — children over preschool age</w:t>
      </w:r>
      <w:r>
        <w:tab/>
      </w:r>
      <w:r>
        <w:fldChar w:fldCharType="begin"/>
      </w:r>
      <w:r>
        <w:instrText xml:space="preserve"> PAGEREF _Toc163818292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_Toc163818294 \h </w:instrText>
      </w:r>
      <w:r>
        <w:fldChar w:fldCharType="separate"/>
      </w:r>
      <w:r>
        <w:t>280</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_Toc163818295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3A — Communication equipment at family day care residences and approved family day care venues</w:t>
      </w:r>
    </w:p>
    <w:p>
      <w:pPr>
        <w:pStyle w:val="TOC8"/>
        <w:rPr>
          <w:rFonts w:asciiTheme="minorHAnsi" w:eastAsiaTheme="minorEastAsia" w:hAnsiTheme="minorHAnsi" w:cstheme="minorBidi"/>
          <w:szCs w:val="22"/>
        </w:rPr>
      </w:pPr>
      <w:r>
        <w:t>373A.</w:t>
      </w:r>
      <w:r>
        <w:tab/>
        <w:t>Telephones or other communication equipment at family day care residences and approved family day care venues</w:t>
      </w:r>
      <w:r>
        <w:tab/>
      </w:r>
      <w:r>
        <w:fldChar w:fldCharType="begin"/>
      </w:r>
      <w:r>
        <w:instrText xml:space="preserve"> PAGEREF _Toc163818297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Division 3B — Swimming pools, outdoor spas and hazardous water features at family day care residences and approved family day care venues</w:t>
      </w:r>
    </w:p>
    <w:p>
      <w:pPr>
        <w:pStyle w:val="TOC8"/>
        <w:rPr>
          <w:rFonts w:asciiTheme="minorHAnsi" w:eastAsiaTheme="minorEastAsia" w:hAnsiTheme="minorHAnsi" w:cstheme="minorBidi"/>
          <w:szCs w:val="22"/>
        </w:rPr>
      </w:pPr>
      <w:r>
        <w:t>373B.</w:t>
      </w:r>
      <w:r>
        <w:tab/>
        <w:t>Terms used</w:t>
      </w:r>
      <w:r>
        <w:tab/>
      </w:r>
      <w:r>
        <w:fldChar w:fldCharType="begin"/>
      </w:r>
      <w:r>
        <w:instrText xml:space="preserve"> PAGEREF _Toc163818299 \h </w:instrText>
      </w:r>
      <w:r>
        <w:fldChar w:fldCharType="separate"/>
      </w:r>
      <w:r>
        <w:t>282</w:t>
      </w:r>
      <w:r>
        <w:fldChar w:fldCharType="end"/>
      </w:r>
    </w:p>
    <w:p>
      <w:pPr>
        <w:pStyle w:val="TOC8"/>
        <w:rPr>
          <w:rFonts w:asciiTheme="minorHAnsi" w:eastAsiaTheme="minorEastAsia" w:hAnsiTheme="minorHAnsi" w:cstheme="minorBidi"/>
          <w:szCs w:val="22"/>
        </w:rPr>
      </w:pPr>
      <w:r>
        <w:t>373C.</w:t>
      </w:r>
      <w:r>
        <w:tab/>
        <w:t>Conditions on service approval: restrictions on engaging or registering educators operating at residence or venue with swimming pool or outdoor spa</w:t>
      </w:r>
      <w:r>
        <w:tab/>
      </w:r>
      <w:r>
        <w:fldChar w:fldCharType="begin"/>
      </w:r>
      <w:r>
        <w:instrText xml:space="preserve"> PAGEREF _Toc163818300 \h </w:instrText>
      </w:r>
      <w:r>
        <w:fldChar w:fldCharType="separate"/>
      </w:r>
      <w:r>
        <w:t>283</w:t>
      </w:r>
      <w:r>
        <w:fldChar w:fldCharType="end"/>
      </w:r>
    </w:p>
    <w:p>
      <w:pPr>
        <w:pStyle w:val="TOC8"/>
        <w:rPr>
          <w:rFonts w:asciiTheme="minorHAnsi" w:eastAsiaTheme="minorEastAsia" w:hAnsiTheme="minorHAnsi" w:cstheme="minorBidi"/>
          <w:szCs w:val="22"/>
        </w:rPr>
      </w:pPr>
      <w:r>
        <w:t>373D.</w:t>
      </w:r>
      <w:r>
        <w:tab/>
        <w:t>Condition on service approval: register of residences and venues with swimming pool, outdoor spa or hazardous water feature</w:t>
      </w:r>
      <w:r>
        <w:tab/>
      </w:r>
      <w:r>
        <w:fldChar w:fldCharType="begin"/>
      </w:r>
      <w:r>
        <w:instrText xml:space="preserve"> PAGEREF _Toc163818301 \h </w:instrText>
      </w:r>
      <w:r>
        <w:fldChar w:fldCharType="separate"/>
      </w:r>
      <w:r>
        <w:t>285</w:t>
      </w:r>
      <w:r>
        <w:fldChar w:fldCharType="end"/>
      </w:r>
    </w:p>
    <w:p>
      <w:pPr>
        <w:pStyle w:val="TOC8"/>
        <w:rPr>
          <w:rFonts w:asciiTheme="minorHAnsi" w:eastAsiaTheme="minorEastAsia" w:hAnsiTheme="minorHAnsi" w:cstheme="minorBidi"/>
          <w:szCs w:val="22"/>
        </w:rPr>
      </w:pPr>
      <w:r>
        <w:t>373DA.</w:t>
      </w:r>
      <w:r>
        <w:tab/>
        <w:t>Condition on service approval: safety devices for swimming pools and outdoor spas</w:t>
      </w:r>
      <w:r>
        <w:tab/>
      </w:r>
      <w:r>
        <w:fldChar w:fldCharType="begin"/>
      </w:r>
      <w:r>
        <w:instrText xml:space="preserve"> PAGEREF _Toc163818302 \h </w:instrText>
      </w:r>
      <w:r>
        <w:fldChar w:fldCharType="separate"/>
      </w:r>
      <w:r>
        <w:t>286</w:t>
      </w:r>
      <w:r>
        <w:fldChar w:fldCharType="end"/>
      </w:r>
    </w:p>
    <w:p>
      <w:pPr>
        <w:pStyle w:val="TOC8"/>
        <w:rPr>
          <w:rFonts w:asciiTheme="minorHAnsi" w:eastAsiaTheme="minorEastAsia" w:hAnsiTheme="minorHAnsi" w:cstheme="minorBidi"/>
          <w:szCs w:val="22"/>
        </w:rPr>
      </w:pPr>
      <w:r>
        <w:t>373E.</w:t>
      </w:r>
      <w:r>
        <w:tab/>
        <w:t>Condition on service approval: water hazard safety inspections</w:t>
      </w:r>
      <w:r>
        <w:tab/>
      </w:r>
      <w:r>
        <w:fldChar w:fldCharType="begin"/>
      </w:r>
      <w:r>
        <w:instrText xml:space="preserve"> PAGEREF _Toc163818303 \h </w:instrText>
      </w:r>
      <w:r>
        <w:fldChar w:fldCharType="separate"/>
      </w:r>
      <w:r>
        <w:t>286</w:t>
      </w:r>
      <w:r>
        <w:fldChar w:fldCharType="end"/>
      </w:r>
    </w:p>
    <w:p>
      <w:pPr>
        <w:pStyle w:val="TOC8"/>
        <w:rPr>
          <w:rFonts w:asciiTheme="minorHAnsi" w:eastAsiaTheme="minorEastAsia" w:hAnsiTheme="minorHAnsi" w:cstheme="minorBidi"/>
          <w:szCs w:val="22"/>
        </w:rPr>
      </w:pPr>
      <w:r>
        <w:t>373F.</w:t>
      </w:r>
      <w:r>
        <w:tab/>
        <w:t>Offences relating to water hazard safety inspection reports: approved provider</w:t>
      </w:r>
      <w:r>
        <w:tab/>
      </w:r>
      <w:r>
        <w:fldChar w:fldCharType="begin"/>
      </w:r>
      <w:r>
        <w:instrText xml:space="preserve"> PAGEREF _Toc163818304 \h </w:instrText>
      </w:r>
      <w:r>
        <w:fldChar w:fldCharType="separate"/>
      </w:r>
      <w:r>
        <w:t>289</w:t>
      </w:r>
      <w:r>
        <w:fldChar w:fldCharType="end"/>
      </w:r>
    </w:p>
    <w:p>
      <w:pPr>
        <w:pStyle w:val="TOC8"/>
        <w:rPr>
          <w:rFonts w:asciiTheme="minorHAnsi" w:eastAsiaTheme="minorEastAsia" w:hAnsiTheme="minorHAnsi" w:cstheme="minorBidi"/>
          <w:szCs w:val="22"/>
        </w:rPr>
      </w:pPr>
      <w:r>
        <w:t>373G.</w:t>
      </w:r>
      <w:r>
        <w:tab/>
        <w:t>Offences relating to water hazard safety inspection reports: family day care educator</w:t>
      </w:r>
      <w:r>
        <w:tab/>
      </w:r>
      <w:r>
        <w:fldChar w:fldCharType="begin"/>
      </w:r>
      <w:r>
        <w:instrText xml:space="preserve"> PAGEREF _Toc163818305 \h </w:instrText>
      </w:r>
      <w:r>
        <w:fldChar w:fldCharType="separate"/>
      </w:r>
      <w:r>
        <w:t>291</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_Toc163818307 \h </w:instrText>
      </w:r>
      <w:r>
        <w:fldChar w:fldCharType="separate"/>
      </w:r>
      <w:r>
        <w:t>291</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_Toc163818309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_Toc163818311 \h </w:instrText>
      </w:r>
      <w:r>
        <w:fldChar w:fldCharType="separate"/>
      </w:r>
      <w:r>
        <w:t>293</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_Toc163818312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7.10 — Transitional and savings provisions — </w:t>
      </w:r>
      <w:r>
        <w:rPr>
          <w:i/>
        </w:rPr>
        <w:t>Education and Care Services National Amendment Regulations (No. 3) 2018</w:t>
      </w:r>
    </w:p>
    <w:p>
      <w:pPr>
        <w:pStyle w:val="TOC6"/>
        <w:tabs>
          <w:tab w:val="right" w:leader="dot" w:pos="7077"/>
        </w:tabs>
        <w:rPr>
          <w:rFonts w:asciiTheme="minorHAnsi" w:eastAsiaTheme="minorEastAsia" w:hAnsiTheme="minorHAnsi" w:cstheme="minorBidi"/>
          <w:b w:val="0"/>
          <w:sz w:val="22"/>
          <w:szCs w:val="22"/>
        </w:rPr>
      </w:pPr>
      <w:r>
        <w:t>Division 2 — Australian Capital Territory</w:t>
      </w:r>
    </w:p>
    <w:p>
      <w:pPr>
        <w:pStyle w:val="TOC6"/>
        <w:tabs>
          <w:tab w:val="right" w:leader="dot" w:pos="7077"/>
        </w:tabs>
        <w:rPr>
          <w:rFonts w:asciiTheme="minorHAnsi" w:eastAsiaTheme="minorEastAsia" w:hAnsiTheme="minorHAnsi" w:cstheme="minorBidi"/>
          <w:b w:val="0"/>
          <w:sz w:val="22"/>
          <w:szCs w:val="22"/>
        </w:rPr>
      </w:pPr>
      <w:r>
        <w:t>Division 3 — New South Wales</w:t>
      </w:r>
    </w:p>
    <w:p>
      <w:pPr>
        <w:pStyle w:val="TOC6"/>
        <w:tabs>
          <w:tab w:val="right" w:leader="dot" w:pos="7077"/>
        </w:tabs>
        <w:rPr>
          <w:rFonts w:asciiTheme="minorHAnsi" w:eastAsiaTheme="minorEastAsia" w:hAnsiTheme="minorHAnsi" w:cstheme="minorBidi"/>
          <w:b w:val="0"/>
          <w:sz w:val="22"/>
          <w:szCs w:val="22"/>
        </w:rPr>
      </w:pPr>
      <w:r>
        <w:t>Division 4 — Queensland</w:t>
      </w:r>
    </w:p>
    <w:p>
      <w:pPr>
        <w:pStyle w:val="TOC6"/>
        <w:tabs>
          <w:tab w:val="right" w:leader="dot" w:pos="7077"/>
        </w:tabs>
        <w:rPr>
          <w:rFonts w:asciiTheme="minorHAnsi" w:eastAsiaTheme="minorEastAsia" w:hAnsiTheme="minorHAnsi" w:cstheme="minorBidi"/>
          <w:b w:val="0"/>
          <w:sz w:val="22"/>
          <w:szCs w:val="22"/>
        </w:rPr>
      </w:pPr>
      <w:r>
        <w:t>Division 5 — Tasmania</w:t>
      </w:r>
    </w:p>
    <w:p>
      <w:pPr>
        <w:pStyle w:val="TOC6"/>
        <w:tabs>
          <w:tab w:val="right" w:leader="dot" w:pos="7077"/>
        </w:tabs>
        <w:rPr>
          <w:rFonts w:asciiTheme="minorHAnsi" w:eastAsiaTheme="minorEastAsia" w:hAnsiTheme="minorHAnsi" w:cstheme="minorBidi"/>
          <w:b w:val="0"/>
          <w:sz w:val="22"/>
          <w:szCs w:val="22"/>
        </w:rPr>
      </w:pPr>
      <w:r>
        <w:t>Division 6 — Western Australia</w:t>
      </w:r>
    </w:p>
    <w:p>
      <w:pPr>
        <w:pStyle w:val="TOC4"/>
        <w:tabs>
          <w:tab w:val="right" w:leader="dot" w:pos="7077"/>
        </w:tabs>
        <w:rPr>
          <w:rFonts w:asciiTheme="minorHAnsi" w:eastAsiaTheme="minorEastAsia" w:hAnsiTheme="minorHAnsi" w:cstheme="minorBidi"/>
          <w:b w:val="0"/>
          <w:szCs w:val="22"/>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_Toc163818320 \h </w:instrText>
      </w:r>
      <w:r>
        <w:fldChar w:fldCharType="separate"/>
      </w:r>
      <w:r>
        <w:t>295</w:t>
      </w:r>
      <w:r>
        <w:fldChar w:fldCharType="end"/>
      </w:r>
    </w:p>
    <w:p>
      <w:pPr>
        <w:pStyle w:val="TOC8"/>
        <w:rPr>
          <w:rFonts w:asciiTheme="minorHAnsi" w:eastAsiaTheme="minorEastAsia" w:hAnsiTheme="minorHAnsi" w:cstheme="minorBidi"/>
          <w:szCs w:val="22"/>
        </w:rPr>
      </w:pPr>
      <w:r>
        <w:t>396.</w:t>
      </w:r>
      <w:r>
        <w:tab/>
        <w:t>Quality improvement plan held prior to commencement day</w:t>
      </w:r>
      <w:r>
        <w:tab/>
      </w:r>
      <w:r>
        <w:fldChar w:fldCharType="begin"/>
      </w:r>
      <w:r>
        <w:instrText xml:space="preserve"> PAGEREF _Toc163818321 \h </w:instrText>
      </w:r>
      <w:r>
        <w:fldChar w:fldCharType="separate"/>
      </w:r>
      <w:r>
        <w:t>295</w:t>
      </w:r>
      <w:r>
        <w:fldChar w:fldCharType="end"/>
      </w:r>
    </w:p>
    <w:p>
      <w:pPr>
        <w:pStyle w:val="TOC8"/>
        <w:rPr>
          <w:rFonts w:asciiTheme="minorHAnsi" w:eastAsiaTheme="minorEastAsia" w:hAnsiTheme="minorHAnsi" w:cstheme="minorBidi"/>
          <w:szCs w:val="22"/>
        </w:rPr>
      </w:pPr>
      <w:r>
        <w:t>397.</w:t>
      </w:r>
      <w:r>
        <w:tab/>
        <w:t>Assessments commenced prior to commencement day</w:t>
      </w:r>
      <w:r>
        <w:tab/>
      </w:r>
      <w:r>
        <w:fldChar w:fldCharType="begin"/>
      </w:r>
      <w:r>
        <w:instrText xml:space="preserve"> PAGEREF _Toc163818322 \h </w:instrText>
      </w:r>
      <w:r>
        <w:fldChar w:fldCharType="separate"/>
      </w:r>
      <w:r>
        <w:t>296</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_Toc163818323 \h </w:instrText>
      </w:r>
      <w:r>
        <w:fldChar w:fldCharType="separate"/>
      </w:r>
      <w:r>
        <w:t>296</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_Toc163818324 \h </w:instrText>
      </w:r>
      <w:r>
        <w:fldChar w:fldCharType="separate"/>
      </w:r>
      <w:r>
        <w:t>297</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_Toc163818325 \h </w:instrText>
      </w:r>
      <w:r>
        <w:fldChar w:fldCharType="separate"/>
      </w:r>
      <w:r>
        <w:t>298</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_Toc163818326 \h </w:instrText>
      </w:r>
      <w:r>
        <w:fldChar w:fldCharType="separate"/>
      </w:r>
      <w:r>
        <w:t>298</w:t>
      </w:r>
      <w:r>
        <w:fldChar w:fldCharType="end"/>
      </w:r>
    </w:p>
    <w:p>
      <w:pPr>
        <w:pStyle w:val="TOC8"/>
        <w:rPr>
          <w:rFonts w:asciiTheme="minorHAnsi" w:eastAsiaTheme="minorEastAsia" w:hAnsiTheme="minorHAnsi" w:cstheme="minorBidi"/>
          <w:szCs w:val="22"/>
        </w:rPr>
      </w:pPr>
      <w:r>
        <w:t>402.</w:t>
      </w:r>
      <w:r>
        <w:tab/>
        <w:t>Prescribed provisional rating level held prior to commencement day</w:t>
      </w:r>
      <w:r>
        <w:tab/>
      </w:r>
      <w:r>
        <w:fldChar w:fldCharType="begin"/>
      </w:r>
      <w:r>
        <w:instrText xml:space="preserve"> PAGEREF _Toc163818327 \h </w:instrText>
      </w:r>
      <w:r>
        <w:fldChar w:fldCharType="separate"/>
      </w:r>
      <w:r>
        <w:t>299</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_Toc163818328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Part 7.12 — Transitional and saving provisions for </w:t>
      </w:r>
      <w:r>
        <w:rPr>
          <w:i/>
        </w:rPr>
        <w:t>Education and Care Services National Amendment Regulations 2019</w:t>
      </w:r>
    </w:p>
    <w:p>
      <w:pPr>
        <w:pStyle w:val="TOC6"/>
        <w:tabs>
          <w:tab w:val="right" w:leader="dot" w:pos="7077"/>
        </w:tabs>
        <w:rPr>
          <w:rFonts w:asciiTheme="minorHAnsi" w:eastAsiaTheme="minorEastAsia" w:hAnsiTheme="minorHAnsi" w:cstheme="minorBidi"/>
          <w:b w:val="0"/>
          <w:sz w:val="22"/>
          <w:szCs w:val="22"/>
        </w:rPr>
      </w:pPr>
      <w:r>
        <w:t>Division 1 — Australian Capital Territory</w:t>
      </w:r>
    </w:p>
    <w:p>
      <w:pPr>
        <w:pStyle w:val="TOC6"/>
        <w:tabs>
          <w:tab w:val="right" w:leader="dot" w:pos="7077"/>
        </w:tabs>
        <w:rPr>
          <w:rFonts w:asciiTheme="minorHAnsi" w:eastAsiaTheme="minorEastAsia" w:hAnsiTheme="minorHAnsi" w:cstheme="minorBidi"/>
          <w:b w:val="0"/>
          <w:sz w:val="22"/>
          <w:szCs w:val="22"/>
        </w:rPr>
      </w:pPr>
      <w:r>
        <w:t>Division 2 — Queensland</w:t>
      </w:r>
    </w:p>
    <w:p>
      <w:pPr>
        <w:pStyle w:val="TOC6"/>
        <w:tabs>
          <w:tab w:val="right" w:leader="dot" w:pos="7077"/>
        </w:tabs>
        <w:rPr>
          <w:rFonts w:asciiTheme="minorHAnsi" w:eastAsiaTheme="minorEastAsia" w:hAnsiTheme="minorHAnsi" w:cstheme="minorBidi"/>
          <w:b w:val="0"/>
          <w:sz w:val="22"/>
          <w:szCs w:val="22"/>
        </w:rPr>
      </w:pPr>
      <w:r>
        <w:t>Division 3 — Tasmania</w:t>
      </w:r>
    </w:p>
    <w:p>
      <w:pPr>
        <w:pStyle w:val="TOC6"/>
        <w:tabs>
          <w:tab w:val="right" w:leader="dot" w:pos="7077"/>
        </w:tabs>
        <w:rPr>
          <w:rFonts w:asciiTheme="minorHAnsi" w:eastAsiaTheme="minorEastAsia" w:hAnsiTheme="minorHAnsi" w:cstheme="minorBidi"/>
          <w:b w:val="0"/>
          <w:sz w:val="22"/>
          <w:szCs w:val="22"/>
        </w:rPr>
      </w:pPr>
      <w:r>
        <w:t>Division 4 — Western Australia</w:t>
      </w:r>
    </w:p>
    <w:p>
      <w:pPr>
        <w:pStyle w:val="TOC4"/>
        <w:tabs>
          <w:tab w:val="right" w:leader="dot" w:pos="7077"/>
        </w:tabs>
        <w:rPr>
          <w:rFonts w:asciiTheme="minorHAnsi" w:eastAsiaTheme="minorEastAsia" w:hAnsiTheme="minorHAnsi" w:cstheme="minorBidi"/>
          <w:b w:val="0"/>
          <w:szCs w:val="22"/>
        </w:rPr>
      </w:pPr>
      <w:r>
        <w:t xml:space="preserve">Part 7.13 — Transitional and saving provisions for </w:t>
      </w:r>
      <w:r>
        <w:rPr>
          <w:i/>
        </w:rPr>
        <w:t>Education and Care Services National Amendment Regulations (No. 2) 2021</w:t>
      </w:r>
    </w:p>
    <w:p>
      <w:pPr>
        <w:pStyle w:val="TOC6"/>
        <w:tabs>
          <w:tab w:val="right" w:leader="dot" w:pos="7077"/>
        </w:tabs>
        <w:rPr>
          <w:rFonts w:asciiTheme="minorHAnsi" w:eastAsiaTheme="minorEastAsia" w:hAnsiTheme="minorHAnsi" w:cstheme="minorBidi"/>
          <w:b w:val="0"/>
          <w:sz w:val="22"/>
          <w:szCs w:val="22"/>
        </w:rPr>
      </w:pPr>
      <w:r>
        <w:t>Division 1 — General transitional and savings provision</w:t>
      </w:r>
    </w:p>
    <w:p>
      <w:pPr>
        <w:pStyle w:val="TOC8"/>
        <w:rPr>
          <w:rFonts w:asciiTheme="minorHAnsi" w:eastAsiaTheme="minorEastAsia" w:hAnsiTheme="minorHAnsi" w:cstheme="minorBidi"/>
          <w:szCs w:val="22"/>
        </w:rPr>
      </w:pPr>
      <w:r>
        <w:t>412.</w:t>
      </w:r>
      <w:r>
        <w:tab/>
        <w:t>Requirement to display information in relation to the rating of an education and care service</w:t>
      </w:r>
      <w:r>
        <w:tab/>
      </w:r>
      <w:r>
        <w:fldChar w:fldCharType="begin"/>
      </w:r>
      <w:r>
        <w:instrText xml:space="preserve"> PAGEREF _Toc163818336 \h </w:instrText>
      </w:r>
      <w:r>
        <w:fldChar w:fldCharType="separate"/>
      </w:r>
      <w:r>
        <w:t>301</w:t>
      </w:r>
      <w:r>
        <w:fldChar w:fldCharType="end"/>
      </w:r>
    </w:p>
    <w:p>
      <w:pPr>
        <w:pStyle w:val="TOC6"/>
        <w:tabs>
          <w:tab w:val="right" w:leader="dot" w:pos="7077"/>
        </w:tabs>
        <w:rPr>
          <w:rFonts w:asciiTheme="minorHAnsi" w:eastAsiaTheme="minorEastAsia" w:hAnsiTheme="minorHAnsi" w:cstheme="minorBidi"/>
          <w:b w:val="0"/>
          <w:sz w:val="22"/>
          <w:szCs w:val="22"/>
        </w:rPr>
      </w:pPr>
      <w:r>
        <w:t>Division 2 — Northern Territory</w:t>
      </w:r>
    </w:p>
    <w:p>
      <w:pPr>
        <w:pStyle w:val="TOC4"/>
        <w:tabs>
          <w:tab w:val="right" w:leader="dot" w:pos="7077"/>
        </w:tabs>
        <w:rPr>
          <w:rFonts w:asciiTheme="minorHAnsi" w:eastAsiaTheme="minorEastAsia" w:hAnsiTheme="minorHAnsi" w:cstheme="minorBidi"/>
          <w:b w:val="0"/>
          <w:szCs w:val="22"/>
        </w:rPr>
      </w:pPr>
      <w:r>
        <w:t xml:space="preserve">Part 7.14 — Transitional and savings provisions for </w:t>
      </w:r>
      <w:r>
        <w:rPr>
          <w:i/>
        </w:rPr>
        <w:t>Education and Care Services National Amendment Regulations (No. 3) 2023</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4"/>
        <w:tabs>
          <w:tab w:val="right" w:leader="dot" w:pos="7077"/>
        </w:tabs>
        <w:rPr>
          <w:rFonts w:asciiTheme="minorHAnsi" w:eastAsiaTheme="minorEastAsia" w:hAnsiTheme="minorHAnsi" w:cstheme="minorBidi"/>
          <w:b w:val="0"/>
          <w:szCs w:val="22"/>
        </w:rPr>
      </w:pPr>
      <w:r>
        <w:t xml:space="preserve">Part 7.15 — Transitional and savings provisions for </w:t>
      </w:r>
      <w:r>
        <w:rPr>
          <w:i/>
          <w:iCs/>
        </w:rPr>
        <w:t>Education and Care Services National Amendment Regulations (No. 4) 2023</w:t>
      </w:r>
    </w:p>
    <w:p>
      <w:pPr>
        <w:pStyle w:val="TOC8"/>
        <w:rPr>
          <w:rFonts w:asciiTheme="minorHAnsi" w:eastAsiaTheme="minorEastAsia" w:hAnsiTheme="minorHAnsi" w:cstheme="minorBidi"/>
          <w:szCs w:val="22"/>
        </w:rPr>
      </w:pPr>
      <w:r>
        <w:t>415.</w:t>
      </w:r>
      <w:r>
        <w:tab/>
        <w:t>Family day care educator actively working towards qualification prior to commencement day</w:t>
      </w:r>
      <w:r>
        <w:tab/>
      </w:r>
      <w:r>
        <w:fldChar w:fldCharType="begin"/>
      </w:r>
      <w:r>
        <w:instrText xml:space="preserve"> PAGEREF _Toc163818341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2"/>
        <w:tabs>
          <w:tab w:val="right" w:leader="dot" w:pos="7077"/>
        </w:tabs>
        <w:rPr>
          <w:rFonts w:asciiTheme="minorHAnsi" w:eastAsiaTheme="minorEastAsia" w:hAnsiTheme="minorHAnsi" w:cstheme="minorBidi"/>
          <w:b w:val="0"/>
          <w:sz w:val="22"/>
          <w:szCs w:val="22"/>
        </w:rPr>
      </w:pPr>
      <w:r>
        <w:t xml:space="preserve">Schedule 2 — Prescribed fees for period beginning on </w:t>
      </w:r>
      <w:r>
        <w:lastRenderedPageBreak/>
        <w:t>commencement day and ending on 30 June 2023</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_Toc163818347 \h </w:instrText>
      </w:r>
      <w:r>
        <w:fldChar w:fldCharType="separate"/>
      </w:r>
      <w:r>
        <w:t>325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_Toc163818348 \h </w:instrText>
      </w:r>
      <w:r>
        <w:fldChar w:fldCharType="separate"/>
      </w:r>
      <w:r>
        <w:t>327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_Toc163818349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2" w:name="_Toc163809256"/>
      <w:bookmarkStart w:id="3" w:name="_Toc163810389"/>
      <w:bookmarkStart w:id="4" w:name="_Toc163817906"/>
      <w:r>
        <w:rPr>
          <w:rStyle w:val="CharPartNo"/>
        </w:rPr>
        <w:t>Chapter 1</w:t>
      </w:r>
      <w:r>
        <w:rPr>
          <w:rStyle w:val="CharDivNo"/>
        </w:rPr>
        <w:t> </w:t>
      </w:r>
      <w:r>
        <w:t>—</w:t>
      </w:r>
      <w:r>
        <w:rPr>
          <w:rStyle w:val="CharDivText"/>
        </w:rPr>
        <w:t> </w:t>
      </w:r>
      <w:r>
        <w:rPr>
          <w:rStyle w:val="CharPartText"/>
        </w:rPr>
        <w:t>Preliminary</w:t>
      </w:r>
      <w:bookmarkEnd w:id="2"/>
      <w:bookmarkEnd w:id="3"/>
      <w:bookmarkEnd w:id="4"/>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5" w:name="_Toc163817907"/>
      <w:r>
        <w:rPr>
          <w:rStyle w:val="CharSectno"/>
        </w:rPr>
        <w:t>1</w:t>
      </w:r>
      <w:r>
        <w:t>.</w:t>
      </w:r>
      <w:r>
        <w:tab/>
        <w:t>Citation</w:t>
      </w:r>
      <w:bookmarkEnd w:id="5"/>
    </w:p>
    <w:p>
      <w:pPr>
        <w:pStyle w:val="Subsection"/>
      </w:pPr>
      <w:r>
        <w:tab/>
      </w:r>
      <w:r>
        <w:tab/>
      </w:r>
      <w:bookmarkStart w:id="6" w:name="Start_Cursor"/>
      <w:bookmarkEnd w:id="6"/>
      <w:r>
        <w:t xml:space="preserve">These Regulations are the </w:t>
      </w:r>
      <w:r>
        <w:rPr>
          <w:i/>
        </w:rPr>
        <w:t>Education and Care Services National Regulations 2012</w:t>
      </w:r>
      <w:r>
        <w:t>.</w:t>
      </w:r>
    </w:p>
    <w:p>
      <w:pPr>
        <w:pStyle w:val="Heading5"/>
      </w:pPr>
      <w:bookmarkStart w:id="7" w:name="_Toc163817908"/>
      <w:r>
        <w:rPr>
          <w:rStyle w:val="CharSectno"/>
        </w:rPr>
        <w:t>2</w:t>
      </w:r>
      <w:r>
        <w:t>.</w:t>
      </w:r>
      <w:r>
        <w:tab/>
        <w:t>Authorising provisions</w:t>
      </w:r>
      <w:bookmarkEnd w:id="7"/>
    </w:p>
    <w:p>
      <w:pPr>
        <w:pStyle w:val="Subsection"/>
      </w:pPr>
      <w:r>
        <w:tab/>
      </w:r>
      <w:r>
        <w:tab/>
        <w:t xml:space="preserve">These Regulations are made under sections 301 and 324 of the </w:t>
      </w:r>
      <w:r>
        <w:rPr>
          <w:i/>
        </w:rPr>
        <w:t>Education and Care Services National Law</w:t>
      </w:r>
      <w:r>
        <w:t>.</w:t>
      </w:r>
    </w:p>
    <w:p>
      <w:pPr>
        <w:pStyle w:val="Heading5"/>
      </w:pPr>
      <w:bookmarkStart w:id="8" w:name="_Toc163817909"/>
      <w:r>
        <w:rPr>
          <w:rStyle w:val="CharSectno"/>
        </w:rPr>
        <w:t>3</w:t>
      </w:r>
      <w:r>
        <w:t>.</w:t>
      </w:r>
      <w:r>
        <w:tab/>
        <w:t>Commencement</w:t>
      </w:r>
      <w:bookmarkEnd w:id="8"/>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9" w:name="_Toc163817910"/>
      <w:r>
        <w:rPr>
          <w:rStyle w:val="CharSectno"/>
        </w:rPr>
        <w:lastRenderedPageBreak/>
        <w:t>4</w:t>
      </w:r>
      <w:r>
        <w:t>.</w:t>
      </w:r>
      <w:r>
        <w:tab/>
        <w:t>Definitions</w:t>
      </w:r>
      <w:bookmarkEnd w:id="9"/>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lastRenderedPageBreak/>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 xml:space="preserve">whether the individual is or has been subject to a formal disciplinary proceeding or action under an education law </w:t>
      </w:r>
      <w:r>
        <w:lastRenderedPageBreak/>
        <w:t>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lastRenderedPageBreak/>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multi</w:t>
      </w:r>
      <w:r>
        <w:rPr>
          <w:rStyle w:val="CharDefText"/>
        </w:rPr>
        <w:noBreakHyphen/>
        <w:t>storey building</w:t>
      </w:r>
      <w:r>
        <w:t xml:space="preserve"> means a building with more than 2 storeys;</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keepNext/>
      </w:pPr>
      <w:r>
        <w:lastRenderedPageBreak/>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lastRenderedPageBreak/>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rPr>
          <w:bCs/>
        </w:rPr>
        <w:tab/>
      </w:r>
      <w:r>
        <w:rPr>
          <w:rStyle w:val="CharDefText"/>
        </w:rPr>
        <w:t>storey</w:t>
      </w:r>
      <w:r>
        <w:t xml:space="preserve">, of a building, includes the following — </w:t>
      </w:r>
    </w:p>
    <w:p>
      <w:pPr>
        <w:pStyle w:val="Defpara"/>
      </w:pPr>
      <w:r>
        <w:tab/>
        <w:t>(a)</w:t>
      </w:r>
      <w:r>
        <w:tab/>
        <w:t>the ground level;</w:t>
      </w:r>
    </w:p>
    <w:p>
      <w:pPr>
        <w:pStyle w:val="Defpara"/>
      </w:pPr>
      <w:r>
        <w:tab/>
        <w:t>(b)</w:t>
      </w:r>
      <w:r>
        <w:tab/>
        <w:t>a level of a split level;</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lastRenderedPageBreak/>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 SL 2023/186 r. 4.]</w:t>
      </w:r>
    </w:p>
    <w:p>
      <w:pPr>
        <w:pStyle w:val="Heading5"/>
        <w:spacing w:before="260"/>
      </w:pPr>
      <w:bookmarkStart w:id="10" w:name="_Toc163817911"/>
      <w:r>
        <w:rPr>
          <w:rStyle w:val="CharSectno"/>
        </w:rPr>
        <w:lastRenderedPageBreak/>
        <w:t>5</w:t>
      </w:r>
      <w:r>
        <w:t>.</w:t>
      </w:r>
      <w:r>
        <w:tab/>
        <w:t>Services that are not education and care services</w:t>
      </w:r>
      <w:bookmarkEnd w:id="10"/>
      <w:r>
        <w:t xml:space="preserve"> </w:t>
      </w:r>
    </w:p>
    <w:p>
      <w:pPr>
        <w:pStyle w:val="Subsection"/>
        <w:keepLines/>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lastRenderedPageBreak/>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 xml:space="preserve">a secondary school or college providing education and care to the children of students attending the school or college where a parent of each child retains </w:t>
      </w:r>
      <w:r>
        <w:lastRenderedPageBreak/>
        <w:t>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lastRenderedPageBreak/>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1" w:name="_Toc163817912"/>
      <w:r>
        <w:rPr>
          <w:rStyle w:val="CharSectno"/>
        </w:rPr>
        <w:t>6</w:t>
      </w:r>
      <w:r>
        <w:t>.</w:t>
      </w:r>
      <w:r>
        <w:tab/>
        <w:t>Eligible association</w:t>
      </w:r>
      <w:bookmarkEnd w:id="11"/>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2" w:name="_Toc163817913"/>
      <w:r>
        <w:rPr>
          <w:rStyle w:val="CharSectno"/>
        </w:rPr>
        <w:t>7</w:t>
      </w:r>
      <w:r>
        <w:t>.</w:t>
      </w:r>
      <w:r>
        <w:tab/>
        <w:t>Prescribed rating system</w:t>
      </w:r>
      <w:bookmarkEnd w:id="12"/>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w:t>
      </w:r>
      <w:r>
        <w:lastRenderedPageBreak/>
        <w:t>of the Law, the prescribed rating system is set out in Parts 3.2 to 3.5.</w:t>
      </w:r>
    </w:p>
    <w:p>
      <w:pPr>
        <w:pStyle w:val="Heading5"/>
      </w:pPr>
      <w:bookmarkStart w:id="13" w:name="_Toc163817914"/>
      <w:r>
        <w:rPr>
          <w:rStyle w:val="CharSectno"/>
        </w:rPr>
        <w:t>8</w:t>
      </w:r>
      <w:r>
        <w:t>.</w:t>
      </w:r>
      <w:r>
        <w:tab/>
        <w:t>National Quality Standard</w:t>
      </w:r>
      <w:bookmarkEnd w:id="13"/>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4" w:name="_Toc163817915"/>
      <w:r>
        <w:rPr>
          <w:rStyle w:val="CharSectno"/>
        </w:rPr>
        <w:t>9</w:t>
      </w:r>
      <w:r>
        <w:t>.</w:t>
      </w:r>
      <w:r>
        <w:tab/>
        <w:t>Prescribed entities</w:t>
      </w:r>
      <w:bookmarkEnd w:id="14"/>
    </w:p>
    <w:p>
      <w:pPr>
        <w:pStyle w:val="Subsection"/>
        <w:keepNext/>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15" w:name="_Toc163817916"/>
      <w:r>
        <w:rPr>
          <w:rStyle w:val="CharSectno"/>
        </w:rPr>
        <w:t>10</w:t>
      </w:r>
      <w:r>
        <w:t>.</w:t>
      </w:r>
      <w:r>
        <w:tab/>
        <w:t xml:space="preserve">Meaning of </w:t>
      </w:r>
      <w:r>
        <w:rPr>
          <w:i/>
        </w:rPr>
        <w:t>actively working towards</w:t>
      </w:r>
      <w:r>
        <w:t xml:space="preserve"> a qualification</w:t>
      </w:r>
      <w:bookmarkEnd w:id="15"/>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lastRenderedPageBreak/>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16" w:name="_Toc163817917"/>
      <w:r>
        <w:rPr>
          <w:rStyle w:val="CharSectno"/>
        </w:rPr>
        <w:t>11</w:t>
      </w:r>
      <w:r>
        <w:t>.</w:t>
      </w:r>
      <w:r>
        <w:tab/>
        <w:t xml:space="preserve">Meaning of </w:t>
      </w:r>
      <w:r>
        <w:rPr>
          <w:i/>
        </w:rPr>
        <w:t>in attendance</w:t>
      </w:r>
      <w:r>
        <w:t xml:space="preserve"> at a centre</w:t>
      </w:r>
      <w:r>
        <w:noBreakHyphen/>
        <w:t>based service</w:t>
      </w:r>
      <w:bookmarkEnd w:id="16"/>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17" w:name="_Toc163817918"/>
      <w:r>
        <w:rPr>
          <w:rStyle w:val="CharSectno"/>
        </w:rPr>
        <w:lastRenderedPageBreak/>
        <w:t>12</w:t>
      </w:r>
      <w:r>
        <w:t>.</w:t>
      </w:r>
      <w:r>
        <w:tab/>
        <w:t xml:space="preserve">Meaning of </w:t>
      </w:r>
      <w:r>
        <w:rPr>
          <w:i/>
        </w:rPr>
        <w:t>serious incident</w:t>
      </w:r>
      <w:bookmarkEnd w:id="17"/>
    </w:p>
    <w:p>
      <w:pPr>
        <w:pStyle w:val="Subsection"/>
        <w:keepNext/>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keepNext/>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lastRenderedPageBreak/>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18" w:name="_Toc163817919"/>
      <w:r>
        <w:rPr>
          <w:rStyle w:val="CharSectno"/>
        </w:rPr>
        <w:t>13</w:t>
      </w:r>
      <w:r>
        <w:t>.</w:t>
      </w:r>
      <w:r>
        <w:tab/>
        <w:t xml:space="preserve">Meaning of </w:t>
      </w:r>
      <w:r>
        <w:rPr>
          <w:i/>
        </w:rPr>
        <w:t>working directly with children</w:t>
      </w:r>
      <w:bookmarkEnd w:id="18"/>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9" w:name="_Toc163809270"/>
      <w:bookmarkStart w:id="20" w:name="_Toc163810403"/>
      <w:bookmarkStart w:id="21" w:name="_Toc163817920"/>
      <w:r>
        <w:rPr>
          <w:rStyle w:val="CharPartNo"/>
        </w:rPr>
        <w:lastRenderedPageBreak/>
        <w:t>Chapter 2</w:t>
      </w:r>
      <w:r>
        <w:t> — </w:t>
      </w:r>
      <w:r>
        <w:rPr>
          <w:rStyle w:val="CharPartText"/>
        </w:rPr>
        <w:t>Approvals</w:t>
      </w:r>
      <w:bookmarkEnd w:id="19"/>
      <w:bookmarkEnd w:id="20"/>
      <w:bookmarkEnd w:id="21"/>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22" w:name="_Toc163809271"/>
      <w:bookmarkStart w:id="23" w:name="_Toc163810404"/>
      <w:bookmarkStart w:id="24" w:name="_Toc163817921"/>
      <w:r>
        <w:rPr>
          <w:rStyle w:val="CharDivNo"/>
        </w:rPr>
        <w:t>Part 2.1</w:t>
      </w:r>
      <w:r>
        <w:t> — </w:t>
      </w:r>
      <w:r>
        <w:rPr>
          <w:rStyle w:val="CharDivText"/>
        </w:rPr>
        <w:t>Provider approvals</w:t>
      </w:r>
      <w:bookmarkEnd w:id="22"/>
      <w:bookmarkEnd w:id="23"/>
      <w:bookmarkEnd w:id="24"/>
    </w:p>
    <w:p>
      <w:pPr>
        <w:pStyle w:val="Heading5"/>
      </w:pPr>
      <w:bookmarkStart w:id="25" w:name="_Toc163817922"/>
      <w:r>
        <w:rPr>
          <w:rStyle w:val="CharSectno"/>
        </w:rPr>
        <w:t>14</w:t>
      </w:r>
      <w:r>
        <w:t>.</w:t>
      </w:r>
      <w:r>
        <w:tab/>
        <w:t>Application for provider approval by individual</w:t>
      </w:r>
      <w:bookmarkEnd w:id="25"/>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lastRenderedPageBreak/>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lastRenderedPageBreak/>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26" w:name="_Toc163817923"/>
      <w:r>
        <w:rPr>
          <w:rStyle w:val="CharSectno"/>
        </w:rPr>
        <w:t>15</w:t>
      </w:r>
      <w:r>
        <w:t>.</w:t>
      </w:r>
      <w:r>
        <w:tab/>
        <w:t>Application for provider approval by person other than an individual</w:t>
      </w:r>
      <w:bookmarkEnd w:id="26"/>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 xml:space="preserve">for each individual who will be a person with management or control of an education and care service </w:t>
      </w:r>
      <w:r>
        <w:lastRenderedPageBreak/>
        <w:t>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27" w:name="_Toc163817924"/>
      <w:r>
        <w:rPr>
          <w:rStyle w:val="CharSectno"/>
        </w:rPr>
        <w:t>16</w:t>
      </w:r>
      <w:r>
        <w:t>.</w:t>
      </w:r>
      <w:r>
        <w:tab/>
        <w:t>Matters relating to criminal history</w:t>
      </w:r>
      <w:bookmarkEnd w:id="27"/>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28" w:name="_Toc163817925"/>
      <w:r>
        <w:rPr>
          <w:rStyle w:val="CharSectno"/>
        </w:rPr>
        <w:t>17</w:t>
      </w:r>
      <w:r>
        <w:t>.</w:t>
      </w:r>
      <w:r>
        <w:tab/>
        <w:t>Application for amendment of provider approval</w:t>
      </w:r>
      <w:bookmarkEnd w:id="28"/>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29" w:name="_Toc163817926"/>
      <w:r>
        <w:rPr>
          <w:rStyle w:val="CharSectno"/>
        </w:rPr>
        <w:lastRenderedPageBreak/>
        <w:t>18</w:t>
      </w:r>
      <w:r>
        <w:t>.</w:t>
      </w:r>
      <w:r>
        <w:tab/>
        <w:t>Maximum period of suspension of provider approval</w:t>
      </w:r>
      <w:bookmarkEnd w:id="29"/>
      <w:r>
        <w:t xml:space="preserve"> </w:t>
      </w:r>
    </w:p>
    <w:p>
      <w:pPr>
        <w:pStyle w:val="Subsection"/>
      </w:pPr>
      <w:r>
        <w:tab/>
      </w:r>
      <w:r>
        <w:tab/>
        <w:t>The prescribed maximum period of suspension of a provider approval under section 27(a) or 33(1)(a)(ii) of the Law is 12 months.</w:t>
      </w:r>
    </w:p>
    <w:p>
      <w:pPr>
        <w:pStyle w:val="Heading5"/>
      </w:pPr>
      <w:bookmarkStart w:id="30" w:name="_Toc163817927"/>
      <w:r>
        <w:rPr>
          <w:rStyle w:val="CharSectno"/>
        </w:rPr>
        <w:t>19</w:t>
      </w:r>
      <w:r>
        <w:t>.</w:t>
      </w:r>
      <w:r>
        <w:tab/>
        <w:t>Application for voluntary suspension of provider approval</w:t>
      </w:r>
      <w:bookmarkEnd w:id="30"/>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31" w:name="_Toc163817928"/>
      <w:r>
        <w:rPr>
          <w:rStyle w:val="CharSectno"/>
        </w:rPr>
        <w:t>20</w:t>
      </w:r>
      <w:r>
        <w:t>.</w:t>
      </w:r>
      <w:r>
        <w:tab/>
        <w:t>Application by individual executor for provider approval</w:t>
      </w:r>
      <w:bookmarkEnd w:id="31"/>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lastRenderedPageBreak/>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lastRenderedPageBreak/>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32" w:name="_Toc163817929"/>
      <w:r>
        <w:rPr>
          <w:rStyle w:val="CharSectno"/>
        </w:rPr>
        <w:t>21</w:t>
      </w:r>
      <w:r>
        <w:t>.</w:t>
      </w:r>
      <w:r>
        <w:tab/>
        <w:t>Application by executor other than an individual for provider approval</w:t>
      </w:r>
      <w:bookmarkEnd w:id="32"/>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lastRenderedPageBreak/>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3" w:name="_Toc163817930"/>
      <w:r>
        <w:rPr>
          <w:rStyle w:val="CharSectno"/>
        </w:rPr>
        <w:t>22</w:t>
      </w:r>
      <w:r>
        <w:t>.</w:t>
      </w:r>
      <w:r>
        <w:tab/>
        <w:t>Application by individual for provider approval on incapacity of approved provider</w:t>
      </w:r>
      <w:bookmarkEnd w:id="33"/>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lastRenderedPageBreak/>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 xml:space="preserve">if a criminal history record check has been provided under paragraph (h)(ii), a criminal history statement made by the applicant in relation to the period after the </w:t>
      </w:r>
      <w:r>
        <w:lastRenderedPageBreak/>
        <w:t>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34" w:name="_Toc163817931"/>
      <w:r>
        <w:rPr>
          <w:rStyle w:val="CharSectno"/>
        </w:rPr>
        <w:t>23</w:t>
      </w:r>
      <w:r>
        <w:t>.</w:t>
      </w:r>
      <w:r>
        <w:tab/>
        <w:t>Application by person other than an individual for provider approval on incapacity of approved provider</w:t>
      </w:r>
      <w:bookmarkEnd w:id="34"/>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lastRenderedPageBreak/>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35" w:name="_Toc163809282"/>
      <w:bookmarkStart w:id="36" w:name="_Toc163810415"/>
      <w:bookmarkStart w:id="37" w:name="_Toc163817932"/>
      <w:r>
        <w:rPr>
          <w:rStyle w:val="CharDivNo"/>
        </w:rPr>
        <w:t>Part 2.2</w:t>
      </w:r>
      <w:r>
        <w:t> — </w:t>
      </w:r>
      <w:r>
        <w:rPr>
          <w:rStyle w:val="CharDivText"/>
        </w:rPr>
        <w:t>Service approvals</w:t>
      </w:r>
      <w:bookmarkEnd w:id="35"/>
      <w:bookmarkEnd w:id="36"/>
      <w:bookmarkEnd w:id="37"/>
    </w:p>
    <w:p>
      <w:pPr>
        <w:pStyle w:val="Heading4"/>
      </w:pPr>
      <w:bookmarkStart w:id="38" w:name="_Toc163809283"/>
      <w:bookmarkStart w:id="39" w:name="_Toc163810416"/>
      <w:bookmarkStart w:id="40" w:name="_Toc163817933"/>
      <w:r>
        <w:t>Division 1 — Applications for service approvals</w:t>
      </w:r>
      <w:bookmarkEnd w:id="38"/>
      <w:bookmarkEnd w:id="39"/>
      <w:bookmarkEnd w:id="40"/>
    </w:p>
    <w:p>
      <w:pPr>
        <w:pStyle w:val="Heading5"/>
      </w:pPr>
      <w:bookmarkStart w:id="41" w:name="_Toc163817934"/>
      <w:r>
        <w:rPr>
          <w:rStyle w:val="CharSectno"/>
        </w:rPr>
        <w:t>24</w:t>
      </w:r>
      <w:r>
        <w:t>.</w:t>
      </w:r>
      <w:r>
        <w:tab/>
        <w:t>Application for service approval — centre</w:t>
      </w:r>
      <w:r>
        <w:noBreakHyphen/>
        <w:t>based service</w:t>
      </w:r>
      <w:bookmarkEnd w:id="41"/>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lastRenderedPageBreak/>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(ha)</w:t>
      </w:r>
      <w:r>
        <w:tab/>
        <w:t>a description of any proposed regular transportation of children by or arranged by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 SL 2023/15 r. 4.]</w:t>
      </w:r>
    </w:p>
    <w:p>
      <w:pPr>
        <w:pStyle w:val="Heading5"/>
      </w:pPr>
      <w:bookmarkStart w:id="42" w:name="_Toc163817935"/>
      <w:r>
        <w:rPr>
          <w:rStyle w:val="CharSectno"/>
        </w:rPr>
        <w:lastRenderedPageBreak/>
        <w:t>25</w:t>
      </w:r>
      <w:r>
        <w:t>.</w:t>
      </w:r>
      <w:r>
        <w:tab/>
        <w:t>Additional information about proposed education and care service premises</w:t>
      </w:r>
      <w:bookmarkEnd w:id="42"/>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pPr>
      <w:r>
        <w:lastRenderedPageBreak/>
        <w:tab/>
        <w:t>(ba)</w:t>
      </w:r>
      <w:r>
        <w:tab/>
        <w:t>if the proposed education and care service premises will be located within a multi</w:t>
      </w:r>
      <w:r>
        <w:noBreakHyphen/>
        <w:t xml:space="preserve">storey building shared with other occupants — </w:t>
      </w:r>
    </w:p>
    <w:p>
      <w:pPr>
        <w:pStyle w:val="Indenti"/>
      </w:pPr>
      <w:r>
        <w:tab/>
        <w:t>(i)</w:t>
      </w:r>
      <w:r>
        <w:tab/>
        <w:t>the total number of storeys in the building; and</w:t>
      </w:r>
    </w:p>
    <w:p>
      <w:pPr>
        <w:pStyle w:val="Indenti"/>
      </w:pPr>
      <w:r>
        <w:tab/>
        <w:t>(ii)</w:t>
      </w:r>
      <w:r>
        <w:tab/>
        <w:t>the storey or storeys on which the premises will be located; and</w:t>
      </w:r>
    </w:p>
    <w:p>
      <w:pPr>
        <w:pStyle w:val="Indenti"/>
      </w:pPr>
      <w:r>
        <w:tab/>
        <w:t>(iii)</w:t>
      </w:r>
      <w:r>
        <w:tab/>
        <w:t>if the premises will be located on more than 1 storey — the ages of the children who will attend on each storey;</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lastRenderedPageBreak/>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 SL 2023/186 r. 5.]</w:t>
      </w:r>
    </w:p>
    <w:p>
      <w:pPr>
        <w:pStyle w:val="Heading5"/>
      </w:pPr>
      <w:bookmarkStart w:id="43" w:name="_Toc163817936"/>
      <w:r>
        <w:rPr>
          <w:rStyle w:val="CharSectno"/>
        </w:rPr>
        <w:t>25A</w:t>
      </w:r>
      <w:r>
        <w:t>.</w:t>
      </w:r>
      <w:r>
        <w:tab/>
        <w:t>Application for service approval for a centre</w:t>
      </w:r>
      <w:r>
        <w:noBreakHyphen/>
        <w:t>based service — relocation of existing centre</w:t>
      </w:r>
      <w:r>
        <w:noBreakHyphen/>
        <w:t>based service</w:t>
      </w:r>
      <w:bookmarkEnd w:id="43"/>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44" w:name="_Toc163817937"/>
      <w:r>
        <w:rPr>
          <w:rStyle w:val="CharSectno"/>
        </w:rPr>
        <w:t>26</w:t>
      </w:r>
      <w:r>
        <w:t>.</w:t>
      </w:r>
      <w:r>
        <w:tab/>
        <w:t>Application for service approval — family day care service</w:t>
      </w:r>
      <w:bookmarkEnd w:id="44"/>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lastRenderedPageBreak/>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lastRenderedPageBreak/>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if the proposed family day care venue will be located within a multi</w:t>
      </w:r>
      <w:r>
        <w:noBreakHyphen/>
        <w:t>storey building shared with other occupants — the information specified in subregulation (3);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 xml:space="preserve">an assessment (including any risk assessment) of the place conducted by the approved provider to </w:t>
      </w:r>
      <w:r>
        <w:lastRenderedPageBreak/>
        <w:t>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Subsection"/>
      </w:pPr>
      <w:r>
        <w:tab/>
        <w:t>(3)</w:t>
      </w:r>
      <w:r>
        <w:tab/>
        <w:t xml:space="preserve">For the purposes of subregulation (1)(n)(ia), the application must include the following information — </w:t>
      </w:r>
    </w:p>
    <w:p>
      <w:pPr>
        <w:pStyle w:val="Indenta"/>
      </w:pPr>
      <w:r>
        <w:tab/>
        <w:t>(a)</w:t>
      </w:r>
      <w:r>
        <w:tab/>
        <w:t>the total number of storeys in the building;</w:t>
      </w:r>
    </w:p>
    <w:p>
      <w:pPr>
        <w:pStyle w:val="Indenta"/>
      </w:pPr>
      <w:r>
        <w:tab/>
        <w:t>(b)</w:t>
      </w:r>
      <w:r>
        <w:tab/>
        <w:t>the storey or storeys on which the venue will be located;</w:t>
      </w:r>
    </w:p>
    <w:p>
      <w:pPr>
        <w:pStyle w:val="Indenta"/>
      </w:pPr>
      <w:r>
        <w:tab/>
        <w:t>(c)</w:t>
      </w:r>
      <w:r>
        <w:tab/>
        <w:t>if the venue will be located on more than 1 storey — the ages of the children who will attend on each storey.</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 SL 2023/186 r. 6.]</w:t>
      </w:r>
    </w:p>
    <w:p>
      <w:pPr>
        <w:pStyle w:val="Heading5"/>
      </w:pPr>
      <w:bookmarkStart w:id="45" w:name="_Toc163817938"/>
      <w:r>
        <w:rPr>
          <w:rStyle w:val="CharSectno"/>
        </w:rPr>
        <w:t>27</w:t>
      </w:r>
      <w:r>
        <w:t>.</w:t>
      </w:r>
      <w:r>
        <w:tab/>
        <w:t>Additional matters to have regard to in determining application for service approval</w:t>
      </w:r>
      <w:bookmarkEnd w:id="45"/>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Indenta"/>
        <w:keepNext/>
      </w:pPr>
      <w:r>
        <w:tab/>
        <w:t>(c)</w:t>
      </w:r>
      <w:r>
        <w:tab/>
        <w:t>in the case of a proposed family day care venue or centre</w:t>
      </w:r>
      <w:r>
        <w:noBreakHyphen/>
        <w:t>based service to be located within a multi</w:t>
      </w:r>
      <w:r>
        <w:noBreakHyphen/>
        <w:t xml:space="preserve">storey building shared with other occupants, for each storey on which the venue or service is proposed to be located, whether there is direct egress to an assembly area to </w:t>
      </w:r>
      <w:r>
        <w:lastRenderedPageBreak/>
        <w:t>allow the safe evacuation of all children attending the venue or service, including non</w:t>
      </w:r>
      <w:r>
        <w:noBreakHyphen/>
        <w:t xml:space="preserve">ambulatory children. </w:t>
      </w:r>
    </w:p>
    <w:p>
      <w:pPr>
        <w:pStyle w:val="PermNoteHeading"/>
      </w:pPr>
      <w:r>
        <w:tab/>
        <w:t>Note for this regulation:</w:t>
      </w:r>
    </w:p>
    <w:p>
      <w:pPr>
        <w:pStyle w:val="PermNoteText"/>
      </w:pPr>
      <w:r>
        <w:tab/>
      </w:r>
      <w:r>
        <w:tab/>
        <w:t>See section 47(1)(g) of the Law.</w:t>
      </w:r>
    </w:p>
    <w:p>
      <w:pPr>
        <w:pStyle w:val="Footnotesection"/>
      </w:pPr>
      <w:r>
        <w:tab/>
        <w:t>[Regulation 27 amended: SL 2023/186 r. 7.]</w:t>
      </w:r>
    </w:p>
    <w:p>
      <w:pPr>
        <w:pStyle w:val="Heading5"/>
      </w:pPr>
      <w:bookmarkStart w:id="46" w:name="_Toc163817939"/>
      <w:r>
        <w:rPr>
          <w:rStyle w:val="CharSectno"/>
        </w:rPr>
        <w:t>28</w:t>
      </w:r>
      <w:r>
        <w:t>.</w:t>
      </w:r>
      <w:r>
        <w:tab/>
        <w:t>Additional grounds for refusal to grant service approval</w:t>
      </w:r>
      <w:bookmarkEnd w:id="46"/>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47" w:name="_Toc163817940"/>
      <w:r>
        <w:rPr>
          <w:rStyle w:val="CharSectno"/>
        </w:rPr>
        <w:lastRenderedPageBreak/>
        <w:t>29</w:t>
      </w:r>
      <w:r>
        <w:t>.</w:t>
      </w:r>
      <w:r>
        <w:tab/>
        <w:t>Condition on service approval — insurance</w:t>
      </w:r>
      <w:bookmarkEnd w:id="47"/>
      <w:r>
        <w:t xml:space="preserve"> </w:t>
      </w:r>
    </w:p>
    <w:p>
      <w:pPr>
        <w:pStyle w:val="Subsection"/>
        <w:keepNext/>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48" w:name="_Toc163817941"/>
      <w:r>
        <w:rPr>
          <w:rStyle w:val="CharSectno"/>
        </w:rPr>
        <w:t>30</w:t>
      </w:r>
      <w:r>
        <w:t>.</w:t>
      </w:r>
      <w:r>
        <w:tab/>
        <w:t>Condition on service approval — family day care educator insurance</w:t>
      </w:r>
      <w:bookmarkEnd w:id="48"/>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49" w:name="_Toc163817942"/>
      <w:r>
        <w:rPr>
          <w:rStyle w:val="CharSectno"/>
        </w:rPr>
        <w:t>31</w:t>
      </w:r>
      <w:r>
        <w:t>.</w:t>
      </w:r>
      <w:r>
        <w:tab/>
        <w:t>Condition on service approval — quality improvement plan</w:t>
      </w:r>
      <w:bookmarkEnd w:id="49"/>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lastRenderedPageBreak/>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50" w:name="_Toc163817943"/>
      <w:r>
        <w:rPr>
          <w:rStyle w:val="CharSectno"/>
        </w:rPr>
        <w:t>32</w:t>
      </w:r>
      <w:r>
        <w:t>.</w:t>
      </w:r>
      <w:r>
        <w:tab/>
        <w:t>Condition on service approval — entitlement to occupy premises</w:t>
      </w:r>
      <w:bookmarkEnd w:id="50"/>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51" w:name="_Toc163817944"/>
      <w:r>
        <w:rPr>
          <w:rStyle w:val="CharSectno"/>
        </w:rPr>
        <w:t>32A</w:t>
      </w:r>
      <w:r>
        <w:t>.</w:t>
      </w:r>
      <w:r>
        <w:tab/>
        <w:t>Condition on service approval — maximum number of family day care educators</w:t>
      </w:r>
      <w:bookmarkEnd w:id="51"/>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52" w:name="_Toc163817945"/>
      <w:r>
        <w:rPr>
          <w:rStyle w:val="CharSectno"/>
        </w:rPr>
        <w:lastRenderedPageBreak/>
        <w:t>33</w:t>
      </w:r>
      <w:r>
        <w:t>.</w:t>
      </w:r>
      <w:r>
        <w:tab/>
        <w:t>Annual fees</w:t>
      </w:r>
      <w:bookmarkEnd w:id="52"/>
    </w:p>
    <w:p>
      <w:pPr>
        <w:pStyle w:val="Subsection"/>
      </w:pPr>
      <w:r>
        <w:tab/>
      </w:r>
      <w:r>
        <w:tab/>
        <w:t>The approved provider of an education and care service must pay the relevant prescribed annual fee for the service approval on or before 1 July in each year.</w:t>
      </w:r>
    </w:p>
    <w:p>
      <w:pPr>
        <w:pStyle w:val="PermNoteHeading"/>
      </w:pPr>
      <w:r>
        <w:tab/>
        <w:t>Note for this regulation:</w:t>
      </w:r>
    </w:p>
    <w:p>
      <w:pPr>
        <w:pStyle w:val="PermNoteText"/>
      </w:pPr>
      <w:r>
        <w:tab/>
      </w:r>
      <w:r>
        <w:tab/>
        <w:t>Part 6.3 Divisions 2 and 3 provide for the calculation of prescribed annual fees.</w:t>
      </w:r>
    </w:p>
    <w:p>
      <w:pPr>
        <w:pStyle w:val="Footnotesection"/>
      </w:pPr>
      <w:r>
        <w:tab/>
        <w:t>[Regulation 33 inserted: SL 2023/71 r. 4.]</w:t>
      </w:r>
    </w:p>
    <w:p>
      <w:pPr>
        <w:pStyle w:val="Heading4"/>
      </w:pPr>
      <w:bookmarkStart w:id="53" w:name="_Toc163809296"/>
      <w:bookmarkStart w:id="54" w:name="_Toc163810429"/>
      <w:bookmarkStart w:id="55" w:name="_Toc163817946"/>
      <w:r>
        <w:t>Division 2 — Amendment of service approval and notice of change to nominated supervisor</w:t>
      </w:r>
      <w:bookmarkEnd w:id="53"/>
      <w:bookmarkEnd w:id="54"/>
      <w:bookmarkEnd w:id="55"/>
    </w:p>
    <w:p>
      <w:pPr>
        <w:pStyle w:val="Heading5"/>
      </w:pPr>
      <w:bookmarkStart w:id="56" w:name="_Toc163817947"/>
      <w:r>
        <w:rPr>
          <w:rStyle w:val="CharSectno"/>
        </w:rPr>
        <w:t>34</w:t>
      </w:r>
      <w:r>
        <w:t>.</w:t>
      </w:r>
      <w:r>
        <w:tab/>
        <w:t>Prescribed information for application to amend service approval</w:t>
      </w:r>
      <w:bookmarkEnd w:id="56"/>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keepNext/>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whether the family day care venue is proposed to be located within a multi</w:t>
      </w:r>
      <w:r>
        <w:noBreakHyphen/>
        <w:t>storey building shared with other occupants and, if so, the additional information specified in subregulation (1A); and</w:t>
      </w:r>
    </w:p>
    <w:p>
      <w:pPr>
        <w:pStyle w:val="Indenti"/>
        <w:keepNext/>
      </w:pPr>
      <w:r>
        <w:lastRenderedPageBreak/>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Lines/>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(1A)</w:t>
      </w:r>
      <w:r>
        <w:tab/>
        <w:t xml:space="preserve">For the purposes of subregulation (1)(f)(ia), the additional information to be included in an application is — </w:t>
      </w:r>
    </w:p>
    <w:p>
      <w:pPr>
        <w:pStyle w:val="Indenta"/>
      </w:pPr>
      <w:r>
        <w:tab/>
        <w:t>(a)</w:t>
      </w:r>
      <w:r>
        <w:tab/>
        <w:t>the total number of storeys in the multi</w:t>
      </w:r>
      <w:r>
        <w:noBreakHyphen/>
        <w:t>storey building; and</w:t>
      </w:r>
    </w:p>
    <w:p>
      <w:pPr>
        <w:pStyle w:val="Indenta"/>
      </w:pPr>
      <w:r>
        <w:tab/>
        <w:t>(b)</w:t>
      </w:r>
      <w:r>
        <w:tab/>
        <w:t>the storey or storeys on which the venue is proposed to be located; and</w:t>
      </w:r>
    </w:p>
    <w:p>
      <w:pPr>
        <w:pStyle w:val="Indenta"/>
      </w:pPr>
      <w:r>
        <w:tab/>
        <w:t>(c)</w:t>
      </w:r>
      <w:r>
        <w:tab/>
        <w:t>if the venue is proposed to be located on more than 1 storey — the ages of the children who will attend on each storey.</w:t>
      </w:r>
    </w:p>
    <w:p>
      <w:pPr>
        <w:pStyle w:val="Subsection"/>
        <w:keepNext/>
      </w:pPr>
      <w:r>
        <w:tab/>
        <w:t>(2)</w:t>
      </w:r>
      <w:r>
        <w:tab/>
        <w:t>An assessment referred to in subregulation (1)(f)(iii) must consider the matters set out in regulation 116(2).</w:t>
      </w:r>
    </w:p>
    <w:p>
      <w:pPr>
        <w:pStyle w:val="Footnotesection"/>
      </w:pPr>
      <w:r>
        <w:tab/>
        <w:t>[Regulation 34 amended: Gazette 28 Sep 2018 p. 3614</w:t>
      </w:r>
      <w:r>
        <w:noBreakHyphen/>
        <w:t>15; SL 2023/186 r. 8.]</w:t>
      </w:r>
    </w:p>
    <w:p>
      <w:pPr>
        <w:pStyle w:val="Heading5"/>
      </w:pPr>
      <w:bookmarkStart w:id="57" w:name="_Toc163817948"/>
      <w:r>
        <w:rPr>
          <w:rStyle w:val="CharSectno"/>
        </w:rPr>
        <w:t>35</w:t>
      </w:r>
      <w:r>
        <w:t>.</w:t>
      </w:r>
      <w:r>
        <w:tab/>
        <w:t>Notice of addition of new nominated supervisor</w:t>
      </w:r>
      <w:bookmarkEnd w:id="57"/>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lastRenderedPageBreak/>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keepN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58" w:name="_Toc163809299"/>
      <w:bookmarkStart w:id="59" w:name="_Toc163810432"/>
      <w:bookmarkStart w:id="60" w:name="_Toc163817949"/>
      <w:r>
        <w:t>Division 3 — Transfer of service approval</w:t>
      </w:r>
      <w:bookmarkEnd w:id="58"/>
      <w:bookmarkEnd w:id="59"/>
      <w:bookmarkEnd w:id="60"/>
    </w:p>
    <w:p>
      <w:pPr>
        <w:pStyle w:val="Heading5"/>
      </w:pPr>
      <w:bookmarkStart w:id="61" w:name="_Toc163817950"/>
      <w:r>
        <w:rPr>
          <w:rStyle w:val="CharSectno"/>
        </w:rPr>
        <w:t>36</w:t>
      </w:r>
      <w:r>
        <w:t>.</w:t>
      </w:r>
      <w:r>
        <w:tab/>
        <w:t>Notice of transfer of service approval — centre</w:t>
      </w:r>
      <w:r>
        <w:noBreakHyphen/>
        <w:t>based service</w:t>
      </w:r>
      <w:bookmarkEnd w:id="61"/>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62" w:name="_Toc163817951"/>
      <w:r>
        <w:rPr>
          <w:rStyle w:val="CharSectno"/>
        </w:rPr>
        <w:lastRenderedPageBreak/>
        <w:t>37</w:t>
      </w:r>
      <w:r>
        <w:t>.</w:t>
      </w:r>
      <w:r>
        <w:tab/>
        <w:t>Notice of transfer of service approval — family day care service</w:t>
      </w:r>
      <w:bookmarkEnd w:id="62"/>
      <w:r>
        <w:t xml:space="preserve"> </w:t>
      </w:r>
    </w:p>
    <w:p>
      <w:pPr>
        <w:pStyle w:val="Subsection"/>
        <w:keepNext/>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keepNext/>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63" w:name="_Toc163817952"/>
      <w:r>
        <w:rPr>
          <w:rStyle w:val="CharSectno"/>
        </w:rPr>
        <w:t>38</w:t>
      </w:r>
      <w:r>
        <w:t>.</w:t>
      </w:r>
      <w:r>
        <w:tab/>
        <w:t>Notification of decision to intervene in transfer of service approval</w:t>
      </w:r>
      <w:bookmarkEnd w:id="63"/>
      <w:r>
        <w:t xml:space="preserve"> </w:t>
      </w:r>
    </w:p>
    <w:p>
      <w:pPr>
        <w:pStyle w:val="Subsection"/>
        <w:keepNext/>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64" w:name="_Toc163809303"/>
      <w:bookmarkStart w:id="65" w:name="_Toc163810436"/>
      <w:bookmarkStart w:id="66" w:name="_Toc163817953"/>
      <w:r>
        <w:lastRenderedPageBreak/>
        <w:t>Division 4 — Suspension of service approval</w:t>
      </w:r>
      <w:bookmarkEnd w:id="64"/>
      <w:bookmarkEnd w:id="65"/>
      <w:bookmarkEnd w:id="66"/>
    </w:p>
    <w:p>
      <w:pPr>
        <w:pStyle w:val="Heading5"/>
      </w:pPr>
      <w:bookmarkStart w:id="67" w:name="_Toc163817954"/>
      <w:r>
        <w:rPr>
          <w:rStyle w:val="CharSectno"/>
        </w:rPr>
        <w:t>39</w:t>
      </w:r>
      <w:r>
        <w:t>.</w:t>
      </w:r>
      <w:r>
        <w:tab/>
        <w:t>Maximum period of suspension of service approval</w:t>
      </w:r>
      <w:bookmarkEnd w:id="67"/>
      <w:r>
        <w:t xml:space="preserve"> </w:t>
      </w:r>
    </w:p>
    <w:p>
      <w:pPr>
        <w:pStyle w:val="Subsection"/>
        <w:keepNext/>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68" w:name="_Toc163817955"/>
      <w:r>
        <w:rPr>
          <w:rStyle w:val="CharSectno"/>
        </w:rPr>
        <w:t>40</w:t>
      </w:r>
      <w:r>
        <w:t>.</w:t>
      </w:r>
      <w:r>
        <w:tab/>
        <w:t>Application for voluntary suspension of service approval</w:t>
      </w:r>
      <w:bookmarkEnd w:id="68"/>
      <w:r>
        <w:t xml:space="preserve"> </w:t>
      </w:r>
    </w:p>
    <w:p>
      <w:pPr>
        <w:pStyle w:val="Subsection"/>
        <w:keepNext/>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keepNext/>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69" w:name="_Toc163809306"/>
      <w:bookmarkStart w:id="70" w:name="_Toc163810439"/>
      <w:bookmarkStart w:id="71" w:name="_Toc163817956"/>
      <w:r>
        <w:t>Division 5 — Service waiver</w:t>
      </w:r>
      <w:bookmarkEnd w:id="69"/>
      <w:bookmarkEnd w:id="70"/>
      <w:bookmarkEnd w:id="71"/>
    </w:p>
    <w:p>
      <w:pPr>
        <w:pStyle w:val="Heading5"/>
      </w:pPr>
      <w:bookmarkStart w:id="72" w:name="_Toc163817957"/>
      <w:r>
        <w:rPr>
          <w:rStyle w:val="CharSectno"/>
        </w:rPr>
        <w:t>41</w:t>
      </w:r>
      <w:r>
        <w:t>.</w:t>
      </w:r>
      <w:r>
        <w:tab/>
        <w:t>Service waiver — prescribed regulations</w:t>
      </w:r>
      <w:bookmarkEnd w:id="72"/>
      <w:r>
        <w:t xml:space="preserve"> </w:t>
      </w:r>
    </w:p>
    <w:p>
      <w:pPr>
        <w:pStyle w:val="Subsection"/>
      </w:pPr>
      <w:r>
        <w:tab/>
      </w:r>
      <w:r>
        <w:tab/>
        <w:t xml:space="preserve">The regulations prescribed for the purposes of section 87(1)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and 130 to 134; and</w:t>
      </w:r>
    </w:p>
    <w:p>
      <w:pPr>
        <w:pStyle w:val="Indenta"/>
      </w:pPr>
      <w:r>
        <w:lastRenderedPageBreak/>
        <w:tab/>
        <w:t>(c)</w:t>
      </w:r>
      <w:r>
        <w:tab/>
        <w:t>in the case of a family day care service, regulations 72A, 117, 124, 127 and 128; and</w:t>
      </w:r>
    </w:p>
    <w:p>
      <w:pPr>
        <w:pStyle w:val="Indenta"/>
      </w:pPr>
      <w:r>
        <w:tab/>
        <w:t>(d)</w:t>
      </w:r>
      <w:r>
        <w:tab/>
        <w:t>any provision in Chapter 7 that applies in place of a provision referred to in paragraphs (a) to (c).</w:t>
      </w:r>
    </w:p>
    <w:p>
      <w:pPr>
        <w:pStyle w:val="Footnotesection"/>
      </w:pPr>
      <w:r>
        <w:tab/>
        <w:t>[Regulation 41 inserted: SL 2023/186 r. 9.]</w:t>
      </w:r>
    </w:p>
    <w:p>
      <w:pPr>
        <w:pStyle w:val="Heading5"/>
      </w:pPr>
      <w:bookmarkStart w:id="73" w:name="_Toc163817958"/>
      <w:r>
        <w:rPr>
          <w:rStyle w:val="CharSectno"/>
        </w:rPr>
        <w:t>42</w:t>
      </w:r>
      <w:r>
        <w:t>.</w:t>
      </w:r>
      <w:r>
        <w:tab/>
        <w:t>Prescribed information — application for service waiver</w:t>
      </w:r>
      <w:bookmarkEnd w:id="73"/>
      <w:r>
        <w:t xml:space="preserve"> </w:t>
      </w:r>
    </w:p>
    <w:p>
      <w:pPr>
        <w:pStyle w:val="Subsection"/>
        <w:keepNext/>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service waiver is sought; and</w:t>
      </w:r>
    </w:p>
    <w:p>
      <w:pPr>
        <w:pStyle w:val="Indenti"/>
      </w:pPr>
      <w:r>
        <w:tab/>
        <w:t>(ii)</w:t>
      </w:r>
      <w:r>
        <w:tab/>
        <w:t>the way in which the education and care service does not or will not comply with the specified regulations;</w:t>
      </w:r>
    </w:p>
    <w:p>
      <w:pPr>
        <w:pStyle w:val="Indenta"/>
        <w:keepNext/>
      </w:pPr>
      <w:r>
        <w:tab/>
        <w:t>(e)</w:t>
      </w:r>
      <w:r>
        <w:tab/>
        <w:t xml:space="preserve">if the education and care service is unable to comply with the specified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regulations;</w:t>
      </w:r>
    </w:p>
    <w:p>
      <w:pPr>
        <w:pStyle w:val="Indenta"/>
      </w:pPr>
      <w:r>
        <w:tab/>
        <w:t>(f)</w:t>
      </w:r>
      <w:r>
        <w:tab/>
        <w:t>in any other case, the reasons that the education and care service seeks the service waiver;</w:t>
      </w:r>
    </w:p>
    <w:p>
      <w:pPr>
        <w:pStyle w:val="Indenta"/>
        <w:keepNext/>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keepNext/>
      </w:pPr>
      <w:r>
        <w:lastRenderedPageBreak/>
        <w:tab/>
        <w:t>2.</w:t>
      </w:r>
      <w:r>
        <w:tab/>
        <w:t>This regulation differs from regulation 42 of the national regulations made by the Ministerial Council.</w:t>
      </w:r>
    </w:p>
    <w:p>
      <w:pPr>
        <w:pStyle w:val="Footnotesection"/>
      </w:pPr>
      <w:r>
        <w:tab/>
        <w:t>[Regulation 42 amended: Gazette 28 Sep 2018 p. 3617; SL 2023/186 r. 10.]</w:t>
      </w:r>
    </w:p>
    <w:p>
      <w:pPr>
        <w:pStyle w:val="Heading5"/>
      </w:pPr>
      <w:bookmarkStart w:id="74" w:name="_Toc163817959"/>
      <w:r>
        <w:rPr>
          <w:rStyle w:val="CharSectno"/>
        </w:rPr>
        <w:t>43</w:t>
      </w:r>
      <w:r>
        <w:t>.</w:t>
      </w:r>
      <w:r>
        <w:tab/>
        <w:t>Prescribed period — revocation of service waiver</w:t>
      </w:r>
      <w:bookmarkEnd w:id="74"/>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keepNext/>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keepNext/>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75" w:name="_Toc163809310"/>
      <w:bookmarkStart w:id="76" w:name="_Toc163810443"/>
      <w:bookmarkStart w:id="77" w:name="_Toc163817960"/>
      <w:r>
        <w:t>Division 6 — Temporary waiver</w:t>
      </w:r>
      <w:bookmarkEnd w:id="75"/>
      <w:bookmarkEnd w:id="76"/>
      <w:bookmarkEnd w:id="77"/>
    </w:p>
    <w:p>
      <w:pPr>
        <w:pStyle w:val="Heading5"/>
      </w:pPr>
      <w:bookmarkStart w:id="78" w:name="_Toc163817961"/>
      <w:r>
        <w:rPr>
          <w:rStyle w:val="CharSectno"/>
        </w:rPr>
        <w:t>44</w:t>
      </w:r>
      <w:r>
        <w:t>.</w:t>
      </w:r>
      <w:r>
        <w:tab/>
        <w:t>Temporary waiver — prescribed regulations</w:t>
      </w:r>
      <w:bookmarkEnd w:id="78"/>
    </w:p>
    <w:p>
      <w:pPr>
        <w:pStyle w:val="Subsection"/>
      </w:pPr>
      <w:r>
        <w:tab/>
      </w:r>
      <w:r>
        <w:tab/>
        <w:t xml:space="preserve">The regulations prescribed for the purposes of section 94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130 to 134 and 136; and</w:t>
      </w:r>
    </w:p>
    <w:p>
      <w:pPr>
        <w:pStyle w:val="Indenta"/>
      </w:pPr>
      <w:r>
        <w:lastRenderedPageBreak/>
        <w:tab/>
        <w:t>(c)</w:t>
      </w:r>
      <w:r>
        <w:tab/>
        <w:t>in the case of a family day care service, regulations 72A, 117, 124, 127, 128 and 136; and</w:t>
      </w:r>
    </w:p>
    <w:p>
      <w:pPr>
        <w:pStyle w:val="Indenta"/>
      </w:pPr>
      <w:r>
        <w:tab/>
        <w:t>(d)</w:t>
      </w:r>
      <w:r>
        <w:tab/>
        <w:t>any provision in Chapter 7 that applies in place of a provision referred to in paragraphs (a) to (c).</w:t>
      </w:r>
    </w:p>
    <w:p>
      <w:pPr>
        <w:pStyle w:val="PermNoteHeading"/>
      </w:pPr>
      <w:r>
        <w:tab/>
        <w:t>Note for this regulation:</w:t>
      </w:r>
    </w:p>
    <w:p>
      <w:pPr>
        <w:pStyle w:val="PermNoteText"/>
      </w:pPr>
      <w:r>
        <w:tab/>
      </w:r>
      <w:r>
        <w:tab/>
        <w:t>This regulation differs from regulation 44 of the national regulations made by the Ministerial Council.</w:t>
      </w:r>
    </w:p>
    <w:p>
      <w:pPr>
        <w:pStyle w:val="Footnotesection"/>
      </w:pPr>
      <w:r>
        <w:tab/>
        <w:t>[Regulation 44 inserted: SL 2023/186 r. 11.]</w:t>
      </w:r>
    </w:p>
    <w:p>
      <w:pPr>
        <w:pStyle w:val="Heading5"/>
      </w:pPr>
      <w:bookmarkStart w:id="79" w:name="_Toc163817962"/>
      <w:r>
        <w:rPr>
          <w:rStyle w:val="CharSectno"/>
        </w:rPr>
        <w:t>45</w:t>
      </w:r>
      <w:r>
        <w:t>.</w:t>
      </w:r>
      <w:r>
        <w:tab/>
        <w:t>Application for temporary waiver</w:t>
      </w:r>
      <w:bookmarkEnd w:id="79"/>
      <w:r>
        <w:t xml:space="preserve"> </w:t>
      </w:r>
    </w:p>
    <w:p>
      <w:pPr>
        <w:pStyle w:val="Subsection"/>
        <w:keepNext/>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temporary waiver is sought; and</w:t>
      </w:r>
    </w:p>
    <w:p>
      <w:pPr>
        <w:pStyle w:val="Indenti"/>
      </w:pPr>
      <w:r>
        <w:tab/>
        <w:t>(ii)</w:t>
      </w:r>
      <w:r>
        <w:tab/>
        <w:t>the way in which the education and care service does not or will not comply with the specified regulations;</w:t>
      </w:r>
    </w:p>
    <w:p>
      <w:pPr>
        <w:pStyle w:val="Indenta"/>
      </w:pPr>
      <w:r>
        <w:tab/>
        <w:t>(e)</w:t>
      </w:r>
      <w:r>
        <w:tab/>
        <w:t>the reasons that the education and care service is unable to comply with the specified regulations;</w:t>
      </w:r>
    </w:p>
    <w:p>
      <w:pPr>
        <w:pStyle w:val="Indenta"/>
      </w:pPr>
      <w:r>
        <w:tab/>
        <w:t>(f)</w:t>
      </w:r>
      <w:r>
        <w:tab/>
        <w:t>details and evidence of any attempts made to comply with the specified regulations;</w:t>
      </w:r>
    </w:p>
    <w:p>
      <w:pPr>
        <w:pStyle w:val="Indenta"/>
        <w:keepNext/>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regulations;</w:t>
      </w:r>
    </w:p>
    <w:p>
      <w:pPr>
        <w:pStyle w:val="Indenta"/>
        <w:keepNext/>
        <w:keepLines/>
      </w:pPr>
      <w:r>
        <w:lastRenderedPageBreak/>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keepNext/>
      </w:pPr>
      <w:r>
        <w:tab/>
      </w:r>
      <w:r>
        <w:tab/>
        <w:t>See section 95 of the Law.</w:t>
      </w:r>
    </w:p>
    <w:p>
      <w:pPr>
        <w:pStyle w:val="Footnotesection"/>
      </w:pPr>
      <w:r>
        <w:tab/>
        <w:t>[Regulation 45 amended: SL 2023/186 r. 12.]</w:t>
      </w:r>
    </w:p>
    <w:p>
      <w:pPr>
        <w:pStyle w:val="Ednotepart"/>
      </w:pPr>
      <w:r>
        <w:t>[Part 2.3 (r. 46</w:t>
      </w:r>
      <w:r>
        <w:noBreakHyphen/>
        <w:t>54) deleted: Gazette 28 Sep 2018 p. 3617.]</w:t>
      </w:r>
    </w:p>
    <w:p>
      <w:pPr>
        <w:pStyle w:val="Heading2"/>
      </w:pPr>
      <w:bookmarkStart w:id="80" w:name="_Toc163809313"/>
      <w:bookmarkStart w:id="81" w:name="_Toc163810446"/>
      <w:bookmarkStart w:id="82" w:name="_Toc163817963"/>
      <w:r>
        <w:rPr>
          <w:rStyle w:val="CharPartNo"/>
        </w:rPr>
        <w:lastRenderedPageBreak/>
        <w:t>Chapter 3</w:t>
      </w:r>
      <w:r>
        <w:t> — </w:t>
      </w:r>
      <w:r>
        <w:rPr>
          <w:rStyle w:val="CharPartText"/>
        </w:rPr>
        <w:t>Assessments and ratings</w:t>
      </w:r>
      <w:bookmarkEnd w:id="80"/>
      <w:bookmarkEnd w:id="81"/>
      <w:bookmarkEnd w:id="82"/>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8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8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80"/>
        <w:ind w:left="284"/>
      </w:pPr>
      <w:r>
        <w:rPr>
          <w:i/>
        </w:rPr>
        <w:t>Division 1</w:t>
      </w:r>
      <w:r>
        <w:t xml:space="preserve"> sets out the process for applying for a review of a rating of an education and care service by the Regulatory Authority.</w:t>
      </w:r>
    </w:p>
    <w:p>
      <w:pPr>
        <w:pStyle w:val="MiscellaneousBody"/>
        <w:spacing w:before="8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83" w:name="_Toc163809314"/>
      <w:bookmarkStart w:id="84" w:name="_Toc163810447"/>
      <w:bookmarkStart w:id="85" w:name="_Toc163817964"/>
      <w:r>
        <w:rPr>
          <w:rStyle w:val="CharDivNo"/>
        </w:rPr>
        <w:t>Part 3.1</w:t>
      </w:r>
      <w:r>
        <w:t> — </w:t>
      </w:r>
      <w:r>
        <w:rPr>
          <w:rStyle w:val="CharDivText"/>
        </w:rPr>
        <w:t>Quality improvement plans</w:t>
      </w:r>
      <w:bookmarkEnd w:id="83"/>
      <w:bookmarkEnd w:id="84"/>
      <w:bookmarkEnd w:id="85"/>
    </w:p>
    <w:p>
      <w:pPr>
        <w:pStyle w:val="Heading5"/>
      </w:pPr>
      <w:bookmarkStart w:id="86" w:name="_Toc163817965"/>
      <w:r>
        <w:rPr>
          <w:rStyle w:val="CharSectno"/>
        </w:rPr>
        <w:t>55</w:t>
      </w:r>
      <w:r>
        <w:t>.</w:t>
      </w:r>
      <w:r>
        <w:tab/>
        <w:t>Quality improvement plans</w:t>
      </w:r>
      <w:bookmarkEnd w:id="86"/>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lastRenderedPageBreak/>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87" w:name="_Toc163817966"/>
      <w:r>
        <w:rPr>
          <w:rStyle w:val="CharSectno"/>
        </w:rPr>
        <w:t>56</w:t>
      </w:r>
      <w:r>
        <w:t>.</w:t>
      </w:r>
      <w:r>
        <w:tab/>
        <w:t>Review and revision of quality improvement plans</w:t>
      </w:r>
      <w:bookmarkEnd w:id="87"/>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88" w:name="_Toc163809317"/>
      <w:bookmarkStart w:id="89" w:name="_Toc163810450"/>
      <w:bookmarkStart w:id="90" w:name="_Toc163817967"/>
      <w:r>
        <w:rPr>
          <w:rStyle w:val="CharDivNo"/>
        </w:rPr>
        <w:t>Part 3.2</w:t>
      </w:r>
      <w:r>
        <w:t> — </w:t>
      </w:r>
      <w:r>
        <w:rPr>
          <w:rStyle w:val="CharDivText"/>
        </w:rPr>
        <w:t>Prescribed rating levels</w:t>
      </w:r>
      <w:bookmarkEnd w:id="88"/>
      <w:bookmarkEnd w:id="89"/>
      <w:bookmarkEnd w:id="90"/>
    </w:p>
    <w:p>
      <w:pPr>
        <w:pStyle w:val="Heading5"/>
      </w:pPr>
      <w:bookmarkStart w:id="91" w:name="_Toc163817968"/>
      <w:r>
        <w:rPr>
          <w:rStyle w:val="CharSectno"/>
        </w:rPr>
        <w:t>57</w:t>
      </w:r>
      <w:r>
        <w:t>.</w:t>
      </w:r>
      <w:r>
        <w:tab/>
        <w:t>Rating levels</w:t>
      </w:r>
      <w:bookmarkEnd w:id="91"/>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lastRenderedPageBreak/>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92" w:name="_Toc163817969"/>
      <w:r>
        <w:rPr>
          <w:rStyle w:val="CharSectno"/>
        </w:rPr>
        <w:t>58</w:t>
      </w:r>
      <w:r>
        <w:t>.</w:t>
      </w:r>
      <w:r>
        <w:tab/>
        <w:t>Prescribed provisional rating</w:t>
      </w:r>
      <w:bookmarkEnd w:id="92"/>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93" w:name="_Toc163817970"/>
      <w:r>
        <w:rPr>
          <w:rStyle w:val="CharSectno"/>
        </w:rPr>
        <w:t>59</w:t>
      </w:r>
      <w:r>
        <w:t>.</w:t>
      </w:r>
      <w:r>
        <w:tab/>
        <w:t>Significant Improvement Required</w:t>
      </w:r>
      <w:bookmarkEnd w:id="93"/>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94" w:name="_Toc163817971"/>
      <w:r>
        <w:rPr>
          <w:rStyle w:val="CharSectno"/>
        </w:rPr>
        <w:t>60</w:t>
      </w:r>
      <w:r>
        <w:t>.</w:t>
      </w:r>
      <w:r>
        <w:tab/>
        <w:t>Working Towards National Quality Standard</w:t>
      </w:r>
      <w:bookmarkEnd w:id="94"/>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lastRenderedPageBreak/>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95" w:name="_Toc163817972"/>
      <w:r>
        <w:rPr>
          <w:rStyle w:val="CharSectno"/>
        </w:rPr>
        <w:t>61</w:t>
      </w:r>
      <w:r>
        <w:t>.</w:t>
      </w:r>
      <w:r>
        <w:tab/>
        <w:t>Meeting National Quality Standard</w:t>
      </w:r>
      <w:bookmarkEnd w:id="95"/>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96" w:name="_Toc163817973"/>
      <w:r>
        <w:rPr>
          <w:rStyle w:val="CharSectno"/>
        </w:rPr>
        <w:t>62</w:t>
      </w:r>
      <w:r>
        <w:t>.</w:t>
      </w:r>
      <w:r>
        <w:tab/>
        <w:t>Exceeding National Quality Standard</w:t>
      </w:r>
      <w:bookmarkEnd w:id="96"/>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 xml:space="preserve">has a documented arrangement with an approved provider of another education and care service to </w:t>
      </w:r>
      <w:r>
        <w:lastRenderedPageBreak/>
        <w:t>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97" w:name="_Toc163809324"/>
      <w:bookmarkStart w:id="98" w:name="_Toc163810457"/>
      <w:bookmarkStart w:id="99" w:name="_Toc163817974"/>
      <w:r>
        <w:rPr>
          <w:rStyle w:val="CharDivNo"/>
        </w:rPr>
        <w:lastRenderedPageBreak/>
        <w:t>Part 3.3</w:t>
      </w:r>
      <w:r>
        <w:t> — </w:t>
      </w:r>
      <w:r>
        <w:rPr>
          <w:rStyle w:val="CharDivText"/>
        </w:rPr>
        <w:t>Assessment</w:t>
      </w:r>
      <w:bookmarkEnd w:id="97"/>
      <w:bookmarkEnd w:id="98"/>
      <w:bookmarkEnd w:id="99"/>
    </w:p>
    <w:p>
      <w:pPr>
        <w:pStyle w:val="Heading4"/>
      </w:pPr>
      <w:bookmarkStart w:id="100" w:name="_Toc163809325"/>
      <w:bookmarkStart w:id="101" w:name="_Toc163810458"/>
      <w:bookmarkStart w:id="102" w:name="_Toc163817975"/>
      <w:r>
        <w:t>Division 1 — Assessment</w:t>
      </w:r>
      <w:bookmarkEnd w:id="100"/>
      <w:bookmarkEnd w:id="101"/>
      <w:bookmarkEnd w:id="102"/>
    </w:p>
    <w:p>
      <w:pPr>
        <w:pStyle w:val="Heading5"/>
      </w:pPr>
      <w:bookmarkStart w:id="103" w:name="_Toc163817976"/>
      <w:r>
        <w:rPr>
          <w:rStyle w:val="CharSectno"/>
        </w:rPr>
        <w:t>63</w:t>
      </w:r>
      <w:r>
        <w:t>.</w:t>
      </w:r>
      <w:r>
        <w:tab/>
        <w:t>Assessing approved education and care services</w:t>
      </w:r>
      <w:bookmarkEnd w:id="103"/>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lastRenderedPageBreak/>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lastRenderedPageBreak/>
        <w:tab/>
        <w:t>2.</w:t>
      </w:r>
      <w:r>
        <w:tab/>
        <w:t>This regulation differs from regulation 63 of the national regulations made by the Ministerial Council.</w:t>
      </w:r>
    </w:p>
    <w:p>
      <w:pPr>
        <w:pStyle w:val="Heading5"/>
      </w:pPr>
      <w:bookmarkStart w:id="104" w:name="_Toc163817977"/>
      <w:r>
        <w:rPr>
          <w:rStyle w:val="CharSectno"/>
        </w:rPr>
        <w:t>64</w:t>
      </w:r>
      <w:r>
        <w:t>.</w:t>
      </w:r>
      <w:r>
        <w:tab/>
        <w:t>Matters for determination of rating</w:t>
      </w:r>
      <w:bookmarkEnd w:id="104"/>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05" w:name="_Toc163817978"/>
      <w:r>
        <w:rPr>
          <w:rStyle w:val="CharSectno"/>
        </w:rPr>
        <w:t>65</w:t>
      </w:r>
      <w:r>
        <w:t>.</w:t>
      </w:r>
      <w:r>
        <w:tab/>
        <w:t>Assessment and rating of new education and care services</w:t>
      </w:r>
      <w:bookmarkEnd w:id="105"/>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06" w:name="_Toc163809329"/>
      <w:bookmarkStart w:id="107" w:name="_Toc163810462"/>
      <w:bookmarkStart w:id="108" w:name="_Toc163817979"/>
      <w:r>
        <w:t>Division 2 — Reassessment</w:t>
      </w:r>
      <w:bookmarkEnd w:id="106"/>
      <w:bookmarkEnd w:id="107"/>
      <w:bookmarkEnd w:id="108"/>
    </w:p>
    <w:p>
      <w:pPr>
        <w:pStyle w:val="Heading5"/>
      </w:pPr>
      <w:bookmarkStart w:id="109" w:name="_Toc163817980"/>
      <w:r>
        <w:rPr>
          <w:rStyle w:val="CharSectno"/>
        </w:rPr>
        <w:t>66</w:t>
      </w:r>
      <w:r>
        <w:t>.</w:t>
      </w:r>
      <w:r>
        <w:tab/>
        <w:t>Application for reassessment</w:t>
      </w:r>
      <w:bookmarkEnd w:id="109"/>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the nature of the reassessment sought, including whether — </w:t>
      </w:r>
    </w:p>
    <w:p>
      <w:pPr>
        <w:pStyle w:val="Indenti"/>
      </w:pPr>
      <w:r>
        <w:tab/>
        <w:t>(i)</w:t>
      </w:r>
      <w:r>
        <w:tab/>
        <w:t>the application is for reassessment of the service; or</w:t>
      </w:r>
    </w:p>
    <w:p>
      <w:pPr>
        <w:pStyle w:val="Indenti"/>
        <w:spacing w:before="100"/>
      </w:pPr>
      <w:r>
        <w:lastRenderedPageBreak/>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10" w:name="_Toc163817981"/>
      <w:r>
        <w:rPr>
          <w:rStyle w:val="CharSectno"/>
        </w:rPr>
        <w:t>67</w:t>
      </w:r>
      <w:r>
        <w:t>.</w:t>
      </w:r>
      <w:r>
        <w:tab/>
        <w:t>Reassessment by Regulatory Authority</w:t>
      </w:r>
      <w:bookmarkEnd w:id="110"/>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keepNext w:val="0"/>
      </w:pPr>
      <w:bookmarkStart w:id="111" w:name="_Toc163809332"/>
      <w:bookmarkStart w:id="112" w:name="_Toc163810465"/>
      <w:bookmarkStart w:id="113" w:name="_Toc163817982"/>
      <w:r>
        <w:rPr>
          <w:rStyle w:val="CharDivNo"/>
        </w:rPr>
        <w:t>Part 3.4</w:t>
      </w:r>
      <w:r>
        <w:t> — </w:t>
      </w:r>
      <w:r>
        <w:rPr>
          <w:rStyle w:val="CharDivText"/>
        </w:rPr>
        <w:t>Review of ratings</w:t>
      </w:r>
      <w:bookmarkEnd w:id="111"/>
      <w:bookmarkEnd w:id="112"/>
      <w:bookmarkEnd w:id="113"/>
    </w:p>
    <w:p>
      <w:pPr>
        <w:pStyle w:val="Heading4"/>
        <w:keepNext w:val="0"/>
      </w:pPr>
      <w:bookmarkStart w:id="114" w:name="_Toc163809333"/>
      <w:bookmarkStart w:id="115" w:name="_Toc163810466"/>
      <w:bookmarkStart w:id="116" w:name="_Toc163817983"/>
      <w:r>
        <w:t>Division 1 — Review of ratings by Regulatory Authority</w:t>
      </w:r>
      <w:bookmarkEnd w:id="114"/>
      <w:bookmarkEnd w:id="115"/>
      <w:bookmarkEnd w:id="116"/>
    </w:p>
    <w:p>
      <w:pPr>
        <w:pStyle w:val="Heading5"/>
        <w:keepNext w:val="0"/>
      </w:pPr>
      <w:bookmarkStart w:id="117" w:name="_Toc163817984"/>
      <w:r>
        <w:rPr>
          <w:rStyle w:val="CharSectno"/>
        </w:rPr>
        <w:t>68</w:t>
      </w:r>
      <w:r>
        <w:t>.</w:t>
      </w:r>
      <w:r>
        <w:tab/>
        <w:t>Prescribed information for request for review of rating</w:t>
      </w:r>
      <w:bookmarkEnd w:id="117"/>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lastRenderedPageBreak/>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18" w:name="_Toc163809335"/>
      <w:bookmarkStart w:id="119" w:name="_Toc163810468"/>
      <w:bookmarkStart w:id="120" w:name="_Toc163817985"/>
      <w:r>
        <w:t>Division 2 — Review of ratings by Ratings Review Panel</w:t>
      </w:r>
      <w:bookmarkEnd w:id="118"/>
      <w:bookmarkEnd w:id="119"/>
      <w:bookmarkEnd w:id="120"/>
    </w:p>
    <w:p>
      <w:pPr>
        <w:pStyle w:val="Heading5"/>
      </w:pPr>
      <w:bookmarkStart w:id="121" w:name="_Toc163817986"/>
      <w:r>
        <w:rPr>
          <w:rStyle w:val="CharSectno"/>
        </w:rPr>
        <w:t>69</w:t>
      </w:r>
      <w:r>
        <w:t>.</w:t>
      </w:r>
      <w:r>
        <w:tab/>
        <w:t>Application for further review by Ratings Review Panel</w:t>
      </w:r>
      <w:bookmarkEnd w:id="121"/>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22" w:name="_Toc163817987"/>
      <w:r>
        <w:rPr>
          <w:rStyle w:val="CharSectno"/>
        </w:rPr>
        <w:t>70</w:t>
      </w:r>
      <w:r>
        <w:t>.</w:t>
      </w:r>
      <w:r>
        <w:tab/>
        <w:t>Prescribed areas of expertise or expert knowledge of Ratings Review Panel pool</w:t>
      </w:r>
      <w:bookmarkEnd w:id="122"/>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lastRenderedPageBreak/>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123" w:name="_Toc163809338"/>
      <w:bookmarkStart w:id="124" w:name="_Toc163810471"/>
      <w:bookmarkStart w:id="125" w:name="_Toc163817988"/>
      <w:r>
        <w:rPr>
          <w:rStyle w:val="CharDivNo"/>
        </w:rPr>
        <w:t>Part 3.5</w:t>
      </w:r>
      <w:r>
        <w:t> — </w:t>
      </w:r>
      <w:r>
        <w:rPr>
          <w:rStyle w:val="CharDivText"/>
        </w:rPr>
        <w:t>Highest rating</w:t>
      </w:r>
      <w:bookmarkEnd w:id="123"/>
      <w:bookmarkEnd w:id="124"/>
      <w:bookmarkEnd w:id="125"/>
    </w:p>
    <w:p>
      <w:pPr>
        <w:pStyle w:val="Heading5"/>
      </w:pPr>
      <w:bookmarkStart w:id="126" w:name="_Toc163817989"/>
      <w:r>
        <w:rPr>
          <w:rStyle w:val="CharSectno"/>
        </w:rPr>
        <w:t>70A</w:t>
      </w:r>
      <w:r>
        <w:t>.</w:t>
      </w:r>
      <w:r>
        <w:tab/>
        <w:t>Prescribed rating levels for application for highest rating</w:t>
      </w:r>
      <w:bookmarkEnd w:id="126"/>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127" w:name="_Toc163817990"/>
      <w:r>
        <w:rPr>
          <w:rStyle w:val="CharSectno"/>
        </w:rPr>
        <w:t>71</w:t>
      </w:r>
      <w:r>
        <w:t>.</w:t>
      </w:r>
      <w:r>
        <w:tab/>
        <w:t>Application or reapplication for the highest rating</w:t>
      </w:r>
      <w:bookmarkEnd w:id="127"/>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28" w:name="_Toc163809341"/>
      <w:bookmarkStart w:id="129" w:name="_Toc163810474"/>
      <w:bookmarkStart w:id="130" w:name="_Toc163817991"/>
      <w:r>
        <w:rPr>
          <w:rStyle w:val="CharDivNo"/>
        </w:rPr>
        <w:t>Part 3.6</w:t>
      </w:r>
      <w:r>
        <w:t> — </w:t>
      </w:r>
      <w:r>
        <w:rPr>
          <w:rStyle w:val="CharDivText"/>
        </w:rPr>
        <w:t>Offences</w:t>
      </w:r>
      <w:bookmarkEnd w:id="128"/>
      <w:bookmarkEnd w:id="129"/>
      <w:bookmarkEnd w:id="130"/>
    </w:p>
    <w:p>
      <w:pPr>
        <w:pStyle w:val="Heading5"/>
      </w:pPr>
      <w:bookmarkStart w:id="131" w:name="_Toc163817992"/>
      <w:r>
        <w:rPr>
          <w:rStyle w:val="CharSectno"/>
        </w:rPr>
        <w:t>72</w:t>
      </w:r>
      <w:r>
        <w:t>.</w:t>
      </w:r>
      <w:r>
        <w:tab/>
        <w:t>Offences in relation to giving false or misleading statements about ratings</w:t>
      </w:r>
      <w:bookmarkEnd w:id="131"/>
      <w:r>
        <w:t xml:space="preserve"> </w:t>
      </w:r>
    </w:p>
    <w:p>
      <w:pPr>
        <w:pStyle w:val="Subsection"/>
        <w:keepNext/>
      </w:pPr>
      <w:r>
        <w:tab/>
        <w:t>(1)</w:t>
      </w:r>
      <w:r>
        <w:tab/>
        <w:t xml:space="preserve">The approved provider of an education and care service must not falsely represent the overall rating or a rating in respect of a </w:t>
      </w:r>
      <w:r>
        <w:lastRenderedPageBreak/>
        <w:t>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Heading2"/>
      </w:pPr>
      <w:bookmarkStart w:id="132" w:name="_Toc163809343"/>
      <w:bookmarkStart w:id="133" w:name="_Toc163810476"/>
      <w:bookmarkStart w:id="134" w:name="_Toc163817993"/>
      <w:r>
        <w:rPr>
          <w:rStyle w:val="CharPartNo"/>
        </w:rPr>
        <w:lastRenderedPageBreak/>
        <w:t>Chapter 4</w:t>
      </w:r>
      <w:r>
        <w:rPr>
          <w:rStyle w:val="CharDivNo"/>
        </w:rPr>
        <w:t> </w:t>
      </w:r>
      <w:r>
        <w:t>—</w:t>
      </w:r>
      <w:r>
        <w:rPr>
          <w:rStyle w:val="CharDivText"/>
        </w:rPr>
        <w:t> </w:t>
      </w:r>
      <w:r>
        <w:rPr>
          <w:rStyle w:val="CharPartText"/>
        </w:rPr>
        <w:t>Operational requirements</w:t>
      </w:r>
      <w:bookmarkEnd w:id="132"/>
      <w:bookmarkEnd w:id="133"/>
      <w:bookmarkEnd w:id="134"/>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iCs/>
          <w:sz w:val="18"/>
          <w:szCs w:val="18"/>
        </w:rPr>
        <w:t>Division 1A</w:t>
      </w:r>
      <w:r>
        <w:rPr>
          <w:rFonts w:ascii="Arial" w:hAnsi="Arial" w:cs="Arial"/>
          <w:sz w:val="18"/>
          <w:szCs w:val="18"/>
        </w:rPr>
        <w:t xml:space="preserve"> sets out requirements relating to the sleep and rest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ind w:left="879"/>
        <w:rPr>
          <w:rFonts w:ascii="Arial" w:hAnsi="Arial" w:cs="Arial"/>
          <w:sz w:val="18"/>
          <w:szCs w:val="18"/>
        </w:rPr>
      </w:pPr>
      <w:r>
        <w:rPr>
          <w:rFonts w:ascii="Arial" w:hAnsi="Arial" w:cs="Arial"/>
          <w:i/>
          <w:iCs/>
          <w:sz w:val="18"/>
          <w:szCs w:val="18"/>
        </w:rPr>
        <w:t xml:space="preserve">Division 6A </w:t>
      </w:r>
      <w:r>
        <w:rPr>
          <w:rFonts w:ascii="Arial" w:hAnsi="Arial" w:cs="Arial"/>
          <w:sz w:val="18"/>
          <w:szCs w:val="18"/>
        </w:rPr>
        <w:t>sets out requirements relating to the safe arrival of children who travel between an education and care service and any other education or early childhood service.</w:t>
      </w:r>
    </w:p>
    <w:p>
      <w:pPr>
        <w:pStyle w:val="MiscellaneousBody"/>
        <w:ind w:left="879"/>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lastRenderedPageBreak/>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135" w:name="_Toc163809344"/>
      <w:bookmarkStart w:id="136" w:name="_Toc163810477"/>
      <w:bookmarkStart w:id="137" w:name="_Toc163817994"/>
      <w:r>
        <w:rPr>
          <w:rStyle w:val="CharDivNo"/>
        </w:rPr>
        <w:t>Part 4.1AA</w:t>
      </w:r>
      <w:r>
        <w:t> — </w:t>
      </w:r>
      <w:r>
        <w:rPr>
          <w:rStyle w:val="CharDivText"/>
        </w:rPr>
        <w:t>Location of principal office</w:t>
      </w:r>
      <w:bookmarkEnd w:id="135"/>
      <w:bookmarkEnd w:id="136"/>
      <w:bookmarkEnd w:id="137"/>
    </w:p>
    <w:p>
      <w:pPr>
        <w:pStyle w:val="Footnoteheading"/>
      </w:pPr>
      <w:r>
        <w:tab/>
        <w:t>[Heading inserted: Gazette 28 Sep 2018 p. 3618.]</w:t>
      </w:r>
    </w:p>
    <w:p>
      <w:pPr>
        <w:pStyle w:val="Heading5"/>
      </w:pPr>
      <w:bookmarkStart w:id="138" w:name="_Toc163817995"/>
      <w:r>
        <w:rPr>
          <w:rStyle w:val="CharSectno"/>
        </w:rPr>
        <w:t>72A</w:t>
      </w:r>
      <w:r>
        <w:t>.</w:t>
      </w:r>
      <w:r>
        <w:tab/>
        <w:t>Location of principal office of family day care service</w:t>
      </w:r>
      <w:bookmarkEnd w:id="138"/>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139" w:name="_Toc163809346"/>
      <w:bookmarkStart w:id="140" w:name="_Toc163810479"/>
      <w:bookmarkStart w:id="141" w:name="_Toc163817996"/>
      <w:r>
        <w:rPr>
          <w:rStyle w:val="CharDivNo"/>
        </w:rPr>
        <w:lastRenderedPageBreak/>
        <w:t>Part 4.1</w:t>
      </w:r>
      <w:r>
        <w:t> — </w:t>
      </w:r>
      <w:r>
        <w:rPr>
          <w:rStyle w:val="CharDivText"/>
        </w:rPr>
        <w:t>Educational program and practice</w:t>
      </w:r>
      <w:bookmarkEnd w:id="139"/>
      <w:bookmarkEnd w:id="140"/>
      <w:bookmarkEnd w:id="141"/>
    </w:p>
    <w:p>
      <w:pPr>
        <w:pStyle w:val="Heading5"/>
      </w:pPr>
      <w:bookmarkStart w:id="142" w:name="_Toc163817997"/>
      <w:r>
        <w:rPr>
          <w:rStyle w:val="CharSectno"/>
        </w:rPr>
        <w:t>73</w:t>
      </w:r>
      <w:r>
        <w:t>.</w:t>
      </w:r>
      <w:r>
        <w:tab/>
        <w:t>Educational program</w:t>
      </w:r>
      <w:bookmarkEnd w:id="142"/>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43" w:name="_Toc163817998"/>
      <w:r>
        <w:rPr>
          <w:rStyle w:val="CharSectno"/>
        </w:rPr>
        <w:t>74</w:t>
      </w:r>
      <w:r>
        <w:t>.</w:t>
      </w:r>
      <w:r>
        <w:tab/>
        <w:t>Documenting of child assessments and evidence of development of educational programs</w:t>
      </w:r>
      <w:bookmarkEnd w:id="143"/>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evidence about the development of the program.</w:t>
      </w:r>
    </w:p>
    <w:p>
      <w:pPr>
        <w:pStyle w:val="Subsection"/>
        <w:keepNext/>
      </w:pPr>
      <w:r>
        <w:lastRenderedPageBreak/>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Notes for this regulation:</w:t>
      </w:r>
    </w:p>
    <w:p>
      <w:pPr>
        <w:pStyle w:val="PermNoteText"/>
      </w:pPr>
      <w:r>
        <w:tab/>
        <w:t>1.</w:t>
      </w:r>
      <w:r>
        <w:tab/>
        <w:t>This regulation differs from regulation 74 of the national regulations made by the Ministerial Council.</w:t>
      </w:r>
    </w:p>
    <w:p>
      <w:pPr>
        <w:pStyle w:val="PermNoteText"/>
      </w:pPr>
      <w:r>
        <w:tab/>
        <w:t>2.</w:t>
      </w:r>
      <w:r>
        <w:tab/>
        <w:t>A compliance direction may be issued for failure to comply with subregulation (1).</w:t>
      </w:r>
    </w:p>
    <w:p>
      <w:pPr>
        <w:pStyle w:val="Footnotesection"/>
      </w:pPr>
      <w:r>
        <w:tab/>
        <w:t>[Regulation 74 amended: SL 2023/186 r. 13.]</w:t>
      </w:r>
    </w:p>
    <w:p>
      <w:pPr>
        <w:pStyle w:val="Heading5"/>
      </w:pPr>
      <w:bookmarkStart w:id="144" w:name="_Toc163817999"/>
      <w:r>
        <w:rPr>
          <w:rStyle w:val="CharSectno"/>
        </w:rPr>
        <w:t>75</w:t>
      </w:r>
      <w:r>
        <w:t>.</w:t>
      </w:r>
      <w:r>
        <w:tab/>
        <w:t>Information about educational program to be kept available</w:t>
      </w:r>
      <w:bookmarkEnd w:id="144"/>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lastRenderedPageBreak/>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145" w:name="_Toc163818000"/>
      <w:r>
        <w:rPr>
          <w:rStyle w:val="CharSectno"/>
        </w:rPr>
        <w:t>76</w:t>
      </w:r>
      <w:r>
        <w:t>.</w:t>
      </w:r>
      <w:r>
        <w:tab/>
        <w:t>Information about educational program to be given to parents</w:t>
      </w:r>
      <w:bookmarkEnd w:id="145"/>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146" w:name="_Toc163809351"/>
      <w:bookmarkStart w:id="147" w:name="_Toc163810484"/>
      <w:bookmarkStart w:id="148" w:name="_Toc163818001"/>
      <w:r>
        <w:rPr>
          <w:rStyle w:val="CharDivNo"/>
        </w:rPr>
        <w:t>Part 4.2</w:t>
      </w:r>
      <w:r>
        <w:t> — </w:t>
      </w:r>
      <w:r>
        <w:rPr>
          <w:rStyle w:val="CharDivText"/>
        </w:rPr>
        <w:t>Children’s health and safety</w:t>
      </w:r>
      <w:bookmarkEnd w:id="146"/>
      <w:bookmarkEnd w:id="147"/>
      <w:bookmarkEnd w:id="148"/>
    </w:p>
    <w:p>
      <w:pPr>
        <w:pStyle w:val="Heading4"/>
      </w:pPr>
      <w:bookmarkStart w:id="149" w:name="_Toc163809352"/>
      <w:bookmarkStart w:id="150" w:name="_Toc163810485"/>
      <w:bookmarkStart w:id="151" w:name="_Toc163818002"/>
      <w:r>
        <w:t>Division 1 — Health, safety and wellbeing of children</w:t>
      </w:r>
      <w:bookmarkEnd w:id="149"/>
      <w:bookmarkEnd w:id="150"/>
      <w:bookmarkEnd w:id="151"/>
    </w:p>
    <w:p>
      <w:pPr>
        <w:pStyle w:val="Heading5"/>
      </w:pPr>
      <w:bookmarkStart w:id="152" w:name="_Toc163818003"/>
      <w:r>
        <w:rPr>
          <w:rStyle w:val="CharSectno"/>
        </w:rPr>
        <w:t>77</w:t>
      </w:r>
      <w:r>
        <w:t>.</w:t>
      </w:r>
      <w:r>
        <w:tab/>
        <w:t>Health, hygiene and safe food practices</w:t>
      </w:r>
      <w:bookmarkEnd w:id="152"/>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keepNext/>
      </w:pPr>
      <w:r>
        <w:lastRenderedPageBreak/>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53" w:name="_Toc163818004"/>
      <w:r>
        <w:rPr>
          <w:rStyle w:val="CharSectno"/>
        </w:rPr>
        <w:t>78</w:t>
      </w:r>
      <w:r>
        <w:t>.</w:t>
      </w:r>
      <w:r>
        <w:tab/>
        <w:t>Food and beverages</w:t>
      </w:r>
      <w:bookmarkEnd w:id="153"/>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lastRenderedPageBreak/>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154" w:name="_Toc163818005"/>
      <w:r>
        <w:rPr>
          <w:rStyle w:val="CharSectno"/>
        </w:rPr>
        <w:t>79</w:t>
      </w:r>
      <w:r>
        <w:t>.</w:t>
      </w:r>
      <w:r>
        <w:tab/>
        <w:t>Service providing food and beverages</w:t>
      </w:r>
      <w:bookmarkEnd w:id="154"/>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lastRenderedPageBreak/>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155" w:name="_Toc163818006"/>
      <w:r>
        <w:rPr>
          <w:rStyle w:val="CharSectno"/>
        </w:rPr>
        <w:t>80</w:t>
      </w:r>
      <w:r>
        <w:t>.</w:t>
      </w:r>
      <w:r>
        <w:tab/>
        <w:t>Weekly menu</w:t>
      </w:r>
      <w:bookmarkEnd w:id="155"/>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 xml:space="preserve">is displayed at a place at the family day care residence or approved family day care venue accessible to family </w:t>
      </w:r>
      <w:r>
        <w:lastRenderedPageBreak/>
        <w:t>members of children being educated and cared for by the service; and</w:t>
      </w:r>
    </w:p>
    <w:p>
      <w:pPr>
        <w:pStyle w:val="Indenta"/>
        <w:keepNext/>
      </w:pPr>
      <w:r>
        <w:tab/>
        <w:t>(b)</w:t>
      </w:r>
      <w:r>
        <w:tab/>
        <w:t>accurately describes the food and beverages to be provided by the family day care educator each day.</w:t>
      </w:r>
    </w:p>
    <w:p>
      <w:pPr>
        <w:pStyle w:val="Penstart"/>
        <w:keepNext/>
      </w:pPr>
      <w:r>
        <w:tab/>
        <w:t>Penalty: $1100.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 SL 2023/186 r. 45(1).]</w:t>
      </w:r>
    </w:p>
    <w:p>
      <w:pPr>
        <w:pStyle w:val="Ednotesection"/>
      </w:pPr>
      <w:r>
        <w:t>[</w:t>
      </w:r>
      <w:r>
        <w:rPr>
          <w:b/>
        </w:rPr>
        <w:t>81.</w:t>
      </w:r>
      <w:r>
        <w:tab/>
        <w:t>Deleted: SL 2023/186 r. 14.]</w:t>
      </w:r>
    </w:p>
    <w:p>
      <w:pPr>
        <w:pStyle w:val="Heading5"/>
      </w:pPr>
      <w:bookmarkStart w:id="156" w:name="_Toc163818007"/>
      <w:r>
        <w:rPr>
          <w:rStyle w:val="CharSectno"/>
        </w:rPr>
        <w:t>82</w:t>
      </w:r>
      <w:r>
        <w:t>.</w:t>
      </w:r>
      <w:r>
        <w:tab/>
        <w:t>Tobacco, drug and alcohol</w:t>
      </w:r>
      <w:r>
        <w:noBreakHyphen/>
        <w:t>free environment</w:t>
      </w:r>
      <w:bookmarkEnd w:id="156"/>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57" w:name="_Toc163818008"/>
      <w:r>
        <w:rPr>
          <w:rStyle w:val="CharSectno"/>
        </w:rPr>
        <w:lastRenderedPageBreak/>
        <w:t>83</w:t>
      </w:r>
      <w:r>
        <w:t>.</w:t>
      </w:r>
      <w:r>
        <w:tab/>
        <w:t>Staff members and family day care educators not to be affected by alcohol or drugs</w:t>
      </w:r>
      <w:bookmarkEnd w:id="157"/>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158" w:name="_Toc163818009"/>
      <w:r>
        <w:rPr>
          <w:rStyle w:val="CharSectno"/>
        </w:rPr>
        <w:lastRenderedPageBreak/>
        <w:t>84</w:t>
      </w:r>
      <w:r>
        <w:t>.</w:t>
      </w:r>
      <w:r>
        <w:tab/>
        <w:t>Awareness of child protection law</w:t>
      </w:r>
      <w:bookmarkEnd w:id="158"/>
      <w:r>
        <w:t xml:space="preserve"> </w:t>
      </w:r>
    </w:p>
    <w:p>
      <w:pPr>
        <w:pStyle w:val="Subsection"/>
        <w:keepNext/>
      </w:pPr>
      <w:r>
        <w:tab/>
        <w:t>(1)</w:t>
      </w:r>
      <w:r>
        <w:tab/>
        <w:t xml:space="preserve">The approved provider of an education and care service must ensure that a person specified in subregulation (2) who works with children is advised of — </w:t>
      </w:r>
    </w:p>
    <w:p>
      <w:pPr>
        <w:pStyle w:val="Indenta"/>
      </w:pPr>
      <w:r>
        <w:tab/>
        <w:t>(a)</w:t>
      </w:r>
      <w:r>
        <w:tab/>
        <w:t>the existence and application of the current child protection law; and</w:t>
      </w:r>
    </w:p>
    <w:p>
      <w:pPr>
        <w:pStyle w:val="Indenta"/>
      </w:pPr>
      <w:r>
        <w:tab/>
        <w:t>(b)</w:t>
      </w:r>
      <w:r>
        <w:tab/>
        <w:t>any obligations that the person may have under that law.</w:t>
      </w:r>
    </w:p>
    <w:p>
      <w:pPr>
        <w:pStyle w:val="Penstart"/>
      </w:pPr>
      <w:r>
        <w:tab/>
        <w:t>Penalty: $1100.</w:t>
      </w:r>
    </w:p>
    <w:p>
      <w:pPr>
        <w:pStyle w:val="Subsection"/>
      </w:pPr>
      <w:r>
        <w:tab/>
        <w:t>(2)</w:t>
      </w:r>
      <w:r>
        <w:tab/>
        <w:t xml:space="preserve">The following persons are specified — </w:t>
      </w:r>
    </w:p>
    <w:p>
      <w:pPr>
        <w:pStyle w:val="Indenta"/>
      </w:pPr>
      <w:r>
        <w:tab/>
        <w:t>(a)</w:t>
      </w:r>
      <w:r>
        <w:tab/>
        <w:t>a nominated supervisor of the service;</w:t>
      </w:r>
    </w:p>
    <w:p>
      <w:pPr>
        <w:pStyle w:val="Indenta"/>
      </w:pPr>
      <w:r>
        <w:tab/>
        <w:t>(b)</w:t>
      </w:r>
      <w:r>
        <w:tab/>
        <w:t>a staff member of the service;</w:t>
      </w:r>
    </w:p>
    <w:p>
      <w:pPr>
        <w:pStyle w:val="Indenta"/>
      </w:pPr>
      <w:r>
        <w:tab/>
        <w:t>(c)</w:t>
      </w:r>
      <w:r>
        <w:tab/>
        <w:t>a volunteer at the service;</w:t>
      </w:r>
    </w:p>
    <w:p>
      <w:pPr>
        <w:pStyle w:val="Indenta"/>
      </w:pPr>
      <w:r>
        <w:tab/>
        <w:t>(d)</w:t>
      </w:r>
      <w:r>
        <w:tab/>
        <w:t>a student who participates in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 amended: Gazette 28 Sep 2018 p. 3620; SL 2023/186 r. 15.]</w:t>
      </w:r>
    </w:p>
    <w:p>
      <w:pPr>
        <w:pStyle w:val="Heading4"/>
      </w:pPr>
      <w:bookmarkStart w:id="159" w:name="_Toc163809360"/>
      <w:bookmarkStart w:id="160" w:name="_Toc163810493"/>
      <w:bookmarkStart w:id="161" w:name="_Toc163818010"/>
      <w:r>
        <w:t>Division 1A — Sleep and rest</w:t>
      </w:r>
      <w:bookmarkEnd w:id="159"/>
      <w:bookmarkEnd w:id="160"/>
      <w:bookmarkEnd w:id="161"/>
    </w:p>
    <w:p>
      <w:pPr>
        <w:pStyle w:val="Footnoteheading"/>
      </w:pPr>
      <w:r>
        <w:tab/>
        <w:t>[Heading inserted: SL 2023/186 r. 16.]</w:t>
      </w:r>
    </w:p>
    <w:p>
      <w:pPr>
        <w:pStyle w:val="Heading5"/>
      </w:pPr>
      <w:bookmarkStart w:id="162" w:name="_Toc163818011"/>
      <w:r>
        <w:rPr>
          <w:rStyle w:val="CharSectno"/>
        </w:rPr>
        <w:t>84A</w:t>
      </w:r>
      <w:r>
        <w:t>.</w:t>
      </w:r>
      <w:r>
        <w:tab/>
        <w:t>Sleep and rest</w:t>
      </w:r>
      <w:bookmarkEnd w:id="162"/>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keepLines/>
      </w:pPr>
      <w:r>
        <w:lastRenderedPageBreak/>
        <w:tab/>
        <w:t>(2)</w:t>
      </w:r>
      <w:r>
        <w:tab/>
        <w:t>A nominated supervisor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developmental stages and individual needs of the children.</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84A inserted: SL 2023/186 r. 16.]</w:t>
      </w:r>
    </w:p>
    <w:p>
      <w:pPr>
        <w:pStyle w:val="Heading5"/>
      </w:pPr>
      <w:bookmarkStart w:id="163" w:name="_Toc163818012"/>
      <w:r>
        <w:rPr>
          <w:rStyle w:val="CharSectno"/>
        </w:rPr>
        <w:t>84B</w:t>
      </w:r>
      <w:r>
        <w:t>.</w:t>
      </w:r>
      <w:r>
        <w:tab/>
        <w:t>Sleep and rest policies and procedures</w:t>
      </w:r>
      <w:bookmarkEnd w:id="163"/>
    </w:p>
    <w:p>
      <w:pPr>
        <w:pStyle w:val="Subsection"/>
      </w:pPr>
      <w:r>
        <w:tab/>
      </w:r>
      <w:r>
        <w:tab/>
        <w:t>The sleep and rest policies and procedures required under regulation 168(2)(a)(v) must address —</w:t>
      </w:r>
    </w:p>
    <w:p>
      <w:pPr>
        <w:pStyle w:val="Indenta"/>
      </w:pPr>
      <w:r>
        <w:tab/>
        <w:t>(a)</w:t>
      </w:r>
      <w:r>
        <w:tab/>
        <w:t>how children will be protected from any risks identified in a risk assessment conducted under regulation 84C; and</w:t>
      </w:r>
    </w:p>
    <w:p>
      <w:pPr>
        <w:pStyle w:val="Indenta"/>
      </w:pPr>
      <w:r>
        <w:tab/>
        <w:t>(b)</w:t>
      </w:r>
      <w:r>
        <w:tab/>
        <w:t>how the sleep and rest needs of children being educated and cared for by the service are met, including how the ages, developmental stages and the sleep and rest needs of individual children are considered; and</w:t>
      </w:r>
    </w:p>
    <w:p>
      <w:pPr>
        <w:pStyle w:val="Indenta"/>
      </w:pPr>
      <w:r>
        <w:tab/>
        <w:t>(c)</w:t>
      </w:r>
      <w:r>
        <w:tab/>
        <w:t>how the health care needs of individual children being educated and cared for by the service are met; and</w:t>
      </w:r>
    </w:p>
    <w:p>
      <w:pPr>
        <w:pStyle w:val="Indenta"/>
      </w:pPr>
      <w:r>
        <w:tab/>
        <w:t>(d)</w:t>
      </w:r>
      <w:r>
        <w:tab/>
        <w:t>how requests from families about a child’s sleep and rest and cultural preferences are considered; and</w:t>
      </w:r>
    </w:p>
    <w:p>
      <w:pPr>
        <w:pStyle w:val="Indenta"/>
        <w:keepNext/>
      </w:pPr>
      <w:r>
        <w:lastRenderedPageBreak/>
        <w:tab/>
        <w:t>(e)</w:t>
      </w:r>
      <w:r>
        <w:tab/>
        <w:t xml:space="preserve">supervision and monitoring during sleep and rest periods, including — </w:t>
      </w:r>
    </w:p>
    <w:p>
      <w:pPr>
        <w:pStyle w:val="Indenti"/>
      </w:pPr>
      <w:r>
        <w:tab/>
        <w:t>(i)</w:t>
      </w:r>
      <w:r>
        <w:tab/>
        <w:t>the method and frequency of checking the safety, health and wellbeing of children during sleep and rest periods; and</w:t>
      </w:r>
    </w:p>
    <w:p>
      <w:pPr>
        <w:pStyle w:val="Indenti"/>
      </w:pPr>
      <w:r>
        <w:tab/>
        <w:t>(ii)</w:t>
      </w:r>
      <w:r>
        <w:tab/>
        <w:t>the documentation of sleep and rest periods;</w:t>
      </w:r>
    </w:p>
    <w:p>
      <w:pPr>
        <w:pStyle w:val="Indenta"/>
      </w:pPr>
      <w:r>
        <w:tab/>
      </w:r>
      <w:r>
        <w:tab/>
        <w:t>and</w:t>
      </w:r>
    </w:p>
    <w:p>
      <w:pPr>
        <w:pStyle w:val="Indenta"/>
      </w:pPr>
      <w:r>
        <w:tab/>
        <w:t>(f)</w:t>
      </w:r>
      <w:r>
        <w:tab/>
        <w:t>how the sleep and rest practices at the service are consistent with any current health guidelines on the best practices to adopt to ensure the safety of children during sleep and rest; and</w:t>
      </w:r>
    </w:p>
    <w:p>
      <w:pPr>
        <w:pStyle w:val="Indenta"/>
      </w:pPr>
      <w:r>
        <w:tab/>
        <w:t>(g)</w:t>
      </w:r>
      <w:r>
        <w:tab/>
        <w:t>the induction, training and knowledge of staff who educate and care for children at the service in relation to best practices for children’s sleep and rest; and</w:t>
      </w:r>
    </w:p>
    <w:p>
      <w:pPr>
        <w:pStyle w:val="Indenta"/>
      </w:pPr>
      <w:r>
        <w:tab/>
        <w:t>(h)</w:t>
      </w:r>
      <w:r>
        <w:tab/>
        <w:t>the location and arrangement of sleep and rest areas at the service and how this meets the sleep and rest needs of children being educated and cared for by the service; and</w:t>
      </w:r>
    </w:p>
    <w:p>
      <w:pPr>
        <w:pStyle w:val="Indenta"/>
      </w:pPr>
      <w:r>
        <w:tab/>
        <w:t>(i)</w:t>
      </w:r>
      <w:r>
        <w:tab/>
        <w:t>safety and suitability of cots, bedding and bedding equipment, having regard to the ages and developmental stages of children who will use the cots, bedding and bedding equipment; and</w:t>
      </w:r>
    </w:p>
    <w:p>
      <w:pPr>
        <w:pStyle w:val="Indenta"/>
      </w:pPr>
      <w:r>
        <w:tab/>
        <w:t>(j)</w:t>
      </w:r>
      <w:r>
        <w:tab/>
        <w:t xml:space="preserve">management of potential hazards — </w:t>
      </w:r>
    </w:p>
    <w:p>
      <w:pPr>
        <w:pStyle w:val="Indenti"/>
      </w:pPr>
      <w:r>
        <w:tab/>
        <w:t>(i)</w:t>
      </w:r>
      <w:r>
        <w:tab/>
        <w:t>in sleep and rest areas; and</w:t>
      </w:r>
    </w:p>
    <w:p>
      <w:pPr>
        <w:pStyle w:val="Indenti"/>
      </w:pPr>
      <w:r>
        <w:tab/>
        <w:t>(ii)</w:t>
      </w:r>
      <w:r>
        <w:tab/>
        <w:t>on a child during sleep and rest periods;</w:t>
      </w:r>
    </w:p>
    <w:p>
      <w:pPr>
        <w:pStyle w:val="Indenta"/>
      </w:pPr>
      <w:r>
        <w:tab/>
      </w:r>
      <w:r>
        <w:tab/>
        <w:t>and</w:t>
      </w:r>
    </w:p>
    <w:p>
      <w:pPr>
        <w:pStyle w:val="Indenta"/>
      </w:pPr>
      <w:r>
        <w:tab/>
        <w:t>(k)</w:t>
      </w:r>
      <w:r>
        <w:tab/>
        <w:t>management of physical safety and suitability of sleep and rest environments (including temperature, lighting and ventilation); and</w:t>
      </w:r>
    </w:p>
    <w:p>
      <w:pPr>
        <w:pStyle w:val="Indenta"/>
      </w:pPr>
      <w:r>
        <w:tab/>
        <w:t>(l)</w:t>
      </w:r>
      <w:r>
        <w:tab/>
        <w:t>in the case of a family day care service that provides overnight care, management of risks relating to overnight care at each family day care residence or approved family day care venue of the service; and</w:t>
      </w:r>
    </w:p>
    <w:p>
      <w:pPr>
        <w:pStyle w:val="Indenta"/>
      </w:pPr>
      <w:r>
        <w:lastRenderedPageBreak/>
        <w:tab/>
        <w:t>(m)</w:t>
      </w:r>
      <w:r>
        <w:tab/>
        <w:t>communication of the sleep and rest policies and procedures to a parent or family member.</w:t>
      </w:r>
    </w:p>
    <w:p>
      <w:pPr>
        <w:pStyle w:val="PermNoteHeading"/>
      </w:pPr>
      <w:r>
        <w:tab/>
        <w:t>Note for this regulation:</w:t>
      </w:r>
    </w:p>
    <w:p>
      <w:pPr>
        <w:pStyle w:val="PermNoteText"/>
      </w:pPr>
      <w:r>
        <w:tab/>
      </w:r>
      <w:r>
        <w:tab/>
        <w:t>This regulation differs from regulation 84B of the national regulations made by the Ministerial Council.</w:t>
      </w:r>
    </w:p>
    <w:p>
      <w:pPr>
        <w:pStyle w:val="Footnotesection"/>
      </w:pPr>
      <w:r>
        <w:tab/>
        <w:t>[Regulation 84B inserted: SL 2023/186 r. 16.]</w:t>
      </w:r>
    </w:p>
    <w:p>
      <w:pPr>
        <w:pStyle w:val="Heading5"/>
      </w:pPr>
      <w:bookmarkStart w:id="164" w:name="_Toc163818013"/>
      <w:r>
        <w:rPr>
          <w:rStyle w:val="CharSectno"/>
        </w:rPr>
        <w:t>84C</w:t>
      </w:r>
      <w:r>
        <w:t>.</w:t>
      </w:r>
      <w:r>
        <w:tab/>
        <w:t>Risk assessment for purposes of sleep and rest policies and procedures</w:t>
      </w:r>
      <w:bookmarkEnd w:id="164"/>
      <w:r>
        <w:t xml:space="preserve"> </w:t>
      </w:r>
    </w:p>
    <w:p>
      <w:pPr>
        <w:pStyle w:val="Subsection"/>
      </w:pPr>
      <w:r>
        <w:tab/>
        <w:t>(1)</w:t>
      </w:r>
      <w:r>
        <w:tab/>
        <w:t xml:space="preserve">The approved provider of an education and care service must ensure that a sleep and rest risk assessment is conducted in accordance with this regulation — </w:t>
      </w:r>
    </w:p>
    <w:p>
      <w:pPr>
        <w:pStyle w:val="Indenta"/>
      </w:pPr>
      <w:r>
        <w:tab/>
        <w:t>(a)</w:t>
      </w:r>
      <w:r>
        <w:tab/>
        <w:t>at least once every 12 months; and</w:t>
      </w:r>
    </w:p>
    <w:p>
      <w:pPr>
        <w:pStyle w:val="Indenta"/>
      </w:pPr>
      <w:r>
        <w:tab/>
        <w:t>(b)</w:t>
      </w:r>
      <w:r>
        <w:tab/>
        <w:t>as soon as practicable after becoming aware of any circumstance that may affect the safety, health or wellbeing of children during sleep and rest.</w:t>
      </w:r>
    </w:p>
    <w:p>
      <w:pPr>
        <w:pStyle w:val="Penstart"/>
      </w:pPr>
      <w:r>
        <w:tab/>
        <w:t>Penalty: $2000.</w:t>
      </w:r>
    </w:p>
    <w:p>
      <w:pPr>
        <w:pStyle w:val="Subsection"/>
      </w:pPr>
      <w:r>
        <w:tab/>
        <w:t>(2)</w:t>
      </w:r>
      <w:r>
        <w:tab/>
        <w:t xml:space="preserve">A risk assessment must consider the following — </w:t>
      </w:r>
    </w:p>
    <w:p>
      <w:pPr>
        <w:pStyle w:val="Indenta"/>
      </w:pPr>
      <w:r>
        <w:tab/>
        <w:t>(a)</w:t>
      </w:r>
      <w:r>
        <w:tab/>
        <w:t xml:space="preserve">the number, ages and developmental stages of children being educated and cared for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(b)</w:t>
      </w:r>
      <w:r>
        <w:tab/>
        <w:t xml:space="preserve">the sleep and rest needs of children being educated and cared for (including health care needs, cultural preferences, sleep and rest needs of individual children and requests from families about a child’s sleep and rest)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lastRenderedPageBreak/>
        <w:tab/>
        <w:t>(c)</w:t>
      </w:r>
      <w:r>
        <w:tab/>
        <w:t>the suitability of staffing arrangements to adequately supervise and monitor children during sleep and rest periods;</w:t>
      </w:r>
    </w:p>
    <w:p>
      <w:pPr>
        <w:pStyle w:val="Indenta"/>
      </w:pPr>
      <w:r>
        <w:tab/>
        <w:t>(d)</w:t>
      </w:r>
      <w:r>
        <w:tab/>
        <w:t>the level of knowledge and training of staff supervising children during sleep and rest periods;</w:t>
      </w:r>
    </w:p>
    <w:p>
      <w:pPr>
        <w:pStyle w:val="Indenta"/>
      </w:pPr>
      <w:r>
        <w:tab/>
        <w:t>(e)</w:t>
      </w:r>
      <w:r>
        <w:tab/>
        <w:t xml:space="preserve">the location of sleep and rest areas, including the arrangement of cots and beds within the sleep and rest areas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(f)</w:t>
      </w:r>
      <w:r>
        <w:tab/>
        <w:t>the safety and suitability of any cots, beds and bedding equipment, having regard to the ages and developmental stages of the children who will use the cots, bed and bedding equipment;</w:t>
      </w:r>
    </w:p>
    <w:p>
      <w:pPr>
        <w:pStyle w:val="Indenta"/>
      </w:pPr>
      <w:r>
        <w:tab/>
        <w:t>(g)</w:t>
      </w:r>
      <w:r>
        <w:tab/>
        <w:t xml:space="preserve">any potential hazards — </w:t>
      </w:r>
    </w:p>
    <w:p>
      <w:pPr>
        <w:pStyle w:val="Indenti"/>
      </w:pPr>
      <w:r>
        <w:tab/>
        <w:t>(i)</w:t>
      </w:r>
      <w:r>
        <w:tab/>
        <w:t>in sleep and rest areas; or</w:t>
      </w:r>
    </w:p>
    <w:p>
      <w:pPr>
        <w:pStyle w:val="Indenti"/>
      </w:pPr>
      <w:r>
        <w:tab/>
        <w:t>(ii)</w:t>
      </w:r>
      <w:r>
        <w:tab/>
        <w:t>on a child during sleep and rest periods;</w:t>
      </w:r>
    </w:p>
    <w:p>
      <w:pPr>
        <w:pStyle w:val="Indenta"/>
      </w:pPr>
      <w:r>
        <w:tab/>
        <w:t>(h)</w:t>
      </w:r>
      <w:r>
        <w:tab/>
        <w:t xml:space="preserve">the physical safety and suitability of sleep and rest environments (including temperature, lighting and ventilation)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(i)</w:t>
      </w:r>
      <w:r>
        <w:tab/>
        <w:t>in the case of a family day care service that provides overnight care to a child, any risks that the overnight care provided at the family day care residence or approved family day care venue of the service may pose to the safety, health or wellbeing of the child.</w:t>
      </w:r>
    </w:p>
    <w:p>
      <w:pPr>
        <w:pStyle w:val="Subsection"/>
      </w:pPr>
      <w:r>
        <w:tab/>
        <w:t>(3)</w:t>
      </w:r>
      <w:r>
        <w:tab/>
        <w:t xml:space="preserve">As soon as practicable after conducting a risk assessment under this regulation, the approved provider of an education and care </w:t>
      </w:r>
      <w:r>
        <w:lastRenderedPageBreak/>
        <w:t>service must make any necessary updates to the sleep and rest policies and procedures.</w:t>
      </w:r>
    </w:p>
    <w:p>
      <w:pPr>
        <w:pStyle w:val="Subsection"/>
      </w:pPr>
      <w:r>
        <w:tab/>
        <w:t>(4)</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84C inserted: SL 2023/186 r. 16.]</w:t>
      </w:r>
    </w:p>
    <w:p>
      <w:pPr>
        <w:pStyle w:val="Heading5"/>
      </w:pPr>
      <w:bookmarkStart w:id="165" w:name="_Toc163818014"/>
      <w:r>
        <w:rPr>
          <w:rStyle w:val="CharSectno"/>
        </w:rPr>
        <w:t>84D</w:t>
      </w:r>
      <w:r>
        <w:t xml:space="preserve">. </w:t>
      </w:r>
      <w:r>
        <w:tab/>
        <w:t>Prohibition of bassinets</w:t>
      </w:r>
      <w:bookmarkEnd w:id="165"/>
    </w:p>
    <w:p>
      <w:pPr>
        <w:pStyle w:val="Subsection"/>
      </w:pPr>
      <w:r>
        <w:tab/>
        <w:t>(1)</w:t>
      </w:r>
      <w:r>
        <w:tab/>
        <w:t>The approved provider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(2)</w:t>
      </w:r>
      <w:r>
        <w:tab/>
        <w:t>A nominated supervisor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(3)</w:t>
      </w:r>
      <w:r>
        <w:tab/>
        <w:t>A family day care educator must ensure that, at any time during which the educator is educating and caring for children as part of a family day care service, a bassinet is not on the education and care service premises from which the educator is providing the education and care.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84D inserted: SL 2023/186 r. 16.]</w:t>
      </w:r>
    </w:p>
    <w:p>
      <w:pPr>
        <w:pStyle w:val="Heading4"/>
      </w:pPr>
      <w:bookmarkStart w:id="166" w:name="_Toc163809365"/>
      <w:bookmarkStart w:id="167" w:name="_Toc163810498"/>
      <w:bookmarkStart w:id="168" w:name="_Toc163818015"/>
      <w:r>
        <w:lastRenderedPageBreak/>
        <w:t>Division 2 — Incidents, injury, trauma and illness</w:t>
      </w:r>
      <w:bookmarkEnd w:id="166"/>
      <w:bookmarkEnd w:id="167"/>
      <w:bookmarkEnd w:id="168"/>
    </w:p>
    <w:p>
      <w:pPr>
        <w:pStyle w:val="Heading5"/>
      </w:pPr>
      <w:bookmarkStart w:id="169" w:name="_Toc163818016"/>
      <w:r>
        <w:rPr>
          <w:rStyle w:val="CharSectno"/>
        </w:rPr>
        <w:t>85</w:t>
      </w:r>
      <w:r>
        <w:t>.</w:t>
      </w:r>
      <w:r>
        <w:tab/>
        <w:t>Incident, injury, trauma and illness policies and procedures</w:t>
      </w:r>
      <w:bookmarkEnd w:id="169"/>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70" w:name="_Toc163818017"/>
      <w:r>
        <w:rPr>
          <w:rStyle w:val="CharSectno"/>
        </w:rPr>
        <w:t>86</w:t>
      </w:r>
      <w:r>
        <w:t>.</w:t>
      </w:r>
      <w:r>
        <w:tab/>
        <w:t>Notification to parents of incident, injury, trauma and illness</w:t>
      </w:r>
      <w:bookmarkEnd w:id="170"/>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171" w:name="_Toc163818018"/>
      <w:r>
        <w:rPr>
          <w:rStyle w:val="CharSectno"/>
        </w:rPr>
        <w:t>87</w:t>
      </w:r>
      <w:r>
        <w:t>.</w:t>
      </w:r>
      <w:r>
        <w:tab/>
        <w:t>Incident, injury, trauma and illness record</w:t>
      </w:r>
      <w:bookmarkEnd w:id="171"/>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lastRenderedPageBreak/>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lastRenderedPageBreak/>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72" w:name="_Toc163818019"/>
      <w:r>
        <w:rPr>
          <w:rStyle w:val="CharSectno"/>
        </w:rPr>
        <w:t>88</w:t>
      </w:r>
      <w:r>
        <w:t>.</w:t>
      </w:r>
      <w:r>
        <w:tab/>
        <w:t>Infectious diseases</w:t>
      </w:r>
      <w:bookmarkEnd w:id="172"/>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keepLines/>
      </w:pPr>
      <w:r>
        <w:lastRenderedPageBreak/>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73" w:name="_Toc163818020"/>
      <w:r>
        <w:rPr>
          <w:rStyle w:val="CharSectno"/>
        </w:rPr>
        <w:t>89</w:t>
      </w:r>
      <w:r>
        <w:t>.</w:t>
      </w:r>
      <w:r>
        <w:tab/>
        <w:t>First aid kits</w:t>
      </w:r>
      <w:bookmarkEnd w:id="173"/>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174" w:name="_Toc163809371"/>
      <w:bookmarkStart w:id="175" w:name="_Toc163810504"/>
      <w:bookmarkStart w:id="176" w:name="_Toc163818021"/>
      <w:r>
        <w:lastRenderedPageBreak/>
        <w:t>Division 3 — Medical conditions policy</w:t>
      </w:r>
      <w:bookmarkEnd w:id="174"/>
      <w:bookmarkEnd w:id="175"/>
      <w:bookmarkEnd w:id="176"/>
    </w:p>
    <w:p>
      <w:pPr>
        <w:pStyle w:val="Heading5"/>
      </w:pPr>
      <w:bookmarkStart w:id="177" w:name="_Toc163818022"/>
      <w:r>
        <w:rPr>
          <w:rStyle w:val="CharSectno"/>
        </w:rPr>
        <w:t>90</w:t>
      </w:r>
      <w:r>
        <w:t>.</w:t>
      </w:r>
      <w:r>
        <w:tab/>
        <w:t>Medical conditions policy</w:t>
      </w:r>
      <w:bookmarkEnd w:id="177"/>
      <w:r>
        <w:t xml:space="preserve"> </w:t>
      </w:r>
    </w:p>
    <w:p>
      <w:pPr>
        <w:pStyle w:val="Subsection"/>
        <w:keepNext/>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 xml:space="preserve">if relevant, to ensure that practices and procedures to ensure that the parents are notified of any known allergens that </w:t>
      </w:r>
      <w:r>
        <w:lastRenderedPageBreak/>
        <w:t>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lastRenderedPageBreak/>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178" w:name="_Toc163818023"/>
      <w:r>
        <w:rPr>
          <w:rStyle w:val="CharSectno"/>
        </w:rPr>
        <w:t>91</w:t>
      </w:r>
      <w:r>
        <w:t>.</w:t>
      </w:r>
      <w:r>
        <w:tab/>
        <w:t>Medical conditions policy to be provided to parents</w:t>
      </w:r>
      <w:bookmarkEnd w:id="178"/>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79" w:name="_Toc163809374"/>
      <w:bookmarkStart w:id="180" w:name="_Toc163810507"/>
      <w:bookmarkStart w:id="181" w:name="_Toc163818024"/>
      <w:r>
        <w:t>Division 4 — Administration of medication</w:t>
      </w:r>
      <w:bookmarkEnd w:id="179"/>
      <w:bookmarkEnd w:id="180"/>
      <w:bookmarkEnd w:id="181"/>
    </w:p>
    <w:p>
      <w:pPr>
        <w:pStyle w:val="Heading5"/>
      </w:pPr>
      <w:bookmarkStart w:id="182" w:name="_Toc163818025"/>
      <w:r>
        <w:rPr>
          <w:rStyle w:val="CharSectno"/>
        </w:rPr>
        <w:t>92</w:t>
      </w:r>
      <w:r>
        <w:t>.</w:t>
      </w:r>
      <w:r>
        <w:tab/>
        <w:t>Medication record</w:t>
      </w:r>
      <w:bookmarkEnd w:id="182"/>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lastRenderedPageBreak/>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183" w:name="_Toc163818026"/>
      <w:r>
        <w:rPr>
          <w:rStyle w:val="CharSectno"/>
        </w:rPr>
        <w:t>93</w:t>
      </w:r>
      <w:r>
        <w:t>.</w:t>
      </w:r>
      <w:r>
        <w:tab/>
        <w:t>Administration of medication</w:t>
      </w:r>
      <w:bookmarkEnd w:id="183"/>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lastRenderedPageBreak/>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$1100.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keepNext/>
        <w:spacing w:before="50"/>
      </w:pPr>
      <w:r>
        <w:tab/>
        <w:t>(ii)</w:t>
      </w:r>
      <w:r>
        <w:tab/>
        <w:t xml:space="preserve">if a parent or person named in the enrolment record cannot reasonably be contacted in the </w:t>
      </w:r>
      <w:r>
        <w:lastRenderedPageBreak/>
        <w:t>circumstances, a registered medical practitioner or an emergency service.</w:t>
      </w:r>
    </w:p>
    <w:p>
      <w:pPr>
        <w:pStyle w:val="Footnotesection"/>
      </w:pPr>
      <w:r>
        <w:tab/>
        <w:t>[Regulation 93 amended: Gazette 28 Sep 2018 p. 3620; SL 2023/186 r. 45(1).]</w:t>
      </w:r>
    </w:p>
    <w:p>
      <w:pPr>
        <w:pStyle w:val="Heading5"/>
        <w:spacing w:before="200"/>
      </w:pPr>
      <w:bookmarkStart w:id="184" w:name="_Toc163818027"/>
      <w:r>
        <w:rPr>
          <w:rStyle w:val="CharSectno"/>
        </w:rPr>
        <w:t>94</w:t>
      </w:r>
      <w:r>
        <w:t>.</w:t>
      </w:r>
      <w:r>
        <w:tab/>
        <w:t>Exception to authorisation requirement — anaphylaxis or asthma emergency</w:t>
      </w:r>
      <w:bookmarkEnd w:id="184"/>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185" w:name="_Toc163818028"/>
      <w:r>
        <w:rPr>
          <w:rStyle w:val="CharSectno"/>
        </w:rPr>
        <w:t>95</w:t>
      </w:r>
      <w:r>
        <w:t>.</w:t>
      </w:r>
      <w:r>
        <w:tab/>
        <w:t>Procedure for administration of medication</w:t>
      </w:r>
      <w:bookmarkEnd w:id="185"/>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 xml:space="preserve">if the medication has been prescribed by a registered medical practitioner, from its original container, bearing the original label with the name of the child to whom the medication is to </w:t>
      </w:r>
      <w:r>
        <w:lastRenderedPageBreak/>
        <w:t>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186" w:name="_Toc163818029"/>
      <w:r>
        <w:rPr>
          <w:rStyle w:val="CharSectno"/>
        </w:rPr>
        <w:t>96</w:t>
      </w:r>
      <w:r>
        <w:t>.</w:t>
      </w:r>
      <w:r>
        <w:tab/>
        <w:t>Self</w:t>
      </w:r>
      <w:r>
        <w:noBreakHyphen/>
        <w:t>administration of medication</w:t>
      </w:r>
      <w:bookmarkEnd w:id="186"/>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87" w:name="_Toc163809380"/>
      <w:bookmarkStart w:id="188" w:name="_Toc163810513"/>
      <w:bookmarkStart w:id="189" w:name="_Toc163818030"/>
      <w:r>
        <w:lastRenderedPageBreak/>
        <w:t>Division 5 — Emergencies and communication</w:t>
      </w:r>
      <w:bookmarkEnd w:id="187"/>
      <w:bookmarkEnd w:id="188"/>
      <w:bookmarkEnd w:id="189"/>
    </w:p>
    <w:p>
      <w:pPr>
        <w:pStyle w:val="Heading5"/>
      </w:pPr>
      <w:bookmarkStart w:id="190" w:name="_Toc163818031"/>
      <w:r>
        <w:rPr>
          <w:rStyle w:val="CharSectno"/>
        </w:rPr>
        <w:t>97</w:t>
      </w:r>
      <w:r>
        <w:t>.</w:t>
      </w:r>
      <w:r>
        <w:tab/>
        <w:t>Emergency and evacuation procedures</w:t>
      </w:r>
      <w:bookmarkEnd w:id="190"/>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 and</w:t>
      </w:r>
    </w:p>
    <w:p>
      <w:pPr>
        <w:pStyle w:val="Indenta"/>
      </w:pPr>
      <w:r>
        <w:tab/>
        <w:t>(c)</w:t>
      </w:r>
      <w:r>
        <w:tab/>
        <w:t>if the education and care service premises is located within a multi</w:t>
      </w:r>
      <w:r>
        <w:noBreakHyphen/>
        <w:t xml:space="preserve">storey building shared with other occupants and on a storey with no direct egress to an assembly area — </w:t>
      </w:r>
    </w:p>
    <w:p>
      <w:pPr>
        <w:pStyle w:val="Indenti"/>
      </w:pPr>
      <w:r>
        <w:tab/>
        <w:t>(i)</w:t>
      </w:r>
      <w:r>
        <w:tab/>
        <w:t>all possible evacuation routes from each storey on which the premises is located; and</w:t>
      </w:r>
    </w:p>
    <w:p>
      <w:pPr>
        <w:pStyle w:val="Indenti"/>
      </w:pPr>
      <w:r>
        <w:tab/>
        <w:t>(ii)</w:t>
      </w:r>
      <w:r>
        <w:tab/>
        <w:t>the evacuation routes that are proposed to be used in an evacuation; and</w:t>
      </w:r>
    </w:p>
    <w:p>
      <w:pPr>
        <w:pStyle w:val="Indenti"/>
      </w:pPr>
      <w:r>
        <w:tab/>
        <w:t>(iii)</w:t>
      </w:r>
      <w:r>
        <w:tab/>
        <w:t>how all children will be safely evacuated from the premises, including non</w:t>
      </w:r>
      <w:r>
        <w:noBreakHyphen/>
        <w:t>ambulatory children; and</w:t>
      </w:r>
    </w:p>
    <w:p>
      <w:pPr>
        <w:pStyle w:val="Indenti"/>
      </w:pPr>
      <w:r>
        <w:tab/>
        <w:t>(iv)</w:t>
      </w:r>
      <w:r>
        <w:tab/>
        <w:t>the stages in which an evacuation will be carried out; and</w:t>
      </w:r>
    </w:p>
    <w:p>
      <w:pPr>
        <w:pStyle w:val="Indenti"/>
      </w:pPr>
      <w:r>
        <w:tab/>
        <w:t>(v)</w:t>
      </w:r>
      <w:r>
        <w:tab/>
        <w:t>the identity of the person in charge of an evacuation; and</w:t>
      </w:r>
    </w:p>
    <w:p>
      <w:pPr>
        <w:pStyle w:val="Indenti"/>
      </w:pPr>
      <w:r>
        <w:tab/>
        <w:t>(vi)</w:t>
      </w:r>
      <w:r>
        <w:tab/>
        <w:t>the roles and responsibilities of staff members during an evacuation; and</w:t>
      </w:r>
    </w:p>
    <w:p>
      <w:pPr>
        <w:pStyle w:val="Indenti"/>
      </w:pPr>
      <w:r>
        <w:tab/>
        <w:t>(vii)</w:t>
      </w:r>
      <w:r>
        <w:tab/>
        <w:t>the arrangements made with the other occupants of the multi</w:t>
      </w:r>
      <w:r>
        <w:noBreakHyphen/>
        <w:t>storey building in relation to the evacuation of the multi</w:t>
      </w:r>
      <w:r>
        <w:noBreakHyphen/>
        <w:t>storey building.</w:t>
      </w:r>
    </w:p>
    <w:p>
      <w:pPr>
        <w:pStyle w:val="Subsection"/>
        <w:keepNext/>
      </w:pPr>
      <w:r>
        <w:tab/>
        <w:t>(2)</w:t>
      </w:r>
      <w:r>
        <w:tab/>
        <w:t xml:space="preserve">For the purposes of preparing the emergency and evacuation procedures, the approved provider of an education and care </w:t>
      </w:r>
      <w:r>
        <w:lastRenderedPageBreak/>
        <w:t>service must ensure that a risk assessment is conducted to identify potential emergencies that are relevant to the service.</w:t>
      </w:r>
    </w:p>
    <w:p>
      <w:pPr>
        <w:pStyle w:val="Penstart"/>
      </w:pPr>
      <w:r>
        <w:tab/>
        <w:t>Penalty: $2000.</w:t>
      </w:r>
    </w:p>
    <w:p>
      <w:pPr>
        <w:pStyle w:val="Subsection"/>
      </w:pPr>
      <w:r>
        <w:tab/>
        <w:t>(2A)</w:t>
      </w:r>
      <w:r>
        <w:tab/>
        <w:t>The approved provider of a centre</w:t>
      </w:r>
      <w:r>
        <w:noBreakHyphen/>
        <w:t xml:space="preserve">based service must review the risk assessment conducted under subregulation (2) — </w:t>
      </w:r>
    </w:p>
    <w:p>
      <w:pPr>
        <w:pStyle w:val="Indenta"/>
      </w:pPr>
      <w:r>
        <w:tab/>
        <w:t>(a)</w:t>
      </w:r>
      <w:r>
        <w:tab/>
        <w:t>at least once every 12 months; and</w:t>
      </w:r>
    </w:p>
    <w:p>
      <w:pPr>
        <w:pStyle w:val="Indenta"/>
      </w:pPr>
      <w:r>
        <w:tab/>
        <w:t>(b)</w:t>
      </w:r>
      <w:r>
        <w:tab/>
        <w:t>as soon as practicable after becoming aware of any circumstance that may affect the safe evacuation of children from the service.</w:t>
      </w:r>
    </w:p>
    <w:p>
      <w:pPr>
        <w:pStyle w:val="Penstart"/>
      </w:pPr>
      <w:r>
        <w:tab/>
        <w:t>Penalty: $2000.</w:t>
      </w:r>
    </w:p>
    <w:p>
      <w:pPr>
        <w:pStyle w:val="Subsection"/>
      </w:pPr>
      <w:r>
        <w:tab/>
        <w:t>(2B)</w:t>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lastRenderedPageBreak/>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(2A), (3) or (4).</w:t>
      </w:r>
    </w:p>
    <w:p>
      <w:pPr>
        <w:pStyle w:val="Footnotesection"/>
      </w:pPr>
      <w:r>
        <w:tab/>
        <w:t>[Regulation 97 amended: Gazette 13 Dec 2013 p.</w:t>
      </w:r>
      <w:r>
        <w:rPr>
          <w:sz w:val="19"/>
        </w:rPr>
        <w:t> </w:t>
      </w:r>
      <w:r>
        <w:t>6158</w:t>
      </w:r>
      <w:r>
        <w:noBreakHyphen/>
        <w:t>9; SL 2023/186 r. 17.]</w:t>
      </w:r>
    </w:p>
    <w:p>
      <w:pPr>
        <w:pStyle w:val="Heading5"/>
      </w:pPr>
      <w:bookmarkStart w:id="191" w:name="_Toc163818032"/>
      <w:r>
        <w:rPr>
          <w:rStyle w:val="CharSectno"/>
        </w:rPr>
        <w:t>98</w:t>
      </w:r>
      <w:r>
        <w:t>.</w:t>
      </w:r>
      <w:r>
        <w:tab/>
        <w:t>Telephone or other communication equipment</w:t>
      </w:r>
      <w:bookmarkEnd w:id="191"/>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$1100.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 SL 2023/186 r. 45(1).]</w:t>
      </w:r>
    </w:p>
    <w:p>
      <w:pPr>
        <w:pStyle w:val="Heading4"/>
        <w:keepLines/>
      </w:pPr>
      <w:bookmarkStart w:id="192" w:name="_Toc163809383"/>
      <w:bookmarkStart w:id="193" w:name="_Toc163810516"/>
      <w:bookmarkStart w:id="194" w:name="_Toc163818033"/>
      <w:r>
        <w:lastRenderedPageBreak/>
        <w:t>Division 6 — Collection of children from premises and excursions</w:t>
      </w:r>
      <w:bookmarkEnd w:id="192"/>
      <w:bookmarkEnd w:id="193"/>
      <w:bookmarkEnd w:id="194"/>
    </w:p>
    <w:p>
      <w:pPr>
        <w:pStyle w:val="Heading5"/>
      </w:pPr>
      <w:bookmarkStart w:id="195" w:name="_Toc163818034"/>
      <w:r>
        <w:rPr>
          <w:rStyle w:val="CharSectno"/>
        </w:rPr>
        <w:t>99</w:t>
      </w:r>
      <w:r>
        <w:t>.</w:t>
      </w:r>
      <w:r>
        <w:tab/>
        <w:t>Children leaving the education and care service premises</w:t>
      </w:r>
      <w:bookmarkEnd w:id="195"/>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196" w:name="_Toc163818035"/>
      <w:r>
        <w:rPr>
          <w:rStyle w:val="CharSectno"/>
        </w:rPr>
        <w:t>100</w:t>
      </w:r>
      <w:r>
        <w:t>.</w:t>
      </w:r>
      <w:r>
        <w:tab/>
        <w:t>Risk assessment must be conducted before excursion</w:t>
      </w:r>
      <w:bookmarkEnd w:id="196"/>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keepNext/>
      </w:pPr>
      <w:r>
        <w:lastRenderedPageBreak/>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197" w:name="_Toc163818036"/>
      <w:r>
        <w:rPr>
          <w:rStyle w:val="CharSectno"/>
        </w:rPr>
        <w:t>101</w:t>
      </w:r>
      <w:r>
        <w:t>.</w:t>
      </w:r>
      <w:r>
        <w:tab/>
        <w:t>Conduct of risk assessment for excursion</w:t>
      </w:r>
      <w:bookmarkEnd w:id="197"/>
      <w:r>
        <w:t xml:space="preserve"> </w:t>
      </w:r>
    </w:p>
    <w:p>
      <w:pPr>
        <w:pStyle w:val="Subsection"/>
        <w:keepNext/>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keepNext/>
      </w:pPr>
      <w:r>
        <w:lastRenderedPageBreak/>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198" w:name="_Toc163818037"/>
      <w:r>
        <w:rPr>
          <w:rStyle w:val="CharSectno"/>
        </w:rPr>
        <w:t>102</w:t>
      </w:r>
      <w:r>
        <w:t>.</w:t>
      </w:r>
      <w:r>
        <w:tab/>
        <w:t>Authorisation for excursions</w:t>
      </w:r>
      <w:bookmarkEnd w:id="198"/>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keepNext/>
      </w:pPr>
      <w:r>
        <w:tab/>
        <w:t>(3)</w:t>
      </w:r>
      <w:r>
        <w:tab/>
        <w:t xml:space="preserve">A family day care educator must ensure that a child who is being educated and cared for by the educator as part of a family day care service is not taken outside the residence or approved </w:t>
      </w:r>
      <w:r>
        <w:lastRenderedPageBreak/>
        <w:t>family day care venue on an excursion unless written authorisation has been provided under subregulation (4).</w:t>
      </w:r>
    </w:p>
    <w:p>
      <w:pPr>
        <w:pStyle w:val="Penstart"/>
      </w:pPr>
      <w:r>
        <w:tab/>
        <w:t>Penalty: $1100.</w:t>
      </w:r>
    </w:p>
    <w:p>
      <w:pPr>
        <w:pStyle w:val="Subsection"/>
        <w:keepNext/>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keepNext/>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lastRenderedPageBreak/>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 SL 2023/186 r. 45(1).]</w:t>
      </w:r>
    </w:p>
    <w:p>
      <w:pPr>
        <w:pStyle w:val="Heading4"/>
      </w:pPr>
      <w:bookmarkStart w:id="199" w:name="_Toc163809388"/>
      <w:bookmarkStart w:id="200" w:name="_Toc163810521"/>
      <w:bookmarkStart w:id="201" w:name="_Toc163818038"/>
      <w:r>
        <w:t>Division 6A — Safe arrival of children</w:t>
      </w:r>
      <w:bookmarkEnd w:id="199"/>
      <w:bookmarkEnd w:id="200"/>
      <w:bookmarkEnd w:id="201"/>
    </w:p>
    <w:p>
      <w:pPr>
        <w:pStyle w:val="Footnoteheading"/>
      </w:pPr>
      <w:r>
        <w:tab/>
        <w:t>[Heading inserted: SL 2023/186 r. 18.]</w:t>
      </w:r>
    </w:p>
    <w:p>
      <w:pPr>
        <w:pStyle w:val="Heading5"/>
      </w:pPr>
      <w:bookmarkStart w:id="202" w:name="_Toc163818039"/>
      <w:r>
        <w:rPr>
          <w:rStyle w:val="CharSectno"/>
        </w:rPr>
        <w:t>102AA</w:t>
      </w:r>
      <w:r>
        <w:t>.</w:t>
      </w:r>
      <w:r>
        <w:tab/>
        <w:t>Definition</w:t>
      </w:r>
      <w:bookmarkEnd w:id="202"/>
    </w:p>
    <w:p>
      <w:pPr>
        <w:pStyle w:val="Subsection"/>
      </w:pPr>
      <w:r>
        <w:tab/>
      </w:r>
      <w:r>
        <w:tab/>
        <w:t xml:space="preserve">In this Division — </w:t>
      </w:r>
    </w:p>
    <w:p>
      <w:pPr>
        <w:pStyle w:val="Defstart"/>
      </w:pPr>
      <w:r>
        <w:tab/>
      </w:r>
      <w:r>
        <w:rPr>
          <w:rStyle w:val="CharDefText"/>
        </w:rPr>
        <w:t>education or early childhood service</w:t>
      </w:r>
      <w:r>
        <w:t xml:space="preserve"> means — </w:t>
      </w:r>
    </w:p>
    <w:p>
      <w:pPr>
        <w:pStyle w:val="Defpara"/>
      </w:pPr>
      <w:r>
        <w:tab/>
        <w:t>(a)</w:t>
      </w:r>
      <w:r>
        <w:tab/>
        <w:t>a school; or</w:t>
      </w:r>
    </w:p>
    <w:p>
      <w:pPr>
        <w:pStyle w:val="Defpara"/>
      </w:pPr>
      <w:r>
        <w:tab/>
        <w:t>(b)</w:t>
      </w:r>
      <w:r>
        <w:tab/>
        <w:t>an education and care service; or</w:t>
      </w:r>
    </w:p>
    <w:p>
      <w:pPr>
        <w:pStyle w:val="Defpara"/>
      </w:pPr>
      <w:r>
        <w:tab/>
        <w:t>(c)</w:t>
      </w:r>
      <w:r>
        <w:tab/>
        <w:t>a children’s service; or</w:t>
      </w:r>
    </w:p>
    <w:p>
      <w:pPr>
        <w:pStyle w:val="Defpara"/>
      </w:pPr>
      <w:r>
        <w:tab/>
        <w:t>(d)</w:t>
      </w:r>
      <w:r>
        <w:tab/>
        <w:t>any other service which provides education or care to children.</w:t>
      </w:r>
    </w:p>
    <w:p>
      <w:pPr>
        <w:pStyle w:val="Footnotesection"/>
      </w:pPr>
      <w:r>
        <w:tab/>
        <w:t>[Regulation 102AA inserted: SL 2023/186 r. 18.]</w:t>
      </w:r>
    </w:p>
    <w:p>
      <w:pPr>
        <w:pStyle w:val="Heading5"/>
      </w:pPr>
      <w:bookmarkStart w:id="203" w:name="_Toc163818040"/>
      <w:r>
        <w:rPr>
          <w:rStyle w:val="CharSectno"/>
        </w:rPr>
        <w:t>102AAB</w:t>
      </w:r>
      <w:r>
        <w:t>.</w:t>
      </w:r>
      <w:r>
        <w:tab/>
        <w:t>Safe arrival of children policies and procedures</w:t>
      </w:r>
      <w:bookmarkEnd w:id="203"/>
    </w:p>
    <w:p>
      <w:pPr>
        <w:pStyle w:val="Subsection"/>
      </w:pPr>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p>
    <w:p>
      <w:pPr>
        <w:pStyle w:val="Subsection"/>
      </w:pPr>
      <w:r>
        <w:lastRenderedPageBreak/>
        <w:tab/>
        <w:t>(2)</w:t>
      </w:r>
      <w:r>
        <w:tab/>
        <w:t xml:space="preserve">In preparing the safe arrival of children policies and procedures, the approved provider of an education and care service must consult with — </w:t>
      </w:r>
    </w:p>
    <w:p>
      <w:pPr>
        <w:pStyle w:val="Indenta"/>
      </w:pPr>
      <w:r>
        <w:tab/>
        <w:t>(a)</w:t>
      </w:r>
      <w:r>
        <w:tab/>
        <w:t>staff of the service; and</w:t>
      </w:r>
    </w:p>
    <w:p>
      <w:pPr>
        <w:pStyle w:val="Indenta"/>
      </w:pPr>
      <w:r>
        <w:tab/>
        <w:t>(b)</w:t>
      </w:r>
      <w:r>
        <w:tab/>
        <w:t>parents of children being educated and cared for by the service; and</w:t>
      </w:r>
    </w:p>
    <w:p>
      <w:pPr>
        <w:pStyle w:val="Indenta"/>
      </w:pPr>
      <w:r>
        <w:tab/>
        <w:t>(c)</w:t>
      </w:r>
      <w:r>
        <w:tab/>
        <w:t>children being educated and cared for by the service (if applicable).</w:t>
      </w:r>
    </w:p>
    <w:p>
      <w:pPr>
        <w:pStyle w:val="Footnotesection"/>
      </w:pPr>
      <w:r>
        <w:tab/>
        <w:t>[Regulation 102AAB inserted: SL 2023/186 r. 18.]</w:t>
      </w:r>
    </w:p>
    <w:p>
      <w:pPr>
        <w:pStyle w:val="Heading5"/>
      </w:pPr>
      <w:bookmarkStart w:id="204" w:name="_Toc163818041"/>
      <w:r>
        <w:rPr>
          <w:rStyle w:val="CharSectno"/>
        </w:rPr>
        <w:t>102AAC</w:t>
      </w:r>
      <w:r>
        <w:t>.</w:t>
      </w:r>
      <w:r>
        <w:tab/>
        <w:t>Risk assessment for the purposes of safe arrival of children policies and procedures</w:t>
      </w:r>
      <w:bookmarkEnd w:id="204"/>
    </w:p>
    <w:p>
      <w:pPr>
        <w:pStyle w:val="Subsection"/>
      </w:pPr>
      <w:r>
        <w:tab/>
        <w:t>(1)</w:t>
      </w:r>
      <w:r>
        <w:tab/>
        <w:t>For the purposes of preparing the safe arrival of children policies and procedures under regulation 102AAB(1), the approved provider of an education and care service must ensure that a risk assessment is conducted in accordance with this regulation.</w:t>
      </w:r>
    </w:p>
    <w:p>
      <w:pPr>
        <w:pStyle w:val="Penstart"/>
      </w:pPr>
      <w:r>
        <w:tab/>
        <w:t>Penalty: $2000.</w:t>
      </w:r>
    </w:p>
    <w:p>
      <w:pPr>
        <w:pStyle w:val="Subsection"/>
      </w:pPr>
      <w:r>
        <w:tab/>
        <w:t>(2)</w:t>
      </w:r>
      <w:r>
        <w:tab/>
        <w:t xml:space="preserve">The approved provider must conduct a risk assessment — </w:t>
      </w:r>
    </w:p>
    <w:p>
      <w:pPr>
        <w:pStyle w:val="Indenta"/>
      </w:pPr>
      <w:r>
        <w:tab/>
        <w:t>(a)</w:t>
      </w:r>
      <w:r>
        <w:tab/>
        <w:t>at least once every 12 months; and</w:t>
      </w:r>
    </w:p>
    <w:p>
      <w:pPr>
        <w:pStyle w:val="Indenta"/>
      </w:pPr>
      <w:r>
        <w:tab/>
        <w:t>(b)</w:t>
      </w:r>
      <w:r>
        <w:tab/>
        <w:t>as soon as practicable after becoming aware of any circumstance that may affect the safe arrival of children travelling between an education and care service and any other education or early childhood service.</w:t>
      </w:r>
    </w:p>
    <w:p>
      <w:pPr>
        <w:pStyle w:val="Subsection"/>
        <w:keepNext/>
      </w:pPr>
      <w:r>
        <w:tab/>
        <w:t>(3)</w:t>
      </w:r>
      <w:r>
        <w:tab/>
        <w:t xml:space="preserve">A risk assessment must — </w:t>
      </w:r>
    </w:p>
    <w:p>
      <w:pPr>
        <w:pStyle w:val="Indenta"/>
      </w:pPr>
      <w:r>
        <w:tab/>
        <w:t>(a)</w:t>
      </w:r>
      <w:r>
        <w:tab/>
        <w:t xml:space="preserve">identify and assess any risks that a child’s travel between an education and care service and any other education or early childhood service may pose to the safety, health or wellbeing of the child; and </w:t>
      </w:r>
    </w:p>
    <w:p>
      <w:pPr>
        <w:pStyle w:val="Indenta"/>
      </w:pPr>
      <w:r>
        <w:tab/>
        <w:t>(b)</w:t>
      </w:r>
      <w:r>
        <w:tab/>
        <w:t>specify how the identified risks will be managed and minimised.</w:t>
      </w:r>
    </w:p>
    <w:p>
      <w:pPr>
        <w:pStyle w:val="Subsection"/>
      </w:pPr>
      <w:r>
        <w:lastRenderedPageBreak/>
        <w:tab/>
        <w:t>(4)</w:t>
      </w:r>
      <w:r>
        <w:tab/>
        <w:t xml:space="preserve">Without limiting subregulation (3), a risk assessment must consider the following, in respect of a child who travels between an education and care service and any other education or early childhood service — </w:t>
      </w:r>
    </w:p>
    <w:p>
      <w:pPr>
        <w:pStyle w:val="Indenta"/>
      </w:pPr>
      <w:r>
        <w:tab/>
        <w:t>(a)</w:t>
      </w:r>
      <w:r>
        <w:tab/>
        <w:t>the age, developmental stage and individual needs of the child;</w:t>
      </w:r>
    </w:p>
    <w:p>
      <w:pPr>
        <w:pStyle w:val="Indenta"/>
      </w:pPr>
      <w:r>
        <w:tab/>
        <w:t>(b)</w:t>
      </w:r>
      <w:r>
        <w:tab/>
        <w:t xml:space="preserve">the role and responsibilities of the following persons (if applicable) — </w:t>
      </w:r>
    </w:p>
    <w:p>
      <w:pPr>
        <w:pStyle w:val="Indenti"/>
      </w:pPr>
      <w:r>
        <w:tab/>
        <w:t>(i)</w:t>
      </w:r>
      <w:r>
        <w:tab/>
        <w:t>in the case of a child who leaves the service premises to travel to an education and care service premises of another education and care service — the nominated supervisor of each service;</w:t>
      </w:r>
    </w:p>
    <w:p>
      <w:pPr>
        <w:pStyle w:val="Indenti"/>
      </w:pPr>
      <w:r>
        <w:tab/>
        <w:t>(ii)</w:t>
      </w:r>
      <w:r>
        <w:tab/>
        <w:t>the child’s parent;</w:t>
      </w:r>
    </w:p>
    <w:p>
      <w:pPr>
        <w:pStyle w:val="Indenti"/>
      </w:pPr>
      <w:r>
        <w:tab/>
        <w:t>(iii)</w:t>
      </w:r>
      <w:r>
        <w:tab/>
        <w:t>an authorised nominee named in the child’s enrolment record;</w:t>
      </w:r>
    </w:p>
    <w:p>
      <w:pPr>
        <w:pStyle w:val="Indenti"/>
      </w:pPr>
      <w:r>
        <w:tab/>
        <w:t>(iv)</w:t>
      </w:r>
      <w:r>
        <w:tab/>
        <w:t xml:space="preserve">a person authorised by — </w:t>
      </w:r>
    </w:p>
    <w:p>
      <w:pPr>
        <w:pStyle w:val="IndentI0"/>
      </w:pPr>
      <w:r>
        <w:tab/>
        <w:t>(A)</w:t>
      </w:r>
      <w:r>
        <w:tab/>
        <w:t>the child’s parent; or</w:t>
      </w:r>
    </w:p>
    <w:p>
      <w:pPr>
        <w:pStyle w:val="IndentI0"/>
      </w:pPr>
      <w:r>
        <w:tab/>
        <w:t>(B)</w:t>
      </w:r>
      <w:r>
        <w:tab/>
        <w:t>an authorised nominee named in the child’s enrolment record;</w:t>
      </w:r>
    </w:p>
    <w:p>
      <w:pPr>
        <w:pStyle w:val="Indenta"/>
      </w:pPr>
      <w:r>
        <w:tab/>
        <w:t>(c)</w:t>
      </w:r>
      <w:r>
        <w:tab/>
        <w:t>the role and responsibilities of the service the care of which the child is entering or leaving;</w:t>
      </w:r>
    </w:p>
    <w:p>
      <w:pPr>
        <w:pStyle w:val="Indenta"/>
      </w:pPr>
      <w:r>
        <w:tab/>
        <w:t>(d)</w:t>
      </w:r>
      <w:r>
        <w:tab/>
        <w:t>the communication arrangements between the service the child is leaving and the service the child is entering, including any communication arrangements if the child is missing or cannot be accounted for during the child’s travel;</w:t>
      </w:r>
    </w:p>
    <w:p>
      <w:pPr>
        <w:pStyle w:val="Indenta"/>
      </w:pPr>
      <w:r>
        <w:tab/>
        <w:t>(e)</w:t>
      </w:r>
      <w:r>
        <w:tab/>
        <w:t>the procedure to be followed by the service if the service has identified that the child is missing or cannot be accounted for during the child’s travel;</w:t>
      </w:r>
    </w:p>
    <w:p>
      <w:pPr>
        <w:pStyle w:val="Indenta"/>
      </w:pPr>
      <w:r>
        <w:tab/>
        <w:t>(f)</w:t>
      </w:r>
      <w:r>
        <w:tab/>
        <w:t>given the risks posed by the child’s travel, the number of educators or other responsible adults that are appropriate to provide supervision;</w:t>
      </w:r>
    </w:p>
    <w:p>
      <w:pPr>
        <w:pStyle w:val="Indenta"/>
      </w:pPr>
      <w:r>
        <w:lastRenderedPageBreak/>
        <w:tab/>
        <w:t>(g)</w:t>
      </w:r>
      <w:r>
        <w:tab/>
        <w:t>the proposed route and destination, including any proximity to harm and hazards;</w:t>
      </w:r>
    </w:p>
    <w:p>
      <w:pPr>
        <w:pStyle w:val="Indenta"/>
      </w:pPr>
      <w:r>
        <w:tab/>
        <w:t>(h)</w:t>
      </w:r>
      <w:r>
        <w:tab/>
        <w:t xml:space="preserve">the process for entering and exiting — </w:t>
      </w:r>
    </w:p>
    <w:p>
      <w:pPr>
        <w:pStyle w:val="Indenti"/>
      </w:pPr>
      <w:r>
        <w:tab/>
        <w:t>(i)</w:t>
      </w:r>
      <w:r>
        <w:tab/>
        <w:t>the service premises; and</w:t>
      </w:r>
    </w:p>
    <w:p>
      <w:pPr>
        <w:pStyle w:val="Indenti"/>
      </w:pPr>
      <w:r>
        <w:tab/>
        <w:t>(ii)</w:t>
      </w:r>
      <w:r>
        <w:tab/>
        <w:t>the pick</w:t>
      </w:r>
      <w:r>
        <w:noBreakHyphen/>
        <w:t>up location or destination (as required);</w:t>
      </w:r>
    </w:p>
    <w:p>
      <w:pPr>
        <w:pStyle w:val="Indenta"/>
      </w:pPr>
      <w:r>
        <w:tab/>
        <w:t>(i)</w:t>
      </w:r>
      <w:r>
        <w:tab/>
        <w:t>the procedure to be followed by the service to ensure the child leaves the service premises in accordance with section 165A(4)(b) of the Law as applying in Western Australia.</w:t>
      </w:r>
    </w:p>
    <w:p>
      <w:pPr>
        <w:pStyle w:val="Subsection"/>
      </w:pPr>
      <w:r>
        <w:tab/>
        <w:t>(5)</w:t>
      </w:r>
      <w:r>
        <w:tab/>
        <w:t>If, after conducting a risk assessment, a risk relating to a child’s travel is identified, the approved provider must make any necessary updates to the safe arrival of children policies and procedures as soon as practicable.</w:t>
      </w:r>
    </w:p>
    <w:p>
      <w:pPr>
        <w:pStyle w:val="Subsection"/>
      </w:pPr>
      <w:r>
        <w:tab/>
        <w:t>(6)</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102AAC inserted: SL 2023/186 r. 18.]</w:t>
      </w:r>
    </w:p>
    <w:p>
      <w:pPr>
        <w:pStyle w:val="Heading4"/>
      </w:pPr>
      <w:bookmarkStart w:id="205" w:name="_Toc163809392"/>
      <w:bookmarkStart w:id="206" w:name="_Toc163810525"/>
      <w:bookmarkStart w:id="207" w:name="_Toc163818042"/>
      <w:r>
        <w:t>Division 7 — Transportation of children other than as part of excursion</w:t>
      </w:r>
      <w:bookmarkEnd w:id="205"/>
      <w:bookmarkEnd w:id="206"/>
      <w:bookmarkEnd w:id="207"/>
    </w:p>
    <w:p>
      <w:pPr>
        <w:pStyle w:val="Footnoteheading"/>
        <w:keepNext/>
      </w:pPr>
      <w:r>
        <w:tab/>
        <w:t>[Heading inserted: SL 2020/143 r. 9.]</w:t>
      </w:r>
    </w:p>
    <w:p>
      <w:pPr>
        <w:pStyle w:val="Heading5"/>
      </w:pPr>
      <w:bookmarkStart w:id="208" w:name="_Toc163818043"/>
      <w:r>
        <w:rPr>
          <w:rStyle w:val="CharSectno"/>
        </w:rPr>
        <w:t>102A</w:t>
      </w:r>
      <w:r>
        <w:t>.</w:t>
      </w:r>
      <w:r>
        <w:tab/>
        <w:t>Application of Division</w:t>
      </w:r>
      <w:bookmarkEnd w:id="208"/>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209" w:name="_Toc163818044"/>
      <w:r>
        <w:rPr>
          <w:rStyle w:val="CharSectno"/>
        </w:rPr>
        <w:lastRenderedPageBreak/>
        <w:t>102B</w:t>
      </w:r>
      <w:r>
        <w:t>.</w:t>
      </w:r>
      <w:r>
        <w:tab/>
        <w:t>Transport risk assessment must be conducted before service transports child</w:t>
      </w:r>
      <w:bookmarkEnd w:id="209"/>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$2000.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102B inserted: SL 2020/143 r. 9; amended: SL 2023/186 r. 19 and 45(2).]</w:t>
      </w:r>
    </w:p>
    <w:p>
      <w:pPr>
        <w:pStyle w:val="Heading5"/>
      </w:pPr>
      <w:bookmarkStart w:id="210" w:name="_Toc163818045"/>
      <w:r>
        <w:rPr>
          <w:rStyle w:val="CharSectno"/>
        </w:rPr>
        <w:lastRenderedPageBreak/>
        <w:t>102C</w:t>
      </w:r>
      <w:r>
        <w:t>.</w:t>
      </w:r>
      <w:r>
        <w:tab/>
        <w:t>Conduct of risk assessment for transporting of children by education and care service</w:t>
      </w:r>
      <w:bookmarkEnd w:id="210"/>
    </w:p>
    <w:p>
      <w:pPr>
        <w:pStyle w:val="Subsection"/>
        <w:keepNext/>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keepNext/>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keepNext/>
      </w:pPr>
      <w:r>
        <w:lastRenderedPageBreak/>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211" w:name="_Toc163818046"/>
      <w:r>
        <w:rPr>
          <w:rStyle w:val="CharSectno"/>
        </w:rPr>
        <w:t>102D</w:t>
      </w:r>
      <w:r>
        <w:t>.</w:t>
      </w:r>
      <w:r>
        <w:tab/>
        <w:t>Authorisation for service to transport children</w:t>
      </w:r>
      <w:bookmarkEnd w:id="211"/>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$1100.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lastRenderedPageBreak/>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 SL 2023/186 r. 45(3)</w:t>
      </w:r>
      <w:r>
        <w:noBreakHyphen/>
        <w:t>(5).]</w:t>
      </w:r>
    </w:p>
    <w:p>
      <w:pPr>
        <w:pStyle w:val="Heading5"/>
      </w:pPr>
      <w:bookmarkStart w:id="212" w:name="_Toc163818047"/>
      <w:r>
        <w:rPr>
          <w:rStyle w:val="CharSectno"/>
        </w:rPr>
        <w:t>102E</w:t>
      </w:r>
      <w:r>
        <w:t>.</w:t>
      </w:r>
      <w:r>
        <w:tab/>
        <w:t>Children embarking a means of transport — centre</w:t>
      </w:r>
      <w:r>
        <w:noBreakHyphen/>
        <w:t>based service</w:t>
      </w:r>
      <w:bookmarkEnd w:id="212"/>
    </w:p>
    <w:p>
      <w:pPr>
        <w:pStyle w:val="Subsection"/>
      </w:pPr>
      <w:r>
        <w:tab/>
        <w:t>(1)</w:t>
      </w:r>
      <w:r>
        <w:tab/>
        <w:t>This regulation applies in relation to the regular transportation of children by or arranged by a centre</w:t>
      </w:r>
      <w:r>
        <w:noBreakHyphen/>
        <w:t>based service.</w:t>
      </w:r>
    </w:p>
    <w:p>
      <w:pPr>
        <w:pStyle w:val="Subsection"/>
      </w:pPr>
      <w:r>
        <w:lastRenderedPageBreak/>
        <w:tab/>
        <w:t>(2)</w:t>
      </w:r>
      <w:r>
        <w:tab/>
        <w:t>The approved provider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embark the means of transport at the education and care service premises; and</w:t>
      </w:r>
    </w:p>
    <w:p>
      <w:pPr>
        <w:pStyle w:val="Indenta"/>
      </w:pPr>
      <w:r>
        <w:tab/>
        <w:t>(b)</w:t>
      </w:r>
      <w:r>
        <w:tab/>
        <w:t>each child embarking the means of transport at the education and care service premises is accounted for by the person referred to in paragraph (a); and</w:t>
      </w:r>
    </w:p>
    <w:p>
      <w:pPr>
        <w:pStyle w:val="Indenta"/>
      </w:pPr>
      <w:r>
        <w:tab/>
        <w:t>(c)</w:t>
      </w:r>
      <w:r>
        <w:tab/>
        <w:t xml:space="preserve">immediately after all the children have 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date and time the record is made; and</w:t>
      </w:r>
    </w:p>
    <w:p>
      <w:pPr>
        <w:pStyle w:val="Indenti"/>
      </w:pPr>
      <w:r>
        <w:tab/>
        <w:t>(iv)</w:t>
      </w:r>
      <w:r>
        <w:tab/>
        <w:t>states the name of, and is signed by, the person referred to in paragraph (a).</w:t>
      </w:r>
    </w:p>
    <w:p>
      <w:pPr>
        <w:pStyle w:val="Subsection"/>
        <w:keepNext/>
      </w:pPr>
      <w:r>
        <w:tab/>
        <w:t>(5)</w:t>
      </w:r>
      <w:r>
        <w:tab/>
        <w:t xml:space="preserve">Nothing in this regulation prevents the person referred to in subregulation (4)(a) from being counted as an educator in </w:t>
      </w:r>
      <w:r>
        <w:lastRenderedPageBreak/>
        <w:t>calculating the educator to child ratio of the service under Chapter 4 Part 4.4 Division 3.</w:t>
      </w:r>
    </w:p>
    <w:p>
      <w:pPr>
        <w:pStyle w:val="Footnotesection"/>
      </w:pPr>
      <w:r>
        <w:tab/>
        <w:t>[Regulation 102E inserted: SL 2023/15 r. 5; amended: SL 2023/186 r. 45(2).]</w:t>
      </w:r>
    </w:p>
    <w:p>
      <w:pPr>
        <w:pStyle w:val="Heading5"/>
      </w:pPr>
      <w:bookmarkStart w:id="213" w:name="_Toc163818048"/>
      <w:r>
        <w:rPr>
          <w:rStyle w:val="CharSectno"/>
        </w:rPr>
        <w:t>102F</w:t>
      </w:r>
      <w:r>
        <w:t>.</w:t>
      </w:r>
      <w:r>
        <w:tab/>
        <w:t>Children disembarking a means of transport — centre</w:t>
      </w:r>
      <w:r>
        <w:noBreakHyphen/>
        <w:t>based service</w:t>
      </w:r>
      <w:bookmarkEnd w:id="213"/>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disembark the means of transport at the education and care service premises; and</w:t>
      </w:r>
    </w:p>
    <w:p>
      <w:pPr>
        <w:pStyle w:val="Indenta"/>
      </w:pPr>
      <w:r>
        <w:tab/>
        <w:t>(b)</w:t>
      </w:r>
      <w:r>
        <w:tab/>
        <w:t>each child disembarking the means of transport at the education and care service premises is accounted for by the person referred to in paragraph (a); and</w:t>
      </w:r>
    </w:p>
    <w:p>
      <w:pPr>
        <w:pStyle w:val="Indenta"/>
      </w:pPr>
      <w:r>
        <w:tab/>
        <w:t>(c)</w:t>
      </w:r>
      <w:r>
        <w:tab/>
        <w:t>the person referred to in paragraph (a) examines the interior of the means of transport to confirm no children remain on the means of transport; and</w:t>
      </w:r>
    </w:p>
    <w:p>
      <w:pPr>
        <w:pStyle w:val="Indenta"/>
      </w:pPr>
      <w:r>
        <w:lastRenderedPageBreak/>
        <w:tab/>
        <w:t>(d)</w:t>
      </w:r>
      <w:r>
        <w:tab/>
        <w:t xml:space="preserve">immediately after all the children have disembarked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examination referred to in paragraph (c) has been carried out; and</w:t>
      </w:r>
    </w:p>
    <w:p>
      <w:pPr>
        <w:pStyle w:val="Indenti"/>
      </w:pPr>
      <w:r>
        <w:tab/>
        <w:t>(iv)</w:t>
      </w:r>
      <w:r>
        <w:tab/>
        <w:t>states the date and time the record is made; and</w:t>
      </w:r>
    </w:p>
    <w:p>
      <w:pPr>
        <w:pStyle w:val="Indenti"/>
      </w:pPr>
      <w:r>
        <w:tab/>
        <w:t>(v)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102F inserted: SL 2023/15 r. 5; amended: SL 2023/186 r. 45(2).]</w:t>
      </w:r>
    </w:p>
    <w:p>
      <w:pPr>
        <w:pStyle w:val="Heading3"/>
      </w:pPr>
      <w:bookmarkStart w:id="214" w:name="_Toc163809399"/>
      <w:bookmarkStart w:id="215" w:name="_Toc163810532"/>
      <w:bookmarkStart w:id="216" w:name="_Toc163818049"/>
      <w:r>
        <w:rPr>
          <w:rStyle w:val="CharDivNo"/>
        </w:rPr>
        <w:t>Part 4.3</w:t>
      </w:r>
      <w:r>
        <w:t> — </w:t>
      </w:r>
      <w:r>
        <w:rPr>
          <w:rStyle w:val="CharDivText"/>
        </w:rPr>
        <w:t>Physical environment</w:t>
      </w:r>
      <w:bookmarkEnd w:id="214"/>
      <w:bookmarkEnd w:id="215"/>
      <w:bookmarkEnd w:id="216"/>
    </w:p>
    <w:p>
      <w:pPr>
        <w:pStyle w:val="Heading4"/>
      </w:pPr>
      <w:bookmarkStart w:id="217" w:name="_Toc163809400"/>
      <w:bookmarkStart w:id="218" w:name="_Toc163810533"/>
      <w:bookmarkStart w:id="219" w:name="_Toc163818050"/>
      <w:r>
        <w:t>Division 1 — Centre</w:t>
      </w:r>
      <w:r>
        <w:noBreakHyphen/>
        <w:t>based services and family day care services</w:t>
      </w:r>
      <w:bookmarkEnd w:id="217"/>
      <w:bookmarkEnd w:id="218"/>
      <w:bookmarkEnd w:id="219"/>
    </w:p>
    <w:p>
      <w:pPr>
        <w:pStyle w:val="Heading5"/>
      </w:pPr>
      <w:bookmarkStart w:id="220" w:name="_Toc163818051"/>
      <w:r>
        <w:rPr>
          <w:rStyle w:val="CharSectno"/>
        </w:rPr>
        <w:t>103</w:t>
      </w:r>
      <w:r>
        <w:t>.</w:t>
      </w:r>
      <w:r>
        <w:tab/>
        <w:t>Premises, furniture and equipment to be safe, clean and in good repair</w:t>
      </w:r>
      <w:bookmarkEnd w:id="220"/>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keepNext/>
      </w:pPr>
      <w:r>
        <w:lastRenderedPageBreak/>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21" w:name="_Toc163818052"/>
      <w:r>
        <w:rPr>
          <w:rStyle w:val="CharSectno"/>
        </w:rPr>
        <w:t>104</w:t>
      </w:r>
      <w:r>
        <w:t>.</w:t>
      </w:r>
      <w:r>
        <w:tab/>
        <w:t>Fencing</w:t>
      </w:r>
      <w:bookmarkEnd w:id="221"/>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222" w:name="_Toc163818053"/>
      <w:r>
        <w:rPr>
          <w:rStyle w:val="CharSectno"/>
        </w:rPr>
        <w:t>105</w:t>
      </w:r>
      <w:r>
        <w:t>.</w:t>
      </w:r>
      <w:r>
        <w:tab/>
        <w:t>Furniture, materials and equipment</w:t>
      </w:r>
      <w:bookmarkEnd w:id="222"/>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23" w:name="_Toc163818054"/>
      <w:r>
        <w:rPr>
          <w:rStyle w:val="CharSectno"/>
        </w:rPr>
        <w:lastRenderedPageBreak/>
        <w:t>106</w:t>
      </w:r>
      <w:r>
        <w:t>.</w:t>
      </w:r>
      <w:r>
        <w:tab/>
        <w:t>Laundry and hygiene facilities</w:t>
      </w:r>
      <w:bookmarkEnd w:id="223"/>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keepNext/>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224" w:name="_Toc163818055"/>
      <w:r>
        <w:rPr>
          <w:rStyle w:val="CharSectno"/>
        </w:rPr>
        <w:t>107</w:t>
      </w:r>
      <w:r>
        <w:t>.</w:t>
      </w:r>
      <w:r>
        <w:tab/>
        <w:t>Space requirements — indoor space</w:t>
      </w:r>
      <w:bookmarkEnd w:id="224"/>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lastRenderedPageBreak/>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225" w:name="_Toc163818056"/>
      <w:r>
        <w:rPr>
          <w:rStyle w:val="CharSectno"/>
        </w:rPr>
        <w:t>108</w:t>
      </w:r>
      <w:r>
        <w:t>.</w:t>
      </w:r>
      <w:r>
        <w:tab/>
        <w:t>Space requirements — outdoor space</w:t>
      </w:r>
      <w:bookmarkEnd w:id="225"/>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lastRenderedPageBreak/>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226" w:name="_Toc163818057"/>
      <w:r>
        <w:rPr>
          <w:rStyle w:val="CharSectno"/>
        </w:rPr>
        <w:lastRenderedPageBreak/>
        <w:t>109</w:t>
      </w:r>
      <w:r>
        <w:t>.</w:t>
      </w:r>
      <w:r>
        <w:tab/>
        <w:t>Toilet and hygiene facilities</w:t>
      </w:r>
      <w:bookmarkEnd w:id="226"/>
      <w:r>
        <w:t xml:space="preserve"> </w:t>
      </w:r>
    </w:p>
    <w:p>
      <w:pPr>
        <w:pStyle w:val="Subsection"/>
        <w:keepNext/>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227" w:name="_Toc163818058"/>
      <w:r>
        <w:rPr>
          <w:rStyle w:val="CharSectno"/>
        </w:rPr>
        <w:t>110</w:t>
      </w:r>
      <w:r>
        <w:t>.</w:t>
      </w:r>
      <w:r>
        <w:tab/>
        <w:t>Ventilation and natural light</w:t>
      </w:r>
      <w:bookmarkEnd w:id="227"/>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28" w:name="_Toc163809409"/>
      <w:bookmarkStart w:id="229" w:name="_Toc163810542"/>
      <w:bookmarkStart w:id="230" w:name="_Toc163818059"/>
      <w:r>
        <w:t>Division 2 — Additional requirements for centre</w:t>
      </w:r>
      <w:r>
        <w:noBreakHyphen/>
        <w:t>based services</w:t>
      </w:r>
      <w:bookmarkEnd w:id="228"/>
      <w:bookmarkEnd w:id="229"/>
      <w:bookmarkEnd w:id="230"/>
    </w:p>
    <w:p>
      <w:pPr>
        <w:pStyle w:val="Heading5"/>
      </w:pPr>
      <w:bookmarkStart w:id="231" w:name="_Toc163818060"/>
      <w:r>
        <w:rPr>
          <w:rStyle w:val="CharSectno"/>
        </w:rPr>
        <w:t>111</w:t>
      </w:r>
      <w:r>
        <w:t>.</w:t>
      </w:r>
      <w:r>
        <w:tab/>
        <w:t>Administrative space</w:t>
      </w:r>
      <w:bookmarkEnd w:id="231"/>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lastRenderedPageBreak/>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232" w:name="_Toc163818061"/>
      <w:r>
        <w:rPr>
          <w:rStyle w:val="CharSectno"/>
        </w:rPr>
        <w:t>112</w:t>
      </w:r>
      <w:r>
        <w:t>.</w:t>
      </w:r>
      <w:r>
        <w:tab/>
        <w:t>Nappy change facilities</w:t>
      </w:r>
      <w:bookmarkEnd w:id="232"/>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$1100.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Footnotesection"/>
      </w:pPr>
      <w:r>
        <w:tab/>
        <w:t>[Regulation 112 amended: SL 2023/186 r. 45(1).]</w:t>
      </w:r>
    </w:p>
    <w:p>
      <w:pPr>
        <w:pStyle w:val="Heading5"/>
      </w:pPr>
      <w:bookmarkStart w:id="233" w:name="_Toc163818062"/>
      <w:r>
        <w:rPr>
          <w:rStyle w:val="CharSectno"/>
        </w:rPr>
        <w:lastRenderedPageBreak/>
        <w:t>113</w:t>
      </w:r>
      <w:r>
        <w:t>.</w:t>
      </w:r>
      <w:r>
        <w:tab/>
        <w:t>Outdoor space — natural environment</w:t>
      </w:r>
      <w:bookmarkEnd w:id="233"/>
      <w:r>
        <w:t xml:space="preserve"> </w:t>
      </w:r>
    </w:p>
    <w:p>
      <w:pPr>
        <w:pStyle w:val="Subsection"/>
        <w:keepLines/>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34" w:name="_Toc163818063"/>
      <w:r>
        <w:rPr>
          <w:rStyle w:val="CharSectno"/>
        </w:rPr>
        <w:t>114</w:t>
      </w:r>
      <w:r>
        <w:t>.</w:t>
      </w:r>
      <w:r>
        <w:tab/>
        <w:t>Outdoor space — shade</w:t>
      </w:r>
      <w:bookmarkEnd w:id="234"/>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114 amended: SL 2023/186 r. 45(1).]</w:t>
      </w:r>
    </w:p>
    <w:p>
      <w:pPr>
        <w:pStyle w:val="Heading5"/>
      </w:pPr>
      <w:bookmarkStart w:id="235" w:name="_Toc163818064"/>
      <w:r>
        <w:rPr>
          <w:rStyle w:val="CharSectno"/>
        </w:rPr>
        <w:t>115</w:t>
      </w:r>
      <w:r>
        <w:t>.</w:t>
      </w:r>
      <w:r>
        <w:tab/>
        <w:t>Premises designed to facilitate supervision</w:t>
      </w:r>
      <w:bookmarkEnd w:id="235"/>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36" w:name="_Toc163809415"/>
      <w:bookmarkStart w:id="237" w:name="_Toc163810548"/>
      <w:bookmarkStart w:id="238" w:name="_Toc163818065"/>
      <w:r>
        <w:lastRenderedPageBreak/>
        <w:t>Division 3 — Additional provisions for family day care services</w:t>
      </w:r>
      <w:bookmarkEnd w:id="236"/>
      <w:bookmarkEnd w:id="237"/>
      <w:bookmarkEnd w:id="238"/>
    </w:p>
    <w:p>
      <w:pPr>
        <w:pStyle w:val="Heading5"/>
      </w:pPr>
      <w:bookmarkStart w:id="239" w:name="_Toc163818066"/>
      <w:r>
        <w:rPr>
          <w:rStyle w:val="CharSectno"/>
        </w:rPr>
        <w:t>116</w:t>
      </w:r>
      <w:r>
        <w:t>.</w:t>
      </w:r>
      <w:r>
        <w:tab/>
        <w:t>Assessments of family day care residences and approved family day care venues</w:t>
      </w:r>
      <w:bookmarkEnd w:id="239"/>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$2000.</w:t>
      </w:r>
    </w:p>
    <w:p>
      <w:pPr>
        <w:pStyle w:val="Subsection"/>
        <w:keepNext/>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keepLines/>
      </w:pPr>
      <w:r>
        <w:lastRenderedPageBreak/>
        <w:tab/>
        <w:t>(b)</w:t>
      </w:r>
      <w:r>
        <w:tab/>
        <w:t>the suitability of the residence (and areas within the residence) or venue according to the number, ages and abilities of children attending, or likely to attend, the service at the residence or venue;</w:t>
      </w:r>
    </w:p>
    <w:p>
      <w:pPr>
        <w:pStyle w:val="Indenta"/>
      </w:pPr>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ambulatory children;</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keepNext/>
        <w:keepLines/>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 SL 2023/186 r. 20.]</w:t>
      </w:r>
    </w:p>
    <w:p>
      <w:pPr>
        <w:pStyle w:val="Heading5"/>
      </w:pPr>
      <w:bookmarkStart w:id="240" w:name="_Toc163818067"/>
      <w:r>
        <w:rPr>
          <w:rStyle w:val="CharSectno"/>
        </w:rPr>
        <w:lastRenderedPageBreak/>
        <w:t>116A</w:t>
      </w:r>
      <w:r>
        <w:t>.</w:t>
      </w:r>
      <w:r>
        <w:tab/>
        <w:t>Inspection of swimming pools, water features and other potential water hazards at family day care residences and approved family day care venues</w:t>
      </w:r>
      <w:bookmarkEnd w:id="240"/>
    </w:p>
    <w:p>
      <w:pPr>
        <w:pStyle w:val="PermNoteHeading"/>
      </w:pPr>
      <w:r>
        <w:tab/>
        <w:t>Notes for this regulation:</w:t>
      </w:r>
    </w:p>
    <w:p>
      <w:pPr>
        <w:pStyle w:val="PermNoteText"/>
      </w:pPr>
      <w:r>
        <w:tab/>
        <w:t>1.</w:t>
      </w:r>
      <w:r>
        <w:tab/>
        <w:t>Regulation 116A of the national regulations made by the Ministerial Council does not apply as a law of WA.</w:t>
      </w:r>
    </w:p>
    <w:p>
      <w:pPr>
        <w:pStyle w:val="PermNoteText"/>
      </w:pPr>
      <w:r>
        <w:tab/>
        <w:t>2.</w:t>
      </w:r>
      <w:r>
        <w:tab/>
        <w:t>For a provision reflecting regulation 116A of the national regulations made by the Ministerial Council see regulation 373E.</w:t>
      </w:r>
    </w:p>
    <w:p>
      <w:pPr>
        <w:pStyle w:val="Footnotesection"/>
      </w:pPr>
      <w:r>
        <w:tab/>
        <w:t>[Regulation 116A inserted: SL 2023/186 r. 21.]</w:t>
      </w:r>
    </w:p>
    <w:p>
      <w:pPr>
        <w:pStyle w:val="Heading5"/>
      </w:pPr>
      <w:bookmarkStart w:id="241" w:name="_Toc163818068"/>
      <w:r>
        <w:rPr>
          <w:rStyle w:val="CharSectno"/>
        </w:rPr>
        <w:t>116B</w:t>
      </w:r>
      <w:r>
        <w:t>.</w:t>
      </w:r>
      <w:r>
        <w:tab/>
        <w:t>Inspection report</w:t>
      </w:r>
      <w:bookmarkEnd w:id="241"/>
    </w:p>
    <w:p>
      <w:pPr>
        <w:pStyle w:val="PermNoteHeading"/>
      </w:pPr>
      <w:r>
        <w:tab/>
        <w:t>Notes for this regulation:</w:t>
      </w:r>
    </w:p>
    <w:p>
      <w:pPr>
        <w:pStyle w:val="PermNoteText"/>
      </w:pPr>
      <w:r>
        <w:tab/>
        <w:t>1.</w:t>
      </w:r>
      <w:r>
        <w:tab/>
        <w:t>Regulation 116B of the national regulations made by the Ministerial Council does not apply as a law of WA.</w:t>
      </w:r>
    </w:p>
    <w:p>
      <w:pPr>
        <w:pStyle w:val="PermNoteText"/>
      </w:pPr>
      <w:r>
        <w:tab/>
        <w:t>2.</w:t>
      </w:r>
      <w:r>
        <w:tab/>
        <w:t>For a provision reflecting regulation 116B of the national regulations made by the Ministerial Council see regulation 373E.</w:t>
      </w:r>
    </w:p>
    <w:p>
      <w:pPr>
        <w:pStyle w:val="Footnotesection"/>
      </w:pPr>
      <w:r>
        <w:tab/>
        <w:t>[Regulation 116B inserted: SL 2023/186 r. 21.]</w:t>
      </w:r>
    </w:p>
    <w:p>
      <w:pPr>
        <w:pStyle w:val="Heading5"/>
      </w:pPr>
      <w:bookmarkStart w:id="242" w:name="_Toc163818069"/>
      <w:r>
        <w:rPr>
          <w:rStyle w:val="CharSectno"/>
        </w:rPr>
        <w:t>116C</w:t>
      </w:r>
      <w:r>
        <w:t>.</w:t>
      </w:r>
      <w:r>
        <w:tab/>
        <w:t>Compliance with fencing requirements for swimming pools at family day care residences and approved family day care venues</w:t>
      </w:r>
      <w:bookmarkEnd w:id="242"/>
    </w:p>
    <w:p>
      <w:pPr>
        <w:pStyle w:val="PermNoteHeading"/>
      </w:pPr>
      <w:r>
        <w:tab/>
        <w:t>Note for this regulation:</w:t>
      </w:r>
    </w:p>
    <w:p>
      <w:pPr>
        <w:pStyle w:val="PermNoteText"/>
      </w:pPr>
      <w:r>
        <w:tab/>
      </w:r>
      <w:r>
        <w:tab/>
        <w:t>Regulation 116C of the national regulations made by the Ministerial Council does not apply as a law of WA.</w:t>
      </w:r>
    </w:p>
    <w:p>
      <w:pPr>
        <w:pStyle w:val="Footnotesection"/>
      </w:pPr>
      <w:r>
        <w:tab/>
        <w:t>[Regulation 116C inserted: SL 2023/186 r. 21.]</w:t>
      </w:r>
    </w:p>
    <w:p>
      <w:pPr>
        <w:pStyle w:val="Heading5"/>
      </w:pPr>
      <w:bookmarkStart w:id="243" w:name="_Toc163818070"/>
      <w:r>
        <w:rPr>
          <w:rStyle w:val="CharSectno"/>
        </w:rPr>
        <w:t>117</w:t>
      </w:r>
      <w:r>
        <w:t>.</w:t>
      </w:r>
      <w:r>
        <w:tab/>
        <w:t>Glass</w:t>
      </w:r>
      <w:bookmarkEnd w:id="243"/>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lastRenderedPageBreak/>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244" w:name="_Toc163809421"/>
      <w:bookmarkStart w:id="245" w:name="_Toc163810554"/>
      <w:bookmarkStart w:id="246" w:name="_Toc163818071"/>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244"/>
      <w:bookmarkEnd w:id="245"/>
      <w:bookmarkEnd w:id="246"/>
    </w:p>
    <w:p>
      <w:pPr>
        <w:pStyle w:val="Footnoteheading"/>
        <w:keepNext/>
      </w:pPr>
      <w:r>
        <w:tab/>
        <w:t>[Heading inserted: Gazette 28 Sep 2018 p. 3622.]</w:t>
      </w:r>
    </w:p>
    <w:p>
      <w:pPr>
        <w:pStyle w:val="Heading5"/>
      </w:pPr>
      <w:bookmarkStart w:id="247" w:name="_Toc163818072"/>
      <w:r>
        <w:rPr>
          <w:rStyle w:val="CharSectno"/>
        </w:rPr>
        <w:t>117A</w:t>
      </w:r>
      <w:r>
        <w:t>.</w:t>
      </w:r>
      <w:r>
        <w:tab/>
        <w:t>Placing a person in day</w:t>
      </w:r>
      <w:r>
        <w:noBreakHyphen/>
        <w:t>to</w:t>
      </w:r>
      <w:r>
        <w:noBreakHyphen/>
        <w:t>day charge</w:t>
      </w:r>
      <w:bookmarkEnd w:id="247"/>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248" w:name="_Toc163818073"/>
      <w:r>
        <w:rPr>
          <w:rStyle w:val="CharSectno"/>
        </w:rPr>
        <w:lastRenderedPageBreak/>
        <w:t>117B</w:t>
      </w:r>
      <w:r>
        <w:t>.</w:t>
      </w:r>
      <w:r>
        <w:tab/>
        <w:t>Minimum requirements for a person in day</w:t>
      </w:r>
      <w:r>
        <w:noBreakHyphen/>
        <w:t>to</w:t>
      </w:r>
      <w:r>
        <w:noBreakHyphen/>
        <w:t>day charge</w:t>
      </w:r>
      <w:bookmarkEnd w:id="248"/>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lastRenderedPageBreak/>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249" w:name="_Toc163818074"/>
      <w:r>
        <w:rPr>
          <w:rStyle w:val="CharSectno"/>
        </w:rPr>
        <w:t>117C</w:t>
      </w:r>
      <w:r>
        <w:t>.</w:t>
      </w:r>
      <w:r>
        <w:tab/>
        <w:t>Minimum requirements for a nominated supervisor</w:t>
      </w:r>
      <w:bookmarkEnd w:id="249"/>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keepLines/>
      </w:pPr>
      <w:r>
        <w:lastRenderedPageBreak/>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250" w:name="_Toc163809425"/>
      <w:bookmarkStart w:id="251" w:name="_Toc163810558"/>
      <w:bookmarkStart w:id="252" w:name="_Toc163818075"/>
      <w:r>
        <w:rPr>
          <w:rStyle w:val="CharDivNo"/>
        </w:rPr>
        <w:t>Part 4.4</w:t>
      </w:r>
      <w:r>
        <w:t> — </w:t>
      </w:r>
      <w:r>
        <w:rPr>
          <w:rStyle w:val="CharDivText"/>
        </w:rPr>
        <w:t>Staffing arrangements</w:t>
      </w:r>
      <w:bookmarkEnd w:id="250"/>
      <w:bookmarkEnd w:id="251"/>
      <w:bookmarkEnd w:id="252"/>
    </w:p>
    <w:p>
      <w:pPr>
        <w:pStyle w:val="Heading4"/>
      </w:pPr>
      <w:bookmarkStart w:id="253" w:name="_Toc163809426"/>
      <w:bookmarkStart w:id="254" w:name="_Toc163810559"/>
      <w:bookmarkStart w:id="255" w:name="_Toc163818076"/>
      <w:r>
        <w:t>Division 1 — Educational leader</w:t>
      </w:r>
      <w:bookmarkEnd w:id="253"/>
      <w:bookmarkEnd w:id="254"/>
      <w:bookmarkEnd w:id="255"/>
    </w:p>
    <w:p>
      <w:pPr>
        <w:pStyle w:val="Heading5"/>
      </w:pPr>
      <w:bookmarkStart w:id="256" w:name="_Toc163818077"/>
      <w:r>
        <w:rPr>
          <w:rStyle w:val="CharSectno"/>
        </w:rPr>
        <w:t>118</w:t>
      </w:r>
      <w:r>
        <w:t>.</w:t>
      </w:r>
      <w:r>
        <w:tab/>
        <w:t>Educational leader</w:t>
      </w:r>
      <w:bookmarkEnd w:id="256"/>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57" w:name="_Toc163809428"/>
      <w:bookmarkStart w:id="258" w:name="_Toc163810561"/>
      <w:bookmarkStart w:id="259" w:name="_Toc163818078"/>
      <w:r>
        <w:t>Division 2 — Age and supervision requirements</w:t>
      </w:r>
      <w:bookmarkEnd w:id="257"/>
      <w:bookmarkEnd w:id="258"/>
      <w:bookmarkEnd w:id="259"/>
    </w:p>
    <w:p>
      <w:pPr>
        <w:pStyle w:val="Heading5"/>
      </w:pPr>
      <w:bookmarkStart w:id="260" w:name="_Toc163818079"/>
      <w:r>
        <w:rPr>
          <w:rStyle w:val="CharSectno"/>
        </w:rPr>
        <w:t>119</w:t>
      </w:r>
      <w:r>
        <w:t>.</w:t>
      </w:r>
      <w:r>
        <w:tab/>
        <w:t>Family day care educator and family day care educator assistant to be at least 18 years old</w:t>
      </w:r>
      <w:bookmarkEnd w:id="260"/>
      <w:r>
        <w:t xml:space="preserve"> </w:t>
      </w:r>
    </w:p>
    <w:p>
      <w:pPr>
        <w:pStyle w:val="Subsection"/>
      </w:pPr>
      <w:r>
        <w:tab/>
      </w:r>
      <w:r>
        <w:tab/>
        <w:t xml:space="preserve">The approved provider of a family day care service must ensure that any family day care educator and any family day care </w:t>
      </w:r>
      <w:r>
        <w:lastRenderedPageBreak/>
        <w:t>educator assistant engaged by or registered with the service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119 amended: SL 2023/186 r. 45(1).]</w:t>
      </w:r>
    </w:p>
    <w:p>
      <w:pPr>
        <w:pStyle w:val="Heading5"/>
      </w:pPr>
      <w:bookmarkStart w:id="261" w:name="_Toc163818080"/>
      <w:r>
        <w:rPr>
          <w:rStyle w:val="CharSectno"/>
        </w:rPr>
        <w:t>120</w:t>
      </w:r>
      <w:r>
        <w:t>.</w:t>
      </w:r>
      <w:r>
        <w:tab/>
        <w:t>Educators who are under 18 to be supervised</w:t>
      </w:r>
      <w:bookmarkEnd w:id="261"/>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120 amended: SL 2023/186 r. 45(1).]</w:t>
      </w:r>
    </w:p>
    <w:p>
      <w:pPr>
        <w:pStyle w:val="Heading4"/>
      </w:pPr>
      <w:bookmarkStart w:id="262" w:name="_Toc163809431"/>
      <w:bookmarkStart w:id="263" w:name="_Toc163810564"/>
      <w:bookmarkStart w:id="264" w:name="_Toc163818081"/>
      <w:r>
        <w:t>Division 3 — Minimum number of educators and family day care co</w:t>
      </w:r>
      <w:r>
        <w:noBreakHyphen/>
        <w:t>ordinators required</w:t>
      </w:r>
      <w:bookmarkEnd w:id="262"/>
      <w:bookmarkEnd w:id="263"/>
      <w:bookmarkEnd w:id="264"/>
    </w:p>
    <w:p>
      <w:pPr>
        <w:pStyle w:val="Footnoteheading"/>
        <w:keepNext/>
      </w:pPr>
      <w:r>
        <w:tab/>
        <w:t>[Heading amended: Gazette 28 Sep 2018 p. 3625.]</w:t>
      </w:r>
    </w:p>
    <w:p>
      <w:pPr>
        <w:pStyle w:val="Heading5"/>
      </w:pPr>
      <w:bookmarkStart w:id="265" w:name="_Toc163818082"/>
      <w:r>
        <w:rPr>
          <w:rStyle w:val="CharSectno"/>
        </w:rPr>
        <w:t>121</w:t>
      </w:r>
      <w:r>
        <w:t>.</w:t>
      </w:r>
      <w:r>
        <w:tab/>
        <w:t>Application of Division 3</w:t>
      </w:r>
      <w:bookmarkEnd w:id="265"/>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keepNext/>
      </w:pPr>
      <w:r>
        <w:lastRenderedPageBreak/>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266" w:name="_Toc163818083"/>
      <w:r>
        <w:rPr>
          <w:rStyle w:val="CharSectno"/>
        </w:rPr>
        <w:t>122</w:t>
      </w:r>
      <w:r>
        <w:t>.</w:t>
      </w:r>
      <w:r>
        <w:tab/>
        <w:t>Educators must be working directly with children to be included in ratios</w:t>
      </w:r>
      <w:bookmarkEnd w:id="266"/>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267" w:name="_Toc163818084"/>
      <w:r>
        <w:rPr>
          <w:rStyle w:val="CharSectno"/>
        </w:rPr>
        <w:t>123</w:t>
      </w:r>
      <w:r>
        <w:t>.</w:t>
      </w:r>
      <w:r>
        <w:tab/>
        <w:t>Educator to child ratios — centre</w:t>
      </w:r>
      <w:r>
        <w:noBreakHyphen/>
        <w:t>based services</w:t>
      </w:r>
      <w:bookmarkEnd w:id="267"/>
      <w:r>
        <w:t xml:space="preserve"> </w:t>
      </w:r>
    </w:p>
    <w:p>
      <w:pPr>
        <w:pStyle w:val="Subsection"/>
        <w:keepNext/>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lastRenderedPageBreak/>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lastRenderedPageBreak/>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spacing w:before="120"/>
      </w:pPr>
      <w:r>
        <w:tab/>
        <w:t>Notes for this regulation:</w:t>
      </w:r>
    </w:p>
    <w:p>
      <w:pPr>
        <w:pStyle w:val="PermNoteText"/>
      </w:pPr>
      <w:r>
        <w:tab/>
        <w:t>1.</w:t>
      </w:r>
      <w:r>
        <w:tab/>
        <w:t>This regulation differs from regulation 123 of the national regulations made by the Ministerial Council.</w:t>
      </w:r>
    </w:p>
    <w:p>
      <w:pPr>
        <w:pStyle w:val="PermNoteText"/>
      </w:pPr>
      <w:r>
        <w:lastRenderedPageBreak/>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268" w:name="_Toc163818085"/>
      <w:r>
        <w:rPr>
          <w:rStyle w:val="CharSectno"/>
        </w:rPr>
        <w:t>123A</w:t>
      </w:r>
      <w:r>
        <w:t>.</w:t>
      </w:r>
      <w:r>
        <w:tab/>
        <w:t>Family day care co</w:t>
      </w:r>
      <w:r>
        <w:noBreakHyphen/>
        <w:t>ordinator to educator ratios — family day care service</w:t>
      </w:r>
      <w:bookmarkEnd w:id="268"/>
    </w:p>
    <w:p>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ordinator for every 15 family day care educators (or part of that number).</w:t>
      </w:r>
    </w:p>
    <w:p>
      <w:pPr>
        <w:pStyle w:val="PermNoteHeading"/>
      </w:pPr>
      <w:r>
        <w:tab/>
        <w:t>Examples for this subregulation:</w:t>
      </w:r>
    </w:p>
    <w:p>
      <w:pPr>
        <w:pStyle w:val="PermNoteText"/>
      </w:pPr>
      <w:r>
        <w:tab/>
        <w:t>1.</w:t>
      </w:r>
      <w:r>
        <w:tab/>
        <w:t>If between 1 and 15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16 and 30 family day care educators are engaged by or registered with the family day care service, 2 full</w:t>
      </w:r>
      <w:r>
        <w:noBreakHyphen/>
        <w:t>time equivalent family day care co</w:t>
      </w:r>
      <w:r>
        <w:noBreakHyphen/>
        <w:t>ordinators are employed or engaged by the approved provider.</w:t>
      </w:r>
    </w:p>
    <w:p>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if the number of family day care educators engaged by or registered with the service is not more than 25 — 1 full</w:t>
      </w:r>
      <w:r>
        <w:noBreakHyphen/>
        <w:t>time equivalent family day care co</w:t>
      </w:r>
      <w:r>
        <w:noBreakHyphen/>
        <w:t>ordinator;</w:t>
      </w:r>
    </w:p>
    <w:p>
      <w:pPr>
        <w:pStyle w:val="Indenta"/>
      </w:pPr>
      <w:r>
        <w:tab/>
        <w:t>(b)</w:t>
      </w:r>
      <w:r>
        <w:tab/>
        <w:t>if the number of family day care educators engaged by or registered with the service exceeds 25 — an additional 0.2 full</w:t>
      </w:r>
      <w:r>
        <w:noBreakHyphen/>
        <w:t xml:space="preserve">time equivalent family day care </w:t>
      </w:r>
      <w:r>
        <w:lastRenderedPageBreak/>
        <w:t>co</w:t>
      </w:r>
      <w:r>
        <w:noBreakHyphen/>
        <w:t>ordinator for every additional 5 family day care educators (or part of that number).</w:t>
      </w:r>
    </w:p>
    <w:p>
      <w:pPr>
        <w:pStyle w:val="PermNoteHeading"/>
      </w:pPr>
      <w:r>
        <w:tab/>
        <w:t>Examples for this subregulation:</w:t>
      </w:r>
    </w:p>
    <w:p>
      <w:pPr>
        <w:pStyle w:val="PermNoteText"/>
      </w:pPr>
      <w:r>
        <w:tab/>
        <w:t>1.</w:t>
      </w:r>
      <w:r>
        <w:tab/>
        <w:t>If between 1 and 25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ordinator is also employed or engaged.</w:t>
      </w:r>
    </w:p>
    <w:p>
      <w:pPr>
        <w:pStyle w:val="PermNoteText"/>
      </w:pPr>
      <w:r>
        <w:tab/>
        <w:t>3.</w:t>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ordinator is also employed or engaged.</w:t>
      </w:r>
    </w:p>
    <w:p>
      <w:pPr>
        <w:pStyle w:val="Footnotesection"/>
      </w:pPr>
      <w:r>
        <w:tab/>
        <w:t>[Regulation 123A inserted: SL 2023/71 r. 9.]</w:t>
      </w:r>
    </w:p>
    <w:p>
      <w:pPr>
        <w:pStyle w:val="Heading5"/>
      </w:pPr>
      <w:bookmarkStart w:id="269" w:name="_Toc163818086"/>
      <w:r>
        <w:rPr>
          <w:rStyle w:val="CharSectno"/>
        </w:rPr>
        <w:t>124</w:t>
      </w:r>
      <w:r>
        <w:t>.</w:t>
      </w:r>
      <w:r>
        <w:tab/>
        <w:t>Number of children who can be educated and cared for — family day care educator</w:t>
      </w:r>
      <w:bookmarkEnd w:id="269"/>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lastRenderedPageBreak/>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270" w:name="_Toc163809437"/>
      <w:bookmarkStart w:id="271" w:name="_Toc163810570"/>
      <w:bookmarkStart w:id="272" w:name="_Toc163818087"/>
      <w:r>
        <w:lastRenderedPageBreak/>
        <w:t>Division 4 — Educational qualifications for educators</w:t>
      </w:r>
      <w:bookmarkEnd w:id="270"/>
      <w:bookmarkEnd w:id="271"/>
      <w:bookmarkEnd w:id="272"/>
    </w:p>
    <w:p>
      <w:pPr>
        <w:pStyle w:val="Heading5"/>
        <w:spacing w:before="200"/>
      </w:pPr>
      <w:bookmarkStart w:id="273" w:name="_Toc163818088"/>
      <w:r>
        <w:rPr>
          <w:rStyle w:val="CharSectno"/>
        </w:rPr>
        <w:t>125</w:t>
      </w:r>
      <w:r>
        <w:t>.</w:t>
      </w:r>
      <w:r>
        <w:tab/>
        <w:t>Application of Division 4</w:t>
      </w:r>
      <w:bookmarkEnd w:id="273"/>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274" w:name="_Toc163818089"/>
      <w:r>
        <w:rPr>
          <w:rStyle w:val="CharSectno"/>
        </w:rPr>
        <w:t>126</w:t>
      </w:r>
      <w:r>
        <w:t>.</w:t>
      </w:r>
      <w:r>
        <w:tab/>
        <w:t>Centre</w:t>
      </w:r>
      <w:r>
        <w:noBreakHyphen/>
        <w:t>based services — general educator qualifications</w:t>
      </w:r>
      <w:bookmarkEnd w:id="274"/>
      <w:r>
        <w:t xml:space="preserve"> </w:t>
      </w:r>
    </w:p>
    <w:p>
      <w:pPr>
        <w:pStyle w:val="Subsection"/>
        <w:keepNext/>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hold, or be actively working towards, at least an approved diploma level education and care qualification; and</w:t>
      </w:r>
    </w:p>
    <w:p>
      <w:pPr>
        <w:pStyle w:val="Indenta"/>
        <w:keepLines/>
        <w:spacing w:before="60"/>
      </w:pPr>
      <w:r>
        <w:tab/>
        <w:t>(b)</w:t>
      </w:r>
      <w:r>
        <w:tab/>
        <w:t>all other educators who are required to meet the relevant educator to child ratios for the service must hold,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lastRenderedPageBreak/>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 xml:space="preserve">An early childhood teacher or suitably qualified person can be included in determining the number of educators who </w:t>
      </w:r>
      <w:r>
        <w:rPr>
          <w:rFonts w:cs="Arial"/>
        </w:rPr>
        <w:t>hold</w:t>
      </w:r>
      <w:r>
        <w:t xml:space="preser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 SL 2023/71 r. 10.]</w:t>
      </w:r>
    </w:p>
    <w:p>
      <w:pPr>
        <w:pStyle w:val="Heading5"/>
      </w:pPr>
      <w:bookmarkStart w:id="275" w:name="_Toc163818090"/>
      <w:r>
        <w:rPr>
          <w:rStyle w:val="CharSectno"/>
        </w:rPr>
        <w:t>126A</w:t>
      </w:r>
      <w:r>
        <w:t>.</w:t>
      </w:r>
      <w:r>
        <w:tab/>
        <w:t>Illness or absence of qualified educator who is required to meet relevant educator to child ratio</w:t>
      </w:r>
      <w:bookmarkEnd w:id="275"/>
    </w:p>
    <w:p>
      <w:pPr>
        <w:pStyle w:val="Subsection"/>
      </w:pPr>
      <w:r>
        <w:tab/>
        <w:t>(1A)</w:t>
      </w:r>
      <w:r>
        <w:tab/>
        <w:t xml:space="preserve">In this regulation — </w:t>
      </w:r>
    </w:p>
    <w:p>
      <w:pPr>
        <w:pStyle w:val="Defstar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lastRenderedPageBreak/>
        <w:tab/>
        <w:t>(c)</w:t>
      </w:r>
      <w:r>
        <w:tab/>
        <w:t>an approved early childhood teaching qualification.</w:t>
      </w:r>
    </w:p>
    <w:p>
      <w:pPr>
        <w:pStyle w:val="Subsection"/>
      </w:pPr>
      <w:r>
        <w:tab/>
        <w:t>(1)</w:t>
      </w:r>
      <w:r>
        <w:tab/>
        <w:t>This regulation applies if an educator referred to in regulation 126(1)(a) or (b) is absent from a centre</w:t>
      </w:r>
      <w:r>
        <w:noBreakHyphen/>
        <w:t xml:space="preserve">based service in any of the following circumstances — </w:t>
      </w:r>
    </w:p>
    <w:p>
      <w:pPr>
        <w:pStyle w:val="Indenta"/>
      </w:pPr>
      <w:r>
        <w:tab/>
        <w:t>(a)</w:t>
      </w:r>
      <w:r>
        <w:tab/>
        <w:t>short</w:t>
      </w:r>
      <w:r>
        <w:noBreakHyphen/>
        <w:t>term illness;</w:t>
      </w:r>
    </w:p>
    <w:p>
      <w:pPr>
        <w:pStyle w:val="Indenta"/>
      </w:pPr>
      <w:r>
        <w:tab/>
        <w:t>(b)</w:t>
      </w:r>
      <w:r>
        <w:tab/>
        <w:t>the educator’s resignation;</w:t>
      </w:r>
    </w:p>
    <w:p>
      <w:pPr>
        <w:pStyle w:val="Indenta"/>
      </w:pPr>
      <w:r>
        <w:tab/>
        <w:t>(c)</w:t>
      </w:r>
      <w:r>
        <w:tab/>
        <w:t>a practicum placement required to be undertaken by the educator for an approved education and care qualification;</w:t>
      </w:r>
    </w:p>
    <w:p>
      <w:pPr>
        <w:pStyle w:val="Indenta"/>
      </w:pPr>
      <w:r>
        <w:tab/>
        <w:t>(d)</w:t>
      </w:r>
      <w:r>
        <w:tab/>
        <w:t>leave.</w:t>
      </w:r>
    </w:p>
    <w:p>
      <w:pPr>
        <w:pStyle w:val="Subsection"/>
      </w:pPr>
      <w:r>
        <w:tab/>
        <w:t>(2)</w:t>
      </w:r>
      <w:r>
        <w:tab/>
        <w:t>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w:t>
      </w:r>
    </w:p>
    <w:p>
      <w:pPr>
        <w:pStyle w:val="Subsection"/>
      </w:pPr>
      <w:r>
        <w:tab/>
        <w:t>(3)</w:t>
      </w:r>
      <w:r>
        <w:tab/>
        <w:t>An educator may be replaced in accordance with subregulations (1) and (2) for a maximum of 30 days in any 12 month period.</w:t>
      </w:r>
    </w:p>
    <w:p>
      <w:pPr>
        <w:pStyle w:val="Subsection"/>
      </w:pPr>
      <w:r>
        <w:tab/>
        <w:t>(4)</w:t>
      </w:r>
      <w:r>
        <w:tab/>
        <w:t>For the purposes of subregulation (3), in relation to a part</w:t>
      </w:r>
      <w:r>
        <w:noBreakHyphen/>
        <w:t>time educator, 30 days is to be calculated on a pro rata basis.</w:t>
      </w:r>
    </w:p>
    <w:p>
      <w:pPr>
        <w:pStyle w:val="Footnotesection"/>
      </w:pPr>
      <w:r>
        <w:tab/>
        <w:t>[Regulation 126A inserted: SL 2023/71 r. 11.]</w:t>
      </w:r>
    </w:p>
    <w:p>
      <w:pPr>
        <w:pStyle w:val="Heading5"/>
      </w:pPr>
      <w:bookmarkStart w:id="276" w:name="_Toc163818091"/>
      <w:r>
        <w:rPr>
          <w:rStyle w:val="CharSectno"/>
        </w:rPr>
        <w:t>127</w:t>
      </w:r>
      <w:r>
        <w:t>.</w:t>
      </w:r>
      <w:r>
        <w:tab/>
        <w:t>Family day care educator qualifications</w:t>
      </w:r>
      <w:bookmarkEnd w:id="276"/>
      <w:r>
        <w:t xml:space="preserve"> </w:t>
      </w:r>
    </w:p>
    <w:p>
      <w:pPr>
        <w:pStyle w:val="Subsection"/>
      </w:pPr>
      <w:r>
        <w:tab/>
      </w:r>
      <w:r>
        <w:tab/>
        <w:t>A family day care educator must hold at least an approved certificate III level education and care qualification.</w:t>
      </w:r>
    </w:p>
    <w:p>
      <w:pPr>
        <w:pStyle w:val="PermNoteHeading"/>
      </w:pPr>
      <w:r>
        <w:tab/>
        <w:t>Note for this regulation:</w:t>
      </w:r>
    </w:p>
    <w:p>
      <w:pPr>
        <w:pStyle w:val="PermNoteText"/>
      </w:pPr>
      <w:r>
        <w:tab/>
      </w:r>
      <w:r>
        <w:tab/>
        <w:t>This regulation differs from regulation 127 of the national regulations made by the Ministerial Council.</w:t>
      </w:r>
    </w:p>
    <w:p>
      <w:pPr>
        <w:pStyle w:val="Footnotesection"/>
      </w:pPr>
      <w:r>
        <w:tab/>
        <w:t>[Regulation 127 amended: SL 2023/71 r. 12; SL 2023/186 r. 22.]</w:t>
      </w:r>
    </w:p>
    <w:p>
      <w:pPr>
        <w:pStyle w:val="Heading5"/>
      </w:pPr>
      <w:bookmarkStart w:id="277" w:name="_Toc163818092"/>
      <w:r>
        <w:rPr>
          <w:rStyle w:val="CharSectno"/>
        </w:rPr>
        <w:lastRenderedPageBreak/>
        <w:t>128</w:t>
      </w:r>
      <w:r>
        <w:t>.</w:t>
      </w:r>
      <w:r>
        <w:tab/>
        <w:t>Family day care co</w:t>
      </w:r>
      <w:r>
        <w:noBreakHyphen/>
        <w:t>ordinator qualifications</w:t>
      </w:r>
      <w:bookmarkEnd w:id="277"/>
      <w:r>
        <w:t xml:space="preserve"> </w:t>
      </w:r>
    </w:p>
    <w:p>
      <w:pPr>
        <w:pStyle w:val="Subsection"/>
      </w:pPr>
      <w:r>
        <w:tab/>
      </w:r>
      <w:r>
        <w:tab/>
        <w:t>A family day care co</w:t>
      </w:r>
      <w:r>
        <w:noBreakHyphen/>
        <w:t>ordinator must hold an approved diploma level education and care qualification.</w:t>
      </w:r>
    </w:p>
    <w:p>
      <w:pPr>
        <w:pStyle w:val="Footnotesection"/>
      </w:pPr>
      <w:r>
        <w:tab/>
        <w:t>[Regulation 128 amended: SL 2023/71 r. 13.]</w:t>
      </w:r>
    </w:p>
    <w:p>
      <w:pPr>
        <w:pStyle w:val="Heading4"/>
      </w:pPr>
      <w:bookmarkStart w:id="278" w:name="_Toc163809443"/>
      <w:bookmarkStart w:id="279" w:name="_Toc163810576"/>
      <w:bookmarkStart w:id="280" w:name="_Toc163818093"/>
      <w:r>
        <w:t>Division 5 — Requirements for educators who are early childhood teachers</w:t>
      </w:r>
      <w:bookmarkEnd w:id="278"/>
      <w:bookmarkEnd w:id="279"/>
      <w:bookmarkEnd w:id="280"/>
    </w:p>
    <w:p>
      <w:pPr>
        <w:pStyle w:val="Heading5"/>
      </w:pPr>
      <w:bookmarkStart w:id="281" w:name="_Toc163818094"/>
      <w:r>
        <w:rPr>
          <w:rStyle w:val="CharSectno"/>
        </w:rPr>
        <w:t>129</w:t>
      </w:r>
      <w:r>
        <w:t>.</w:t>
      </w:r>
      <w:r>
        <w:tab/>
        <w:t>Application of Division 5</w:t>
      </w:r>
      <w:bookmarkEnd w:id="281"/>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282" w:name="_Toc163818095"/>
      <w:r>
        <w:rPr>
          <w:rStyle w:val="CharSectno"/>
        </w:rPr>
        <w:t>130</w:t>
      </w:r>
      <w:r>
        <w:t>.</w:t>
      </w:r>
      <w:r>
        <w:tab/>
        <w:t>Requirement for early childhood teacher — centre</w:t>
      </w:r>
      <w:r>
        <w:noBreakHyphen/>
        <w:t>based services — fewer than 25 approved places</w:t>
      </w:r>
      <w:bookmarkEnd w:id="282"/>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lastRenderedPageBreak/>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283" w:name="_Toc163818096"/>
      <w:r>
        <w:rPr>
          <w:rStyle w:val="CharSectno"/>
        </w:rPr>
        <w:t>131</w:t>
      </w:r>
      <w:r>
        <w:t>.</w:t>
      </w:r>
      <w:r>
        <w:tab/>
        <w:t>Requirement for early childhood teacher — centre</w:t>
      </w:r>
      <w:r>
        <w:noBreakHyphen/>
        <w:t>based services — 25 or more approved places but fewer than 25 children</w:t>
      </w:r>
      <w:bookmarkEnd w:id="283"/>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keepNext/>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284" w:name="_Toc163818097"/>
      <w:r>
        <w:rPr>
          <w:rStyle w:val="CharSectno"/>
        </w:rPr>
        <w:t>132</w:t>
      </w:r>
      <w:r>
        <w:t>.</w:t>
      </w:r>
      <w:r>
        <w:tab/>
        <w:t>Requirement for early childhood teacher — centre</w:t>
      </w:r>
      <w:r>
        <w:noBreakHyphen/>
        <w:t>based services — 25 to 59 children</w:t>
      </w:r>
      <w:bookmarkEnd w:id="284"/>
      <w:r>
        <w:t xml:space="preserve"> </w:t>
      </w:r>
    </w:p>
    <w:p>
      <w:pPr>
        <w:pStyle w:val="Subsection"/>
        <w:keepNext/>
        <w:spacing w:before="180"/>
      </w:pPr>
      <w:r>
        <w:tab/>
        <w:t>(1)</w:t>
      </w:r>
      <w:r>
        <w:tab/>
        <w:t>If a centre</w:t>
      </w:r>
      <w:r>
        <w:noBreakHyphen/>
        <w:t xml:space="preserve">based service provides education and care to 25 or more but less than 60 children preschool age or under on a given </w:t>
      </w:r>
      <w:r>
        <w:lastRenderedPageBreak/>
        <w:t xml:space="preserve">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keepNext/>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285" w:name="_Toc163818098"/>
      <w:r>
        <w:rPr>
          <w:rStyle w:val="CharSectno"/>
        </w:rPr>
        <w:t>133</w:t>
      </w:r>
      <w:r>
        <w:t>.</w:t>
      </w:r>
      <w:r>
        <w:tab/>
        <w:t>Requirement for early childhood teacher — centre</w:t>
      </w:r>
      <w:r>
        <w:noBreakHyphen/>
        <w:t>based services — 60 to 80 children</w:t>
      </w:r>
      <w:bookmarkEnd w:id="285"/>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lastRenderedPageBreak/>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286" w:name="_Toc163818099"/>
      <w:r>
        <w:rPr>
          <w:rStyle w:val="CharSectno"/>
        </w:rPr>
        <w:t>134</w:t>
      </w:r>
      <w:r>
        <w:t>.</w:t>
      </w:r>
      <w:r>
        <w:tab/>
        <w:t>Requirement for early childhood teacher — centre</w:t>
      </w:r>
      <w:r>
        <w:noBreakHyphen/>
        <w:t>based services — more than 80 children</w:t>
      </w:r>
      <w:bookmarkEnd w:id="286"/>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lastRenderedPageBreak/>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keepNext/>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287" w:name="_Toc163818100"/>
      <w:r>
        <w:rPr>
          <w:rStyle w:val="CharSectno"/>
        </w:rPr>
        <w:t>135</w:t>
      </w:r>
      <w:r>
        <w:t>.</w:t>
      </w:r>
      <w:r>
        <w:tab/>
        <w:t>Illness or absence of early childhood teacher or suitably qualified person</w:t>
      </w:r>
      <w:bookmarkEnd w:id="287"/>
    </w:p>
    <w:p>
      <w:pPr>
        <w:pStyle w:val="Subsection"/>
        <w:keepNext/>
      </w:pPr>
      <w:r>
        <w:tab/>
        <w:t>(1A)</w:t>
      </w:r>
      <w:r>
        <w:tab/>
        <w:t xml:space="preserve">In this regulation — </w:t>
      </w:r>
    </w:p>
    <w:p>
      <w:pPr>
        <w:pStyle w:val="Defstart"/>
        <w:keepNex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w:t>
      </w:r>
      <w:r>
        <w:lastRenderedPageBreak/>
        <w:t xml:space="preserve">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keepNext/>
      </w:pPr>
      <w:r>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 xml:space="preserve">time second early </w:t>
      </w:r>
      <w:r>
        <w:lastRenderedPageBreak/>
        <w:t>childhood teacher or part</w:t>
      </w:r>
      <w:r>
        <w:noBreakHyphen/>
        <w:t>time suitably qualified person (as the case requires), 60 days is to be calculated on a pro rata basis.</w:t>
      </w:r>
    </w:p>
    <w:p>
      <w:pPr>
        <w:pStyle w:val="Subsection"/>
      </w:pPr>
      <w:r>
        <w:tab/>
        <w:t>(6)</w:t>
      </w:r>
      <w:r>
        <w:tab/>
        <w:t xml:space="preserve">For the purposes of subregulations (1) and (2), the following circumstances are specified — </w:t>
      </w:r>
    </w:p>
    <w:p>
      <w:pPr>
        <w:pStyle w:val="Indenta"/>
      </w:pPr>
      <w:r>
        <w:tab/>
        <w:t>(a)</w:t>
      </w:r>
      <w:r>
        <w:tab/>
        <w:t>short</w:t>
      </w:r>
      <w:r>
        <w:noBreakHyphen/>
        <w:t>term illness;</w:t>
      </w:r>
    </w:p>
    <w:p>
      <w:pPr>
        <w:pStyle w:val="Indenta"/>
      </w:pPr>
      <w:r>
        <w:tab/>
        <w:t>(b)</w:t>
      </w:r>
      <w:r>
        <w:tab/>
        <w:t>the resignation of the early childhood teacher, the second early childhood teacher or the suitably qualified person (as the case may be);</w:t>
      </w:r>
    </w:p>
    <w:p>
      <w:pPr>
        <w:pStyle w:val="Indenta"/>
      </w:pPr>
      <w:r>
        <w:tab/>
        <w:t>(c)</w:t>
      </w:r>
      <w:r>
        <w:tab/>
        <w:t>a practicum placement required to be undertaken by the early childhood teacher or the second early childhood teacher (as the case may be) for an approved education and care qualification;</w:t>
      </w:r>
    </w:p>
    <w:p>
      <w:pPr>
        <w:pStyle w:val="Indenta"/>
      </w:pPr>
      <w:r>
        <w:tab/>
        <w:t>(d)</w:t>
      </w:r>
      <w:r>
        <w:tab/>
        <w:t>a practicum placement required to be undertaken by the suitably qualified person for an approved education and care qualification;</w:t>
      </w:r>
    </w:p>
    <w:p>
      <w:pPr>
        <w:pStyle w:val="Indenta"/>
        <w:keepNext/>
      </w:pPr>
      <w:r>
        <w:tab/>
        <w:t>(e)</w:t>
      </w:r>
      <w:r>
        <w:tab/>
        <w:t>leave.</w:t>
      </w:r>
    </w:p>
    <w:p>
      <w:pPr>
        <w:pStyle w:val="Footnotesection"/>
      </w:pPr>
      <w:r>
        <w:tab/>
        <w:t>[Regulation 135 inserted: Gazette 24 Dec 2019 p. 4424</w:t>
      </w:r>
      <w:r>
        <w:noBreakHyphen/>
        <w:t>5; amended: SL 2023/71 r. 14.]</w:t>
      </w:r>
    </w:p>
    <w:p>
      <w:pPr>
        <w:pStyle w:val="Heading4"/>
      </w:pPr>
      <w:bookmarkStart w:id="288" w:name="_Toc163809451"/>
      <w:bookmarkStart w:id="289" w:name="_Toc163810584"/>
      <w:bookmarkStart w:id="290" w:name="_Toc163818101"/>
      <w:r>
        <w:t>Division 6 — First aid qualifications</w:t>
      </w:r>
      <w:bookmarkEnd w:id="288"/>
      <w:bookmarkEnd w:id="289"/>
      <w:bookmarkEnd w:id="290"/>
    </w:p>
    <w:p>
      <w:pPr>
        <w:pStyle w:val="Heading5"/>
      </w:pPr>
      <w:bookmarkStart w:id="291" w:name="_Toc163818102"/>
      <w:r>
        <w:rPr>
          <w:rStyle w:val="CharSectno"/>
        </w:rPr>
        <w:t>136</w:t>
      </w:r>
      <w:r>
        <w:t>.</w:t>
      </w:r>
      <w:r>
        <w:tab/>
        <w:t>First aid qualifications</w:t>
      </w:r>
      <w:bookmarkEnd w:id="291"/>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lastRenderedPageBreak/>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keepNext/>
        <w:spacing w:before="200"/>
      </w:pPr>
      <w:r>
        <w:lastRenderedPageBreak/>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Next/>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292" w:name="_Toc163809453"/>
      <w:bookmarkStart w:id="293" w:name="_Toc163810586"/>
      <w:bookmarkStart w:id="294" w:name="_Toc163818103"/>
      <w:r>
        <w:lastRenderedPageBreak/>
        <w:t>Division 7 — Approval and determination of qualifications</w:t>
      </w:r>
      <w:bookmarkEnd w:id="292"/>
      <w:bookmarkEnd w:id="293"/>
      <w:bookmarkEnd w:id="294"/>
    </w:p>
    <w:p>
      <w:pPr>
        <w:pStyle w:val="Heading5"/>
      </w:pPr>
      <w:bookmarkStart w:id="295" w:name="_Toc163818104"/>
      <w:r>
        <w:rPr>
          <w:rStyle w:val="CharSectno"/>
        </w:rPr>
        <w:t>137</w:t>
      </w:r>
      <w:r>
        <w:t>.</w:t>
      </w:r>
      <w:r>
        <w:tab/>
        <w:t>Approval of qualifications</w:t>
      </w:r>
      <w:bookmarkEnd w:id="295"/>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keepNext/>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keepNext/>
      </w:pPr>
      <w:r>
        <w:lastRenderedPageBreak/>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keepNext/>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296" w:name="_Toc163818105"/>
      <w:r>
        <w:rPr>
          <w:rStyle w:val="CharSectno"/>
        </w:rPr>
        <w:t>138</w:t>
      </w:r>
      <w:r>
        <w:t>.</w:t>
      </w:r>
      <w:r>
        <w:tab/>
        <w:t>Application for qualification to be assessed for inclusion on the list of approved qualifications</w:t>
      </w:r>
      <w:bookmarkEnd w:id="296"/>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calculated in accordance with Part 6.3.</w:t>
      </w:r>
    </w:p>
    <w:p>
      <w:pPr>
        <w:pStyle w:val="Footnotesection"/>
      </w:pPr>
      <w:r>
        <w:tab/>
        <w:t>[Regulation 138 amended: SL 2023/71 r. 5.]</w:t>
      </w:r>
    </w:p>
    <w:p>
      <w:pPr>
        <w:pStyle w:val="Heading5"/>
      </w:pPr>
      <w:bookmarkStart w:id="297" w:name="_Toc163818106"/>
      <w:r>
        <w:rPr>
          <w:rStyle w:val="CharSectno"/>
        </w:rPr>
        <w:lastRenderedPageBreak/>
        <w:t>139</w:t>
      </w:r>
      <w:r>
        <w:t>.</w:t>
      </w:r>
      <w:r>
        <w:tab/>
        <w:t>Application for determination of equivalent qualification</w:t>
      </w:r>
      <w:bookmarkEnd w:id="297"/>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calculated in accordance with Part 6.3.</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keepNext/>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 SL 2023/71 r. 6.]</w:t>
      </w:r>
    </w:p>
    <w:p>
      <w:pPr>
        <w:pStyle w:val="Heading5"/>
      </w:pPr>
      <w:bookmarkStart w:id="298" w:name="_Toc163818107"/>
      <w:r>
        <w:rPr>
          <w:rStyle w:val="CharSectno"/>
        </w:rPr>
        <w:t>140</w:t>
      </w:r>
      <w:r>
        <w:t>.</w:t>
      </w:r>
      <w:r>
        <w:tab/>
        <w:t>Application for determination of an equivalent qualification</w:t>
      </w:r>
      <w:bookmarkEnd w:id="298"/>
      <w:r>
        <w:t xml:space="preserve"> </w:t>
      </w:r>
    </w:p>
    <w:p>
      <w:pPr>
        <w:pStyle w:val="Subsection"/>
        <w:keepNext/>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lastRenderedPageBreak/>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 xml:space="preserve">a summary of the major areas of study in the qualification, including the areas of study that </w:t>
      </w:r>
      <w:r>
        <w:lastRenderedPageBreak/>
        <w:t>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keepNext/>
        <w:spacing w:before="50"/>
      </w:pPr>
      <w:r>
        <w:tab/>
        <w:t>(j)</w:t>
      </w:r>
      <w:r>
        <w:tab/>
        <w:t xml:space="preserve">a summary of the applicant’s education, other than the qualification that is to be determined, including — </w:t>
      </w:r>
    </w:p>
    <w:p>
      <w:pPr>
        <w:pStyle w:val="Indenti"/>
        <w:keepNext/>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keepNext/>
        <w:spacing w:before="60"/>
      </w:pPr>
      <w:r>
        <w:tab/>
        <w:t>(C)</w:t>
      </w:r>
      <w:r>
        <w:tab/>
        <w:t>any relevant vocational schooling;</w:t>
      </w:r>
    </w:p>
    <w:p>
      <w:pPr>
        <w:pStyle w:val="Indenti"/>
        <w:spacing w:before="60"/>
      </w:pPr>
      <w:r>
        <w:tab/>
      </w:r>
      <w:r>
        <w:tab/>
        <w:t>and</w:t>
      </w:r>
    </w:p>
    <w:p>
      <w:pPr>
        <w:pStyle w:val="Indenti"/>
        <w:keepNext/>
        <w:spacing w:before="60"/>
      </w:pPr>
      <w:r>
        <w:tab/>
        <w:t>(ii)</w:t>
      </w:r>
      <w:r>
        <w:tab/>
        <w:t xml:space="preserve">the full name and location (city, state and country) of each educational institution attended </w:t>
      </w:r>
      <w:r>
        <w:lastRenderedPageBreak/>
        <w:t>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299" w:name="_Toc163818108"/>
      <w:r>
        <w:rPr>
          <w:rStyle w:val="CharSectno"/>
        </w:rPr>
        <w:t>141</w:t>
      </w:r>
      <w:r>
        <w:t>.</w:t>
      </w:r>
      <w:r>
        <w:tab/>
        <w:t>Additional information for application for determination of equivalent qualification</w:t>
      </w:r>
      <w:bookmarkEnd w:id="299"/>
      <w:r>
        <w:t xml:space="preserve"> </w:t>
      </w:r>
    </w:p>
    <w:p>
      <w:pPr>
        <w:pStyle w:val="Subsection"/>
        <w:keepNext/>
      </w:pPr>
      <w:r>
        <w:tab/>
        <w:t>(1)</w:t>
      </w:r>
      <w:r>
        <w:tab/>
        <w:t xml:space="preserve">The following documents must also be provided with an application for determination of an equivalent qualification — </w:t>
      </w:r>
    </w:p>
    <w:p>
      <w:pPr>
        <w:pStyle w:val="Indenta"/>
        <w:keepNext/>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keepNext/>
      </w:pPr>
      <w:r>
        <w:tab/>
        <w:t>(2)</w:t>
      </w:r>
      <w:r>
        <w:tab/>
        <w:t xml:space="preserve">If the qualification was awarded, or the educational institution was attended, in a country other than Australia, the applicant must, at the request of the National Authority, give the National </w:t>
      </w:r>
      <w:r>
        <w:lastRenderedPageBreak/>
        <w:t xml:space="preserve">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300" w:name="_Toc163818109"/>
      <w:r>
        <w:rPr>
          <w:rStyle w:val="CharSectno"/>
        </w:rPr>
        <w:t>142</w:t>
      </w:r>
      <w:r>
        <w:t>.</w:t>
      </w:r>
      <w:r>
        <w:tab/>
        <w:t>Translations of documents</w:t>
      </w:r>
      <w:bookmarkEnd w:id="300"/>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301" w:name="_Toc163818110"/>
      <w:r>
        <w:rPr>
          <w:rStyle w:val="CharSectno"/>
        </w:rPr>
        <w:t>143</w:t>
      </w:r>
      <w:r>
        <w:t>.</w:t>
      </w:r>
      <w:r>
        <w:tab/>
        <w:t>Certification of documents</w:t>
      </w:r>
      <w:bookmarkEnd w:id="301"/>
      <w:r>
        <w:t xml:space="preserve"> </w:t>
      </w:r>
    </w:p>
    <w:p>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lastRenderedPageBreak/>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302" w:name="_Toc163809461"/>
      <w:bookmarkStart w:id="303" w:name="_Toc163810594"/>
      <w:bookmarkStart w:id="304" w:name="_Toc163818111"/>
      <w:r>
        <w:t>Division 7A — Minimum requirements for a family day care educator</w:t>
      </w:r>
      <w:bookmarkEnd w:id="302"/>
      <w:bookmarkEnd w:id="303"/>
      <w:bookmarkEnd w:id="304"/>
    </w:p>
    <w:p>
      <w:pPr>
        <w:pStyle w:val="Footnoteheading"/>
      </w:pPr>
      <w:r>
        <w:tab/>
        <w:t>[Heading inserted: Gazette 28 Sep 2018 p. 3627.]</w:t>
      </w:r>
    </w:p>
    <w:p>
      <w:pPr>
        <w:pStyle w:val="Heading5"/>
      </w:pPr>
      <w:bookmarkStart w:id="305" w:name="_Toc163818112"/>
      <w:r>
        <w:rPr>
          <w:rStyle w:val="CharSectno"/>
        </w:rPr>
        <w:t>143A</w:t>
      </w:r>
      <w:r>
        <w:t>.</w:t>
      </w:r>
      <w:r>
        <w:tab/>
        <w:t>Minimum requirements for a family day care educator</w:t>
      </w:r>
      <w:bookmarkEnd w:id="305"/>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keepNext/>
      </w:pPr>
      <w:r>
        <w:tab/>
        <w:t>(2)</w:t>
      </w:r>
      <w:r>
        <w:tab/>
        <w:t xml:space="preserve">For the purposes of subregulation (1)(a), the matters are — </w:t>
      </w:r>
    </w:p>
    <w:p>
      <w:pPr>
        <w:pStyle w:val="Indenta"/>
        <w:keepNext/>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keepNext/>
      </w:pPr>
      <w:r>
        <w:tab/>
        <w:t>(iv)</w:t>
      </w:r>
      <w:r>
        <w:tab/>
        <w:t xml:space="preserve">an education law of a participating jurisdiction; </w:t>
      </w:r>
    </w:p>
    <w:p>
      <w:pPr>
        <w:pStyle w:val="Indenta"/>
      </w:pPr>
      <w:r>
        <w:tab/>
      </w:r>
      <w:r>
        <w:tab/>
        <w:t>and</w:t>
      </w:r>
    </w:p>
    <w:p>
      <w:pPr>
        <w:pStyle w:val="Indenta"/>
        <w:keepNext/>
        <w:keepLines/>
      </w:pPr>
      <w:r>
        <w:lastRenderedPageBreak/>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306" w:name="_Toc163818113"/>
      <w:r>
        <w:rPr>
          <w:rStyle w:val="CharSectno"/>
        </w:rPr>
        <w:t>143B</w:t>
      </w:r>
      <w:r>
        <w:t>.</w:t>
      </w:r>
      <w:r>
        <w:tab/>
        <w:t>Ongoing management of family day care educators</w:t>
      </w:r>
      <w:bookmarkEnd w:id="306"/>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keepNext/>
      </w:pPr>
      <w:r>
        <w:tab/>
        <w:t>Penalty: $2 000.</w:t>
      </w:r>
    </w:p>
    <w:p>
      <w:pPr>
        <w:pStyle w:val="Footnotesection"/>
      </w:pPr>
      <w:r>
        <w:tab/>
        <w:t>[Regulation 143B inserted: Gazette 28 Sep 2018 p. 3628</w:t>
      </w:r>
      <w:r>
        <w:noBreakHyphen/>
        <w:t>9.]</w:t>
      </w:r>
    </w:p>
    <w:p>
      <w:pPr>
        <w:pStyle w:val="Heading4"/>
      </w:pPr>
      <w:bookmarkStart w:id="307" w:name="_Toc163809464"/>
      <w:bookmarkStart w:id="308" w:name="_Toc163810597"/>
      <w:bookmarkStart w:id="309" w:name="_Toc163818114"/>
      <w:r>
        <w:lastRenderedPageBreak/>
        <w:t>Division 8 — Family day care educator assistant</w:t>
      </w:r>
      <w:bookmarkEnd w:id="307"/>
      <w:bookmarkEnd w:id="308"/>
      <w:bookmarkEnd w:id="309"/>
    </w:p>
    <w:p>
      <w:pPr>
        <w:pStyle w:val="Heading5"/>
      </w:pPr>
      <w:bookmarkStart w:id="310" w:name="_Toc163818115"/>
      <w:r>
        <w:rPr>
          <w:rStyle w:val="CharSectno"/>
        </w:rPr>
        <w:t>144</w:t>
      </w:r>
      <w:r>
        <w:t>.</w:t>
      </w:r>
      <w:r>
        <w:tab/>
        <w:t>Family day care educator assistant</w:t>
      </w:r>
      <w:bookmarkEnd w:id="310"/>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keepNext/>
      </w:pPr>
      <w:r>
        <w:tab/>
        <w:t>(4)</w:t>
      </w:r>
      <w:r>
        <w:tab/>
        <w:t xml:space="preserve">An approved family day care educator assistant may assist the family day care educator — </w:t>
      </w:r>
    </w:p>
    <w:p>
      <w:pPr>
        <w:pStyle w:val="Indenta"/>
        <w:keepNext/>
      </w:pPr>
      <w:r>
        <w:tab/>
        <w:t>(a)</w:t>
      </w:r>
      <w:r>
        <w:tab/>
        <w:t xml:space="preserve">in the absence of the family day care educator, to transport or escort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lastRenderedPageBreak/>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 amended: SL 2023/186 r. 24.]</w:t>
      </w:r>
    </w:p>
    <w:p>
      <w:pPr>
        <w:pStyle w:val="Heading4"/>
        <w:spacing w:before="220"/>
      </w:pPr>
      <w:bookmarkStart w:id="311" w:name="_Toc163809466"/>
      <w:bookmarkStart w:id="312" w:name="_Toc163810599"/>
      <w:bookmarkStart w:id="313" w:name="_Toc163818116"/>
      <w:r>
        <w:t>Division 9 — Staff and educator records — centre</w:t>
      </w:r>
      <w:r>
        <w:noBreakHyphen/>
        <w:t>based services</w:t>
      </w:r>
      <w:bookmarkEnd w:id="311"/>
      <w:bookmarkEnd w:id="312"/>
      <w:bookmarkEnd w:id="313"/>
    </w:p>
    <w:p>
      <w:pPr>
        <w:pStyle w:val="Heading5"/>
        <w:spacing w:before="180"/>
      </w:pPr>
      <w:bookmarkStart w:id="314" w:name="_Toc163818117"/>
      <w:r>
        <w:rPr>
          <w:rStyle w:val="CharSectno"/>
        </w:rPr>
        <w:t>145</w:t>
      </w:r>
      <w:r>
        <w:t>.</w:t>
      </w:r>
      <w:r>
        <w:tab/>
        <w:t>Staff record</w:t>
      </w:r>
      <w:bookmarkEnd w:id="314"/>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keepNext/>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keepNext/>
        <w:spacing w:before="60"/>
      </w:pPr>
      <w:r>
        <w:lastRenderedPageBreak/>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315" w:name="_Toc163818118"/>
      <w:r>
        <w:rPr>
          <w:rStyle w:val="CharSectno"/>
        </w:rPr>
        <w:t>146</w:t>
      </w:r>
      <w:r>
        <w:t>.</w:t>
      </w:r>
      <w:r>
        <w:tab/>
        <w:t>Nominated supervisor</w:t>
      </w:r>
      <w:bookmarkEnd w:id="315"/>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keepNext/>
      </w:pPr>
      <w:r>
        <w:tab/>
        <w:t>(f)</w:t>
      </w:r>
      <w:r>
        <w:tab/>
        <w:t xml:space="preserve">in relation to Tasmania, a record of the identifying number of the nominated supervisor’s current working </w:t>
      </w:r>
      <w:r>
        <w:lastRenderedPageBreak/>
        <w:t>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316" w:name="_Toc163818119"/>
      <w:r>
        <w:rPr>
          <w:rStyle w:val="CharSectno"/>
        </w:rPr>
        <w:t>147</w:t>
      </w:r>
      <w:r>
        <w:t>.</w:t>
      </w:r>
      <w:r>
        <w:tab/>
        <w:t>Staff members</w:t>
      </w:r>
      <w:bookmarkEnd w:id="316"/>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keepNext/>
      </w:pPr>
      <w:r>
        <w:tab/>
        <w:t>(f)</w:t>
      </w:r>
      <w:r>
        <w:tab/>
        <w:t xml:space="preserve">in relation to Tasmania, a record of the identifying number of the nominated supervisor’s current working </w:t>
      </w:r>
      <w:r>
        <w:lastRenderedPageBreak/>
        <w:t>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317" w:name="_Toc163818120"/>
      <w:r>
        <w:rPr>
          <w:rStyle w:val="CharSectno"/>
        </w:rPr>
        <w:t>148</w:t>
      </w:r>
      <w:r>
        <w:t>.</w:t>
      </w:r>
      <w:r>
        <w:tab/>
        <w:t>Educational leader</w:t>
      </w:r>
      <w:bookmarkEnd w:id="317"/>
      <w:r>
        <w:t xml:space="preserve"> </w:t>
      </w:r>
    </w:p>
    <w:p>
      <w:pPr>
        <w:pStyle w:val="Subsection"/>
      </w:pPr>
      <w:r>
        <w:tab/>
      </w:r>
      <w:r>
        <w:tab/>
        <w:t>The staff record must include the name of the person designated as the educational leader in accordance with regulation 118.</w:t>
      </w:r>
    </w:p>
    <w:p>
      <w:pPr>
        <w:pStyle w:val="Heading5"/>
      </w:pPr>
      <w:bookmarkStart w:id="318" w:name="_Toc163818121"/>
      <w:r>
        <w:rPr>
          <w:rStyle w:val="CharSectno"/>
        </w:rPr>
        <w:t>149</w:t>
      </w:r>
      <w:r>
        <w:t>.</w:t>
      </w:r>
      <w:r>
        <w:tab/>
        <w:t>Volunteers and students</w:t>
      </w:r>
      <w:bookmarkEnd w:id="318"/>
      <w:r>
        <w:t xml:space="preserve"> </w:t>
      </w:r>
    </w:p>
    <w:p>
      <w:pPr>
        <w:pStyle w:val="Subsection"/>
      </w:pPr>
      <w:r>
        <w:tab/>
        <w:t>(1)</w:t>
      </w:r>
      <w:r>
        <w:tab/>
        <w:t>The staff record must include the following information in relation to each student or volunteer who participates in the centre</w:t>
      </w:r>
      <w:r>
        <w:noBreakHyphen/>
        <w:t xml:space="preserve">based service — </w:t>
      </w:r>
    </w:p>
    <w:p>
      <w:pPr>
        <w:pStyle w:val="Indenta"/>
      </w:pPr>
      <w:r>
        <w:tab/>
        <w:t>(a)</w:t>
      </w:r>
      <w:r>
        <w:tab/>
        <w:t>the full name, address and date of birth of the student or volunteer;</w:t>
      </w:r>
    </w:p>
    <w:p>
      <w:pPr>
        <w:pStyle w:val="Indenta"/>
      </w:pPr>
      <w:r>
        <w:tab/>
        <w:t>(b)</w:t>
      </w:r>
      <w:r>
        <w:tab/>
        <w:t>if the centre</w:t>
      </w:r>
      <w:r>
        <w:noBreakHyphen/>
        <w:t>based service is located within a jurisdiction with a working with children law or a working with vulnerable people law and the student or volunteer is required or permitted to obtain a working with children check under that law — a record of the identifying number of the student’s or volunteer’s current working with children check conducted under that law and the expiry date of that check, unless paragraph (c) applies;</w:t>
      </w:r>
    </w:p>
    <w:p>
      <w:pPr>
        <w:pStyle w:val="Indenta"/>
      </w:pPr>
      <w:r>
        <w:tab/>
        <w:t>(c)</w:t>
      </w:r>
      <w:r>
        <w:tab/>
        <w:t>except in the case of New South Wales, Queensland, South Australia and Tasmania, if the student or volunteer has provided proof of their current teacher registration under an education law of a participating jurisdiction — a record of the identifying number of the teacher registration and the expiry date of that registration.</w:t>
      </w:r>
    </w:p>
    <w:p>
      <w:pPr>
        <w:pStyle w:val="Subsection"/>
      </w:pPr>
      <w:r>
        <w:tab/>
        <w:t>(2)</w:t>
      </w:r>
      <w:r>
        <w:tab/>
        <w:t>The approved provider of a centre</w:t>
      </w:r>
      <w:r>
        <w:noBreakHyphen/>
        <w:t xml:space="preserve">based service must also keep a record for each day on which the student or volunteer </w:t>
      </w:r>
      <w:r>
        <w:lastRenderedPageBreak/>
        <w:t>participates in the service, the date and the hours of participation.</w:t>
      </w:r>
    </w:p>
    <w:p>
      <w:pPr>
        <w:pStyle w:val="Footnotesection"/>
      </w:pPr>
      <w:r>
        <w:tab/>
        <w:t>[Regulation 149 amended: SL 2023/186 r. 25.]</w:t>
      </w:r>
    </w:p>
    <w:p>
      <w:pPr>
        <w:pStyle w:val="Heading5"/>
      </w:pPr>
      <w:bookmarkStart w:id="319" w:name="_Toc163818122"/>
      <w:r>
        <w:rPr>
          <w:rStyle w:val="CharSectno"/>
        </w:rPr>
        <w:t>150</w:t>
      </w:r>
      <w:r>
        <w:t>.</w:t>
      </w:r>
      <w:r>
        <w:tab/>
        <w:t>Responsible person</w:t>
      </w:r>
      <w:bookmarkEnd w:id="319"/>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320" w:name="_Toc163818123"/>
      <w:r>
        <w:rPr>
          <w:rStyle w:val="CharSectno"/>
        </w:rPr>
        <w:t>151</w:t>
      </w:r>
      <w:r>
        <w:t>.</w:t>
      </w:r>
      <w:r>
        <w:tab/>
        <w:t>Record of educators working directly with children</w:t>
      </w:r>
      <w:bookmarkEnd w:id="320"/>
      <w:r>
        <w:t xml:space="preserve"> </w:t>
      </w:r>
    </w:p>
    <w:p>
      <w:pPr>
        <w:pStyle w:val="Subsection"/>
        <w:keepNext/>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keepNext/>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321" w:name="_Toc163818124"/>
      <w:r>
        <w:rPr>
          <w:rStyle w:val="CharSectno"/>
        </w:rPr>
        <w:t>152</w:t>
      </w:r>
      <w:r>
        <w:t>.</w:t>
      </w:r>
      <w:r>
        <w:tab/>
        <w:t>Record of access to early childhood teachers</w:t>
      </w:r>
      <w:bookmarkEnd w:id="321"/>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 xml:space="preserve">based service that provides education and care to 25 or more but not more than 59 children preschool age or under must ensure that a record is kept of the </w:t>
      </w:r>
      <w:r>
        <w:lastRenderedPageBreak/>
        <w:t>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5"/>
      </w:pPr>
      <w:bookmarkStart w:id="322" w:name="_Toc163818125"/>
      <w:r>
        <w:rPr>
          <w:rStyle w:val="CharSectno"/>
        </w:rPr>
        <w:t>152A</w:t>
      </w:r>
      <w:r>
        <w:t>.</w:t>
      </w:r>
      <w:r>
        <w:tab/>
        <w:t>Record of replacement of educator</w:t>
      </w:r>
      <w:bookmarkEnd w:id="322"/>
    </w:p>
    <w:p>
      <w:pPr>
        <w:pStyle w:val="Subsection"/>
      </w:pPr>
      <w:r>
        <w:tab/>
      </w:r>
      <w:r>
        <w:tab/>
        <w:t>The approved provider of a centre</w:t>
      </w:r>
      <w:r>
        <w:noBreakHyphen/>
        <w:t xml:space="preserve">based service must keep a record of an educator who is replaced in accordance with regulation 126A that includes the following information — </w:t>
      </w:r>
    </w:p>
    <w:p>
      <w:pPr>
        <w:pStyle w:val="Indenta"/>
      </w:pPr>
      <w:r>
        <w:tab/>
        <w:t>(a)</w:t>
      </w:r>
      <w:r>
        <w:tab/>
        <w:t>the full name of the educator;</w:t>
      </w:r>
    </w:p>
    <w:p>
      <w:pPr>
        <w:pStyle w:val="Indenta"/>
      </w:pPr>
      <w:r>
        <w:tab/>
        <w:t>(b)</w:t>
      </w:r>
      <w:r>
        <w:tab/>
        <w:t>the qualification that the educator who is replaced holds, or is actively working towards, for the purposes of regulation 126;</w:t>
      </w:r>
    </w:p>
    <w:p>
      <w:pPr>
        <w:pStyle w:val="Indenta"/>
      </w:pPr>
      <w:r>
        <w:tab/>
        <w:t>(c)</w:t>
      </w:r>
      <w:r>
        <w:tab/>
        <w:t>the qualification of the person who replaced the educator;</w:t>
      </w:r>
    </w:p>
    <w:p>
      <w:pPr>
        <w:pStyle w:val="Indenta"/>
      </w:pPr>
      <w:r>
        <w:tab/>
        <w:t>(d)</w:t>
      </w:r>
      <w:r>
        <w:tab/>
        <w:t>the dates on which the educator was replaced;</w:t>
      </w:r>
    </w:p>
    <w:p>
      <w:pPr>
        <w:pStyle w:val="Indenta"/>
      </w:pPr>
      <w:r>
        <w:tab/>
        <w:t>(e)</w:t>
      </w:r>
      <w:r>
        <w:tab/>
        <w:t>the reason for the educator’s absence.</w:t>
      </w:r>
    </w:p>
    <w:p>
      <w:pPr>
        <w:pStyle w:val="PermNoteHeading"/>
      </w:pPr>
      <w:r>
        <w:tab/>
        <w:t>Note for this regulation:</w:t>
      </w:r>
    </w:p>
    <w:p>
      <w:pPr>
        <w:pStyle w:val="PermNoteText"/>
      </w:pPr>
      <w:r>
        <w:tab/>
      </w:r>
      <w:r>
        <w:tab/>
        <w:t>See regulation 126A(1) for the circumstances in which an educator may be absent from a centre</w:t>
      </w:r>
      <w:r>
        <w:noBreakHyphen/>
        <w:t>based service.</w:t>
      </w:r>
    </w:p>
    <w:p>
      <w:pPr>
        <w:pStyle w:val="Footnotesection"/>
      </w:pPr>
      <w:r>
        <w:tab/>
        <w:t>[Regulation 152A inserted: SL 2023/71 r. 15.]</w:t>
      </w:r>
    </w:p>
    <w:p>
      <w:pPr>
        <w:pStyle w:val="Heading5"/>
      </w:pPr>
      <w:bookmarkStart w:id="323" w:name="_Toc163818126"/>
      <w:r>
        <w:rPr>
          <w:rStyle w:val="CharSectno"/>
        </w:rPr>
        <w:t>152B</w:t>
      </w:r>
      <w:r>
        <w:t>.</w:t>
      </w:r>
      <w:r>
        <w:tab/>
        <w:t>Record of replacement of early childhood teacher or suitably qualified person</w:t>
      </w:r>
      <w:bookmarkEnd w:id="323"/>
    </w:p>
    <w:p>
      <w:pPr>
        <w:pStyle w:val="Subsection"/>
        <w:keepNext/>
      </w:pPr>
      <w:r>
        <w:tab/>
      </w:r>
      <w:r>
        <w:tab/>
        <w:t>The approved provider of a centre</w:t>
      </w:r>
      <w:r>
        <w:noBreakHyphen/>
        <w:t xml:space="preserve">based service must keep a record of an early childhood teacher or a suitably qualified </w:t>
      </w:r>
      <w:r>
        <w:lastRenderedPageBreak/>
        <w:t xml:space="preserve">person who is replaced in accordance with regulation 135(1) or (2) that includes the following information — </w:t>
      </w:r>
    </w:p>
    <w:p>
      <w:pPr>
        <w:pStyle w:val="Indenta"/>
      </w:pPr>
      <w:r>
        <w:tab/>
        <w:t>(a)</w:t>
      </w:r>
      <w:r>
        <w:tab/>
        <w:t>the full name of the early childhood teacher or the suitably qualified person;</w:t>
      </w:r>
    </w:p>
    <w:p>
      <w:pPr>
        <w:pStyle w:val="Indenta"/>
      </w:pPr>
      <w:r>
        <w:tab/>
        <w:t>(b)</w:t>
      </w:r>
      <w:r>
        <w:tab/>
        <w:t>whether the person who is replaced is an early childhood teacher or suitably qualified person at the service;</w:t>
      </w:r>
    </w:p>
    <w:p>
      <w:pPr>
        <w:pStyle w:val="Indenta"/>
      </w:pPr>
      <w:r>
        <w:tab/>
        <w:t>(c)</w:t>
      </w:r>
      <w:r>
        <w:tab/>
        <w:t>the qualification of the person who replaced the early childhood teacher or the suitably qualified person (as the case may be);</w:t>
      </w:r>
    </w:p>
    <w:p>
      <w:pPr>
        <w:pStyle w:val="Indenta"/>
      </w:pPr>
      <w:r>
        <w:tab/>
        <w:t>(d)</w:t>
      </w:r>
      <w:r>
        <w:tab/>
        <w:t>the dates on which the early childhood teacher or the suitably qualified person was replaced;</w:t>
      </w:r>
    </w:p>
    <w:p>
      <w:pPr>
        <w:pStyle w:val="Indenta"/>
      </w:pPr>
      <w:r>
        <w:tab/>
        <w:t>(e)</w:t>
      </w:r>
      <w:r>
        <w:tab/>
        <w:t>the reason for the early childhood teacher’s or the suitably qualified person’s absence.</w:t>
      </w:r>
    </w:p>
    <w:p>
      <w:pPr>
        <w:pStyle w:val="PermNoteHeading"/>
      </w:pPr>
      <w:r>
        <w:tab/>
        <w:t>Note for this regulation:</w:t>
      </w:r>
    </w:p>
    <w:p>
      <w:pPr>
        <w:pStyle w:val="PermNoteText"/>
      </w:pPr>
      <w:r>
        <w:tab/>
      </w:r>
      <w:r>
        <w:tab/>
        <w:t>See regulation 135(6) for the circumstances in which an early childhood teacher or a suitably qualified person may be absent from a centre</w:t>
      </w:r>
      <w:r>
        <w:noBreakHyphen/>
        <w:t>based service.</w:t>
      </w:r>
    </w:p>
    <w:p>
      <w:pPr>
        <w:pStyle w:val="Footnotesection"/>
      </w:pPr>
      <w:r>
        <w:tab/>
        <w:t>[Regulation 152B inserted: SL 2023/71 r. 15.]</w:t>
      </w:r>
    </w:p>
    <w:p>
      <w:pPr>
        <w:pStyle w:val="Heading4"/>
      </w:pPr>
      <w:bookmarkStart w:id="324" w:name="_Toc163809477"/>
      <w:bookmarkStart w:id="325" w:name="_Toc163810610"/>
      <w:bookmarkStart w:id="326" w:name="_Toc163818127"/>
      <w:r>
        <w:t>Division 10 — Register of family day care educators, co</w:t>
      </w:r>
      <w:r>
        <w:noBreakHyphen/>
        <w:t>ordinators and assistants and records of family day care service</w:t>
      </w:r>
      <w:bookmarkEnd w:id="324"/>
      <w:bookmarkEnd w:id="325"/>
      <w:bookmarkEnd w:id="326"/>
    </w:p>
    <w:p>
      <w:pPr>
        <w:pStyle w:val="Footnoteheading"/>
        <w:keepNext/>
      </w:pPr>
      <w:r>
        <w:tab/>
        <w:t>[Heading amended: Gazette 28 Sep 2018 p. 3632.]</w:t>
      </w:r>
    </w:p>
    <w:p>
      <w:pPr>
        <w:pStyle w:val="Heading5"/>
      </w:pPr>
      <w:bookmarkStart w:id="327" w:name="_Toc163818128"/>
      <w:r>
        <w:rPr>
          <w:rStyle w:val="CharSectno"/>
        </w:rPr>
        <w:t>153</w:t>
      </w:r>
      <w:r>
        <w:t>.</w:t>
      </w:r>
      <w:r>
        <w:tab/>
        <w:t>Register of family day care educators, co-ordinators and educator assistants</w:t>
      </w:r>
      <w:bookmarkEnd w:id="327"/>
    </w:p>
    <w:p>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 xml:space="preserve">the address of the residence or approved family day care venue where the educator will be providing education </w:t>
      </w:r>
      <w:r>
        <w:lastRenderedPageBreak/>
        <w:t>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keepNext/>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 xml:space="preserve">if the service is located in a jurisdiction with a working with children law or a working with vulnerable people law, the identifying number of the current check conducted under that law and </w:t>
      </w:r>
      <w:r>
        <w:lastRenderedPageBreak/>
        <w:t>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keepNext/>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keepNext/>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 xml:space="preserve">the identifying number of the current working with children check, current working with children card, current working with vulnerable </w:t>
      </w:r>
      <w:r>
        <w:lastRenderedPageBreak/>
        <w:t>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keepNext/>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lastRenderedPageBreak/>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keepNext/>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lastRenderedPageBreak/>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lastRenderedPageBreak/>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keepNext/>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 xml:space="preserve">ordinator or a family day care educator assistant must be kept on the register until the end of 3 years after the date on which the family day care educator, the </w:t>
      </w:r>
      <w:r>
        <w:lastRenderedPageBreak/>
        <w:t>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328" w:name="_Toc163818129"/>
      <w:r>
        <w:rPr>
          <w:rStyle w:val="CharSectno"/>
        </w:rPr>
        <w:t>154</w:t>
      </w:r>
      <w:r>
        <w:t>.</w:t>
      </w:r>
      <w:r>
        <w:tab/>
        <w:t>Record of staff engaged or employed by family day care service</w:t>
      </w:r>
      <w:bookmarkEnd w:id="328"/>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keepNext/>
      </w:pPr>
      <w:r>
        <w:tab/>
        <w:t>[(e)</w:t>
      </w:r>
      <w:r>
        <w:tab/>
        <w:t>deleted]</w:t>
      </w:r>
    </w:p>
    <w:p>
      <w:pPr>
        <w:pStyle w:val="Footnotesection"/>
      </w:pPr>
      <w:r>
        <w:tab/>
        <w:t>[Regulation 154 amended: Gazette 28 Sep 2018 p. 3638</w:t>
      </w:r>
      <w:r>
        <w:noBreakHyphen/>
        <w:t>9.]</w:t>
      </w:r>
    </w:p>
    <w:p>
      <w:pPr>
        <w:pStyle w:val="Heading3"/>
      </w:pPr>
      <w:bookmarkStart w:id="329" w:name="_Toc163809480"/>
      <w:bookmarkStart w:id="330" w:name="_Toc163810613"/>
      <w:bookmarkStart w:id="331" w:name="_Toc163818130"/>
      <w:r>
        <w:rPr>
          <w:rStyle w:val="CharDivNo"/>
        </w:rPr>
        <w:t>Part 4.5</w:t>
      </w:r>
      <w:r>
        <w:t> — </w:t>
      </w:r>
      <w:r>
        <w:rPr>
          <w:rStyle w:val="CharDivText"/>
        </w:rPr>
        <w:t>Relationships with children</w:t>
      </w:r>
      <w:bookmarkEnd w:id="329"/>
      <w:bookmarkEnd w:id="330"/>
      <w:bookmarkEnd w:id="331"/>
    </w:p>
    <w:p>
      <w:pPr>
        <w:pStyle w:val="Heading5"/>
      </w:pPr>
      <w:bookmarkStart w:id="332" w:name="_Toc163818131"/>
      <w:r>
        <w:rPr>
          <w:rStyle w:val="CharSectno"/>
        </w:rPr>
        <w:t>155</w:t>
      </w:r>
      <w:r>
        <w:t>.</w:t>
      </w:r>
      <w:r>
        <w:tab/>
        <w:t>Interactions with children</w:t>
      </w:r>
      <w:bookmarkEnd w:id="332"/>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lastRenderedPageBreak/>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333" w:name="_Toc163818132"/>
      <w:r>
        <w:rPr>
          <w:rStyle w:val="CharSectno"/>
        </w:rPr>
        <w:t>156</w:t>
      </w:r>
      <w:r>
        <w:t>.</w:t>
      </w:r>
      <w:r>
        <w:tab/>
        <w:t>Relationships in groups</w:t>
      </w:r>
      <w:bookmarkEnd w:id="333"/>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keepNext/>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334" w:name="_Toc163809483"/>
      <w:bookmarkStart w:id="335" w:name="_Toc163810616"/>
      <w:bookmarkStart w:id="336" w:name="_Toc163818133"/>
      <w:r>
        <w:rPr>
          <w:rStyle w:val="CharDivNo"/>
        </w:rPr>
        <w:t>Part 4.6</w:t>
      </w:r>
      <w:r>
        <w:t> — </w:t>
      </w:r>
      <w:r>
        <w:rPr>
          <w:rStyle w:val="CharDivText"/>
        </w:rPr>
        <w:t>Collaborative partnerships with families and communities</w:t>
      </w:r>
      <w:bookmarkEnd w:id="334"/>
      <w:bookmarkEnd w:id="335"/>
      <w:bookmarkEnd w:id="336"/>
    </w:p>
    <w:p>
      <w:pPr>
        <w:pStyle w:val="Heading5"/>
      </w:pPr>
      <w:bookmarkStart w:id="337" w:name="_Toc163818134"/>
      <w:r>
        <w:rPr>
          <w:rStyle w:val="CharSectno"/>
        </w:rPr>
        <w:t>157</w:t>
      </w:r>
      <w:r>
        <w:t>.</w:t>
      </w:r>
      <w:r>
        <w:tab/>
        <w:t>Access for parents</w:t>
      </w:r>
      <w:bookmarkEnd w:id="337"/>
      <w:r>
        <w:t xml:space="preserve"> </w:t>
      </w:r>
    </w:p>
    <w:p>
      <w:pPr>
        <w:pStyle w:val="Subsection"/>
        <w:keepNext/>
      </w:pPr>
      <w:r>
        <w:tab/>
        <w:t>(1)</w:t>
      </w:r>
      <w:r>
        <w:tab/>
        <w:t xml:space="preserve">The approved provider of an education and care service must ensure that a parent of a child being educated and cared for by the service may enter the education and care service premises at </w:t>
      </w:r>
      <w:r>
        <w:lastRenderedPageBreak/>
        <w:t>any time that the child is being educated and cared for by the service.</w:t>
      </w:r>
    </w:p>
    <w:p>
      <w:pPr>
        <w:pStyle w:val="Penstart"/>
      </w:pPr>
      <w:r>
        <w:tab/>
        <w:t>Penalty: $1100.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$1100.</w:t>
      </w:r>
    </w:p>
    <w:p>
      <w:pPr>
        <w:pStyle w:val="Subsection"/>
        <w:keepNext/>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keepNext/>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keepNext/>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 xml:space="preserve">Other regulations also relate to collaboration with families including requirements to give information about educational programs to </w:t>
      </w:r>
      <w:r>
        <w:lastRenderedPageBreak/>
        <w:t>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 SL 2023/186 r. 45(1).]</w:t>
      </w:r>
    </w:p>
    <w:p>
      <w:pPr>
        <w:pStyle w:val="Heading3"/>
      </w:pPr>
      <w:bookmarkStart w:id="338" w:name="_Toc163809485"/>
      <w:bookmarkStart w:id="339" w:name="_Toc163810618"/>
      <w:bookmarkStart w:id="340" w:name="_Toc163818135"/>
      <w:r>
        <w:rPr>
          <w:rStyle w:val="CharDivNo"/>
        </w:rPr>
        <w:t>Part 4.7</w:t>
      </w:r>
      <w:r>
        <w:t> — </w:t>
      </w:r>
      <w:r>
        <w:rPr>
          <w:rStyle w:val="CharDivText"/>
        </w:rPr>
        <w:t>Governance and leadership</w:t>
      </w:r>
      <w:bookmarkEnd w:id="338"/>
      <w:bookmarkEnd w:id="339"/>
      <w:bookmarkEnd w:id="340"/>
    </w:p>
    <w:p>
      <w:pPr>
        <w:pStyle w:val="Footnoteheading"/>
        <w:keepNext/>
      </w:pPr>
      <w:r>
        <w:tab/>
        <w:t>[Heading inserted: Gazette 26 Jun 2018 p. 2359.]</w:t>
      </w:r>
    </w:p>
    <w:p>
      <w:pPr>
        <w:pStyle w:val="Heading4"/>
      </w:pPr>
      <w:bookmarkStart w:id="341" w:name="_Toc163809486"/>
      <w:bookmarkStart w:id="342" w:name="_Toc163810619"/>
      <w:bookmarkStart w:id="343" w:name="_Toc163818136"/>
      <w:r>
        <w:t>Division 1 — Management of services</w:t>
      </w:r>
      <w:bookmarkEnd w:id="341"/>
      <w:bookmarkEnd w:id="342"/>
      <w:bookmarkEnd w:id="343"/>
    </w:p>
    <w:p>
      <w:pPr>
        <w:pStyle w:val="MiscellaneousHeading"/>
        <w:spacing w:before="200"/>
        <w:rPr>
          <w:b/>
        </w:rPr>
      </w:pPr>
      <w:r>
        <w:rPr>
          <w:b/>
        </w:rPr>
        <w:t>Subdivision 1 — Attendance and enrolment records</w:t>
      </w:r>
    </w:p>
    <w:p>
      <w:pPr>
        <w:pStyle w:val="Heading5"/>
      </w:pPr>
      <w:bookmarkStart w:id="344" w:name="_Toc163818137"/>
      <w:r>
        <w:rPr>
          <w:rStyle w:val="CharSectno"/>
        </w:rPr>
        <w:t>158</w:t>
      </w:r>
      <w:r>
        <w:t>.</w:t>
      </w:r>
      <w:r>
        <w:tab/>
        <w:t>Children’s attendance record to be kept by approved provider</w:t>
      </w:r>
      <w:bookmarkEnd w:id="344"/>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keepNext/>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keepNext/>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345" w:name="_Toc163818138"/>
      <w:r>
        <w:rPr>
          <w:rStyle w:val="CharSectno"/>
        </w:rPr>
        <w:lastRenderedPageBreak/>
        <w:t>159</w:t>
      </w:r>
      <w:r>
        <w:t>.</w:t>
      </w:r>
      <w:r>
        <w:tab/>
        <w:t>Children’s attendance record to be kept by family day care educator</w:t>
      </w:r>
      <w:bookmarkEnd w:id="345"/>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346" w:name="_Toc163818139"/>
      <w:r>
        <w:rPr>
          <w:rStyle w:val="CharSectno"/>
        </w:rPr>
        <w:t>160</w:t>
      </w:r>
      <w:r>
        <w:t>.</w:t>
      </w:r>
      <w:r>
        <w:tab/>
        <w:t>Child enrolment records to be kept by approved provider and family day care educator</w:t>
      </w:r>
      <w:bookmarkEnd w:id="346"/>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keepNext/>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lastRenderedPageBreak/>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lastRenderedPageBreak/>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keepNex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347" w:name="_Toc163818140"/>
      <w:r>
        <w:rPr>
          <w:rStyle w:val="CharSectno"/>
        </w:rPr>
        <w:t>161</w:t>
      </w:r>
      <w:r>
        <w:t>.</w:t>
      </w:r>
      <w:r>
        <w:tab/>
        <w:t>Authorisations to be kept in enrolment record</w:t>
      </w:r>
      <w:bookmarkEnd w:id="347"/>
      <w:r>
        <w:t xml:space="preserve"> </w:t>
      </w:r>
    </w:p>
    <w:p>
      <w:pPr>
        <w:pStyle w:val="Subsection"/>
        <w:keepNext/>
      </w:pPr>
      <w:r>
        <w:tab/>
        <w:t>(1)</w:t>
      </w:r>
      <w:r>
        <w:tab/>
        <w:t xml:space="preserve">The authorisations to be kept in the enrolment record for each child enrolled at an education and care service are — </w:t>
      </w:r>
    </w:p>
    <w:p>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keepNext/>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lastRenderedPageBreak/>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keepNext/>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348" w:name="_Toc163818141"/>
      <w:r>
        <w:rPr>
          <w:rStyle w:val="CharSectno"/>
        </w:rPr>
        <w:t>162</w:t>
      </w:r>
      <w:r>
        <w:t>.</w:t>
      </w:r>
      <w:r>
        <w:tab/>
        <w:t>Health information to be kept in enrolment record</w:t>
      </w:r>
      <w:bookmarkEnd w:id="348"/>
      <w:r>
        <w:t xml:space="preserve"> </w:t>
      </w:r>
    </w:p>
    <w:p>
      <w:pPr>
        <w:pStyle w:val="Subsection"/>
        <w:keepNext/>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keepNext/>
      </w:pPr>
      <w:r>
        <w:lastRenderedPageBreak/>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lastRenderedPageBreak/>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349" w:name="_Toc163818142"/>
      <w:r>
        <w:rPr>
          <w:rStyle w:val="CharSectno"/>
        </w:rPr>
        <w:t>163</w:t>
      </w:r>
      <w:r>
        <w:t>.</w:t>
      </w:r>
      <w:r>
        <w:tab/>
        <w:t>Residents at family day care residence and family day care educator assistants to be fit and proper persons</w:t>
      </w:r>
      <w:bookmarkEnd w:id="349"/>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keepNext/>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keepNext/>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lastRenderedPageBreak/>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keepNext/>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keepNext/>
        <w:spacing w:before="60"/>
      </w:pPr>
      <w:r>
        <w:tab/>
        <w:t>(b)</w:t>
      </w:r>
      <w:r>
        <w:tab/>
        <w:t xml:space="preserve">has applied for a working with children check or working with children card — </w:t>
      </w:r>
    </w:p>
    <w:p>
      <w:pPr>
        <w:pStyle w:val="Subsection"/>
        <w:keepNext/>
        <w:spacing w:before="120"/>
      </w:pPr>
      <w:r>
        <w:tab/>
      </w:r>
      <w:r>
        <w:tab/>
        <w:t>the person is taken to hold the check or card until the application is determined.</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350" w:name="_Toc163818143"/>
      <w:r>
        <w:rPr>
          <w:rStyle w:val="CharSectno"/>
        </w:rPr>
        <w:t>164</w:t>
      </w:r>
      <w:r>
        <w:t>.</w:t>
      </w:r>
      <w:r>
        <w:tab/>
        <w:t>Requirement for notice in relation to persons at residence</w:t>
      </w:r>
      <w:bookmarkEnd w:id="350"/>
    </w:p>
    <w:p>
      <w:pPr>
        <w:pStyle w:val="Subsection"/>
        <w:keepNext/>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lastRenderedPageBreak/>
        <w:tab/>
        <w:t>(b)</w:t>
      </w:r>
      <w:r>
        <w:tab/>
        <w:t>any circumstance relating to a person who resides, or intends to reside, at the educator’s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keepNext/>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keepNext/>
      </w:pPr>
      <w:r>
        <w:tab/>
        <w:t>Penalty: $2000.</w:t>
      </w:r>
    </w:p>
    <w:p>
      <w:pPr>
        <w:pStyle w:val="PermNoteHeading"/>
      </w:pPr>
      <w:r>
        <w:tab/>
        <w:t>Note for this regulation:</w:t>
      </w:r>
    </w:p>
    <w:p>
      <w:pPr>
        <w:pStyle w:val="PermNoteText"/>
        <w:keepNext/>
      </w:pPr>
      <w:r>
        <w:tab/>
      </w:r>
      <w:r>
        <w:tab/>
        <w:t>A compliance direction may be issued for failure to comply with subregulation (1).</w:t>
      </w:r>
    </w:p>
    <w:p>
      <w:pPr>
        <w:pStyle w:val="Subsection"/>
      </w:pPr>
      <w:r>
        <w:tab/>
        <w:t>(3)</w:t>
      </w:r>
      <w:r>
        <w:tab/>
        <w:t xml:space="preserve">For the purposes of subregulations (1)(b) and (2)(b), a circumstance that may affect whether a person is a fit and proper person to be in the company of children includes any of the following — </w:t>
      </w:r>
    </w:p>
    <w:p>
      <w:pPr>
        <w:pStyle w:val="Indenta"/>
      </w:pPr>
      <w:r>
        <w:tab/>
        <w:t>(a)</w:t>
      </w:r>
      <w:r>
        <w:tab/>
        <w:t>the person is charged with or convicted of any of the following —</w:t>
      </w:r>
    </w:p>
    <w:p>
      <w:pPr>
        <w:pStyle w:val="Indenti"/>
      </w:pPr>
      <w:r>
        <w:tab/>
        <w:t>(i)</w:t>
      </w:r>
      <w:r>
        <w:tab/>
        <w:t>an offence of a sexual nature;</w:t>
      </w:r>
    </w:p>
    <w:p>
      <w:pPr>
        <w:pStyle w:val="Indenti"/>
      </w:pPr>
      <w:r>
        <w:tab/>
        <w:t>(ii)</w:t>
      </w:r>
      <w:r>
        <w:tab/>
        <w:t>an offence of a violent nature;</w:t>
      </w:r>
    </w:p>
    <w:p>
      <w:pPr>
        <w:pStyle w:val="Indenti"/>
      </w:pPr>
      <w:r>
        <w:tab/>
        <w:t>(iii)</w:t>
      </w:r>
      <w:r>
        <w:tab/>
        <w:t>an offence involving drugs;</w:t>
      </w:r>
    </w:p>
    <w:p>
      <w:pPr>
        <w:pStyle w:val="Indenti"/>
      </w:pPr>
      <w:r>
        <w:tab/>
        <w:t>(iv)</w:t>
      </w:r>
      <w:r>
        <w:tab/>
        <w:t>an offence involving a weapon;</w:t>
      </w:r>
    </w:p>
    <w:p>
      <w:pPr>
        <w:pStyle w:val="Indenta"/>
      </w:pPr>
      <w:r>
        <w:tab/>
        <w:t>(b)</w:t>
      </w:r>
      <w:r>
        <w:tab/>
        <w:t>the rejection of the person’s application for any of the following, or the revocation or suspension of any of the following held by the person —</w:t>
      </w:r>
    </w:p>
    <w:p>
      <w:pPr>
        <w:pStyle w:val="Indenti"/>
      </w:pPr>
      <w:r>
        <w:tab/>
        <w:t>(i)</w:t>
      </w:r>
      <w:r>
        <w:tab/>
        <w:t>a working with vulnerable people check;</w:t>
      </w:r>
    </w:p>
    <w:p>
      <w:pPr>
        <w:pStyle w:val="Indenti"/>
      </w:pPr>
      <w:r>
        <w:lastRenderedPageBreak/>
        <w:tab/>
        <w:t>(ii)</w:t>
      </w:r>
      <w:r>
        <w:tab/>
        <w:t>a working with vulnerable people registration;</w:t>
      </w:r>
    </w:p>
    <w:p>
      <w:pPr>
        <w:pStyle w:val="Indenti"/>
      </w:pPr>
      <w:r>
        <w:tab/>
        <w:t>(iii)</w:t>
      </w:r>
      <w:r>
        <w:tab/>
        <w:t>a working with children check;</w:t>
      </w:r>
    </w:p>
    <w:p>
      <w:pPr>
        <w:pStyle w:val="Indenti"/>
      </w:pPr>
      <w:r>
        <w:tab/>
        <w:t>(iv)</w:t>
      </w:r>
      <w:r>
        <w:tab/>
        <w:t>a working with children card;</w:t>
      </w:r>
    </w:p>
    <w:p>
      <w:pPr>
        <w:pStyle w:val="Indenta"/>
      </w:pPr>
      <w:r>
        <w:tab/>
        <w:t>(c)</w:t>
      </w:r>
      <w:r>
        <w:tab/>
        <w:t>the person is prohibited from working with children.</w:t>
      </w:r>
    </w:p>
    <w:p>
      <w:pPr>
        <w:pStyle w:val="Subsection"/>
      </w:pPr>
      <w:r>
        <w:tab/>
        <w:t>(4)</w:t>
      </w:r>
      <w:r>
        <w:tab/>
        <w:t>A person who provides notification under subregulation (1)(b) or (2)(b) is not required to provide specific details of the circumstance that they consider may affect whether a person is a fit and proper person to be in the company of children.</w:t>
      </w:r>
    </w:p>
    <w:p>
      <w:pPr>
        <w:pStyle w:val="Footnotesection"/>
        <w:spacing w:before="100"/>
      </w:pPr>
      <w:r>
        <w:tab/>
        <w:t>[Regulation 164 amended: Gazette 28 Sep 2018 p. 3640</w:t>
      </w:r>
      <w:r>
        <w:noBreakHyphen/>
        <w:t>1; SL 2023/186 r. 27.]</w:t>
      </w:r>
    </w:p>
    <w:p>
      <w:pPr>
        <w:pStyle w:val="Heading5"/>
      </w:pPr>
      <w:bookmarkStart w:id="351" w:name="_Toc163818144"/>
      <w:r>
        <w:rPr>
          <w:rStyle w:val="CharSectno"/>
        </w:rPr>
        <w:t>165</w:t>
      </w:r>
      <w:r>
        <w:t>.</w:t>
      </w:r>
      <w:r>
        <w:tab/>
        <w:t>Record of visitors</w:t>
      </w:r>
      <w:bookmarkEnd w:id="351"/>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352" w:name="_Toc163818145"/>
      <w:r>
        <w:rPr>
          <w:rStyle w:val="CharSectno"/>
        </w:rPr>
        <w:t>166</w:t>
      </w:r>
      <w:r>
        <w:t>.</w:t>
      </w:r>
      <w:r>
        <w:tab/>
        <w:t>Children not to be alone with visitors</w:t>
      </w:r>
      <w:bookmarkEnd w:id="352"/>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lastRenderedPageBreak/>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rPr>
      </w:pPr>
      <w:r>
        <w:rPr>
          <w:b/>
        </w:rPr>
        <w:t>Subdivision 3 — Record of service’s compliance</w:t>
      </w:r>
    </w:p>
    <w:p>
      <w:pPr>
        <w:pStyle w:val="Heading5"/>
      </w:pPr>
      <w:bookmarkStart w:id="353" w:name="_Toc163818146"/>
      <w:r>
        <w:rPr>
          <w:rStyle w:val="CharSectno"/>
        </w:rPr>
        <w:t>167</w:t>
      </w:r>
      <w:r>
        <w:t>.</w:t>
      </w:r>
      <w:r>
        <w:tab/>
        <w:t>Record of service’s compliance</w:t>
      </w:r>
      <w:bookmarkEnd w:id="353"/>
      <w:r>
        <w:t xml:space="preserve"> </w:t>
      </w:r>
    </w:p>
    <w:p>
      <w:pPr>
        <w:pStyle w:val="Subsection"/>
        <w:keepNext/>
      </w:pPr>
      <w:r>
        <w:tab/>
        <w:t>(1)</w:t>
      </w:r>
      <w:r>
        <w:tab/>
        <w:t xml:space="preserve">Subject to subregulations (2) and (3), the record of the service’s compliance must include the following information — </w:t>
      </w:r>
    </w:p>
    <w:p>
      <w:pPr>
        <w:pStyle w:val="Indenta"/>
        <w:keepNext/>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keepNext/>
      </w:pPr>
      <w:r>
        <w:lastRenderedPageBreak/>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keepNext/>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354" w:name="_Toc163809497"/>
      <w:bookmarkStart w:id="355" w:name="_Toc163810630"/>
      <w:bookmarkStart w:id="356" w:name="_Toc163818147"/>
      <w:r>
        <w:t>Division 2 — Policies and procedures</w:t>
      </w:r>
      <w:bookmarkEnd w:id="354"/>
      <w:bookmarkEnd w:id="355"/>
      <w:bookmarkEnd w:id="356"/>
    </w:p>
    <w:p>
      <w:pPr>
        <w:pStyle w:val="Heading5"/>
      </w:pPr>
      <w:bookmarkStart w:id="357" w:name="_Toc163818148"/>
      <w:r>
        <w:rPr>
          <w:rStyle w:val="CharSectno"/>
        </w:rPr>
        <w:t>168</w:t>
      </w:r>
      <w:r>
        <w:t>.</w:t>
      </w:r>
      <w:r>
        <w:tab/>
        <w:t>Education and care service must have policies and procedures</w:t>
      </w:r>
      <w:bookmarkEnd w:id="357"/>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$1100.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keepNext/>
      </w:pPr>
      <w:r>
        <w:lastRenderedPageBreak/>
        <w:tab/>
        <w:t>(2)</w:t>
      </w:r>
      <w:r>
        <w:tab/>
        <w:t xml:space="preserve">Policies and procedures are required in relation to the following — </w:t>
      </w:r>
    </w:p>
    <w:p>
      <w:pPr>
        <w:pStyle w:val="Indenta"/>
        <w:keepNext/>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 including the matters set out in regulation 84B;</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keepNext/>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 xml:space="preserve">if the service transports or arranges transportation of children other than as part of excursions, transportation </w:t>
      </w:r>
      <w:r>
        <w:lastRenderedPageBreak/>
        <w:t>including procedures complying with Chapter 4 Part 4.2 Division 7;</w:t>
      </w:r>
    </w:p>
    <w:p>
      <w:pPr>
        <w:pStyle w:val="Indenta"/>
      </w:pPr>
      <w:r>
        <w:tab/>
        <w:t>(gb)</w:t>
      </w:r>
      <w:r>
        <w:tab/>
        <w:t>the safe arrival of children who travel between an education and care service and any other education or early childhood service within the meaning of regulation 102AA, including the matters set out in regulation 102AAB;</w:t>
      </w:r>
    </w:p>
    <w:p>
      <w:pPr>
        <w:pStyle w:val="Indenta"/>
      </w:pPr>
      <w:r>
        <w:tab/>
        <w:t>(h)</w:t>
      </w:r>
      <w:r>
        <w:tab/>
        <w:t>providing a child safe environment, including matters relating to —</w:t>
      </w:r>
    </w:p>
    <w:p>
      <w:pPr>
        <w:pStyle w:val="Indenti"/>
      </w:pPr>
      <w:r>
        <w:tab/>
        <w:t>(i)</w:t>
      </w:r>
      <w:r>
        <w:tab/>
        <w:t>the promotion of a culture of child safety and wellbeing within the service; and</w:t>
      </w:r>
    </w:p>
    <w:p>
      <w:pPr>
        <w:pStyle w:val="Indenti"/>
      </w:pPr>
      <w:r>
        <w:tab/>
        <w:t>(ii)</w:t>
      </w:r>
      <w:r>
        <w:tab/>
        <w:t>the safe use of online environments at the service;</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 xml:space="preserve">dealing with complaints, including matters relating to — </w:t>
      </w:r>
    </w:p>
    <w:p>
      <w:pPr>
        <w:pStyle w:val="Indenti"/>
      </w:pPr>
      <w:r>
        <w:tab/>
        <w:t>(i)</w:t>
      </w:r>
      <w:r>
        <w:tab/>
        <w:t>the provision of a complaint handling system at the service that is child focused; and</w:t>
      </w:r>
    </w:p>
    <w:p>
      <w:pPr>
        <w:pStyle w:val="Indenti"/>
      </w:pPr>
      <w:r>
        <w:lastRenderedPageBreak/>
        <w:tab/>
        <w:t>(ii)</w:t>
      </w:r>
      <w:r>
        <w:tab/>
        <w:t>the management of a complaint that alleges a child is exhibiting harmful sexual behaviours.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 SL 2023/186 r. 28.]</w:t>
      </w:r>
    </w:p>
    <w:p>
      <w:pPr>
        <w:pStyle w:val="Heading5"/>
      </w:pPr>
      <w:bookmarkStart w:id="358" w:name="_Toc163818149"/>
      <w:r>
        <w:rPr>
          <w:rStyle w:val="CharSectno"/>
        </w:rPr>
        <w:t>169</w:t>
      </w:r>
      <w:r>
        <w:t>.</w:t>
      </w:r>
      <w:r>
        <w:tab/>
        <w:t>Additional policies and procedures — family day care service</w:t>
      </w:r>
      <w:bookmarkEnd w:id="358"/>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$1100.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 xml:space="preserve">assessment of family day care educators, family day care educator assistants and persons residing at family day </w:t>
      </w:r>
      <w:r>
        <w:lastRenderedPageBreak/>
        <w:t>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 SL 2023/186 r. 45(1).]</w:t>
      </w:r>
    </w:p>
    <w:p>
      <w:pPr>
        <w:pStyle w:val="Heading5"/>
      </w:pPr>
      <w:bookmarkStart w:id="359" w:name="_Toc163818150"/>
      <w:r>
        <w:rPr>
          <w:rStyle w:val="CharSectno"/>
        </w:rPr>
        <w:t>170</w:t>
      </w:r>
      <w:r>
        <w:t>.</w:t>
      </w:r>
      <w:r>
        <w:tab/>
        <w:t>Policies and procedures to be followed</w:t>
      </w:r>
      <w:bookmarkEnd w:id="359"/>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$1100.</w:t>
      </w:r>
    </w:p>
    <w:p>
      <w:pPr>
        <w:pStyle w:val="Subsection"/>
        <w:keepNext/>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keepNext/>
      </w:pPr>
      <w:r>
        <w:tab/>
        <w:t>Penalty: $1100.</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170 amended: Gazette 28 Sep 2018 p. 3642; SL 2023/186 r. 45(1).]</w:t>
      </w:r>
    </w:p>
    <w:p>
      <w:pPr>
        <w:pStyle w:val="Heading5"/>
      </w:pPr>
      <w:bookmarkStart w:id="360" w:name="_Toc163818151"/>
      <w:r>
        <w:rPr>
          <w:rStyle w:val="CharSectno"/>
        </w:rPr>
        <w:lastRenderedPageBreak/>
        <w:t>171</w:t>
      </w:r>
      <w:r>
        <w:t>.</w:t>
      </w:r>
      <w:r>
        <w:tab/>
        <w:t>Policies and procedures to be kept available</w:t>
      </w:r>
      <w:bookmarkEnd w:id="360"/>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$1100.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 SL 2023/186 r. 45(1).]</w:t>
      </w:r>
    </w:p>
    <w:p>
      <w:pPr>
        <w:pStyle w:val="Heading5"/>
      </w:pPr>
      <w:bookmarkStart w:id="361" w:name="_Toc163818152"/>
      <w:r>
        <w:rPr>
          <w:rStyle w:val="CharSectno"/>
        </w:rPr>
        <w:t>172</w:t>
      </w:r>
      <w:r>
        <w:t>.</w:t>
      </w:r>
      <w:r>
        <w:tab/>
        <w:t>Notification of change to policies or procedures</w:t>
      </w:r>
      <w:bookmarkEnd w:id="361"/>
      <w:r>
        <w:t xml:space="preserve"> </w:t>
      </w:r>
    </w:p>
    <w:p>
      <w:pPr>
        <w:pStyle w:val="Subsection"/>
        <w:keepNext/>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 xml:space="preserve">The approved provider of an education and care service must ensure that parents of children enrolled at the service are </w:t>
      </w:r>
      <w:r>
        <w:lastRenderedPageBreak/>
        <w:t>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362" w:name="_Toc163809503"/>
      <w:bookmarkStart w:id="363" w:name="_Toc163810636"/>
      <w:bookmarkStart w:id="364" w:name="_Toc163818153"/>
      <w:r>
        <w:t>Division 3 — Information and record</w:t>
      </w:r>
      <w:r>
        <w:noBreakHyphen/>
        <w:t>keeping requirements</w:t>
      </w:r>
      <w:bookmarkEnd w:id="362"/>
      <w:bookmarkEnd w:id="363"/>
      <w:bookmarkEnd w:id="364"/>
    </w:p>
    <w:p>
      <w:pPr>
        <w:pStyle w:val="MiscellaneousHeading"/>
        <w:spacing w:before="220"/>
        <w:rPr>
          <w:b/>
          <w:bCs/>
        </w:rPr>
      </w:pPr>
      <w:r>
        <w:rPr>
          <w:b/>
          <w:bCs/>
        </w:rPr>
        <w:t>Subdivision 1 — Display and reporting of prescribed information</w:t>
      </w:r>
    </w:p>
    <w:p>
      <w:pPr>
        <w:pStyle w:val="Heading5"/>
      </w:pPr>
      <w:bookmarkStart w:id="365" w:name="_Toc163818154"/>
      <w:r>
        <w:rPr>
          <w:rStyle w:val="CharSectno"/>
        </w:rPr>
        <w:t>173</w:t>
      </w:r>
      <w:r>
        <w:t>.</w:t>
      </w:r>
      <w:r>
        <w:tab/>
        <w:t>Prescribed information to be displayed</w:t>
      </w:r>
      <w:bookmarkEnd w:id="365"/>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keepNext/>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lastRenderedPageBreak/>
        <w:tab/>
        <w:t>(ii)</w:t>
      </w:r>
      <w:r>
        <w:tab/>
        <w:t>the overall rating of the service;</w:t>
      </w:r>
    </w:p>
    <w:p>
      <w:pPr>
        <w:pStyle w:val="Indenta"/>
        <w:keepNext/>
      </w:pPr>
      <w:r>
        <w:tab/>
        <w:t>(e)</w:t>
      </w:r>
      <w:r>
        <w:tab/>
        <w:t xml:space="preserve">in relation to any service waivers or temporary waivers held by the service, the details of the waivers including — </w:t>
      </w:r>
    </w:p>
    <w:p>
      <w:pPr>
        <w:pStyle w:val="Indenti"/>
      </w:pPr>
      <w:r>
        <w:tab/>
        <w:t>(i)</w:t>
      </w:r>
      <w:r>
        <w:tab/>
        <w:t>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keepNext/>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lastRenderedPageBreak/>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$2000.</w:t>
      </w:r>
    </w:p>
    <w:p>
      <w:pPr>
        <w:pStyle w:val="Footnotesection"/>
      </w:pPr>
      <w:r>
        <w:tab/>
        <w:t>[Regulation 173 amended: Gazette 3 Nov 2017 p. 5483</w:t>
      </w:r>
      <w:r>
        <w:noBreakHyphen/>
        <w:t>4; 28 Sep 2018 p. 3642; SL 2021/140 r. 8; SL 2023/186 r. 29.]</w:t>
      </w:r>
    </w:p>
    <w:p>
      <w:pPr>
        <w:pStyle w:val="Heading5"/>
      </w:pPr>
      <w:bookmarkStart w:id="366" w:name="_Toc163818155"/>
      <w:r>
        <w:rPr>
          <w:rStyle w:val="CharSectno"/>
        </w:rPr>
        <w:t>174</w:t>
      </w:r>
      <w:r>
        <w:t>.</w:t>
      </w:r>
      <w:r>
        <w:tab/>
        <w:t>Time to notify certain circumstances to Regulatory Authority</w:t>
      </w:r>
      <w:bookmarkEnd w:id="366"/>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lastRenderedPageBreak/>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367" w:name="_Toc163818156"/>
      <w:r>
        <w:rPr>
          <w:rStyle w:val="CharSectno"/>
        </w:rPr>
        <w:t>174A</w:t>
      </w:r>
      <w:r>
        <w:t>.</w:t>
      </w:r>
      <w:r>
        <w:tab/>
        <w:t>Prescribed information to accompany notice</w:t>
      </w:r>
      <w:bookmarkEnd w:id="367"/>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368" w:name="_Toc163818157"/>
      <w:r>
        <w:rPr>
          <w:rStyle w:val="CharSectno"/>
        </w:rPr>
        <w:t>175</w:t>
      </w:r>
      <w:r>
        <w:t>.</w:t>
      </w:r>
      <w:r>
        <w:tab/>
        <w:t>Prescribed information to be notified to Regulatory Authority</w:t>
      </w:r>
      <w:bookmarkEnd w:id="368"/>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keepNext/>
      </w:pPr>
      <w:r>
        <w:lastRenderedPageBreak/>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pPr>
      <w:r>
        <w:tab/>
        <w:t>(ab)</w:t>
      </w:r>
      <w:r>
        <w:tab/>
        <w:t>in the case of a centre</w:t>
      </w:r>
      <w:r>
        <w:noBreakHyphen/>
        <w:t>based service — any change to the ages of children being educated or cared for by the service;</w:t>
      </w:r>
    </w:p>
    <w:p>
      <w:pPr>
        <w:pStyle w:val="Indenta"/>
      </w:pPr>
      <w:r>
        <w:tab/>
        <w:t>(ac)</w:t>
      </w:r>
      <w:r>
        <w:tab/>
        <w:t>in the case of a centre</w:t>
      </w:r>
      <w:r>
        <w:noBreakHyphen/>
        <w:t>based service — any change to the nature of education and care offered by the service;</w:t>
      </w:r>
    </w:p>
    <w:p>
      <w:pPr>
        <w:pStyle w:val="PermNoteHeading"/>
      </w:pPr>
      <w:r>
        <w:tab/>
        <w:t xml:space="preserve">Example: </w:t>
      </w:r>
    </w:p>
    <w:p>
      <w:pPr>
        <w:pStyle w:val="PermNoteText"/>
      </w:pPr>
      <w:r>
        <w:tab/>
      </w:r>
      <w:r>
        <w:tab/>
        <w:t>If a centre</w:t>
      </w:r>
      <w:r>
        <w:noBreakHyphen/>
        <w:t>based service educates and cares for children over preschool age and the service proposes to offer education and care to children who are preschool age and under.</w:t>
      </w:r>
    </w:p>
    <w:p>
      <w:pPr>
        <w:pStyle w:val="Indenta"/>
        <w:keepNext/>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lastRenderedPageBreak/>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pPr>
        <w:pStyle w:val="Indenta"/>
      </w:pPr>
      <w:r>
        <w:tab/>
        <w:t>(g)</w:t>
      </w:r>
      <w:r>
        <w:tab/>
        <w:t>for a centre</w:t>
      </w:r>
      <w:r>
        <w:noBreakHyphen/>
        <w:t>based service that stops providing, or arranging for, regular transportation of children — the final time the service provides, or arranges for, the transportation of children.</w:t>
      </w:r>
    </w:p>
    <w:p>
      <w:pPr>
        <w:pStyle w:val="Footnotesection"/>
      </w:pPr>
      <w:r>
        <w:tab/>
        <w:t>[Regulation 175 amended: Gazette 13 Dec 2013 p.</w:t>
      </w:r>
      <w:r>
        <w:rPr>
          <w:sz w:val="19"/>
        </w:rPr>
        <w:t> </w:t>
      </w:r>
      <w:r>
        <w:t>6166; 28 Sep 2018 p. 3644; SL 2023/15 r. 6; SL 2023/186 r. 30.]</w:t>
      </w:r>
    </w:p>
    <w:p>
      <w:pPr>
        <w:pStyle w:val="Heading5"/>
      </w:pPr>
      <w:bookmarkStart w:id="369" w:name="_Toc163818158"/>
      <w:r>
        <w:rPr>
          <w:rStyle w:val="CharSectno"/>
        </w:rPr>
        <w:t>176</w:t>
      </w:r>
      <w:r>
        <w:t>.</w:t>
      </w:r>
      <w:r>
        <w:tab/>
        <w:t>Time to notify certain information to Regulatory Authority</w:t>
      </w:r>
      <w:bookmarkEnd w:id="369"/>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lastRenderedPageBreak/>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keepNext/>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rPr>
      </w:pPr>
      <w:r>
        <w:rPr>
          <w:b/>
        </w:rPr>
        <w:t>Subdivision 2 — Prescribed records</w:t>
      </w:r>
    </w:p>
    <w:p>
      <w:pPr>
        <w:pStyle w:val="Heading5"/>
      </w:pPr>
      <w:bookmarkStart w:id="370" w:name="_Toc163818159"/>
      <w:r>
        <w:rPr>
          <w:rStyle w:val="CharSectno"/>
        </w:rPr>
        <w:t>176A</w:t>
      </w:r>
      <w:r>
        <w:t>.</w:t>
      </w:r>
      <w:r>
        <w:tab/>
        <w:t>Prescribed information to be notified to approved provider by family day care educator</w:t>
      </w:r>
      <w:bookmarkEnd w:id="370"/>
    </w:p>
    <w:p>
      <w:pPr>
        <w:pStyle w:val="Subsection"/>
      </w:pPr>
      <w:r>
        <w:tab/>
        <w:t>(1)</w:t>
      </w:r>
      <w:r>
        <w:tab/>
        <w:t xml:space="preserve">For the purposes of section 174A(c) of the Law, the following matters are prescribed — </w:t>
      </w:r>
    </w:p>
    <w:p>
      <w:pPr>
        <w:pStyle w:val="Indenta"/>
      </w:pPr>
      <w:r>
        <w:tab/>
        <w:t>(a)</w:t>
      </w:r>
      <w:r>
        <w:tab/>
        <w:t>any circumstances arising at the family day care residence that may pose a risk to the health, safety and wellbeing of children attending or likely to attend the family day care residence;</w:t>
      </w:r>
    </w:p>
    <w:p>
      <w:pPr>
        <w:pStyle w:val="Indenta"/>
      </w:pPr>
      <w:r>
        <w:tab/>
        <w:t>(b)</w:t>
      </w:r>
      <w:r>
        <w:tab/>
        <w:t>any circumstances arising at the approved family day care venue that may pose a risk to the health, safety and wellbeing of children attending or likely to attend the family day care venue.</w:t>
      </w:r>
    </w:p>
    <w:p>
      <w:pPr>
        <w:pStyle w:val="Subsection"/>
      </w:pPr>
      <w:r>
        <w:tab/>
        <w:t>(2)</w:t>
      </w:r>
      <w:r>
        <w:tab/>
        <w:t xml:space="preserve">For the purposes of subregulation (1)(a) and (b), relevant circumstances include any of the following — </w:t>
      </w:r>
    </w:p>
    <w:p>
      <w:pPr>
        <w:pStyle w:val="Indenta"/>
      </w:pPr>
      <w:r>
        <w:tab/>
        <w:t>(a)</w:t>
      </w:r>
      <w:r>
        <w:tab/>
        <w:t>any renovations or other changes to the residence or venue;</w:t>
      </w:r>
    </w:p>
    <w:p>
      <w:pPr>
        <w:pStyle w:val="Indenta"/>
      </w:pPr>
      <w:r>
        <w:tab/>
        <w:t>(b)</w:t>
      </w:r>
      <w:r>
        <w:tab/>
        <w:t>an infectious disease outbreak at the residence or venue;</w:t>
      </w:r>
    </w:p>
    <w:p>
      <w:pPr>
        <w:pStyle w:val="Indenta"/>
      </w:pPr>
      <w:r>
        <w:lastRenderedPageBreak/>
        <w:tab/>
        <w:t>(c)</w:t>
      </w:r>
      <w:r>
        <w:tab/>
        <w:t>a bushfire, flood or other natural disaster that may affect the residence or venue.</w:t>
      </w:r>
    </w:p>
    <w:p>
      <w:pPr>
        <w:pStyle w:val="Footnotesection"/>
      </w:pPr>
      <w:r>
        <w:tab/>
        <w:t>[Regulation 176A inserted: SL 2023/186 r. 31.]</w:t>
      </w:r>
    </w:p>
    <w:p>
      <w:pPr>
        <w:pStyle w:val="Heading5"/>
        <w:keepNext w:val="0"/>
      </w:pPr>
      <w:bookmarkStart w:id="371" w:name="_Toc163818160"/>
      <w:r>
        <w:rPr>
          <w:rStyle w:val="CharSectno"/>
        </w:rPr>
        <w:t>177</w:t>
      </w:r>
      <w:r>
        <w:t>.</w:t>
      </w:r>
      <w:r>
        <w:tab/>
        <w:t>Prescribed enrolment and other documents to be kept by approved provider</w:t>
      </w:r>
      <w:bookmarkEnd w:id="371"/>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lastRenderedPageBreak/>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Indenta"/>
      </w:pPr>
      <w:r>
        <w:tab/>
        <w:t>(o)</w:t>
      </w:r>
      <w:r>
        <w:tab/>
        <w:t>in the case of a centre</w:t>
      </w:r>
      <w:r>
        <w:noBreakHyphen/>
        <w:t>based service, a record of children embarking a means of transport at the education and care service premises as set out in regulation 102E(4)(c);</w:t>
      </w:r>
    </w:p>
    <w:p>
      <w:pPr>
        <w:pStyle w:val="Indenta"/>
      </w:pPr>
      <w:r>
        <w:tab/>
        <w:t>(p)</w:t>
      </w:r>
      <w:r>
        <w:tab/>
        <w:t>in the case of a centre</w:t>
      </w:r>
      <w:r>
        <w:noBreakHyphen/>
        <w:t>based service, a record of children disembarking a means of transport at the education and care service premises as set out in regulation 102F(4)(d).</w:t>
      </w:r>
    </w:p>
    <w:p>
      <w:pPr>
        <w:pStyle w:val="Subsection"/>
        <w:keepNext/>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the approved provider of the education and care service must ensure that — </w:t>
      </w:r>
    </w:p>
    <w:p>
      <w:pPr>
        <w:pStyle w:val="Indenta"/>
      </w:pPr>
      <w:r>
        <w:tab/>
        <w:t>(a)</w:t>
      </w:r>
      <w:r>
        <w:tab/>
        <w:t>subject to subregulations (4) and (4A),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lastRenderedPageBreak/>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pPr>
      <w:r>
        <w:tab/>
        <w:t>(4A)</w:t>
      </w:r>
      <w:r>
        <w:tab/>
        <w:t>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w:t>
      </w:r>
    </w:p>
    <w:p>
      <w:pPr>
        <w:pStyle w:val="Subsection"/>
      </w:pPr>
      <w:r>
        <w:tab/>
        <w:t>(4B)</w:t>
      </w:r>
      <w:r>
        <w:tab/>
        <w:t xml:space="preserve">The following persons are specified — </w:t>
      </w:r>
    </w:p>
    <w:p>
      <w:pPr>
        <w:pStyle w:val="Indenta"/>
      </w:pPr>
      <w:r>
        <w:tab/>
        <w:t>(a)</w:t>
      </w:r>
      <w:r>
        <w:tab/>
        <w:t>a parent of a child enrolled at the service, if that person is not the parent making the request under subregulation (3)(a);</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an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(4C)</w:t>
      </w:r>
      <w:r>
        <w:tab/>
        <w:t>A person who has given their written consent under subregulation (4A) may withdraw their consent in writing at any time before the personal information is disclosed.</w:t>
      </w:r>
    </w:p>
    <w:p>
      <w:pPr>
        <w:pStyle w:val="Subsection"/>
        <w:keepNext/>
        <w:spacing w:before="120"/>
      </w:pPr>
      <w:r>
        <w:tab/>
        <w:t>(5)</w:t>
      </w:r>
      <w:r>
        <w:tab/>
        <w:t xml:space="preserve">An approved provider of a family day care service is not required to keep a document set out in subregulation (1) if an </w:t>
      </w:r>
      <w:r>
        <w:lastRenderedPageBreak/>
        <w:t>equivalent record is kept by a family day care educator under regulation 178.</w:t>
      </w:r>
    </w:p>
    <w:p>
      <w:pPr>
        <w:pStyle w:val="Subsection"/>
      </w:pPr>
      <w:r>
        <w:tab/>
        <w:t>(6)</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keepN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 SL 2023/15 r. 7 SL 2023/186 r. 32.]</w:t>
      </w:r>
    </w:p>
    <w:p>
      <w:pPr>
        <w:pStyle w:val="Heading5"/>
      </w:pPr>
      <w:bookmarkStart w:id="372" w:name="_Toc163818161"/>
      <w:r>
        <w:rPr>
          <w:rStyle w:val="CharSectno"/>
        </w:rPr>
        <w:t>178</w:t>
      </w:r>
      <w:r>
        <w:t>.</w:t>
      </w:r>
      <w:r>
        <w:tab/>
        <w:t>Prescribed enrolment and other documents to be kept by family day care educator</w:t>
      </w:r>
      <w:bookmarkEnd w:id="372"/>
      <w:r>
        <w:t xml:space="preserve"> </w:t>
      </w:r>
    </w:p>
    <w:p>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lastRenderedPageBreak/>
        <w:tab/>
        <w:t>(f)</w:t>
      </w:r>
      <w:r>
        <w:tab/>
        <w:t>a record of visitors to the family day care residence or approved family day care venue as set out in regulation 165.</w:t>
      </w:r>
    </w:p>
    <w:p>
      <w:pPr>
        <w:pStyle w:val="Subsection"/>
        <w:keepNext/>
      </w:pPr>
      <w:r>
        <w:tab/>
        <w:t>(2)</w:t>
      </w:r>
      <w:r>
        <w:tab/>
        <w:t>The family day care educator must take reasonable steps to ensure the documents referred to in subregulation (1) are accurate.</w:t>
      </w:r>
    </w:p>
    <w:p>
      <w:pPr>
        <w:pStyle w:val="Penstart"/>
      </w:pPr>
      <w:r>
        <w:tab/>
        <w:t>Penalty: $2000.</w:t>
      </w:r>
    </w:p>
    <w:p>
      <w:pPr>
        <w:pStyle w:val="Subsection"/>
        <w:keepNext/>
      </w:pPr>
      <w:r>
        <w:tab/>
        <w:t>(3)</w:t>
      </w:r>
      <w:r>
        <w:tab/>
        <w:t>Subject to Subdivision 4 and subregulations (4) and (5),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Subsection"/>
      </w:pPr>
      <w:r>
        <w:tab/>
        <w:t>(5)</w:t>
      </w:r>
      <w:r>
        <w:tab/>
        <w:t>Before disclosing to a parent of a child enrolled at the service any personal information relating to a person specified in subregulation (6) that is contained in a document referred to in subregulation (1), the family day care educator must obtain the written consent of the person to whom the personal information relates to the disclosure of that personal information.</w:t>
      </w:r>
    </w:p>
    <w:p>
      <w:pPr>
        <w:pStyle w:val="Subsection"/>
      </w:pPr>
      <w:r>
        <w:tab/>
        <w:t>(6)</w:t>
      </w:r>
      <w:r>
        <w:tab/>
        <w:t xml:space="preserve">The following persons are specified — </w:t>
      </w:r>
    </w:p>
    <w:p>
      <w:pPr>
        <w:pStyle w:val="Indenta"/>
      </w:pPr>
      <w:r>
        <w:tab/>
        <w:t>(a)</w:t>
      </w:r>
      <w:r>
        <w:tab/>
        <w:t>a parent of a child enrolled at the service, if that person is not the parent making the request under subregulation (3);</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lastRenderedPageBreak/>
        <w:tab/>
        <w:t>(d)</w:t>
      </w:r>
      <w:r>
        <w:tab/>
        <w:t>a person who is authorised to consent to medical treatment of, or to authorise administration of medication to, a child enrolled at the service;</w:t>
      </w:r>
    </w:p>
    <w:p>
      <w:pPr>
        <w:pStyle w:val="Indenta"/>
      </w:pPr>
      <w:r>
        <w:tab/>
        <w:t>(e)</w:t>
      </w:r>
      <w:r>
        <w:tab/>
        <w:t>a person who is authorised to authorise a family day care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(7)</w:t>
      </w:r>
      <w:r>
        <w:tab/>
        <w:t>A person who has given their written consent under subregulation (5) may withdraw their consent in writing at any time before the personal information is disclosed.</w:t>
      </w:r>
    </w:p>
    <w:p>
      <w:pPr>
        <w:pStyle w:val="Subsection"/>
      </w:pPr>
      <w:r>
        <w:tab/>
        <w:t>(8)</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Footnotesection"/>
      </w:pPr>
      <w:r>
        <w:tab/>
        <w:t>[Regulation 178 amended: SL 2023/186 r. 33.]</w:t>
      </w:r>
    </w:p>
    <w:p>
      <w:pPr>
        <w:pStyle w:val="Heading5"/>
      </w:pPr>
      <w:bookmarkStart w:id="373" w:name="_Toc163818162"/>
      <w:r>
        <w:rPr>
          <w:rStyle w:val="CharSectno"/>
        </w:rPr>
        <w:t>179</w:t>
      </w:r>
      <w:r>
        <w:t>.</w:t>
      </w:r>
      <w:r>
        <w:tab/>
        <w:t>Family day care educator to provide documents on leaving service</w:t>
      </w:r>
      <w:bookmarkEnd w:id="373"/>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374" w:name="_Toc163818163"/>
      <w:r>
        <w:rPr>
          <w:rStyle w:val="CharSectno"/>
        </w:rPr>
        <w:t>180</w:t>
      </w:r>
      <w:r>
        <w:t>.</w:t>
      </w:r>
      <w:r>
        <w:tab/>
        <w:t>Evidence of prescribed insurance</w:t>
      </w:r>
      <w:bookmarkEnd w:id="374"/>
      <w:r>
        <w:t xml:space="preserve"> </w:t>
      </w:r>
    </w:p>
    <w:p>
      <w:pPr>
        <w:pStyle w:val="Subsection"/>
        <w:keepNext/>
        <w:spacing w:before="140"/>
      </w:pPr>
      <w:r>
        <w:tab/>
        <w:t>(1)</w:t>
      </w:r>
      <w:r>
        <w:tab/>
        <w:t xml:space="preserve">The approved provider of an education and care service must keep evidence of the current prescribed insurance at the education and care service premises, or in the case of a family day care service, at the principal office of the service, and must </w:t>
      </w:r>
      <w:r>
        <w:lastRenderedPageBreak/>
        <w:t>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t>Subdivision 4 — Confidentiality and storage of records</w:t>
      </w:r>
    </w:p>
    <w:p>
      <w:pPr>
        <w:pStyle w:val="Heading5"/>
        <w:spacing w:before="200"/>
      </w:pPr>
      <w:bookmarkStart w:id="375" w:name="_Toc163818164"/>
      <w:r>
        <w:rPr>
          <w:rStyle w:val="CharSectno"/>
        </w:rPr>
        <w:t>181</w:t>
      </w:r>
      <w:r>
        <w:t>.</w:t>
      </w:r>
      <w:r>
        <w:tab/>
        <w:t>Confidentiality of records kept by approved provider</w:t>
      </w:r>
      <w:bookmarkEnd w:id="375"/>
      <w:r>
        <w:t xml:space="preserve"> </w:t>
      </w:r>
    </w:p>
    <w:p>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177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keepNext/>
      </w:pPr>
      <w:r>
        <w:tab/>
        <w:t>(e)</w:t>
      </w:r>
      <w:r>
        <w:tab/>
        <w:t>with the written consent of the person who provided the information.</w:t>
      </w:r>
    </w:p>
    <w:p>
      <w:pPr>
        <w:pStyle w:val="Penstart"/>
      </w:pPr>
      <w:r>
        <w:tab/>
        <w:t>Penalty: $2000.</w:t>
      </w:r>
    </w:p>
    <w:p>
      <w:pPr>
        <w:pStyle w:val="Footnotesection"/>
      </w:pPr>
      <w:r>
        <w:tab/>
        <w:t>[Regulation 181 amended: SL 2023/186 r. 34.]</w:t>
      </w:r>
    </w:p>
    <w:p>
      <w:pPr>
        <w:pStyle w:val="Heading5"/>
      </w:pPr>
      <w:bookmarkStart w:id="376" w:name="_Toc163818165"/>
      <w:r>
        <w:rPr>
          <w:rStyle w:val="CharSectno"/>
        </w:rPr>
        <w:lastRenderedPageBreak/>
        <w:t>182</w:t>
      </w:r>
      <w:r>
        <w:t>.</w:t>
      </w:r>
      <w:r>
        <w:tab/>
        <w:t>Confidentiality of records kept by family day care educator</w:t>
      </w:r>
      <w:bookmarkEnd w:id="376"/>
      <w:r>
        <w:t xml:space="preserve"> </w:t>
      </w:r>
    </w:p>
    <w:p>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178;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keepNext/>
      </w:pPr>
      <w:r>
        <w:tab/>
        <w:t>(f)</w:t>
      </w:r>
      <w:r>
        <w:tab/>
        <w:t>with the written consent of the person who provided the information.</w:t>
      </w:r>
    </w:p>
    <w:p>
      <w:pPr>
        <w:pStyle w:val="Penstart"/>
        <w:keepNext/>
      </w:pPr>
      <w:r>
        <w:tab/>
        <w:t>Penalty: $2000.</w:t>
      </w:r>
    </w:p>
    <w:p>
      <w:pPr>
        <w:pStyle w:val="Footnotesection"/>
      </w:pPr>
      <w:r>
        <w:tab/>
        <w:t>[Regulation 182 amended: Gazette 28 Sep 2018 p. 3645; SL 2023/186 r. 35.]</w:t>
      </w:r>
    </w:p>
    <w:p>
      <w:pPr>
        <w:pStyle w:val="Heading5"/>
      </w:pPr>
      <w:bookmarkStart w:id="377" w:name="_Toc163818166"/>
      <w:r>
        <w:rPr>
          <w:rStyle w:val="CharSectno"/>
        </w:rPr>
        <w:t>183</w:t>
      </w:r>
      <w:r>
        <w:t>.</w:t>
      </w:r>
      <w:r>
        <w:tab/>
        <w:t>Storage of records and other documents</w:t>
      </w:r>
      <w:bookmarkEnd w:id="377"/>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lastRenderedPageBreak/>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keepNext/>
      </w:pPr>
      <w:r>
        <w:tab/>
        <w:t>(g)</w:t>
      </w:r>
      <w:r>
        <w:tab/>
        <w:t>in case of any other record, until the end of 3 years after the date on which the record was made.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183 amended: Gazette 28 Sep 2018 p. 3646.]</w:t>
      </w:r>
    </w:p>
    <w:p>
      <w:pPr>
        <w:pStyle w:val="Heading5"/>
      </w:pPr>
      <w:bookmarkStart w:id="378" w:name="_Toc163818167"/>
      <w:r>
        <w:rPr>
          <w:rStyle w:val="CharSectno"/>
        </w:rPr>
        <w:t>184</w:t>
      </w:r>
      <w:r>
        <w:t>.</w:t>
      </w:r>
      <w:r>
        <w:tab/>
        <w:t>Storage of records after service approval transferred</w:t>
      </w:r>
      <w:bookmarkEnd w:id="378"/>
      <w:r>
        <w:t xml:space="preserve"> </w:t>
      </w:r>
    </w:p>
    <w:p>
      <w:pPr>
        <w:pStyle w:val="Subsection"/>
      </w:pPr>
      <w:r>
        <w:tab/>
        <w:t>(1)</w:t>
      </w:r>
      <w:r>
        <w:tab/>
        <w:t xml:space="preserve">Subject to subregulation (2), if a service approval is transferred under the Law, the transferring approved provider must transfer the documents referred to in regulation 177 relating to children </w:t>
      </w:r>
      <w:r>
        <w:lastRenderedPageBreak/>
        <w:t>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379" w:name="_Toc163818168"/>
      <w:r>
        <w:rPr>
          <w:rStyle w:val="CharSectno"/>
        </w:rPr>
        <w:t>185</w:t>
      </w:r>
      <w:r>
        <w:t>.</w:t>
      </w:r>
      <w:r>
        <w:tab/>
        <w:t>Law and regulations to be available</w:t>
      </w:r>
      <w:bookmarkEnd w:id="379"/>
      <w:r>
        <w:t xml:space="preserve"> </w:t>
      </w:r>
    </w:p>
    <w:p>
      <w:pPr>
        <w:pStyle w:val="Subsection"/>
        <w:keepNext/>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380" w:name="_Toc163809519"/>
      <w:bookmarkStart w:id="381" w:name="_Toc163810652"/>
      <w:bookmarkStart w:id="382" w:name="_Toc163818169"/>
      <w:r>
        <w:rPr>
          <w:rStyle w:val="CharPartNo"/>
          <w:szCs w:val="34"/>
        </w:rPr>
        <w:lastRenderedPageBreak/>
        <w:t>Chapter 5</w:t>
      </w:r>
      <w:r>
        <w:t> — </w:t>
      </w:r>
      <w:r>
        <w:rPr>
          <w:rStyle w:val="CharPartText"/>
        </w:rPr>
        <w:t>Review, enforcement and compliance</w:t>
      </w:r>
      <w:bookmarkEnd w:id="380"/>
      <w:bookmarkEnd w:id="381"/>
      <w:bookmarkEnd w:id="382"/>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383" w:name="_Toc163809520"/>
      <w:bookmarkStart w:id="384" w:name="_Toc163810653"/>
      <w:bookmarkStart w:id="385" w:name="_Toc163818170"/>
      <w:r>
        <w:rPr>
          <w:rStyle w:val="CharDivNo"/>
        </w:rPr>
        <w:t>Part 5.1</w:t>
      </w:r>
      <w:r>
        <w:t> — </w:t>
      </w:r>
      <w:r>
        <w:rPr>
          <w:rStyle w:val="CharDivText"/>
        </w:rPr>
        <w:t>Internal review</w:t>
      </w:r>
      <w:bookmarkEnd w:id="383"/>
      <w:bookmarkEnd w:id="384"/>
      <w:bookmarkEnd w:id="385"/>
    </w:p>
    <w:p>
      <w:pPr>
        <w:pStyle w:val="Heading5"/>
      </w:pPr>
      <w:bookmarkStart w:id="386" w:name="_Toc163818171"/>
      <w:r>
        <w:rPr>
          <w:rStyle w:val="CharSectno"/>
        </w:rPr>
        <w:t>186</w:t>
      </w:r>
      <w:r>
        <w:t>.</w:t>
      </w:r>
      <w:r>
        <w:tab/>
        <w:t>Application for internal review of reviewable decision</w:t>
      </w:r>
      <w:bookmarkEnd w:id="386"/>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387" w:name="_Toc163809522"/>
      <w:bookmarkStart w:id="388" w:name="_Toc163810655"/>
      <w:bookmarkStart w:id="389" w:name="_Toc163818172"/>
      <w:r>
        <w:rPr>
          <w:rStyle w:val="CharDivNo"/>
        </w:rPr>
        <w:lastRenderedPageBreak/>
        <w:t>Part 5.2</w:t>
      </w:r>
      <w:r>
        <w:t> — </w:t>
      </w:r>
      <w:r>
        <w:rPr>
          <w:rStyle w:val="CharDivText"/>
        </w:rPr>
        <w:t>Enforcement and compliance</w:t>
      </w:r>
      <w:bookmarkEnd w:id="387"/>
      <w:bookmarkEnd w:id="388"/>
      <w:bookmarkEnd w:id="389"/>
    </w:p>
    <w:p>
      <w:pPr>
        <w:pStyle w:val="Heading5"/>
      </w:pPr>
      <w:bookmarkStart w:id="390" w:name="_Toc163818173"/>
      <w:r>
        <w:rPr>
          <w:rStyle w:val="CharSectno"/>
        </w:rPr>
        <w:t>187</w:t>
      </w:r>
      <w:r>
        <w:t>.</w:t>
      </w:r>
      <w:r>
        <w:tab/>
        <w:t>Prescribed form of identity card</w:t>
      </w:r>
      <w:bookmarkEnd w:id="390"/>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$1100.</w:t>
      </w:r>
    </w:p>
    <w:p>
      <w:pPr>
        <w:pStyle w:val="Footnotesection"/>
      </w:pPr>
      <w:r>
        <w:tab/>
        <w:t>[Regulation 187 amended: SL 2023/186 r. 45(1).]</w:t>
      </w:r>
    </w:p>
    <w:p>
      <w:pPr>
        <w:pStyle w:val="Heading5"/>
      </w:pPr>
      <w:bookmarkStart w:id="391" w:name="_Toc163818174"/>
      <w:r>
        <w:rPr>
          <w:rStyle w:val="CharSectno"/>
        </w:rPr>
        <w:t>188</w:t>
      </w:r>
      <w:r>
        <w:t>.</w:t>
      </w:r>
      <w:r>
        <w:tab/>
        <w:t>Compliance directions</w:t>
      </w:r>
      <w:bookmarkEnd w:id="391"/>
      <w:r>
        <w:t xml:space="preserve"> </w:t>
      </w:r>
    </w:p>
    <w:p>
      <w:pPr>
        <w:pStyle w:val="Subsection"/>
      </w:pPr>
      <w:r>
        <w:tab/>
      </w:r>
      <w:r>
        <w:tab/>
        <w:t>The provisions of the regulations set out in Schedule 3 are prescribed for the purposes of section 176 of the Law.</w:t>
      </w:r>
    </w:p>
    <w:p>
      <w:pPr>
        <w:pStyle w:val="Heading5"/>
      </w:pPr>
      <w:bookmarkStart w:id="392" w:name="_Toc163818175"/>
      <w:r>
        <w:rPr>
          <w:rStyle w:val="CharSectno"/>
        </w:rPr>
        <w:lastRenderedPageBreak/>
        <w:t>189</w:t>
      </w:r>
      <w:r>
        <w:t>.</w:t>
      </w:r>
      <w:r>
        <w:tab/>
        <w:t>Application to cancel prohibition notice</w:t>
      </w:r>
      <w:bookmarkEnd w:id="392"/>
      <w:r>
        <w:t xml:space="preserve"> </w:t>
      </w:r>
    </w:p>
    <w:p>
      <w:pPr>
        <w:pStyle w:val="Subsection"/>
        <w:keepNext/>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393" w:name="_Toc163818176"/>
      <w:r>
        <w:rPr>
          <w:rStyle w:val="CharSectno"/>
        </w:rPr>
        <w:t>190</w:t>
      </w:r>
      <w:r>
        <w:t>.</w:t>
      </w:r>
      <w:r>
        <w:tab/>
        <w:t>Infringement offences</w:t>
      </w:r>
      <w:bookmarkEnd w:id="393"/>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(ca)</w:t>
      </w:r>
      <w:r>
        <w:tab/>
        <w:t>regulation 84D(1), (2) and (3) (prohibition of bassinets);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lastRenderedPageBreak/>
        <w:tab/>
        <w:t>(l)</w:t>
      </w:r>
      <w:r>
        <w:tab/>
        <w:t>regulation 178(2) and (3) (enrolment and other documents to be kept by family day care educator);</w:t>
      </w:r>
    </w:p>
    <w:p>
      <w:pPr>
        <w:pStyle w:val="Indenta"/>
      </w:pPr>
      <w:r>
        <w:tab/>
        <w:t>(m)</w:t>
      </w:r>
      <w:r>
        <w:tab/>
        <w:t>regulation 102E(2) and (3) (requirements in relation to children embarking a means of transport);</w:t>
      </w:r>
    </w:p>
    <w:p>
      <w:pPr>
        <w:pStyle w:val="Indenta"/>
      </w:pPr>
      <w:r>
        <w:tab/>
        <w:t>(n)</w:t>
      </w:r>
      <w:r>
        <w:tab/>
        <w:t>regulation 102F(2) and (3) (requirements in relation to children disembarking a means of transport).</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pPr>
      <w:r>
        <w:tab/>
        <w:t>[Regulation 190 amended: SL 2023/15 r. 8; SL 2023/186 r. 36.]</w:t>
      </w:r>
    </w:p>
    <w:p>
      <w:pPr>
        <w:pStyle w:val="Heading5"/>
      </w:pPr>
      <w:bookmarkStart w:id="394" w:name="_Toc163818177"/>
      <w:r>
        <w:rPr>
          <w:rStyle w:val="CharSectno"/>
        </w:rPr>
        <w:lastRenderedPageBreak/>
        <w:t>191</w:t>
      </w:r>
      <w:r>
        <w:t>.</w:t>
      </w:r>
      <w:r>
        <w:tab/>
        <w:t>False or misleading information or documents</w:t>
      </w:r>
      <w:bookmarkEnd w:id="394"/>
      <w:r>
        <w:t xml:space="preserve"> </w:t>
      </w:r>
    </w:p>
    <w:p>
      <w:pPr>
        <w:pStyle w:val="Subsection"/>
        <w:keepNext/>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395" w:name="_Toc163809528"/>
      <w:bookmarkStart w:id="396" w:name="_Toc163810661"/>
      <w:bookmarkStart w:id="397" w:name="_Toc163818178"/>
      <w:r>
        <w:rPr>
          <w:rStyle w:val="CharPartNo"/>
        </w:rPr>
        <w:lastRenderedPageBreak/>
        <w:t>Chapter 6</w:t>
      </w:r>
      <w:r>
        <w:t> — </w:t>
      </w:r>
      <w:r>
        <w:rPr>
          <w:rStyle w:val="CharPartText"/>
        </w:rPr>
        <w:t>Administration</w:t>
      </w:r>
      <w:bookmarkEnd w:id="395"/>
      <w:bookmarkEnd w:id="396"/>
      <w:bookmarkEnd w:id="397"/>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spacing w:before="140"/>
        <w:ind w:left="284"/>
      </w:pPr>
      <w:r>
        <w:rPr>
          <w:i/>
        </w:rPr>
        <w:t>Division 1</w:t>
      </w:r>
      <w:r>
        <w:t xml:space="preserve"> contains provisions relating to the application of the Commonwealth</w:t>
      </w:r>
      <w:r>
        <w:rPr>
          <w:i/>
        </w:rPr>
        <w:t xml:space="preserve"> Privacy Act 1988</w:t>
      </w:r>
      <w:r>
        <w:t>.</w:t>
      </w:r>
    </w:p>
    <w:p>
      <w:pPr>
        <w:pStyle w:val="MiscellaneousBody"/>
        <w:spacing w:before="140"/>
        <w:ind w:left="284"/>
      </w:pPr>
      <w:r>
        <w:rPr>
          <w:i/>
        </w:rPr>
        <w:t>Division 2</w:t>
      </w:r>
      <w:r>
        <w:t xml:space="preserve"> contains provisions relating to the application of the Commonwealth</w:t>
      </w:r>
      <w:r>
        <w:rPr>
          <w:i/>
        </w:rPr>
        <w:t xml:space="preserve"> Freedom of Information Act 1982</w:t>
      </w:r>
      <w:r>
        <w:t>.</w:t>
      </w:r>
    </w:p>
    <w:p>
      <w:pPr>
        <w:pStyle w:val="MiscellaneousBody"/>
        <w:spacing w:before="140"/>
        <w:ind w:left="284"/>
      </w:pPr>
      <w:r>
        <w:rPr>
          <w:i/>
        </w:rPr>
        <w:t>Division 3</w:t>
      </w:r>
      <w:r>
        <w:t xml:space="preserve"> contains provisions relating to the application of the New South Wales </w:t>
      </w:r>
      <w:r>
        <w:rPr>
          <w:i/>
        </w:rPr>
        <w:t>State Records Act 1998</w:t>
      </w:r>
      <w:r>
        <w:t>.</w:t>
      </w:r>
    </w:p>
    <w:p>
      <w:pPr>
        <w:pStyle w:val="MiscellaneousBody"/>
        <w:spacing w:before="140"/>
        <w:ind w:left="284"/>
      </w:pPr>
      <w:r>
        <w:rPr>
          <w:i/>
        </w:rPr>
        <w:t>Division 4</w:t>
      </w:r>
      <w:r>
        <w:t xml:space="preserve"> contains records relating to the application of the Commonwealth</w:t>
      </w:r>
      <w:r>
        <w:rPr>
          <w:i/>
        </w:rPr>
        <w:t xml:space="preserve"> Ombudsman Act 1976</w:t>
      </w:r>
      <w:r>
        <w:t>.</w:t>
      </w:r>
    </w:p>
    <w:p>
      <w:pPr>
        <w:pStyle w:val="MiscellaneousBody"/>
        <w:spacing w:before="140"/>
        <w:ind w:left="284"/>
      </w:pPr>
      <w:r>
        <w:rPr>
          <w:i/>
        </w:rPr>
        <w:t>Division 5</w:t>
      </w:r>
      <w:r>
        <w:t xml:space="preserve"> contains provisions relating to the publication of information by the National Authority and Regulatory Authority.</w:t>
      </w:r>
    </w:p>
    <w:p>
      <w:pPr>
        <w:pStyle w:val="MiscellaneousBody"/>
        <w:spacing w:before="140"/>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398" w:name="_Toc163809529"/>
      <w:bookmarkStart w:id="399" w:name="_Toc163810662"/>
      <w:bookmarkStart w:id="400" w:name="_Toc163818179"/>
      <w:r>
        <w:rPr>
          <w:rStyle w:val="CharDivNo"/>
        </w:rPr>
        <w:t>Part 6.1</w:t>
      </w:r>
      <w:r>
        <w:t> — </w:t>
      </w:r>
      <w:r>
        <w:rPr>
          <w:rStyle w:val="CharDivText"/>
        </w:rPr>
        <w:t>Australian Children’s Education and Care Quality Authority</w:t>
      </w:r>
      <w:bookmarkEnd w:id="398"/>
      <w:bookmarkEnd w:id="399"/>
      <w:bookmarkEnd w:id="400"/>
    </w:p>
    <w:p>
      <w:pPr>
        <w:pStyle w:val="Heading5"/>
      </w:pPr>
      <w:bookmarkStart w:id="401" w:name="_Toc163818180"/>
      <w:r>
        <w:rPr>
          <w:rStyle w:val="CharSectno"/>
        </w:rPr>
        <w:t>192</w:t>
      </w:r>
      <w:r>
        <w:t>.</w:t>
      </w:r>
      <w:r>
        <w:tab/>
        <w:t>Co</w:t>
      </w:r>
      <w:r>
        <w:noBreakHyphen/>
        <w:t>operation with prescribed classes of body</w:t>
      </w:r>
      <w:bookmarkEnd w:id="401"/>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lastRenderedPageBreak/>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402" w:name="_Toc163818181"/>
      <w:r>
        <w:rPr>
          <w:rStyle w:val="CharSectno"/>
        </w:rPr>
        <w:t>193</w:t>
      </w:r>
      <w:r>
        <w:t>.</w:t>
      </w:r>
      <w:r>
        <w:tab/>
        <w:t>Allocating, transferring or reimbursing money to a participating jurisdiction</w:t>
      </w:r>
      <w:bookmarkEnd w:id="402"/>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403" w:name="_Toc163818182"/>
      <w:r>
        <w:rPr>
          <w:rStyle w:val="CharSectno"/>
        </w:rPr>
        <w:t>194</w:t>
      </w:r>
      <w:r>
        <w:t>.</w:t>
      </w:r>
      <w:r>
        <w:tab/>
        <w:t>Investment of Authority Fund</w:t>
      </w:r>
      <w:bookmarkEnd w:id="403"/>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404" w:name="_Toc163809533"/>
      <w:bookmarkStart w:id="405" w:name="_Toc163810666"/>
      <w:bookmarkStart w:id="406" w:name="_Toc163818183"/>
      <w:r>
        <w:rPr>
          <w:rStyle w:val="CharDivNo"/>
        </w:rPr>
        <w:lastRenderedPageBreak/>
        <w:t>Part 6.2</w:t>
      </w:r>
      <w:r>
        <w:t> — </w:t>
      </w:r>
      <w:r>
        <w:rPr>
          <w:rStyle w:val="CharDivText"/>
        </w:rPr>
        <w:t>Information, records and privacy — National Authority and Regulatory Authorities</w:t>
      </w:r>
      <w:bookmarkEnd w:id="404"/>
      <w:bookmarkEnd w:id="405"/>
      <w:bookmarkEnd w:id="406"/>
    </w:p>
    <w:p>
      <w:pPr>
        <w:pStyle w:val="Heading4"/>
      </w:pPr>
      <w:bookmarkStart w:id="407" w:name="_Toc163809534"/>
      <w:bookmarkStart w:id="408" w:name="_Toc163810667"/>
      <w:bookmarkStart w:id="409" w:name="_Toc163818184"/>
      <w:r>
        <w:t xml:space="preserve">Division 1 — Application of Commonwealth </w:t>
      </w:r>
      <w:r>
        <w:rPr>
          <w:i/>
        </w:rPr>
        <w:t>Privacy Act 1988</w:t>
      </w:r>
      <w:bookmarkEnd w:id="407"/>
      <w:bookmarkEnd w:id="408"/>
      <w:bookmarkEnd w:id="409"/>
    </w:p>
    <w:p>
      <w:pPr>
        <w:pStyle w:val="Heading5"/>
      </w:pPr>
      <w:bookmarkStart w:id="410" w:name="_Toc163818185"/>
      <w:r>
        <w:rPr>
          <w:rStyle w:val="CharSectno"/>
        </w:rPr>
        <w:t>195</w:t>
      </w:r>
      <w:r>
        <w:t>.</w:t>
      </w:r>
      <w:r>
        <w:tab/>
        <w:t xml:space="preserve">Application of Commonwealth </w:t>
      </w:r>
      <w:r>
        <w:rPr>
          <w:i/>
        </w:rPr>
        <w:t>Privacy Act 1988</w:t>
      </w:r>
      <w:bookmarkEnd w:id="410"/>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411" w:name="_Toc163818186"/>
      <w:r>
        <w:rPr>
          <w:rStyle w:val="CharSectno"/>
        </w:rPr>
        <w:t>196</w:t>
      </w:r>
      <w:r>
        <w:t>.</w:t>
      </w:r>
      <w:r>
        <w:tab/>
        <w:t>Modifications relating to National Education and Care Services Privacy Commissioner and staff</w:t>
      </w:r>
      <w:bookmarkEnd w:id="411"/>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 xml:space="preserve">a finding of guilt for an offence committed in a participating jurisdiction or elsewhere that the Ministerial Council considers makes the </w:t>
      </w:r>
      <w:r>
        <w:lastRenderedPageBreak/>
        <w:t>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412" w:name="_Toc163818187"/>
      <w:r>
        <w:rPr>
          <w:rStyle w:val="CharSectno"/>
        </w:rPr>
        <w:lastRenderedPageBreak/>
        <w:t>197</w:t>
      </w:r>
      <w:r>
        <w:t>.</w:t>
      </w:r>
      <w:r>
        <w:tab/>
        <w:t>Modifications about financial matters</w:t>
      </w:r>
      <w:bookmarkEnd w:id="412"/>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13" w:name="_Toc163818188"/>
      <w:r>
        <w:rPr>
          <w:rStyle w:val="CharSectno"/>
        </w:rPr>
        <w:lastRenderedPageBreak/>
        <w:t>198</w:t>
      </w:r>
      <w:r>
        <w:t>.</w:t>
      </w:r>
      <w:r>
        <w:tab/>
        <w:t>Modifications about annual report</w:t>
      </w:r>
      <w:bookmarkEnd w:id="413"/>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14" w:name="_Toc163818189"/>
      <w:r>
        <w:rPr>
          <w:rStyle w:val="CharSectno"/>
        </w:rPr>
        <w:t>199</w:t>
      </w:r>
      <w:r>
        <w:t>.</w:t>
      </w:r>
      <w:r>
        <w:tab/>
        <w:t>Modifications relating to National Authority and Regulatory Authorities</w:t>
      </w:r>
      <w:bookmarkEnd w:id="414"/>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415" w:name="_Toc163818190"/>
      <w:r>
        <w:rPr>
          <w:rStyle w:val="CharSectno"/>
        </w:rPr>
        <w:t>200</w:t>
      </w:r>
      <w:r>
        <w:t>.</w:t>
      </w:r>
      <w:r>
        <w:tab/>
        <w:t>Modifications relating to determinations</w:t>
      </w:r>
      <w:bookmarkEnd w:id="415"/>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416" w:name="_Toc163818191"/>
      <w:r>
        <w:rPr>
          <w:rStyle w:val="CharSectno"/>
        </w:rPr>
        <w:t>201</w:t>
      </w:r>
      <w:r>
        <w:t>.</w:t>
      </w:r>
      <w:r>
        <w:tab/>
        <w:t>Miscellaneous modifications</w:t>
      </w:r>
      <w:bookmarkEnd w:id="416"/>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lastRenderedPageBreak/>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lastRenderedPageBreak/>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417" w:name="_Toc163818192"/>
      <w:r>
        <w:rPr>
          <w:rStyle w:val="CharSectno"/>
        </w:rPr>
        <w:t>202</w:t>
      </w:r>
      <w:r>
        <w:t>.</w:t>
      </w:r>
      <w:r>
        <w:tab/>
        <w:t>Relevant administrative tribunal</w:t>
      </w:r>
      <w:bookmarkEnd w:id="417"/>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lastRenderedPageBreak/>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18" w:name="_Toc163818193"/>
      <w:r>
        <w:rPr>
          <w:rStyle w:val="CharSectno"/>
        </w:rPr>
        <w:t>203</w:t>
      </w:r>
      <w:r>
        <w:t>.</w:t>
      </w:r>
      <w:r>
        <w:tab/>
        <w:t>Regulations</w:t>
      </w:r>
      <w:bookmarkEnd w:id="418"/>
      <w:r>
        <w:t xml:space="preserve"> </w:t>
      </w:r>
    </w:p>
    <w:p>
      <w:pPr>
        <w:pStyle w:val="Subsection"/>
      </w:pPr>
      <w:r>
        <w:tab/>
      </w:r>
      <w:r>
        <w:tab/>
        <w:t>The regulations made under the Privacy Act do not apply.</w:t>
      </w:r>
    </w:p>
    <w:p>
      <w:pPr>
        <w:pStyle w:val="Heading4"/>
      </w:pPr>
      <w:bookmarkStart w:id="419" w:name="_Toc163809544"/>
      <w:bookmarkStart w:id="420" w:name="_Toc163810677"/>
      <w:bookmarkStart w:id="421" w:name="_Toc163818194"/>
      <w:r>
        <w:t xml:space="preserve">Division 2 — Application of Commonwealth </w:t>
      </w:r>
      <w:r>
        <w:rPr>
          <w:i/>
        </w:rPr>
        <w:t>Freedom of Information Act 1982</w:t>
      </w:r>
      <w:bookmarkEnd w:id="419"/>
      <w:bookmarkEnd w:id="420"/>
      <w:bookmarkEnd w:id="421"/>
    </w:p>
    <w:p>
      <w:pPr>
        <w:pStyle w:val="Heading5"/>
      </w:pPr>
      <w:bookmarkStart w:id="422" w:name="_Toc163818195"/>
      <w:r>
        <w:rPr>
          <w:rStyle w:val="CharSectno"/>
        </w:rPr>
        <w:t>204</w:t>
      </w:r>
      <w:r>
        <w:t>.</w:t>
      </w:r>
      <w:r>
        <w:tab/>
        <w:t>Application of Commonwealth</w:t>
      </w:r>
      <w:r>
        <w:rPr>
          <w:i/>
        </w:rPr>
        <w:t xml:space="preserve"> Freedom of Information Act 1982</w:t>
      </w:r>
      <w:bookmarkEnd w:id="422"/>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423" w:name="_Toc163818196"/>
      <w:r>
        <w:rPr>
          <w:rStyle w:val="CharSectno"/>
        </w:rPr>
        <w:t>205</w:t>
      </w:r>
      <w:r>
        <w:t>.</w:t>
      </w:r>
      <w:r>
        <w:tab/>
        <w:t>Modifications relating to National Education and Care Services Freedom of Information Commissioner and staff</w:t>
      </w:r>
      <w:bookmarkEnd w:id="423"/>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w:t>
      </w:r>
      <w:r>
        <w:lastRenderedPageBreak/>
        <w:t xml:space="preserve">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lastRenderedPageBreak/>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(iaa)</w:t>
      </w:r>
      <w:r>
        <w:tab/>
        <w:t>the power conferred under section 8(3) of that Act as modified under regulation 209(ja);</w:t>
      </w:r>
    </w:p>
    <w:p>
      <w:pPr>
        <w:pStyle w:val="Indenti"/>
      </w:pPr>
      <w:r>
        <w:tab/>
        <w:t>(iab)</w:t>
      </w:r>
      <w:r>
        <w:tab/>
        <w:t>the power conferred under section 11C(2) of that Act as modified under regulation 209(ja);</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lastRenderedPageBreak/>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Footnotesection"/>
      </w:pPr>
      <w:r>
        <w:tab/>
        <w:t>[Regulation 205 amended: SL 2023/186 r. 37.]</w:t>
      </w:r>
    </w:p>
    <w:p>
      <w:pPr>
        <w:pStyle w:val="Heading5"/>
      </w:pPr>
      <w:bookmarkStart w:id="424" w:name="_Toc163818197"/>
      <w:r>
        <w:rPr>
          <w:rStyle w:val="CharSectno"/>
        </w:rPr>
        <w:t>206</w:t>
      </w:r>
      <w:r>
        <w:t>.</w:t>
      </w:r>
      <w:r>
        <w:tab/>
        <w:t>Modifications about financial matters</w:t>
      </w:r>
      <w:bookmarkEnd w:id="424"/>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lastRenderedPageBreak/>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25" w:name="_Toc163818198"/>
      <w:r>
        <w:rPr>
          <w:rStyle w:val="CharSectno"/>
        </w:rPr>
        <w:t>207</w:t>
      </w:r>
      <w:r>
        <w:t>.</w:t>
      </w:r>
      <w:r>
        <w:tab/>
        <w:t>Modifications about annual report</w:t>
      </w:r>
      <w:bookmarkEnd w:id="425"/>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 xml:space="preserve">The National Education and Care Services Freedom of Information Commissioner is required to include in the annual report a report about the performance of the Commissioner’s functions </w:t>
      </w:r>
      <w:r>
        <w:lastRenderedPageBreak/>
        <w:t>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26" w:name="_Toc163818199"/>
      <w:r>
        <w:rPr>
          <w:rStyle w:val="CharSectno"/>
        </w:rPr>
        <w:t>208</w:t>
      </w:r>
      <w:r>
        <w:t>.</w:t>
      </w:r>
      <w:r>
        <w:tab/>
        <w:t>Modifications relating to National Authority and Regulatory Authorities</w:t>
      </w:r>
      <w:bookmarkEnd w:id="426"/>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427" w:name="_Toc163818200"/>
      <w:r>
        <w:rPr>
          <w:rStyle w:val="CharSectno"/>
        </w:rPr>
        <w:lastRenderedPageBreak/>
        <w:t>209</w:t>
      </w:r>
      <w:r>
        <w:t>.</w:t>
      </w:r>
      <w:r>
        <w:tab/>
        <w:t>Miscellaneous modifications</w:t>
      </w:r>
      <w:bookmarkEnd w:id="427"/>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lastRenderedPageBreak/>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(ja)</w:t>
      </w:r>
      <w:r>
        <w:tab/>
        <w:t>as if a reference in sections 8(3) and 11C(2) to legislative instrument were a reference to instrument; and</w:t>
      </w:r>
    </w:p>
    <w:p>
      <w:pPr>
        <w:pStyle w:val="Indenta"/>
      </w:pPr>
      <w:r>
        <w:tab/>
        <w:t>(k)</w:t>
      </w:r>
      <w:r>
        <w:tab/>
        <w:t>with any other modifications that are necessary for the effective administration of the FOI Act for the purposes of the National Quality Framework.</w:t>
      </w:r>
    </w:p>
    <w:p>
      <w:pPr>
        <w:pStyle w:val="Footnotesection"/>
      </w:pPr>
      <w:r>
        <w:tab/>
        <w:t>[Regulation 209 amended: SL 2023/186 r. 38.]</w:t>
      </w:r>
    </w:p>
    <w:p>
      <w:pPr>
        <w:pStyle w:val="Heading5"/>
      </w:pPr>
      <w:bookmarkStart w:id="428" w:name="_Toc163818201"/>
      <w:r>
        <w:rPr>
          <w:rStyle w:val="CharSectno"/>
        </w:rPr>
        <w:t>210</w:t>
      </w:r>
      <w:r>
        <w:t>.</w:t>
      </w:r>
      <w:r>
        <w:tab/>
        <w:t>Relevant administrative tribunal</w:t>
      </w:r>
      <w:bookmarkEnd w:id="428"/>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lastRenderedPageBreak/>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29" w:name="_Toc163818202"/>
      <w:r>
        <w:rPr>
          <w:rStyle w:val="CharSectno"/>
        </w:rPr>
        <w:t>211</w:t>
      </w:r>
      <w:r>
        <w:t>.</w:t>
      </w:r>
      <w:r>
        <w:tab/>
        <w:t>Regulations</w:t>
      </w:r>
      <w:bookmarkEnd w:id="429"/>
      <w:r>
        <w:t xml:space="preserve"> </w:t>
      </w:r>
    </w:p>
    <w:p>
      <w:pPr>
        <w:pStyle w:val="Subsection"/>
      </w:pPr>
      <w:r>
        <w:tab/>
      </w:r>
      <w:r>
        <w:tab/>
        <w:t>The regulations made under the FOI Act, other than the provisions providing for fees and charges, do not apply.</w:t>
      </w:r>
    </w:p>
    <w:p>
      <w:pPr>
        <w:pStyle w:val="Heading4"/>
        <w:rPr>
          <w:i/>
        </w:rPr>
      </w:pPr>
      <w:bookmarkStart w:id="430" w:name="_Toc163809553"/>
      <w:bookmarkStart w:id="431" w:name="_Toc163810686"/>
      <w:bookmarkStart w:id="432" w:name="_Toc163818203"/>
      <w:r>
        <w:t xml:space="preserve">Division 3 — Application of New South Wales </w:t>
      </w:r>
      <w:r>
        <w:rPr>
          <w:i/>
        </w:rPr>
        <w:t>State Records Act 1998</w:t>
      </w:r>
      <w:bookmarkEnd w:id="430"/>
      <w:bookmarkEnd w:id="431"/>
      <w:bookmarkEnd w:id="432"/>
    </w:p>
    <w:p>
      <w:pPr>
        <w:pStyle w:val="Heading5"/>
      </w:pPr>
      <w:bookmarkStart w:id="433" w:name="_Toc163818204"/>
      <w:r>
        <w:rPr>
          <w:rStyle w:val="CharSectno"/>
        </w:rPr>
        <w:t>212</w:t>
      </w:r>
      <w:r>
        <w:t>.</w:t>
      </w:r>
      <w:r>
        <w:tab/>
        <w:t>Application of State Records Act</w:t>
      </w:r>
      <w:bookmarkEnd w:id="433"/>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434" w:name="_Toc163818205"/>
      <w:r>
        <w:rPr>
          <w:rStyle w:val="CharSectno"/>
        </w:rPr>
        <w:t>213</w:t>
      </w:r>
      <w:r>
        <w:t>.</w:t>
      </w:r>
      <w:r>
        <w:tab/>
        <w:t>Modifications relating to State Records Authority and its Board and Director</w:t>
      </w:r>
      <w:bookmarkEnd w:id="434"/>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w:t>
      </w:r>
      <w:r>
        <w:lastRenderedPageBreak/>
        <w:t xml:space="preserve">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435" w:name="_Toc163818206"/>
      <w:r>
        <w:rPr>
          <w:rStyle w:val="CharSectno"/>
        </w:rPr>
        <w:t>214</w:t>
      </w:r>
      <w:r>
        <w:t>.</w:t>
      </w:r>
      <w:r>
        <w:tab/>
        <w:t>Modifications relating to National Authority</w:t>
      </w:r>
      <w:bookmarkEnd w:id="435"/>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436" w:name="_Toc163818207"/>
      <w:r>
        <w:rPr>
          <w:rStyle w:val="CharSectno"/>
        </w:rPr>
        <w:t>215</w:t>
      </w:r>
      <w:r>
        <w:t>.</w:t>
      </w:r>
      <w:r>
        <w:tab/>
        <w:t>Modifications relating to Ministerial Council</w:t>
      </w:r>
      <w:bookmarkEnd w:id="436"/>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437" w:name="_Toc163818208"/>
      <w:r>
        <w:rPr>
          <w:rStyle w:val="CharSectno"/>
        </w:rPr>
        <w:lastRenderedPageBreak/>
        <w:t>216</w:t>
      </w:r>
      <w:r>
        <w:t>.</w:t>
      </w:r>
      <w:r>
        <w:tab/>
        <w:t>Miscellaneous modifications</w:t>
      </w:r>
      <w:bookmarkEnd w:id="437"/>
      <w:r>
        <w:t xml:space="preserve"> </w:t>
      </w:r>
    </w:p>
    <w:p>
      <w:pPr>
        <w:pStyle w:val="Subsection"/>
        <w:keepNext/>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lastRenderedPageBreak/>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xml:space="preserve">), whether by or under an Act of the relevant participating jurisdiction or otherwise, is abolished and another person, body or office is conferred or given functions and powers that </w:t>
      </w:r>
      <w:r>
        <w:lastRenderedPageBreak/>
        <w:t>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438" w:name="_Toc163818209"/>
      <w:r>
        <w:rPr>
          <w:rStyle w:val="CharSectno"/>
        </w:rPr>
        <w:t>217</w:t>
      </w:r>
      <w:r>
        <w:t>.</w:t>
      </w:r>
      <w:r>
        <w:tab/>
        <w:t>Regulations</w:t>
      </w:r>
      <w:bookmarkEnd w:id="438"/>
      <w:r>
        <w:t xml:space="preserve"> </w:t>
      </w:r>
    </w:p>
    <w:p>
      <w:pPr>
        <w:pStyle w:val="Subsection"/>
      </w:pPr>
      <w:r>
        <w:tab/>
      </w:r>
      <w:r>
        <w:tab/>
        <w:t>The regulations made under the State Records Act do not apply.</w:t>
      </w:r>
    </w:p>
    <w:p>
      <w:pPr>
        <w:pStyle w:val="Heading4"/>
      </w:pPr>
      <w:bookmarkStart w:id="439" w:name="_Toc163809560"/>
      <w:bookmarkStart w:id="440" w:name="_Toc163810693"/>
      <w:bookmarkStart w:id="441" w:name="_Toc163818210"/>
      <w:r>
        <w:t xml:space="preserve">Division 4 — Application of Commonwealth </w:t>
      </w:r>
      <w:r>
        <w:rPr>
          <w:i/>
        </w:rPr>
        <w:t>Ombudsman Act 1976</w:t>
      </w:r>
      <w:bookmarkEnd w:id="439"/>
      <w:bookmarkEnd w:id="440"/>
      <w:bookmarkEnd w:id="441"/>
    </w:p>
    <w:p>
      <w:pPr>
        <w:pStyle w:val="Heading5"/>
      </w:pPr>
      <w:bookmarkStart w:id="442" w:name="_Toc163818211"/>
      <w:r>
        <w:rPr>
          <w:rStyle w:val="CharSectno"/>
        </w:rPr>
        <w:t>218</w:t>
      </w:r>
      <w:r>
        <w:t>.</w:t>
      </w:r>
      <w:r>
        <w:tab/>
        <w:t>Application of Commonwealth Ombudsman Act</w:t>
      </w:r>
      <w:bookmarkEnd w:id="442"/>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443" w:name="_Toc163818212"/>
      <w:r>
        <w:rPr>
          <w:rStyle w:val="CharSectno"/>
        </w:rPr>
        <w:lastRenderedPageBreak/>
        <w:t>219</w:t>
      </w:r>
      <w:r>
        <w:t>.</w:t>
      </w:r>
      <w:r>
        <w:tab/>
        <w:t>Modifications relating to Education and Care Services Ombudsman and staff</w:t>
      </w:r>
      <w:bookmarkEnd w:id="443"/>
      <w:r>
        <w:t xml:space="preserve"> </w:t>
      </w:r>
    </w:p>
    <w:p>
      <w:pPr>
        <w:pStyle w:val="Subsection"/>
        <w:keepNext/>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keepNext/>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lastRenderedPageBreak/>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444" w:name="_Toc163818213"/>
      <w:r>
        <w:rPr>
          <w:rStyle w:val="CharSectno"/>
        </w:rPr>
        <w:t>220</w:t>
      </w:r>
      <w:r>
        <w:t>.</w:t>
      </w:r>
      <w:r>
        <w:tab/>
        <w:t>Modifications about financial matters</w:t>
      </w:r>
      <w:bookmarkEnd w:id="444"/>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lastRenderedPageBreak/>
        <w:tab/>
        <w:t>(g)</w:t>
      </w:r>
      <w:r>
        <w:tab/>
        <w:t>arrange for any further audit by a qualified person of records kept by the Ombudsman in relation to the funds held by the Ombudsman, if directed to do so by the Ministerial Council.</w:t>
      </w:r>
    </w:p>
    <w:p>
      <w:pPr>
        <w:pStyle w:val="Heading5"/>
      </w:pPr>
      <w:bookmarkStart w:id="445" w:name="_Toc163818214"/>
      <w:r>
        <w:rPr>
          <w:rStyle w:val="CharSectno"/>
        </w:rPr>
        <w:t>221</w:t>
      </w:r>
      <w:r>
        <w:t>.</w:t>
      </w:r>
      <w:r>
        <w:tab/>
        <w:t>Modifications about annual report</w:t>
      </w:r>
      <w:bookmarkEnd w:id="445"/>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keepLines/>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446" w:name="_Toc163818215"/>
      <w:r>
        <w:rPr>
          <w:rStyle w:val="CharSectno"/>
        </w:rPr>
        <w:lastRenderedPageBreak/>
        <w:t>222</w:t>
      </w:r>
      <w:r>
        <w:t>.</w:t>
      </w:r>
      <w:r>
        <w:tab/>
        <w:t>Modifications relating to National Authority and Regulatory Authorities</w:t>
      </w:r>
      <w:bookmarkEnd w:id="446"/>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447" w:name="_Toc163818216"/>
      <w:r>
        <w:rPr>
          <w:rStyle w:val="CharSectno"/>
        </w:rPr>
        <w:t>223</w:t>
      </w:r>
      <w:r>
        <w:t>.</w:t>
      </w:r>
      <w:r>
        <w:tab/>
        <w:t>Miscellaneous modifications</w:t>
      </w:r>
      <w:bookmarkEnd w:id="447"/>
      <w:r>
        <w:t xml:space="preserve"> </w:t>
      </w:r>
    </w:p>
    <w:p>
      <w:pPr>
        <w:pStyle w:val="Subsection"/>
        <w:keepNext/>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keepNext/>
        <w:spacing w:before="56"/>
      </w:pPr>
      <w:r>
        <w:lastRenderedPageBreak/>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keepNext/>
        <w:spacing w:before="56"/>
      </w:pPr>
      <w:r>
        <w:tab/>
        <w:t>(ii)</w:t>
      </w:r>
      <w:r>
        <w:tab/>
        <w:t xml:space="preserve">does not prevent a member of the Ministerial Council making a record of, or divulging or communicating to another member of the </w:t>
      </w:r>
      <w:r>
        <w:lastRenderedPageBreak/>
        <w:t>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448" w:name="_Toc163818217"/>
      <w:r>
        <w:rPr>
          <w:rStyle w:val="CharSectno"/>
        </w:rPr>
        <w:t>224</w:t>
      </w:r>
      <w:r>
        <w:t>.</w:t>
      </w:r>
      <w:r>
        <w:tab/>
        <w:t>Relevant administrative tribunal</w:t>
      </w:r>
      <w:bookmarkEnd w:id="448"/>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49" w:name="_Toc163818218"/>
      <w:r>
        <w:rPr>
          <w:rStyle w:val="CharSectno"/>
        </w:rPr>
        <w:lastRenderedPageBreak/>
        <w:t>225</w:t>
      </w:r>
      <w:r>
        <w:t>.</w:t>
      </w:r>
      <w:r>
        <w:tab/>
        <w:t>Regulations</w:t>
      </w:r>
      <w:bookmarkEnd w:id="449"/>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450" w:name="_Toc163809569"/>
      <w:bookmarkStart w:id="451" w:name="_Toc163810702"/>
      <w:bookmarkStart w:id="452" w:name="_Toc163818219"/>
      <w:r>
        <w:t>Division 5 — Publication of information</w:t>
      </w:r>
      <w:bookmarkEnd w:id="450"/>
      <w:bookmarkEnd w:id="451"/>
      <w:bookmarkEnd w:id="452"/>
    </w:p>
    <w:p>
      <w:pPr>
        <w:pStyle w:val="Heading5"/>
      </w:pPr>
      <w:bookmarkStart w:id="453" w:name="_Toc163818220"/>
      <w:r>
        <w:rPr>
          <w:rStyle w:val="CharSectno"/>
        </w:rPr>
        <w:t>226</w:t>
      </w:r>
      <w:r>
        <w:t>.</w:t>
      </w:r>
      <w:r>
        <w:tab/>
        <w:t>Publication of information</w:t>
      </w:r>
      <w:bookmarkEnd w:id="453"/>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454" w:name="_Toc163818221"/>
      <w:r>
        <w:rPr>
          <w:rStyle w:val="CharSectno"/>
        </w:rPr>
        <w:t>227</w:t>
      </w:r>
      <w:r>
        <w:t>.</w:t>
      </w:r>
      <w:r>
        <w:tab/>
        <w:t>Compliance and enforcement information</w:t>
      </w:r>
      <w:bookmarkEnd w:id="454"/>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lastRenderedPageBreak/>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188AB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lastRenderedPageBreak/>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 xml:space="preserve">the steps specified in the compliance notice that the person must take to </w:t>
      </w:r>
      <w:r>
        <w:lastRenderedPageBreak/>
        <w:t>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keepNext/>
      </w:pPr>
      <w:r>
        <w:tab/>
        <w:t>(v)</w:t>
      </w:r>
      <w:r>
        <w:tab/>
        <w:t>for a suspension of a provider approval or service approval —</w:t>
      </w:r>
    </w:p>
    <w:p>
      <w:pPr>
        <w:pStyle w:val="IndentI0"/>
        <w:keepNext/>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188AB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lastRenderedPageBreak/>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 SL 2023/186 r. 39.]</w:t>
      </w:r>
    </w:p>
    <w:p>
      <w:pPr>
        <w:pStyle w:val="Heading5"/>
      </w:pPr>
      <w:bookmarkStart w:id="455" w:name="_Toc163818222"/>
      <w:r>
        <w:rPr>
          <w:rStyle w:val="CharSectno"/>
        </w:rPr>
        <w:t>228</w:t>
      </w:r>
      <w:r>
        <w:t>.</w:t>
      </w:r>
      <w:r>
        <w:tab/>
        <w:t>Timing of publication where internal or external review of enforcement action is available</w:t>
      </w:r>
      <w:bookmarkEnd w:id="455"/>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lastRenderedPageBreak/>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456" w:name="_Toc163809573"/>
      <w:bookmarkStart w:id="457" w:name="_Toc163810706"/>
      <w:bookmarkStart w:id="458" w:name="_Toc163818223"/>
      <w:r>
        <w:t>Division 6 — Registers</w:t>
      </w:r>
      <w:bookmarkEnd w:id="456"/>
      <w:bookmarkEnd w:id="457"/>
      <w:bookmarkEnd w:id="458"/>
    </w:p>
    <w:p>
      <w:pPr>
        <w:pStyle w:val="Heading5"/>
      </w:pPr>
      <w:bookmarkStart w:id="459" w:name="_Toc163818224"/>
      <w:r>
        <w:rPr>
          <w:rStyle w:val="CharSectno"/>
        </w:rPr>
        <w:t>229</w:t>
      </w:r>
      <w:r>
        <w:t>.</w:t>
      </w:r>
      <w:r>
        <w:tab/>
        <w:t>Register of approved providers</w:t>
      </w:r>
      <w:bookmarkEnd w:id="459"/>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keepNext/>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460" w:name="_Toc163818225"/>
      <w:r>
        <w:rPr>
          <w:rStyle w:val="CharSectno"/>
        </w:rPr>
        <w:t>230</w:t>
      </w:r>
      <w:r>
        <w:t>.</w:t>
      </w:r>
      <w:r>
        <w:tab/>
        <w:t>Register of approved education and care services</w:t>
      </w:r>
      <w:bookmarkEnd w:id="460"/>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pPr>
      <w:r>
        <w:lastRenderedPageBreak/>
        <w:t>[</w:t>
      </w:r>
      <w:r>
        <w:rPr>
          <w:b/>
          <w:bCs/>
        </w:rPr>
        <w:t>231.</w:t>
      </w:r>
      <w:r>
        <w:tab/>
        <w:t>Deleted: Gazette 28 Sep 2018 p. 3648.]</w:t>
      </w:r>
    </w:p>
    <w:p>
      <w:pPr>
        <w:pStyle w:val="Heading3"/>
      </w:pPr>
      <w:bookmarkStart w:id="461" w:name="_Toc163809576"/>
      <w:bookmarkStart w:id="462" w:name="_Toc163810709"/>
      <w:bookmarkStart w:id="463" w:name="_Toc163818226"/>
      <w:r>
        <w:rPr>
          <w:rStyle w:val="CharDivNo"/>
        </w:rPr>
        <w:t>Part 6.3</w:t>
      </w:r>
      <w:r>
        <w:t> — </w:t>
      </w:r>
      <w:r>
        <w:rPr>
          <w:rStyle w:val="CharDivText"/>
        </w:rPr>
        <w:t>Fees</w:t>
      </w:r>
      <w:bookmarkEnd w:id="461"/>
      <w:bookmarkEnd w:id="462"/>
      <w:bookmarkEnd w:id="463"/>
    </w:p>
    <w:p>
      <w:pPr>
        <w:pStyle w:val="Footnoteheading"/>
        <w:keepNext/>
      </w:pPr>
      <w:r>
        <w:tab/>
        <w:t>[Heading inserted: SL 2023/71 r. 7.]</w:t>
      </w:r>
    </w:p>
    <w:p>
      <w:pPr>
        <w:pStyle w:val="Heading4"/>
      </w:pPr>
      <w:bookmarkStart w:id="464" w:name="_Toc163809577"/>
      <w:bookmarkStart w:id="465" w:name="_Toc163810710"/>
      <w:bookmarkStart w:id="466" w:name="_Toc163818227"/>
      <w:r>
        <w:t>Division 1 — Provisions applying generally to fees</w:t>
      </w:r>
      <w:bookmarkEnd w:id="464"/>
      <w:bookmarkEnd w:id="465"/>
      <w:bookmarkEnd w:id="466"/>
    </w:p>
    <w:p>
      <w:pPr>
        <w:pStyle w:val="Footnoteheading"/>
        <w:keepNext/>
      </w:pPr>
      <w:r>
        <w:tab/>
        <w:t>[Heading inserted: SL 2023/71 r. 7.]</w:t>
      </w:r>
    </w:p>
    <w:p>
      <w:pPr>
        <w:pStyle w:val="Heading5"/>
      </w:pPr>
      <w:bookmarkStart w:id="467" w:name="_Toc163818228"/>
      <w:r>
        <w:rPr>
          <w:rStyle w:val="CharSectno"/>
        </w:rPr>
        <w:t>232</w:t>
      </w:r>
      <w:r>
        <w:t>.</w:t>
      </w:r>
      <w:r>
        <w:tab/>
        <w:t>Definitions</w:t>
      </w:r>
      <w:bookmarkEnd w:id="467"/>
    </w:p>
    <w:p>
      <w:pPr>
        <w:pStyle w:val="Subsection"/>
        <w:keepNext/>
      </w:pPr>
      <w:r>
        <w:tab/>
      </w:r>
      <w:r>
        <w:tab/>
        <w:t xml:space="preserve">In this Part and Schedule 2 — </w:t>
      </w:r>
    </w:p>
    <w:p>
      <w:pPr>
        <w:pStyle w:val="Defstart"/>
      </w:pPr>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p>
    <w:p>
      <w:pPr>
        <w:pStyle w:val="PermNoteHeading"/>
      </w:pPr>
      <w:r>
        <w:tab/>
        <w:t>Note for this definition:</w:t>
      </w:r>
    </w:p>
    <w:p>
      <w:pPr>
        <w:pStyle w:val="PermNoteText"/>
      </w:pPr>
      <w:r>
        <w:tab/>
      </w:r>
      <w:r>
        <w:tab/>
        <w:t>This definition does not form part of the national regulations made by the Ministerial Council.</w:t>
      </w:r>
    </w:p>
    <w:p>
      <w:pPr>
        <w:pStyle w:val="Defstart"/>
        <w:keepNext/>
      </w:pPr>
      <w:r>
        <w:tab/>
      </w:r>
      <w:r>
        <w:rPr>
          <w:rStyle w:val="CharDefText"/>
        </w:rPr>
        <w:t>extra</w:t>
      </w:r>
      <w:r>
        <w:rPr>
          <w:rStyle w:val="CharDefText"/>
        </w:rPr>
        <w:noBreakHyphen/>
        <w:t>large service</w:t>
      </w:r>
      <w:r>
        <w:t xml:space="preserve"> means — </w:t>
      </w:r>
    </w:p>
    <w:p>
      <w:pPr>
        <w:pStyle w:val="Defpara"/>
      </w:pPr>
      <w:r>
        <w:tab/>
        <w:t>(a)</w:t>
      </w:r>
      <w:r>
        <w:tab/>
        <w:t>in relation to a centre</w:t>
      </w:r>
      <w:r>
        <w:noBreakHyphen/>
        <w:t>based service, a centre</w:t>
      </w:r>
      <w:r>
        <w:noBreakHyphen/>
        <w:t>based service that has 101 or more approved places or places to be offered; or</w:t>
      </w:r>
    </w:p>
    <w:p>
      <w:pPr>
        <w:pStyle w:val="Defpara"/>
      </w:pPr>
      <w:r>
        <w:tab/>
        <w:t>(b)</w:t>
      </w:r>
      <w:r>
        <w:tab/>
        <w:t>in relation to a family day care service, a family day care service that has 61 or more family day care educators engaged by or registered with the service;</w:t>
      </w:r>
    </w:p>
    <w:p>
      <w:pPr>
        <w:pStyle w:val="Defstart"/>
      </w:pPr>
      <w:r>
        <w:tab/>
      </w:r>
      <w:r>
        <w:rPr>
          <w:rStyle w:val="CharDefText"/>
        </w:rPr>
        <w:t>indexation factor</w:t>
      </w:r>
      <w:r>
        <w:t>, in relation to a financial year, means the indexation factor for the financial year calculated in accordance with regulation 233;</w:t>
      </w:r>
    </w:p>
    <w:p>
      <w:pPr>
        <w:pStyle w:val="Defstart"/>
      </w:pPr>
      <w:r>
        <w:tab/>
      </w:r>
      <w:r>
        <w:rPr>
          <w:rStyle w:val="CharDefText"/>
        </w:rPr>
        <w:t>large service</w:t>
      </w:r>
      <w:r>
        <w:t xml:space="preserve"> means — </w:t>
      </w:r>
    </w:p>
    <w:p>
      <w:pPr>
        <w:pStyle w:val="Defpara"/>
      </w:pPr>
      <w:r>
        <w:tab/>
        <w:t>(a)</w:t>
      </w:r>
      <w:r>
        <w:tab/>
        <w:t>in relation to a centre</w:t>
      </w:r>
      <w:r>
        <w:noBreakHyphen/>
        <w:t>based service, a centre</w:t>
      </w:r>
      <w:r>
        <w:noBreakHyphen/>
        <w:t>based service that has 81 or more but fewer than 101 approved places or places to be offered; or</w:t>
      </w:r>
    </w:p>
    <w:p>
      <w:pPr>
        <w:pStyle w:val="Defpara"/>
      </w:pPr>
      <w:r>
        <w:tab/>
        <w:t>(b)</w:t>
      </w:r>
      <w:r>
        <w:tab/>
        <w:t>in relation to a family day care service, a family day care service that has 21 or more but fewer than 61 family day care educators engaged by or registered with the service;</w:t>
      </w:r>
    </w:p>
    <w:p>
      <w:pPr>
        <w:pStyle w:val="Defstart"/>
        <w:keepNext/>
      </w:pPr>
      <w:r>
        <w:lastRenderedPageBreak/>
        <w:tab/>
      </w:r>
      <w:r>
        <w:rPr>
          <w:rStyle w:val="CharDefText"/>
        </w:rPr>
        <w:t>medium service</w:t>
      </w:r>
      <w:r>
        <w:t xml:space="preserve"> means — </w:t>
      </w:r>
    </w:p>
    <w:p>
      <w:pPr>
        <w:pStyle w:val="Defpara"/>
      </w:pPr>
      <w:r>
        <w:tab/>
        <w:t>(a)</w:t>
      </w:r>
      <w:r>
        <w:tab/>
        <w:t>in relation to a centre</w:t>
      </w:r>
      <w:r>
        <w:noBreakHyphen/>
        <w:t>based service, a centre</w:t>
      </w:r>
      <w:r>
        <w:noBreakHyphen/>
        <w:t>based service that has 25 or more but fewer than 81 approved places or places to be offered; or</w:t>
      </w:r>
    </w:p>
    <w:p>
      <w:pPr>
        <w:pStyle w:val="Defpara"/>
      </w:pPr>
      <w:r>
        <w:tab/>
        <w:t>(b)</w:t>
      </w:r>
      <w:r>
        <w:tab/>
        <w:t>in relation to a family day care service, a family day care service that has 6 or more but fewer than 21 family day care educators engaged by or registered with the service;</w:t>
      </w:r>
    </w:p>
    <w:p>
      <w:pPr>
        <w:pStyle w:val="Defstart"/>
      </w:pPr>
      <w:r>
        <w:tab/>
      </w:r>
      <w:r>
        <w:rPr>
          <w:rStyle w:val="CharDefText"/>
        </w:rPr>
        <w:t>small service</w:t>
      </w:r>
      <w:r>
        <w:t xml:space="preserve"> means — </w:t>
      </w:r>
    </w:p>
    <w:p>
      <w:pPr>
        <w:pStyle w:val="Defpara"/>
      </w:pPr>
      <w:r>
        <w:tab/>
        <w:t>(a)</w:t>
      </w:r>
      <w:r>
        <w:tab/>
        <w:t>in relation to a centre</w:t>
      </w:r>
      <w:r>
        <w:noBreakHyphen/>
        <w:t>based service, a centre</w:t>
      </w:r>
      <w:r>
        <w:noBreakHyphen/>
        <w:t>based service that has 24 or fewer approved places or places to be offered; or</w:t>
      </w:r>
    </w:p>
    <w:p>
      <w:pPr>
        <w:pStyle w:val="Defpara"/>
      </w:pPr>
      <w:r>
        <w:tab/>
        <w:t>(b)</w:t>
      </w:r>
      <w:r>
        <w:tab/>
        <w:t>in relation to a family day care service, a family day care service that has 5 or fewer family day care educators engaged by or registered with the service.</w:t>
      </w:r>
    </w:p>
    <w:p>
      <w:pPr>
        <w:pStyle w:val="Footnotesection"/>
      </w:pPr>
      <w:r>
        <w:tab/>
        <w:t>[Regulation 232 inserted: SL 2023/71 r. 7.]</w:t>
      </w:r>
    </w:p>
    <w:p>
      <w:pPr>
        <w:pStyle w:val="Heading5"/>
      </w:pPr>
      <w:bookmarkStart w:id="468" w:name="_Toc163818229"/>
      <w:r>
        <w:rPr>
          <w:rStyle w:val="CharSectno"/>
        </w:rPr>
        <w:t>233</w:t>
      </w:r>
      <w:r>
        <w:t>.</w:t>
      </w:r>
      <w:r>
        <w:tab/>
        <w:t>Calculation of indexation factor for financial year</w:t>
      </w:r>
      <w:bookmarkEnd w:id="468"/>
    </w:p>
    <w:p>
      <w:pPr>
        <w:pStyle w:val="Subsection"/>
      </w:pPr>
      <w:r>
        <w:tab/>
        <w:t>(1)</w:t>
      </w:r>
      <w:r>
        <w:tab/>
        <w:t xml:space="preserve">For the purposes of this Part, the indexation factor for a financial year is to be worked out using the following formula — </w:t>
      </w:r>
    </w:p>
    <w:p>
      <w:pPr>
        <w:pStyle w:val="Equation"/>
        <w:tabs>
          <w:tab w:val="left" w:pos="1418"/>
        </w:tabs>
        <w:spacing w:before="160"/>
        <w:ind w:left="595"/>
        <w:rPr>
          <w:sz w:val="20"/>
        </w:rPr>
      </w:pPr>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p>
    <w:p>
      <w:pPr>
        <w:pStyle w:val="MiscellaneousBody"/>
        <w:tabs>
          <w:tab w:val="left" w:pos="1418"/>
        </w:tabs>
      </w:pPr>
      <w:r>
        <w:tab/>
        <w:t xml:space="preserve">where — </w:t>
      </w:r>
    </w:p>
    <w:p>
      <w:pPr>
        <w:pStyle w:val="Defstart"/>
      </w:pPr>
      <w:r>
        <w:tab/>
      </w:r>
      <w:r>
        <w:rPr>
          <w:rStyle w:val="CharDefText"/>
        </w:rPr>
        <w:t>index number</w:t>
      </w:r>
      <w:r>
        <w:t>, for a quarter, means the All Groups Consumer Price Index Number (being the weighted average of the 8 capital cities) published by the Australian Bureau of Statistics for that quarter;</w:t>
      </w:r>
    </w:p>
    <w:p>
      <w:pPr>
        <w:pStyle w:val="Defstart"/>
      </w:pPr>
      <w:r>
        <w:tab/>
      </w:r>
      <w:r>
        <w:rPr>
          <w:rStyle w:val="CharDefText"/>
        </w:rPr>
        <w:t>most recent March year</w:t>
      </w:r>
      <w:r>
        <w:t xml:space="preserve"> means the period of 12 months ending on 31 March in the immediately preceding financial year;</w:t>
      </w:r>
    </w:p>
    <w:p>
      <w:pPr>
        <w:pStyle w:val="Defstart"/>
      </w:pPr>
      <w:r>
        <w:tab/>
      </w:r>
      <w:r>
        <w:rPr>
          <w:rStyle w:val="CharDefText"/>
        </w:rPr>
        <w:t>previous March year</w:t>
      </w:r>
      <w:r>
        <w:t xml:space="preserve"> means the period of 12 months immediately preceding the most recent March year;</w:t>
      </w:r>
    </w:p>
    <w:p>
      <w:pPr>
        <w:pStyle w:val="Defstart"/>
        <w:keepNext/>
      </w:pPr>
      <w:r>
        <w:lastRenderedPageBreak/>
        <w:tab/>
      </w:r>
      <w:r>
        <w:rPr>
          <w:rStyle w:val="CharDefText"/>
        </w:rPr>
        <w:t>quarter</w:t>
      </w:r>
      <w:r>
        <w:t xml:space="preserve"> means a period of 3 months ending on 31 March, 30 June, 30 September or 31 December.</w:t>
      </w:r>
    </w:p>
    <w:p>
      <w:pPr>
        <w:pStyle w:val="Subsection"/>
      </w:pPr>
      <w:r>
        <w:tab/>
        <w:t>(2)</w:t>
      </w:r>
      <w:r>
        <w:tab/>
        <w:t>The result worked out under subregulation (1) must be rounded up or down to 3 decimal places, rounding up if the result ends in 0.0005.</w:t>
      </w:r>
    </w:p>
    <w:p>
      <w:pPr>
        <w:pStyle w:val="Subsection"/>
      </w:pPr>
      <w:r>
        <w:tab/>
        <w:t>(3)</w:t>
      </w:r>
      <w:r>
        <w:tab/>
        <w:t xml:space="preserve">A calculation made under subregulation (1)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233 inserted: SL 2023/71 r. 7.]</w:t>
      </w:r>
    </w:p>
    <w:p>
      <w:pPr>
        <w:pStyle w:val="Heading5"/>
      </w:pPr>
      <w:bookmarkStart w:id="469" w:name="_Toc163818230"/>
      <w:r>
        <w:rPr>
          <w:rStyle w:val="CharSectno"/>
        </w:rPr>
        <w:t>234</w:t>
      </w:r>
      <w:r>
        <w:t>.</w:t>
      </w:r>
      <w:r>
        <w:tab/>
        <w:t>Fee amount to be rounded down to nearest whole dollar</w:t>
      </w:r>
      <w:bookmarkEnd w:id="469"/>
    </w:p>
    <w:p>
      <w:pPr>
        <w:pStyle w:val="Subsection"/>
      </w:pPr>
      <w:r>
        <w:tab/>
      </w:r>
      <w:r>
        <w:tab/>
        <w:t>The amount of a prescribed fee calculated in accordance with this Part is to be rounded down to the nearest whole dollar.</w:t>
      </w:r>
    </w:p>
    <w:p>
      <w:pPr>
        <w:pStyle w:val="Footnotesection"/>
      </w:pPr>
      <w:r>
        <w:tab/>
        <w:t>[Regulation 234 inserted: SL 2023/71 r. 7.]</w:t>
      </w:r>
    </w:p>
    <w:p>
      <w:pPr>
        <w:pStyle w:val="Heading5"/>
      </w:pPr>
      <w:bookmarkStart w:id="470" w:name="_Toc163818231"/>
      <w:r>
        <w:rPr>
          <w:rStyle w:val="CharSectno"/>
        </w:rPr>
        <w:t>235</w:t>
      </w:r>
      <w:r>
        <w:t>.</w:t>
      </w:r>
      <w:r>
        <w:tab/>
        <w:t>Late payment fees (annual fees)</w:t>
      </w:r>
      <w:bookmarkEnd w:id="470"/>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For the purposes of subregulation (1), the late payment fee is 15% of the relevant prescribed annual fee that is overdue.</w:t>
      </w:r>
    </w:p>
    <w:p>
      <w:pPr>
        <w:pStyle w:val="Footnotesection"/>
      </w:pPr>
      <w:r>
        <w:tab/>
        <w:t>[Regulation 235 inserted: SL 2023/71 r. 7.]</w:t>
      </w:r>
    </w:p>
    <w:p>
      <w:pPr>
        <w:pStyle w:val="Heading5"/>
      </w:pPr>
      <w:bookmarkStart w:id="471" w:name="_Toc163818232"/>
      <w:r>
        <w:rPr>
          <w:rStyle w:val="CharSectno"/>
        </w:rPr>
        <w:lastRenderedPageBreak/>
        <w:t>236</w:t>
      </w:r>
      <w:r>
        <w:t>.</w:t>
      </w:r>
      <w:r>
        <w:tab/>
        <w:t>Waiver, reduction, deferral and refund of fees</w:t>
      </w:r>
      <w:bookmarkEnd w:id="471"/>
    </w:p>
    <w:p>
      <w:pPr>
        <w:pStyle w:val="Subsection"/>
        <w:keepNext/>
      </w:pPr>
      <w:r>
        <w:tab/>
      </w:r>
      <w:r>
        <w:tab/>
        <w:t>The National Authority may waive, reduce, defer or refund any fee payable or paid to it under the Law if there are exceptional circumstances.</w:t>
      </w:r>
    </w:p>
    <w:p>
      <w:pPr>
        <w:pStyle w:val="Footnotesection"/>
      </w:pPr>
      <w:r>
        <w:tab/>
        <w:t>[Regulation 236 inserted: SL 2023/71 r. 7.]</w:t>
      </w:r>
    </w:p>
    <w:p>
      <w:pPr>
        <w:pStyle w:val="Heading5"/>
      </w:pPr>
      <w:bookmarkStart w:id="472" w:name="_Toc163818233"/>
      <w:r>
        <w:rPr>
          <w:rStyle w:val="CharSectno"/>
        </w:rPr>
        <w:t>236A</w:t>
      </w:r>
      <w:r>
        <w:t>.</w:t>
      </w:r>
      <w:r>
        <w:tab/>
        <w:t>Publication of prescribed and other required fees</w:t>
      </w:r>
      <w:bookmarkEnd w:id="472"/>
    </w:p>
    <w:p>
      <w:pPr>
        <w:pStyle w:val="Subsection"/>
      </w:pPr>
      <w:r>
        <w:tab/>
        <w:t>(1)</w:t>
      </w:r>
      <w:r>
        <w:tab/>
        <w:t>The National Authority must publish, before the financial year beginning on 1 July in each year, the fees applicable for that financial year calculated in accordance with this Part.</w:t>
      </w:r>
    </w:p>
    <w:p>
      <w:pPr>
        <w:pStyle w:val="Subsection"/>
      </w:pPr>
      <w:r>
        <w:tab/>
        <w:t>(2)</w:t>
      </w:r>
      <w:r>
        <w:tab/>
        <w:t>The Regulatory Authority may also publish the fees referred to in subregulation (1).</w:t>
      </w:r>
    </w:p>
    <w:p>
      <w:pPr>
        <w:pStyle w:val="Footnotesection"/>
      </w:pPr>
      <w:r>
        <w:tab/>
        <w:t>[Regulation 236A inserted: SL 2023/71 r. 7.]</w:t>
      </w:r>
    </w:p>
    <w:p>
      <w:pPr>
        <w:pStyle w:val="Heading4"/>
      </w:pPr>
      <w:bookmarkStart w:id="473" w:name="_Toc163809584"/>
      <w:bookmarkStart w:id="474" w:name="_Toc163810717"/>
      <w:bookmarkStart w:id="475" w:name="_Toc163818234"/>
      <w:r>
        <w:t>Division 2 — Prescribed and other fees between commencement day and 30 June 2023</w:t>
      </w:r>
      <w:bookmarkEnd w:id="473"/>
      <w:bookmarkEnd w:id="474"/>
      <w:bookmarkEnd w:id="475"/>
    </w:p>
    <w:p>
      <w:pPr>
        <w:pStyle w:val="PermNoteHeading"/>
      </w:pPr>
      <w:r>
        <w:tab/>
        <w:t>Note for this Division:</w:t>
      </w:r>
    </w:p>
    <w:p>
      <w:pPr>
        <w:pStyle w:val="PermNoteText"/>
      </w:pPr>
      <w:r>
        <w:tab/>
      </w:r>
      <w:r>
        <w:tab/>
        <w:t>This Division heading differs from the heading of Chapter 6 Part 6.3 Division 2 of the national regulations made by the Ministerial Council.</w:t>
      </w:r>
    </w:p>
    <w:p>
      <w:pPr>
        <w:pStyle w:val="Footnoteheading"/>
      </w:pPr>
      <w:r>
        <w:tab/>
        <w:t>[Heading inserted: SL 2023/71 r. 7.]</w:t>
      </w:r>
    </w:p>
    <w:p>
      <w:pPr>
        <w:pStyle w:val="Heading5"/>
      </w:pPr>
      <w:bookmarkStart w:id="476" w:name="_Toc163818235"/>
      <w:r>
        <w:rPr>
          <w:rStyle w:val="CharSectno"/>
        </w:rPr>
        <w:t>236B</w:t>
      </w:r>
      <w:r>
        <w:t>.</w:t>
      </w:r>
      <w:r>
        <w:tab/>
        <w:t>Prescribed fees and other fees for period beginning on commencement day and ending on 30 June 2023</w:t>
      </w:r>
      <w:bookmarkEnd w:id="476"/>
    </w:p>
    <w:p>
      <w:pPr>
        <w:pStyle w:val="Subsection"/>
      </w:pPr>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p>
    <w:p>
      <w:pPr>
        <w:pStyle w:val="Subsection"/>
      </w:pPr>
      <w:r>
        <w:tab/>
        <w:t>(2)</w:t>
      </w:r>
      <w:r>
        <w:tab/>
        <w:t>For the purposes of regulation 138(2)(b), for the period beginning on the commencement day and ending on 30 June 2023, the relevant fee is $2 426.</w:t>
      </w:r>
    </w:p>
    <w:p>
      <w:pPr>
        <w:pStyle w:val="Subsection"/>
      </w:pPr>
      <w:r>
        <w:lastRenderedPageBreak/>
        <w:tab/>
        <w:t>(3)</w:t>
      </w:r>
      <w:r>
        <w:tab/>
        <w:t>For the purposes of regulation 139(1)(b), for the period beginning on the commencement day and ending on 30 June 2023, the relevant fee is $116.</w:t>
      </w:r>
    </w:p>
    <w:p>
      <w:pPr>
        <w:pStyle w:val="PermNoteHeading"/>
      </w:pPr>
      <w:r>
        <w:tab/>
        <w:t>Note for this regulation:</w:t>
      </w:r>
    </w:p>
    <w:p>
      <w:pPr>
        <w:pStyle w:val="PermNoteText"/>
      </w:pPr>
      <w:r>
        <w:tab/>
      </w:r>
      <w:r>
        <w:tab/>
        <w:t>This regulation differs from regulation 236B of the national regulations made by the Ministerial Council.</w:t>
      </w:r>
    </w:p>
    <w:p>
      <w:pPr>
        <w:pStyle w:val="Footnotesection"/>
      </w:pPr>
      <w:r>
        <w:tab/>
        <w:t>[Regulation 236B inserted: SL 2023/71 r. 7.]</w:t>
      </w:r>
    </w:p>
    <w:p>
      <w:pPr>
        <w:pStyle w:val="Heading4"/>
      </w:pPr>
      <w:bookmarkStart w:id="477" w:name="_Toc163809586"/>
      <w:bookmarkStart w:id="478" w:name="_Toc163810719"/>
      <w:bookmarkStart w:id="479" w:name="_Toc163818236"/>
      <w:r>
        <w:t>Division 3 — Prescribed and other fees on and after 1 July 2023</w:t>
      </w:r>
      <w:bookmarkEnd w:id="477"/>
      <w:bookmarkEnd w:id="478"/>
      <w:bookmarkEnd w:id="479"/>
    </w:p>
    <w:p>
      <w:pPr>
        <w:pStyle w:val="Footnoteheading"/>
        <w:keepNext/>
      </w:pPr>
      <w:r>
        <w:tab/>
        <w:t>[Heading inserted: SL 2023/71 r. 7.]</w:t>
      </w:r>
    </w:p>
    <w:p>
      <w:pPr>
        <w:pStyle w:val="Heading5"/>
      </w:pPr>
      <w:bookmarkStart w:id="480" w:name="_Toc163818237"/>
      <w:r>
        <w:rPr>
          <w:rStyle w:val="CharSectno"/>
        </w:rPr>
        <w:t>236C</w:t>
      </w:r>
      <w:r>
        <w:t>.</w:t>
      </w:r>
      <w:r>
        <w:tab/>
        <w:t>Prescribed fee — application for provider approval</w:t>
      </w:r>
      <w:bookmarkEnd w:id="480"/>
    </w:p>
    <w:p>
      <w:pPr>
        <w:pStyle w:val="Subsection"/>
        <w:keepNext/>
      </w:pPr>
      <w:r>
        <w:tab/>
        <w:t>(1)</w:t>
      </w:r>
      <w:r>
        <w:tab/>
        <w:t xml:space="preserve">For the purposes of section 11(d) of the Law, the prescribed fee for the financial year beginning on 1 July 2023 is to be calculated in accordance with the following formula — </w:t>
      </w:r>
    </w:p>
    <w:p>
      <w:pPr>
        <w:pStyle w:val="Equation"/>
        <w:keepNext/>
        <w:tabs>
          <w:tab w:val="left" w:pos="1418"/>
        </w:tabs>
        <w:spacing w:before="160"/>
      </w:pPr>
      <w:r>
        <w:tab/>
      </w:r>
      <m:oMath>
        <m:r>
          <m:rPr>
            <m:sty m:val="p"/>
          </m:rPr>
          <w:rPr>
            <w:rFonts w:ascii="Cambria Math" w:hAnsi="Cambria Math"/>
          </w:rPr>
          <m:t>$241 ×FX×1.05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11(d) of the Law, the prescribed fee for the financial year beginning on 1 July 2024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14"/>
        </w:tabs>
        <w:ind w:left="2268" w:hanging="1701"/>
      </w:pPr>
      <w:r>
        <w:tab/>
        <w:t xml:space="preserve">where — </w:t>
      </w:r>
    </w:p>
    <w:p>
      <w:pPr>
        <w:pStyle w:val="MiscellaneousBody"/>
        <w:tabs>
          <w:tab w:val="left" w:pos="1414"/>
        </w:tabs>
        <w:ind w:left="1988" w:hanging="1421"/>
      </w:pPr>
      <w:r>
        <w:tab/>
      </w:r>
      <w:r>
        <w:rPr>
          <w:b/>
        </w:rPr>
        <w:t>P</w:t>
      </w:r>
      <w:r>
        <w:tab/>
        <w:t>is the amount of the fee payable for the financial year beginning on 1 July 2023 calculated in accordance with subregulation (1);</w:t>
      </w:r>
    </w:p>
    <w:p>
      <w:pPr>
        <w:pStyle w:val="MiscellaneousBody"/>
        <w:tabs>
          <w:tab w:val="left" w:pos="1414"/>
        </w:tabs>
        <w:ind w:left="1988" w:hanging="1421"/>
      </w:pPr>
      <w:r>
        <w:tab/>
      </w:r>
      <w:r>
        <w:rPr>
          <w:b/>
        </w:rPr>
        <w:t>FX</w:t>
      </w:r>
      <w:r>
        <w:tab/>
        <w:t>is the indexation factor for the financial year beginning on 1 July 2024.</w:t>
      </w:r>
    </w:p>
    <w:p>
      <w:pPr>
        <w:pStyle w:val="Subsection"/>
      </w:pPr>
      <w:r>
        <w:lastRenderedPageBreak/>
        <w:tab/>
        <w:t>(3)</w:t>
      </w:r>
      <w:r>
        <w:tab/>
        <w:t xml:space="preserve">For the purposes of section 11(d) of the Law, the prescribed fee for the financial year beginning on 1 July 2025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00"/>
        </w:tabs>
      </w:pPr>
      <w:r>
        <w:tab/>
        <w:t xml:space="preserve">where — </w:t>
      </w:r>
    </w:p>
    <w:p>
      <w:pPr>
        <w:pStyle w:val="MiscellaneousBody"/>
        <w:tabs>
          <w:tab w:val="left" w:pos="1400"/>
        </w:tabs>
        <w:ind w:left="1974" w:hanging="1407"/>
      </w:pPr>
      <w:r>
        <w:tab/>
      </w:r>
      <w:r>
        <w:rPr>
          <w:b/>
        </w:rPr>
        <w:t>P</w:t>
      </w:r>
      <w:r>
        <w:tab/>
        <w:t>is the amount of the fee payable for the financial year beginning on 1 July 2024 calculated in accordance with subregulation (2);</w:t>
      </w:r>
    </w:p>
    <w:p>
      <w:pPr>
        <w:pStyle w:val="MiscellaneousBody"/>
        <w:tabs>
          <w:tab w:val="left" w:pos="1386"/>
        </w:tabs>
        <w:ind w:left="1974" w:hanging="1407"/>
      </w:pPr>
      <w:r>
        <w:tab/>
      </w:r>
      <w:r>
        <w:rPr>
          <w:b/>
        </w:rPr>
        <w:t>FX</w:t>
      </w:r>
      <w:r>
        <w:tab/>
        <w:t>is the indexation factor for the financial year beginning on 1 July 2025.</w:t>
      </w:r>
    </w:p>
    <w:p>
      <w:pPr>
        <w:pStyle w:val="Subsection"/>
      </w:pPr>
      <w:r>
        <w:tab/>
        <w:t>(4)</w:t>
      </w:r>
      <w:r>
        <w:tab/>
        <w:t xml:space="preserve">For the purposes of section 11(d)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4"/>
        </w:tabs>
        <w:spacing w:before="160"/>
      </w:pPr>
      <w:r>
        <w:tab/>
      </w:r>
      <m:oMath>
        <m:r>
          <m:rPr>
            <m:sty m:val="p"/>
          </m:rPr>
          <w:rPr>
            <w:rFonts w:ascii="Cambria Math" w:hAnsi="Cambria Math"/>
          </w:rPr>
          <m:t>P ×FX</m:t>
        </m:r>
      </m:oMath>
    </w:p>
    <w:p>
      <w:pPr>
        <w:pStyle w:val="MiscellaneousBody"/>
        <w:tabs>
          <w:tab w:val="left" w:pos="1386"/>
        </w:tabs>
      </w:pPr>
      <w:r>
        <w:tab/>
        <w:t xml:space="preserve">where — </w:t>
      </w:r>
    </w:p>
    <w:p>
      <w:pPr>
        <w:pStyle w:val="MiscellaneousBody"/>
        <w:tabs>
          <w:tab w:val="left" w:pos="1400"/>
        </w:tabs>
        <w:ind w:left="1960" w:hanging="1393"/>
      </w:pPr>
      <w:r>
        <w:tab/>
      </w:r>
      <w:r>
        <w:rPr>
          <w:b/>
        </w:rPr>
        <w:t>P</w:t>
      </w:r>
      <w:r>
        <w:tab/>
        <w:t>is the amount of the fee payable in the previous financial year;</w:t>
      </w:r>
    </w:p>
    <w:p>
      <w:pPr>
        <w:pStyle w:val="MiscellaneousBody"/>
        <w:tabs>
          <w:tab w:val="left" w:pos="1400"/>
        </w:tabs>
        <w:ind w:left="1946" w:hanging="1379"/>
      </w:pPr>
      <w:r>
        <w:tab/>
      </w:r>
      <w:r>
        <w:rPr>
          <w:b/>
        </w:rPr>
        <w:t>FX</w:t>
      </w:r>
      <w:r>
        <w:tab/>
        <w:t>is the indexation factor for the relevant financial year.</w:t>
      </w:r>
    </w:p>
    <w:p>
      <w:pPr>
        <w:pStyle w:val="Footnotesection"/>
      </w:pPr>
      <w:r>
        <w:tab/>
        <w:t>[Regulation 236C inserted: SL 2023/71 r. 7; amended: SL 2024/48 r. 4.]</w:t>
      </w:r>
    </w:p>
    <w:p>
      <w:pPr>
        <w:pStyle w:val="Heading5"/>
      </w:pPr>
      <w:bookmarkStart w:id="481" w:name="_Toc163818238"/>
      <w:r>
        <w:rPr>
          <w:rStyle w:val="CharSectno"/>
        </w:rPr>
        <w:t>236D</w:t>
      </w:r>
      <w:r>
        <w:t>.</w:t>
      </w:r>
      <w:r>
        <w:tab/>
        <w:t>Prescribed fees — application for service approval</w:t>
      </w:r>
      <w:bookmarkEnd w:id="481"/>
    </w:p>
    <w:p>
      <w:pPr>
        <w:pStyle w:val="Subsection"/>
        <w:keepNext/>
      </w:pPr>
      <w:r>
        <w:tab/>
        <w:t>(1)</w:t>
      </w:r>
      <w:r>
        <w:tab/>
        <w:t xml:space="preserve">For the purposes of section 44(1)(e) of the Law, the prescribed fee for the financial year beginning on 1 July 2023 in relation to </w:t>
      </w:r>
      <w:r>
        <w:lastRenderedPageBreak/>
        <w:t xml:space="preserve">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other than a family day care service — $482;</w:t>
      </w:r>
    </w:p>
    <w:p>
      <w:pPr>
        <w:pStyle w:val="MiscellaneousBody"/>
        <w:tabs>
          <w:tab w:val="left" w:pos="1843"/>
        </w:tabs>
        <w:ind w:left="2268" w:hanging="1701"/>
      </w:pPr>
      <w:r>
        <w:tab/>
        <w:t>(b)</w:t>
      </w:r>
      <w:r>
        <w:tab/>
        <w:t>in the case of a medium service other than a family day care service — $725;</w:t>
      </w:r>
    </w:p>
    <w:p>
      <w:pPr>
        <w:pStyle w:val="MiscellaneousBody"/>
        <w:tabs>
          <w:tab w:val="left" w:pos="1843"/>
        </w:tabs>
        <w:ind w:left="2268" w:hanging="1701"/>
      </w:pPr>
      <w:r>
        <w:tab/>
        <w:t>(c)</w:t>
      </w:r>
      <w:r>
        <w:tab/>
        <w:t>in the case of a large service other than a family day care service — $967;</w:t>
      </w:r>
    </w:p>
    <w:p>
      <w:pPr>
        <w:pStyle w:val="MiscellaneousBody"/>
        <w:tabs>
          <w:tab w:val="left" w:pos="1843"/>
        </w:tabs>
        <w:ind w:left="2268" w:hanging="1701"/>
      </w:pPr>
      <w:r>
        <w:tab/>
        <w:t>(d)</w:t>
      </w:r>
      <w:r>
        <w:tab/>
        <w:t>in the case of a small service, medium service or large service that is a family day care service — $725;</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(3)</w:t>
      </w:r>
      <w:r>
        <w:tab/>
        <w:t xml:space="preserve">For the purposes of section 44(1)(e) of the Law, the prescribed fee for the financial year beginning on 1 July 2023 in relation to </w:t>
      </w:r>
      <w:r>
        <w:lastRenderedPageBreak/>
        <w:t>an extra</w:t>
      </w:r>
      <w:r>
        <w:noBreakHyphen/>
        <w:t xml:space="preserve">large service that is a family day care service is to be calculated in accordance with the following formula — </w:t>
      </w:r>
    </w:p>
    <w:p>
      <w:pPr>
        <w:pStyle w:val="Equation"/>
        <w:tabs>
          <w:tab w:val="left" w:pos="1418"/>
        </w:tabs>
        <w:spacing w:before="160"/>
      </w:pPr>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(4)</w:t>
      </w:r>
      <w:r>
        <w:tab/>
        <w:t xml:space="preserve">For the purposes of section 44(1)(e)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(2) or (3);</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(5)</w:t>
      </w:r>
      <w:r>
        <w:tab/>
        <w:t xml:space="preserve">For the purposes of section 44(1)(e)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(4);</w:t>
      </w:r>
    </w:p>
    <w:p>
      <w:pPr>
        <w:pStyle w:val="MiscellaneousBody"/>
        <w:tabs>
          <w:tab w:val="left" w:pos="1418"/>
          <w:tab w:val="left" w:pos="1985"/>
        </w:tabs>
        <w:ind w:left="1985" w:hanging="1418"/>
        <w:rPr>
          <w:rStyle w:val="DraftersNotes"/>
          <w:b w:val="0"/>
          <w:i w:val="0"/>
          <w:noProof/>
          <w:sz w:val="24"/>
        </w:rPr>
      </w:pPr>
      <w:r>
        <w:tab/>
      </w:r>
      <w:r>
        <w:rPr>
          <w:b/>
        </w:rPr>
        <w:t>FX</w:t>
      </w:r>
      <w:r>
        <w:tab/>
        <w:t>is the indexation factor for the financial year beginning on 1 July 2025.</w:t>
      </w:r>
    </w:p>
    <w:p>
      <w:pPr>
        <w:pStyle w:val="Subsection"/>
        <w:keepLines/>
      </w:pPr>
      <w:r>
        <w:lastRenderedPageBreak/>
        <w:tab/>
        <w:t>(6)</w:t>
      </w:r>
      <w:r>
        <w:tab/>
        <w:t xml:space="preserve">For the purposes of section 44(1)(e)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236D of the national regulations made by the Ministerial Council.</w:t>
      </w:r>
    </w:p>
    <w:p>
      <w:pPr>
        <w:pStyle w:val="Footnotesection"/>
      </w:pPr>
      <w:r>
        <w:tab/>
        <w:t>[Regulation 236D inserted: SL 2023/71 r. 7; amended: SL 2024/48 r. 5.]</w:t>
      </w:r>
    </w:p>
    <w:p>
      <w:pPr>
        <w:pStyle w:val="Heading5"/>
      </w:pPr>
      <w:bookmarkStart w:id="482" w:name="_Toc163818239"/>
      <w:r>
        <w:rPr>
          <w:rStyle w:val="CharSectno"/>
        </w:rPr>
        <w:t>236E</w:t>
      </w:r>
      <w:r>
        <w:t>.</w:t>
      </w:r>
      <w:r>
        <w:tab/>
        <w:t>Prescribed annual fees</w:t>
      </w:r>
      <w:bookmarkEnd w:id="482"/>
    </w:p>
    <w:p>
      <w:pPr>
        <w:pStyle w:val="Subsection"/>
        <w:keepNext/>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$218;</w:t>
      </w:r>
    </w:p>
    <w:p>
      <w:pPr>
        <w:pStyle w:val="MiscellaneousBody"/>
        <w:tabs>
          <w:tab w:val="left" w:pos="1843"/>
        </w:tabs>
        <w:ind w:left="2268" w:hanging="1701"/>
      </w:pPr>
      <w:r>
        <w:tab/>
        <w:t>(b)</w:t>
      </w:r>
      <w:r>
        <w:tab/>
        <w:t>in the case of a medium service — $329;</w:t>
      </w:r>
    </w:p>
    <w:p>
      <w:pPr>
        <w:pStyle w:val="MiscellaneousBody"/>
        <w:tabs>
          <w:tab w:val="left" w:pos="1843"/>
        </w:tabs>
        <w:ind w:left="2268" w:hanging="1701"/>
      </w:pPr>
      <w:r>
        <w:tab/>
        <w:t>(c)</w:t>
      </w:r>
      <w:r>
        <w:tab/>
        <w:t>in the case of a large service — $438;</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lastRenderedPageBreak/>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53 of the Law, the prescribed annual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(4)</w:t>
      </w:r>
      <w:r>
        <w:tab/>
        <w:t xml:space="preserve">For the purposes of section 53 of the Law, the prescribed annual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keepNext/>
        <w:tabs>
          <w:tab w:val="left" w:pos="1418"/>
          <w:tab w:val="left" w:pos="1985"/>
        </w:tabs>
        <w:ind w:left="1985" w:hanging="1418"/>
      </w:pPr>
      <w:r>
        <w:lastRenderedPageBreak/>
        <w:tab/>
      </w:r>
      <w:r>
        <w:rPr>
          <w:b/>
        </w:rPr>
        <w:t>FX</w:t>
      </w:r>
      <w:r>
        <w:tab/>
        <w:t>is the indexation factor for the financial year beginning on 1 July 2025.</w:t>
      </w:r>
    </w:p>
    <w:p>
      <w:pPr>
        <w:pStyle w:val="Subsection"/>
      </w:pPr>
      <w:r>
        <w:tab/>
        <w:t>(5)</w:t>
      </w:r>
      <w:r>
        <w:tab/>
        <w:t xml:space="preserve">For the purposes of section 53 of the Law, in a financial year beginning on 1 July 2026 or 1 July in a later year (the </w:t>
      </w:r>
      <w:r>
        <w:rPr>
          <w:rStyle w:val="CharDefText"/>
        </w:rPr>
        <w:t>relevant financial year</w:t>
      </w:r>
      <w:r>
        <w:t xml:space="preserve">), the prescribed annual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236E inserted: SL 2023/71 r. 7; amended: SL 2024/48 r. 6.]</w:t>
      </w:r>
    </w:p>
    <w:p>
      <w:pPr>
        <w:pStyle w:val="Heading5"/>
      </w:pPr>
      <w:bookmarkStart w:id="483" w:name="_Toc163818240"/>
      <w:r>
        <w:rPr>
          <w:rStyle w:val="CharSectno"/>
        </w:rPr>
        <w:t>236F</w:t>
      </w:r>
      <w:r>
        <w:t>.</w:t>
      </w:r>
      <w:r>
        <w:tab/>
        <w:t>Prescribed fee — application for amendment of service approval</w:t>
      </w:r>
      <w:bookmarkEnd w:id="483"/>
    </w:p>
    <w:p>
      <w:pPr>
        <w:pStyle w:val="Subsection"/>
      </w:pPr>
      <w:r>
        <w:tab/>
        <w:t>(1)</w:t>
      </w:r>
      <w:r>
        <w:tab/>
        <w:t xml:space="preserve">For the purposes of section 54(2)(c)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 xml:space="preserve">For the purposes of section 54(2)(c) of the Law, in a financial year beginning on 1 July 2024 or 1 July in a later year (the </w:t>
      </w:r>
      <w:r>
        <w:rPr>
          <w:rStyle w:val="CharDefText"/>
        </w:rPr>
        <w:lastRenderedPageBreak/>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236F inserted: SL 2023/71 r. 7.]</w:t>
      </w:r>
    </w:p>
    <w:p>
      <w:pPr>
        <w:pStyle w:val="Heading5"/>
      </w:pPr>
      <w:bookmarkStart w:id="484" w:name="_Toc163818241"/>
      <w:r>
        <w:rPr>
          <w:rStyle w:val="CharSectno"/>
        </w:rPr>
        <w:t>236G</w:t>
      </w:r>
      <w:r>
        <w:t>.</w:t>
      </w:r>
      <w:r>
        <w:tab/>
        <w:t>Prescribed fee — notification of intended transfer of service approval</w:t>
      </w:r>
      <w:bookmarkEnd w:id="484"/>
    </w:p>
    <w:p>
      <w:pPr>
        <w:pStyle w:val="Subsection"/>
      </w:pPr>
      <w:r>
        <w:tab/>
        <w:t>(1)</w:t>
      </w:r>
      <w:r>
        <w:tab/>
        <w:t xml:space="preserve">For the purposes of section 59(2)(c)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59(2)(c)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keepNext/>
        <w:tabs>
          <w:tab w:val="left" w:pos="1418"/>
          <w:tab w:val="left" w:pos="1985"/>
        </w:tabs>
        <w:ind w:left="1985" w:hanging="1418"/>
      </w:pPr>
      <w:r>
        <w:lastRenderedPageBreak/>
        <w:tab/>
      </w:r>
      <w:r>
        <w:rPr>
          <w:b/>
        </w:rPr>
        <w:t>FX</w:t>
      </w:r>
      <w:r>
        <w:tab/>
        <w:t>is the indexation factor for the financial year beginning on 1 July 2024.</w:t>
      </w:r>
    </w:p>
    <w:p>
      <w:pPr>
        <w:pStyle w:val="Subsection"/>
      </w:pPr>
      <w:r>
        <w:tab/>
        <w:t>(3)</w:t>
      </w:r>
      <w:r>
        <w:tab/>
        <w:t xml:space="preserve">For the purposes of section 59(2)(c)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(4)</w:t>
      </w:r>
      <w:r>
        <w:tab/>
        <w:t xml:space="preserve">For the purposes of section 59(2)(c)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236G inserted: SL 2023/71 r. 7; amended: SL 2024/48 r. 7.]</w:t>
      </w:r>
    </w:p>
    <w:p>
      <w:pPr>
        <w:pStyle w:val="Heading5"/>
      </w:pPr>
      <w:bookmarkStart w:id="485" w:name="_Toc163818242"/>
      <w:r>
        <w:rPr>
          <w:rStyle w:val="CharSectno"/>
        </w:rPr>
        <w:lastRenderedPageBreak/>
        <w:t>236H</w:t>
      </w:r>
      <w:r>
        <w:t>.</w:t>
      </w:r>
      <w:r>
        <w:tab/>
        <w:t>Prescribed fee — application for service waiver</w:t>
      </w:r>
      <w:bookmarkEnd w:id="485"/>
    </w:p>
    <w:p>
      <w:pPr>
        <w:pStyle w:val="Subsection"/>
        <w:keepNext/>
        <w:keepLines/>
      </w:pPr>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236H inserted: SL 2023/71 r. 7.]</w:t>
      </w:r>
    </w:p>
    <w:p>
      <w:pPr>
        <w:pStyle w:val="Heading5"/>
      </w:pPr>
      <w:bookmarkStart w:id="486" w:name="_Toc163818243"/>
      <w:r>
        <w:rPr>
          <w:rStyle w:val="CharSectno"/>
        </w:rPr>
        <w:t>236I</w:t>
      </w:r>
      <w:r>
        <w:t>.</w:t>
      </w:r>
      <w:r>
        <w:tab/>
        <w:t>Prescribed fee — application for temporary waiver</w:t>
      </w:r>
      <w:bookmarkEnd w:id="486"/>
    </w:p>
    <w:p>
      <w:pPr>
        <w:pStyle w:val="Subsection"/>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236I inserted: SL 2023/71 r. 7.]</w:t>
      </w:r>
    </w:p>
    <w:p>
      <w:pPr>
        <w:pStyle w:val="Heading5"/>
      </w:pPr>
      <w:bookmarkStart w:id="487" w:name="_Toc163818244"/>
      <w:r>
        <w:rPr>
          <w:rStyle w:val="CharSectno"/>
        </w:rPr>
        <w:lastRenderedPageBreak/>
        <w:t>236J</w:t>
      </w:r>
      <w:r>
        <w:t>.</w:t>
      </w:r>
      <w:r>
        <w:tab/>
        <w:t>Prescribed fee — application to extend temporary waiver</w:t>
      </w:r>
      <w:bookmarkEnd w:id="487"/>
    </w:p>
    <w:p>
      <w:pPr>
        <w:pStyle w:val="Subsection"/>
        <w:keepLines/>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Footnotesection"/>
      </w:pPr>
      <w:r>
        <w:tab/>
        <w:t>[Regulation 236J inserted: SL 2023/71 r. 7.]</w:t>
      </w:r>
    </w:p>
    <w:p>
      <w:pPr>
        <w:pStyle w:val="Heading5"/>
      </w:pPr>
      <w:bookmarkStart w:id="488" w:name="_Toc163818245"/>
      <w:r>
        <w:rPr>
          <w:rStyle w:val="CharSectno"/>
        </w:rPr>
        <w:t>236K</w:t>
      </w:r>
      <w:r>
        <w:t>.</w:t>
      </w:r>
      <w:r>
        <w:tab/>
        <w:t>Prescribed fee — application for reassessment and re</w:t>
      </w:r>
      <w:r>
        <w:noBreakHyphen/>
        <w:t>rating</w:t>
      </w:r>
      <w:bookmarkEnd w:id="488"/>
    </w:p>
    <w:p>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keepLines/>
      </w:pPr>
      <w:r>
        <w:lastRenderedPageBreak/>
        <w:tab/>
        <w:t>(2)</w:t>
      </w:r>
      <w:r>
        <w:tab/>
        <w:t>For the purposes of section 139(2)(c) of the Law, the prescribed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236K inserted: SL 2023/71 r. 7.]</w:t>
      </w:r>
    </w:p>
    <w:p>
      <w:pPr>
        <w:pStyle w:val="Heading5"/>
      </w:pPr>
      <w:bookmarkStart w:id="489" w:name="_Toc163818246"/>
      <w:r>
        <w:rPr>
          <w:rStyle w:val="CharSectno"/>
        </w:rPr>
        <w:t>236L</w:t>
      </w:r>
      <w:r>
        <w:t>.</w:t>
      </w:r>
      <w:r>
        <w:tab/>
        <w:t>Prescribed fee — application for review by Ratings Review Panel of rating level</w:t>
      </w:r>
      <w:bookmarkEnd w:id="489"/>
    </w:p>
    <w:p>
      <w:pPr>
        <w:pStyle w:val="Subsection"/>
        <w:keepNext/>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FX×1.06</m:t>
        </m:r>
      </m:oMath>
    </w:p>
    <w:p>
      <w:pPr>
        <w:pStyle w:val="MiscellaneousBody"/>
        <w:keepNext/>
        <w:tabs>
          <w:tab w:val="left" w:pos="1418"/>
        </w:tabs>
      </w:pPr>
      <w:r>
        <w:lastRenderedPageBreak/>
        <w:tab/>
        <w:t xml:space="preserve">where — </w:t>
      </w:r>
    </w:p>
    <w:p>
      <w:pPr>
        <w:pStyle w:val="MiscellaneousBody"/>
        <w:keepNext/>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145(2)(c) of the Law, the prescribed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keepNext/>
      </w:pPr>
      <w:r>
        <w:lastRenderedPageBreak/>
        <w:tab/>
        <w:t>(4)</w:t>
      </w:r>
      <w:r>
        <w:tab/>
        <w:t xml:space="preserve">For the purposes of section 145(2)(c)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×FX×1.12</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(5)</w:t>
      </w:r>
      <w:r>
        <w:tab/>
        <w:t xml:space="preserve">For the purposes of section 145(2)(c)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236L of the national regulations made by the Ministerial Council.</w:t>
      </w:r>
    </w:p>
    <w:p>
      <w:pPr>
        <w:pStyle w:val="Footnotesection"/>
      </w:pPr>
      <w:r>
        <w:tab/>
        <w:t>[Regulation 236L inserted: SL 2023/71 r. 7; amended: SL 2024/48 r. 8.]</w:t>
      </w:r>
    </w:p>
    <w:p>
      <w:pPr>
        <w:pStyle w:val="Heading5"/>
      </w:pPr>
      <w:bookmarkStart w:id="490" w:name="_Toc163818247"/>
      <w:r>
        <w:rPr>
          <w:rStyle w:val="CharSectno"/>
        </w:rPr>
        <w:lastRenderedPageBreak/>
        <w:t>236M</w:t>
      </w:r>
      <w:r>
        <w:t>.</w:t>
      </w:r>
      <w:r>
        <w:tab/>
        <w:t>Prescribed fees — copy of or extract from registers</w:t>
      </w:r>
      <w:bookmarkEnd w:id="490"/>
    </w:p>
    <w:p>
      <w:pPr>
        <w:pStyle w:val="Subsection"/>
        <w:keepLines/>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236M inserted: SL 2023/71 r. 7.]</w:t>
      </w:r>
    </w:p>
    <w:p>
      <w:pPr>
        <w:pStyle w:val="Heading5"/>
      </w:pPr>
      <w:bookmarkStart w:id="491" w:name="_Toc163818248"/>
      <w:r>
        <w:rPr>
          <w:rStyle w:val="CharSectno"/>
        </w:rPr>
        <w:t>236N</w:t>
      </w:r>
      <w:r>
        <w:t>.</w:t>
      </w:r>
      <w:r>
        <w:tab/>
        <w:t>Prescribed fees — other applications</w:t>
      </w:r>
      <w:bookmarkEnd w:id="491"/>
    </w:p>
    <w:p>
      <w:pPr>
        <w:pStyle w:val="Subsection"/>
      </w:pPr>
      <w:r>
        <w:tab/>
      </w:r>
      <w:r>
        <w:tab/>
        <w:t>For the purposes of sections 22(2)(c), 37(2)(c), 39(6)(c), 40(3)(c), 85(2)(c), 141(4)(d), 152(3)(c) and 159(3)(c) of the Law, the prescribed fee is nil.</w:t>
      </w:r>
    </w:p>
    <w:p>
      <w:pPr>
        <w:pStyle w:val="Footnotesection"/>
      </w:pPr>
      <w:r>
        <w:tab/>
        <w:t>[Regulation 236N inserted: SL 2023/71 r. 7.]</w:t>
      </w:r>
    </w:p>
    <w:p>
      <w:pPr>
        <w:pStyle w:val="Heading5"/>
      </w:pPr>
      <w:bookmarkStart w:id="492" w:name="_Toc163818249"/>
      <w:r>
        <w:rPr>
          <w:rStyle w:val="CharSectno"/>
        </w:rPr>
        <w:lastRenderedPageBreak/>
        <w:t>236O</w:t>
      </w:r>
      <w:r>
        <w:t>.</w:t>
      </w:r>
      <w:r>
        <w:tab/>
        <w:t>Relevant fee — application for qualification to be assessed for inclusion on list of approved qualifications</w:t>
      </w:r>
      <w:bookmarkEnd w:id="492"/>
    </w:p>
    <w:p>
      <w:pPr>
        <w:pStyle w:val="Subsection"/>
      </w:pPr>
      <w:r>
        <w:tab/>
        <w:t>(1)</w:t>
      </w:r>
      <w:r>
        <w:tab/>
        <w:t xml:space="preserve">For the purposes of regulation 138, the relevant fee for the financial year beginning on 1 July 2023 is to be calculated in accordance with the following formula — </w:t>
      </w:r>
    </w:p>
    <w:p>
      <w:pPr>
        <w:pStyle w:val="Equation"/>
        <w:keepNext/>
        <w:tabs>
          <w:tab w:val="left" w:pos="1418"/>
        </w:tabs>
        <w:spacing w:before="160"/>
      </w:pPr>
      <w:r>
        <w:tab/>
      </w:r>
      <m:oMath>
        <m:r>
          <w:rPr>
            <w:rFonts w:ascii="Cambria Math" w:hAnsi="Cambria Math"/>
          </w:rPr>
          <m:t>$2 426×</m:t>
        </m:r>
        <m:r>
          <m:rPr>
            <m:sty m:val="p"/>
          </m:rPr>
          <w:rPr>
            <w:rFonts w:ascii="Cambria Math" w:hAnsi="Cambria Math"/>
          </w:rPr>
          <m:t>FX×1.06</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regulation 138, the relevant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(3)</w:t>
      </w:r>
      <w:r>
        <w:tab/>
        <w:t xml:space="preserve">For the purposes of regulation 138, the relevant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lastRenderedPageBreak/>
        <w:tab/>
      </w:r>
      <w:r>
        <w:rPr>
          <w:b/>
        </w:rPr>
        <w:t>FX</w:t>
      </w:r>
      <w:r>
        <w:tab/>
        <w:t>is the indexation factor for the financial year beginning on 1 July 2025.</w:t>
      </w:r>
    </w:p>
    <w:p>
      <w:pPr>
        <w:pStyle w:val="Subsection"/>
      </w:pPr>
      <w:r>
        <w:tab/>
        <w:t>(4)</w:t>
      </w:r>
      <w:r>
        <w:tab/>
        <w:t xml:space="preserve">For the purposes of regulation 138, in a financial year beginning on 1 July 2026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236O inserted: SL 2023/71 r. 7; amended: SL 2024/48 r. 9.]</w:t>
      </w:r>
    </w:p>
    <w:p>
      <w:pPr>
        <w:pStyle w:val="Heading5"/>
      </w:pPr>
      <w:bookmarkStart w:id="493" w:name="_Toc163818250"/>
      <w:r>
        <w:rPr>
          <w:rStyle w:val="CharSectno"/>
        </w:rPr>
        <w:t>236P</w:t>
      </w:r>
      <w:r>
        <w:t>.</w:t>
      </w:r>
      <w:r>
        <w:tab/>
        <w:t>Relevant fee — application for determination of equivalent qualification</w:t>
      </w:r>
      <w:bookmarkEnd w:id="493"/>
    </w:p>
    <w:p>
      <w:pPr>
        <w:pStyle w:val="Subsection"/>
        <w:keepNext/>
      </w:pPr>
      <w:r>
        <w:tab/>
      </w:r>
      <w:r>
        <w:tab/>
        <w:t xml:space="preserve">For the purposes of regulation 139, in a financial year beginning on 1 July 2023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236P inserted: SL 2023/71 r. 7.]</w:t>
      </w:r>
    </w:p>
    <w:p>
      <w:pPr>
        <w:pStyle w:val="Heading3"/>
      </w:pPr>
      <w:bookmarkStart w:id="494" w:name="_Toc163809601"/>
      <w:bookmarkStart w:id="495" w:name="_Toc163810734"/>
      <w:bookmarkStart w:id="496" w:name="_Toc163818251"/>
      <w:r>
        <w:rPr>
          <w:rStyle w:val="CharDivNo"/>
        </w:rPr>
        <w:lastRenderedPageBreak/>
        <w:t>Part 6.4</w:t>
      </w:r>
      <w:r>
        <w:t> — </w:t>
      </w:r>
      <w:r>
        <w:rPr>
          <w:rStyle w:val="CharDivText"/>
        </w:rPr>
        <w:t>Delegations</w:t>
      </w:r>
      <w:bookmarkEnd w:id="494"/>
      <w:bookmarkEnd w:id="495"/>
      <w:bookmarkEnd w:id="496"/>
    </w:p>
    <w:p>
      <w:pPr>
        <w:pStyle w:val="Heading5"/>
      </w:pPr>
      <w:bookmarkStart w:id="497" w:name="_Toc163818252"/>
      <w:r>
        <w:rPr>
          <w:rStyle w:val="CharSectno"/>
        </w:rPr>
        <w:t>237</w:t>
      </w:r>
      <w:r>
        <w:t>.</w:t>
      </w:r>
      <w:r>
        <w:tab/>
        <w:t>Delegation</w:t>
      </w:r>
      <w:bookmarkEnd w:id="497"/>
      <w:r>
        <w:t xml:space="preserve"> </w:t>
      </w:r>
    </w:p>
    <w:p>
      <w:pPr>
        <w:pStyle w:val="Subsection"/>
        <w:keepNext/>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498" w:name="_Toc163809603"/>
      <w:bookmarkStart w:id="499" w:name="_Toc163810736"/>
      <w:bookmarkStart w:id="500" w:name="_Toc163818253"/>
      <w:r>
        <w:rPr>
          <w:rStyle w:val="CharPartNo"/>
        </w:rPr>
        <w:lastRenderedPageBreak/>
        <w:t>Chapter 7</w:t>
      </w:r>
      <w:r>
        <w:t> — </w:t>
      </w:r>
      <w:r>
        <w:rPr>
          <w:rStyle w:val="CharPartText"/>
        </w:rPr>
        <w:t>Jurisdiction</w:t>
      </w:r>
      <w:r>
        <w:rPr>
          <w:rStyle w:val="CharPartText"/>
        </w:rPr>
        <w:noBreakHyphen/>
        <w:t>specific and transitional and saving provisions</w:t>
      </w:r>
      <w:bookmarkEnd w:id="498"/>
      <w:bookmarkEnd w:id="499"/>
      <w:bookmarkEnd w:id="500"/>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501" w:name="_Toc163809604"/>
      <w:bookmarkStart w:id="502" w:name="_Toc163810737"/>
      <w:bookmarkStart w:id="503" w:name="_Toc163818254"/>
      <w:r>
        <w:rPr>
          <w:rStyle w:val="CharDivNo"/>
        </w:rPr>
        <w:t>Part 7.1</w:t>
      </w:r>
      <w:r>
        <w:t> — </w:t>
      </w:r>
      <w:r>
        <w:rPr>
          <w:rStyle w:val="CharDivText"/>
        </w:rPr>
        <w:t>General transitional and saving provisions</w:t>
      </w:r>
      <w:bookmarkEnd w:id="501"/>
      <w:bookmarkEnd w:id="502"/>
      <w:bookmarkEnd w:id="503"/>
    </w:p>
    <w:p>
      <w:pPr>
        <w:pStyle w:val="Ednotedivision"/>
      </w:pPr>
      <w:r>
        <w:t>[Divisions 1 and 1A deleted: Gazette 28 Sep 2018 p. 3648.]</w:t>
      </w:r>
    </w:p>
    <w:p>
      <w:pPr>
        <w:pStyle w:val="Heading4"/>
      </w:pPr>
      <w:bookmarkStart w:id="504" w:name="_Toc163809605"/>
      <w:bookmarkStart w:id="505" w:name="_Toc163810738"/>
      <w:bookmarkStart w:id="506" w:name="_Toc163818255"/>
      <w:r>
        <w:t>Division 2 — Staffing arrangements</w:t>
      </w:r>
      <w:bookmarkEnd w:id="504"/>
      <w:bookmarkEnd w:id="505"/>
      <w:bookmarkEnd w:id="506"/>
    </w:p>
    <w:p>
      <w:pPr>
        <w:pStyle w:val="Heading5"/>
      </w:pPr>
      <w:bookmarkStart w:id="507" w:name="_Toc163818256"/>
      <w:r>
        <w:rPr>
          <w:rStyle w:val="CharSectno"/>
        </w:rPr>
        <w:t>239</w:t>
      </w:r>
      <w:r>
        <w:t>.</w:t>
      </w:r>
      <w:r>
        <w:tab/>
        <w:t>Centre</w:t>
      </w:r>
      <w:r>
        <w:noBreakHyphen/>
        <w:t>based service offering a preschool program in a composite class in a school</w:t>
      </w:r>
      <w:bookmarkEnd w:id="507"/>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508" w:name="_Toc163818257"/>
      <w:r>
        <w:rPr>
          <w:rStyle w:val="CharSectno"/>
        </w:rPr>
        <w:t>239A</w:t>
      </w:r>
      <w:r>
        <w:t>.</w:t>
      </w:r>
      <w:r>
        <w:tab/>
        <w:t>Centre</w:t>
      </w:r>
      <w:r>
        <w:noBreakHyphen/>
        <w:t>based services in remote and very remote areas — attendance of early childhood teachers</w:t>
      </w:r>
      <w:bookmarkEnd w:id="508"/>
    </w:p>
    <w:p>
      <w:pPr>
        <w:pStyle w:val="Subsection"/>
      </w:pPr>
      <w:r>
        <w:tab/>
        <w:t>(1)</w:t>
      </w:r>
      <w:r>
        <w:tab/>
        <w:t>This regulation applies until 31 December 2024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lastRenderedPageBreak/>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 SL 2023/71 r. 16.]</w:t>
      </w:r>
    </w:p>
    <w:p>
      <w:pPr>
        <w:pStyle w:val="Heading5"/>
      </w:pPr>
      <w:bookmarkStart w:id="509" w:name="_Toc163818258"/>
      <w:r>
        <w:rPr>
          <w:rStyle w:val="CharSectno"/>
        </w:rPr>
        <w:lastRenderedPageBreak/>
        <w:t>240</w:t>
      </w:r>
      <w:r>
        <w:t>.</w:t>
      </w:r>
      <w:r>
        <w:tab/>
        <w:t>Qualifications for educators — centre</w:t>
      </w:r>
      <w:r>
        <w:noBreakHyphen/>
        <w:t>based service</w:t>
      </w:r>
      <w:bookmarkEnd w:id="509"/>
      <w:r>
        <w:t xml:space="preserve"> </w:t>
      </w:r>
    </w:p>
    <w:p>
      <w:pPr>
        <w:pStyle w:val="Subsection"/>
      </w:pPr>
      <w:r>
        <w:tab/>
        <w:t>(1)</w:t>
      </w:r>
      <w:r>
        <w:tab/>
        <w:t>This regulation applies until 31 December 2024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 SL 2023/71 r. 17.]</w:t>
      </w:r>
    </w:p>
    <w:p>
      <w:pPr>
        <w:pStyle w:val="Heading5"/>
      </w:pPr>
      <w:bookmarkStart w:id="510" w:name="_Toc163818259"/>
      <w:r>
        <w:rPr>
          <w:rStyle w:val="CharSectno"/>
        </w:rPr>
        <w:t>241</w:t>
      </w:r>
      <w:r>
        <w:t>.</w:t>
      </w:r>
      <w:r>
        <w:tab/>
        <w:t>Persons taken to hold an approved early childhood teaching qualification</w:t>
      </w:r>
      <w:bookmarkEnd w:id="510"/>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lastRenderedPageBreak/>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w:t>
      </w:r>
      <w:r>
        <w:lastRenderedPageBreak/>
        <w:t xml:space="preserve">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lastRenderedPageBreak/>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511" w:name="_Toc163818260"/>
      <w:r>
        <w:rPr>
          <w:rStyle w:val="CharSectno"/>
        </w:rPr>
        <w:t>242</w:t>
      </w:r>
      <w:r>
        <w:t>.</w:t>
      </w:r>
      <w:r>
        <w:tab/>
        <w:t>Persons taken to be early childhood teachers</w:t>
      </w:r>
      <w:bookmarkEnd w:id="511"/>
      <w:r>
        <w:t xml:space="preserve"> </w:t>
      </w:r>
    </w:p>
    <w:p>
      <w:pPr>
        <w:pStyle w:val="Subsection"/>
        <w:spacing w:before="180"/>
      </w:pPr>
      <w:r>
        <w:tab/>
        <w:t>(1)</w:t>
      </w:r>
      <w:r>
        <w:tab/>
        <w:t>This regulation applies on and after 1 January 2014 and until 31 December 2024.</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keepNext/>
      </w:pPr>
      <w:r>
        <w:lastRenderedPageBreak/>
        <w:tab/>
        <w:t>(3)</w:t>
      </w:r>
      <w:r>
        <w:tab/>
        <w:t xml:space="preserve">In this regulation — </w:t>
      </w:r>
    </w:p>
    <w:p>
      <w:pPr>
        <w:pStyle w:val="Defstart"/>
        <w:keepNex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 SL 2023/71 r. 18.]</w:t>
      </w:r>
    </w:p>
    <w:p>
      <w:pPr>
        <w:pStyle w:val="Heading5"/>
      </w:pPr>
      <w:bookmarkStart w:id="512" w:name="_Toc163818261"/>
      <w:r>
        <w:rPr>
          <w:rStyle w:val="CharSectno"/>
        </w:rPr>
        <w:t>243</w:t>
      </w:r>
      <w:r>
        <w:t>.</w:t>
      </w:r>
      <w:r>
        <w:tab/>
        <w:t>Persons taken to hold an approved diploma level education and care qualification</w:t>
      </w:r>
      <w:bookmarkEnd w:id="512"/>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513" w:name="_Toc163818262"/>
      <w:r>
        <w:rPr>
          <w:rStyle w:val="CharSectno"/>
        </w:rPr>
        <w:lastRenderedPageBreak/>
        <w:t>243A</w:t>
      </w:r>
      <w:r>
        <w:t>.</w:t>
      </w:r>
      <w:r>
        <w:tab/>
        <w:t>Persons taken to hold an approved diploma level education and care qualification for regulation 128 in Queensland</w:t>
      </w:r>
      <w:bookmarkEnd w:id="513"/>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514" w:name="_Toc163818263"/>
      <w:r>
        <w:rPr>
          <w:rStyle w:val="CharSectno"/>
        </w:rPr>
        <w:t>244</w:t>
      </w:r>
      <w:r>
        <w:t>.</w:t>
      </w:r>
      <w:r>
        <w:tab/>
        <w:t>Persons taken to hold an approved certificate III level education and care qualification</w:t>
      </w:r>
      <w:bookmarkEnd w:id="514"/>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lastRenderedPageBreak/>
        <w:t>[</w:t>
      </w:r>
      <w:r>
        <w:rPr>
          <w:b/>
        </w:rPr>
        <w:t>245-247.</w:t>
      </w:r>
      <w:r>
        <w:tab/>
        <w:t>Deleted: Gazette 28 Sep 2018 p. 3648.]</w:t>
      </w:r>
    </w:p>
    <w:p>
      <w:pPr>
        <w:pStyle w:val="Heading4"/>
      </w:pPr>
      <w:bookmarkStart w:id="515" w:name="_Toc163809614"/>
      <w:bookmarkStart w:id="516" w:name="_Toc163810747"/>
      <w:bookmarkStart w:id="517" w:name="_Toc163818264"/>
      <w:r>
        <w:t>Division 3 — Physical environment</w:t>
      </w:r>
      <w:bookmarkEnd w:id="515"/>
      <w:bookmarkEnd w:id="516"/>
      <w:bookmarkEnd w:id="517"/>
    </w:p>
    <w:p>
      <w:pPr>
        <w:pStyle w:val="Heading5"/>
      </w:pPr>
      <w:bookmarkStart w:id="518" w:name="_Toc163818265"/>
      <w:r>
        <w:rPr>
          <w:rStyle w:val="CharSectno"/>
        </w:rPr>
        <w:t>248</w:t>
      </w:r>
      <w:r>
        <w:t>.</w:t>
      </w:r>
      <w:r>
        <w:tab/>
        <w:t>Centre</w:t>
      </w:r>
      <w:r>
        <w:noBreakHyphen/>
        <w:t>based service offering a preschool program in a composite class in a school</w:t>
      </w:r>
      <w:bookmarkEnd w:id="518"/>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519" w:name="_Toc163818266"/>
      <w:r>
        <w:rPr>
          <w:rStyle w:val="CharSectno"/>
        </w:rPr>
        <w:t>249</w:t>
      </w:r>
      <w:r>
        <w:t>.</w:t>
      </w:r>
      <w:r>
        <w:tab/>
        <w:t>Declared approved services (other than declared approved family day care services)</w:t>
      </w:r>
      <w:bookmarkEnd w:id="519"/>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lastRenderedPageBreak/>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520" w:name="_Toc163818267"/>
      <w:r>
        <w:rPr>
          <w:rStyle w:val="CharSectno"/>
        </w:rPr>
        <w:t>250</w:t>
      </w:r>
      <w:r>
        <w:t>.</w:t>
      </w:r>
      <w:r>
        <w:tab/>
        <w:t>Declared approved family day care services</w:t>
      </w:r>
      <w:bookmarkEnd w:id="520"/>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t>
      </w:r>
      <w:r>
        <w:lastRenderedPageBreak/>
        <w:t xml:space="preserve">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521" w:name="_Toc163818268"/>
      <w:r>
        <w:rPr>
          <w:rStyle w:val="CharSectno"/>
        </w:rPr>
        <w:t>251</w:t>
      </w:r>
      <w:r>
        <w:t>.</w:t>
      </w:r>
      <w:r>
        <w:tab/>
        <w:t>Declared out of scope services</w:t>
      </w:r>
      <w:bookmarkEnd w:id="521"/>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lastRenderedPageBreak/>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522" w:name="_Toc163809619"/>
      <w:bookmarkStart w:id="523" w:name="_Toc163810752"/>
      <w:bookmarkStart w:id="524" w:name="_Toc163818269"/>
      <w:r>
        <w:t>Division 4 — Information retention and sharing</w:t>
      </w:r>
      <w:bookmarkEnd w:id="522"/>
      <w:bookmarkEnd w:id="523"/>
      <w:bookmarkEnd w:id="524"/>
    </w:p>
    <w:p>
      <w:pPr>
        <w:pStyle w:val="Heading5"/>
      </w:pPr>
      <w:bookmarkStart w:id="525" w:name="_Toc163818270"/>
      <w:r>
        <w:rPr>
          <w:rStyle w:val="CharSectno"/>
        </w:rPr>
        <w:t>252</w:t>
      </w:r>
      <w:r>
        <w:t>.</w:t>
      </w:r>
      <w:r>
        <w:tab/>
        <w:t>Information held by Regulatory Authority or regulatory body</w:t>
      </w:r>
      <w:bookmarkEnd w:id="525"/>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526" w:name="_Toc163818271"/>
      <w:r>
        <w:rPr>
          <w:rStyle w:val="CharSectno"/>
        </w:rPr>
        <w:t>253</w:t>
      </w:r>
      <w:r>
        <w:t>.</w:t>
      </w:r>
      <w:r>
        <w:tab/>
        <w:t>Information kept by approved provider</w:t>
      </w:r>
      <w:bookmarkEnd w:id="526"/>
    </w:p>
    <w:p>
      <w:pPr>
        <w:pStyle w:val="Subsection"/>
      </w:pPr>
      <w:r>
        <w:tab/>
      </w:r>
      <w:r>
        <w:tab/>
        <w:t>For the purposes of section 322(3) of the Law, the documents must be kept in accordance with regulation 183.</w:t>
      </w:r>
    </w:p>
    <w:p>
      <w:pPr>
        <w:pStyle w:val="Heading4"/>
      </w:pPr>
      <w:bookmarkStart w:id="527" w:name="_Toc163809622"/>
      <w:bookmarkStart w:id="528" w:name="_Toc163810755"/>
      <w:bookmarkStart w:id="529" w:name="_Toc163818272"/>
      <w:r>
        <w:t>Division 5 — Declared approved learning frameworks</w:t>
      </w:r>
      <w:bookmarkEnd w:id="527"/>
      <w:bookmarkEnd w:id="528"/>
      <w:bookmarkEnd w:id="529"/>
    </w:p>
    <w:p>
      <w:pPr>
        <w:pStyle w:val="Ednotesection"/>
      </w:pPr>
      <w:r>
        <w:t>[</w:t>
      </w:r>
      <w:r>
        <w:rPr>
          <w:b/>
          <w:bCs/>
        </w:rPr>
        <w:t>254.</w:t>
      </w:r>
      <w:r>
        <w:tab/>
        <w:t>Deleted: SL 2023/186 r. 41]</w:t>
      </w:r>
    </w:p>
    <w:p>
      <w:pPr>
        <w:pStyle w:val="Heading4"/>
        <w:keepNext w:val="0"/>
      </w:pPr>
      <w:bookmarkStart w:id="530" w:name="_Toc163809623"/>
      <w:bookmarkStart w:id="531" w:name="_Toc163810756"/>
      <w:bookmarkStart w:id="532" w:name="_Toc163818273"/>
      <w:r>
        <w:t>Division 6 — Fees</w:t>
      </w:r>
      <w:bookmarkEnd w:id="530"/>
      <w:bookmarkEnd w:id="531"/>
      <w:bookmarkEnd w:id="532"/>
    </w:p>
    <w:p>
      <w:pPr>
        <w:pStyle w:val="Heading5"/>
        <w:keepNext w:val="0"/>
      </w:pPr>
      <w:bookmarkStart w:id="533" w:name="_Toc163818274"/>
      <w:r>
        <w:rPr>
          <w:rStyle w:val="CharSectno"/>
        </w:rPr>
        <w:t>255</w:t>
      </w:r>
      <w:r>
        <w:t>.</w:t>
      </w:r>
      <w:r>
        <w:tab/>
        <w:t>Fees for application for provider approval for declared out of scope service</w:t>
      </w:r>
      <w:bookmarkEnd w:id="533"/>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534" w:name="_Toc163809625"/>
      <w:bookmarkStart w:id="535" w:name="_Toc163810758"/>
      <w:bookmarkStart w:id="536" w:name="_Toc163818275"/>
      <w:r>
        <w:lastRenderedPageBreak/>
        <w:t>Division 7 — General provisions relating to exemptions</w:t>
      </w:r>
      <w:bookmarkEnd w:id="534"/>
      <w:bookmarkEnd w:id="535"/>
      <w:bookmarkEnd w:id="536"/>
    </w:p>
    <w:p>
      <w:pPr>
        <w:pStyle w:val="Heading5"/>
      </w:pPr>
      <w:bookmarkStart w:id="537" w:name="_Toc163818276"/>
      <w:r>
        <w:rPr>
          <w:rStyle w:val="CharSectno"/>
        </w:rPr>
        <w:t>256</w:t>
      </w:r>
      <w:r>
        <w:t>.</w:t>
      </w:r>
      <w:r>
        <w:tab/>
        <w:t>Publication where service taken to comply with regulations</w:t>
      </w:r>
      <w:bookmarkEnd w:id="537"/>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538" w:name="_Toc163818277"/>
      <w:r>
        <w:rPr>
          <w:rStyle w:val="CharSectno"/>
        </w:rPr>
        <w:t>257</w:t>
      </w:r>
      <w:r>
        <w:t>.</w:t>
      </w:r>
      <w:r>
        <w:tab/>
        <w:t>Application for removal of exemption</w:t>
      </w:r>
      <w:bookmarkEnd w:id="538"/>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lastRenderedPageBreak/>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539" w:name="_Toc163809628"/>
      <w:bookmarkStart w:id="540" w:name="_Toc163810761"/>
      <w:bookmarkStart w:id="541" w:name="_Toc163818278"/>
      <w:r>
        <w:rPr>
          <w:rStyle w:val="CharDivNo"/>
        </w:rPr>
        <w:t>Part 7.2</w:t>
      </w:r>
      <w:r>
        <w:t> — </w:t>
      </w:r>
      <w:r>
        <w:rPr>
          <w:rStyle w:val="CharDivText"/>
        </w:rPr>
        <w:t>Australian Capital Territory — specific provisions</w:t>
      </w:r>
      <w:bookmarkEnd w:id="539"/>
      <w:bookmarkEnd w:id="540"/>
      <w:bookmarkEnd w:id="541"/>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542" w:name="_Toc163809629"/>
      <w:bookmarkStart w:id="543" w:name="_Toc163810762"/>
      <w:bookmarkStart w:id="544" w:name="_Toc163818279"/>
      <w:r>
        <w:rPr>
          <w:rStyle w:val="CharDivNo"/>
        </w:rPr>
        <w:t>Part 7.3</w:t>
      </w:r>
      <w:r>
        <w:t> — </w:t>
      </w:r>
      <w:r>
        <w:rPr>
          <w:rStyle w:val="CharDivText"/>
        </w:rPr>
        <w:t>New South Wales — specific provisions</w:t>
      </w:r>
      <w:bookmarkEnd w:id="542"/>
      <w:bookmarkEnd w:id="543"/>
      <w:bookmarkEnd w:id="544"/>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545" w:name="_Toc163809630"/>
      <w:bookmarkStart w:id="546" w:name="_Toc163810763"/>
      <w:bookmarkStart w:id="547" w:name="_Toc163818280"/>
      <w:r>
        <w:rPr>
          <w:rStyle w:val="CharDivNo"/>
        </w:rPr>
        <w:t>Part 7.4</w:t>
      </w:r>
      <w:r>
        <w:t> — </w:t>
      </w:r>
      <w:r>
        <w:rPr>
          <w:rStyle w:val="CharDivText"/>
        </w:rPr>
        <w:t>Northern Territory — specific provisions</w:t>
      </w:r>
      <w:bookmarkEnd w:id="545"/>
      <w:bookmarkEnd w:id="546"/>
      <w:bookmarkEnd w:id="547"/>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548" w:name="_Toc163809631"/>
      <w:bookmarkStart w:id="549" w:name="_Toc163810764"/>
      <w:bookmarkStart w:id="550" w:name="_Toc163818281"/>
      <w:r>
        <w:rPr>
          <w:rStyle w:val="CharDivNo"/>
        </w:rPr>
        <w:t>Part 7.5</w:t>
      </w:r>
      <w:r>
        <w:t> — </w:t>
      </w:r>
      <w:r>
        <w:rPr>
          <w:rStyle w:val="CharDivText"/>
        </w:rPr>
        <w:t>Queensland — specific provisions</w:t>
      </w:r>
      <w:bookmarkEnd w:id="548"/>
      <w:bookmarkEnd w:id="549"/>
      <w:bookmarkEnd w:id="550"/>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551" w:name="_Toc163809632"/>
      <w:bookmarkStart w:id="552" w:name="_Toc163810765"/>
      <w:bookmarkStart w:id="553" w:name="_Toc163818282"/>
      <w:r>
        <w:rPr>
          <w:rStyle w:val="CharDivNo"/>
        </w:rPr>
        <w:t>Part 7.6</w:t>
      </w:r>
      <w:r>
        <w:t> — </w:t>
      </w:r>
      <w:r>
        <w:rPr>
          <w:rStyle w:val="CharDivText"/>
        </w:rPr>
        <w:t>South Australia — specific provisions</w:t>
      </w:r>
      <w:bookmarkEnd w:id="551"/>
      <w:bookmarkEnd w:id="552"/>
      <w:bookmarkEnd w:id="553"/>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554" w:name="_Toc163809633"/>
      <w:bookmarkStart w:id="555" w:name="_Toc163810766"/>
      <w:bookmarkStart w:id="556" w:name="_Toc163818283"/>
      <w:r>
        <w:rPr>
          <w:rStyle w:val="CharDivNo"/>
        </w:rPr>
        <w:lastRenderedPageBreak/>
        <w:t>Part 7.7</w:t>
      </w:r>
      <w:r>
        <w:t> — </w:t>
      </w:r>
      <w:r>
        <w:rPr>
          <w:rStyle w:val="CharDivText"/>
        </w:rPr>
        <w:t>Tasmania — specific provisions</w:t>
      </w:r>
      <w:bookmarkEnd w:id="554"/>
      <w:bookmarkEnd w:id="555"/>
      <w:bookmarkEnd w:id="556"/>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557" w:name="_Toc163809634"/>
      <w:bookmarkStart w:id="558" w:name="_Toc163810767"/>
      <w:bookmarkStart w:id="559" w:name="_Toc163818284"/>
      <w:r>
        <w:rPr>
          <w:rStyle w:val="CharDivNo"/>
        </w:rPr>
        <w:t>Part 7.8</w:t>
      </w:r>
      <w:r>
        <w:t> — </w:t>
      </w:r>
      <w:r>
        <w:rPr>
          <w:rStyle w:val="CharDivText"/>
        </w:rPr>
        <w:t>Victoria — specific provisions</w:t>
      </w:r>
      <w:bookmarkEnd w:id="557"/>
      <w:bookmarkEnd w:id="558"/>
      <w:bookmarkEnd w:id="559"/>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560" w:name="_Toc163809635"/>
      <w:bookmarkStart w:id="561" w:name="_Toc163810768"/>
      <w:bookmarkStart w:id="562" w:name="_Toc163818285"/>
      <w:r>
        <w:rPr>
          <w:rStyle w:val="CharDivNo"/>
        </w:rPr>
        <w:t>Part 7.9</w:t>
      </w:r>
      <w:r>
        <w:t> — </w:t>
      </w:r>
      <w:r>
        <w:rPr>
          <w:rStyle w:val="CharDivText"/>
        </w:rPr>
        <w:t>Western Australia — specific provisions</w:t>
      </w:r>
      <w:bookmarkEnd w:id="560"/>
      <w:bookmarkEnd w:id="561"/>
      <w:bookmarkEnd w:id="562"/>
    </w:p>
    <w:p>
      <w:pPr>
        <w:pStyle w:val="Heading4"/>
        <w:spacing w:before="220"/>
      </w:pPr>
      <w:bookmarkStart w:id="563" w:name="_Toc163809636"/>
      <w:bookmarkStart w:id="564" w:name="_Toc163810769"/>
      <w:bookmarkStart w:id="565" w:name="_Toc163818286"/>
      <w:r>
        <w:t>Division 1 — Application of Part 7.9</w:t>
      </w:r>
      <w:bookmarkEnd w:id="563"/>
      <w:bookmarkEnd w:id="564"/>
      <w:bookmarkEnd w:id="565"/>
    </w:p>
    <w:p>
      <w:pPr>
        <w:pStyle w:val="Heading5"/>
        <w:spacing w:before="210"/>
      </w:pPr>
      <w:bookmarkStart w:id="566" w:name="_Toc163818287"/>
      <w:r>
        <w:rPr>
          <w:rStyle w:val="CharSectno"/>
        </w:rPr>
        <w:t>367</w:t>
      </w:r>
      <w:r>
        <w:t>.</w:t>
      </w:r>
      <w:r>
        <w:tab/>
        <w:t>Application of Part 7.9</w:t>
      </w:r>
      <w:bookmarkEnd w:id="566"/>
      <w:r>
        <w:t xml:space="preserve"> </w:t>
      </w:r>
    </w:p>
    <w:p>
      <w:pPr>
        <w:pStyle w:val="Subsection"/>
        <w:spacing w:before="140"/>
      </w:pPr>
      <w:r>
        <w:tab/>
      </w:r>
      <w:r>
        <w:tab/>
        <w:t>This Part applies to Western Australia.</w:t>
      </w:r>
    </w:p>
    <w:p>
      <w:pPr>
        <w:pStyle w:val="Heading5"/>
      </w:pPr>
      <w:bookmarkStart w:id="567" w:name="_Toc163818288"/>
      <w:r>
        <w:rPr>
          <w:rStyle w:val="CharSectno"/>
        </w:rPr>
        <w:t>368</w:t>
      </w:r>
      <w:r>
        <w:t>.</w:t>
      </w:r>
      <w:r>
        <w:tab/>
        <w:t>Definitions</w:t>
      </w:r>
      <w:bookmarkEnd w:id="567"/>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keepNext/>
        <w:spacing w:before="70"/>
      </w:pPr>
      <w:r>
        <w:rPr>
          <w:bCs/>
        </w:rPr>
        <w:tab/>
      </w:r>
      <w:r>
        <w:rPr>
          <w:rStyle w:val="CharDefText"/>
        </w:rPr>
        <w:t>provided by a school</w:t>
      </w:r>
      <w:r>
        <w:t xml:space="preserve"> includes provided by a recognised school system or the Chief Executive Officer of the department referred </w:t>
      </w:r>
      <w:r>
        <w:lastRenderedPageBreak/>
        <w:t xml:space="preserve">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568" w:name="_Toc163809639"/>
      <w:bookmarkStart w:id="569" w:name="_Toc163810772"/>
      <w:bookmarkStart w:id="570" w:name="_Toc163818289"/>
      <w:r>
        <w:t>Division 1A — Exceeding National Quality Standard</w:t>
      </w:r>
      <w:bookmarkEnd w:id="568"/>
      <w:bookmarkEnd w:id="569"/>
      <w:bookmarkEnd w:id="570"/>
    </w:p>
    <w:p>
      <w:pPr>
        <w:pStyle w:val="Footnoteheading"/>
        <w:keepNext/>
      </w:pPr>
      <w:r>
        <w:tab/>
        <w:t>[Heading inserted: Gazette 28 Nov 2014 p. 4411.]</w:t>
      </w:r>
    </w:p>
    <w:p>
      <w:pPr>
        <w:pStyle w:val="Heading5"/>
      </w:pPr>
      <w:bookmarkStart w:id="571" w:name="_Toc163818290"/>
      <w:r>
        <w:rPr>
          <w:rStyle w:val="CharSectno"/>
        </w:rPr>
        <w:t>368A</w:t>
      </w:r>
      <w:r>
        <w:t>.</w:t>
      </w:r>
      <w:r>
        <w:tab/>
        <w:t>Exceeding National Quality Standard: educational program and practice quality area</w:t>
      </w:r>
      <w:bookmarkEnd w:id="571"/>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572" w:name="_Toc163809641"/>
      <w:bookmarkStart w:id="573" w:name="_Toc163810774"/>
      <w:bookmarkStart w:id="574" w:name="_Toc163818291"/>
      <w:r>
        <w:lastRenderedPageBreak/>
        <w:t>Division 2 — Minimum number of educators and qualifications required — children over preschool age</w:t>
      </w:r>
      <w:bookmarkEnd w:id="572"/>
      <w:bookmarkEnd w:id="573"/>
      <w:bookmarkEnd w:id="574"/>
    </w:p>
    <w:p>
      <w:pPr>
        <w:pStyle w:val="Heading5"/>
      </w:pPr>
      <w:bookmarkStart w:id="575" w:name="_Toc163818292"/>
      <w:r>
        <w:rPr>
          <w:rStyle w:val="CharSectno"/>
        </w:rPr>
        <w:t>369</w:t>
      </w:r>
      <w:r>
        <w:t>.</w:t>
      </w:r>
      <w:r>
        <w:tab/>
        <w:t>Educator to child ratios and qualification requirements for educators — children over preschool age</w:t>
      </w:r>
      <w:bookmarkEnd w:id="575"/>
    </w:p>
    <w:p>
      <w:pPr>
        <w:pStyle w:val="Subsection"/>
        <w:keepNext/>
      </w:pPr>
      <w:r>
        <w:tab/>
        <w:t>(1)</w:t>
      </w:r>
      <w:r>
        <w:tab/>
        <w:t xml:space="preserve">In this regulation — </w:t>
      </w:r>
    </w:p>
    <w:p>
      <w:pPr>
        <w:pStyle w:val="Defstart"/>
      </w:pPr>
      <w:r>
        <w:tab/>
      </w:r>
      <w:r>
        <w:rPr>
          <w:rStyle w:val="CharDefText"/>
        </w:rPr>
        <w:t>approved educator qualification</w:t>
      </w:r>
      <w:r>
        <w:t xml:space="preserve"> means a qualification for the education and care of children over preschool age that — </w:t>
      </w:r>
    </w:p>
    <w:p>
      <w:pPr>
        <w:pStyle w:val="Defpara"/>
      </w:pPr>
      <w:r>
        <w:tab/>
        <w:t>(a)</w:t>
      </w:r>
      <w:r>
        <w:tab/>
        <w:t>is approved as a qualification for an educator, other than a first educator, by the National Authority; and</w:t>
      </w:r>
    </w:p>
    <w:p>
      <w:pPr>
        <w:pStyle w:val="Defpara"/>
      </w:pPr>
      <w:r>
        <w:tab/>
        <w:t>(b)</w:t>
      </w:r>
      <w:r>
        <w:tab/>
        <w:t>is included in the list of approved qualifications for educators, other than first educators, published under regulation 137(2)(c) for Western Australia;</w:t>
      </w:r>
    </w:p>
    <w:p>
      <w:pPr>
        <w:pStyle w:val="Defstart"/>
      </w:pPr>
      <w:r>
        <w:tab/>
      </w:r>
      <w:r>
        <w:rPr>
          <w:rStyle w:val="CharDefText"/>
        </w:rPr>
        <w:t>approved first educator qualification</w:t>
      </w:r>
      <w:r>
        <w:t xml:space="preserve"> means a qualification for the education and care of children over preschool age that— </w:t>
      </w:r>
    </w:p>
    <w:p>
      <w:pPr>
        <w:pStyle w:val="Defpara"/>
      </w:pPr>
      <w:r>
        <w:tab/>
        <w:t>(a)</w:t>
      </w:r>
      <w:r>
        <w:tab/>
        <w:t>is approved as a qualification for a first educator by the National Authority; and</w:t>
      </w:r>
    </w:p>
    <w:p>
      <w:pPr>
        <w:pStyle w:val="Defpara"/>
      </w:pPr>
      <w:r>
        <w:tab/>
        <w:t>(b)</w:t>
      </w:r>
      <w:r>
        <w:tab/>
        <w:t>is included in the list of approved qualifications for first educators published under regulation 137(2)(c) for Western Australia;</w:t>
      </w:r>
    </w:p>
    <w:p>
      <w:pPr>
        <w:pStyle w:val="Defstart"/>
      </w:pPr>
      <w:r>
        <w:tab/>
      </w:r>
      <w:r>
        <w:rPr>
          <w:rStyle w:val="CharDefText"/>
        </w:rPr>
        <w:t>approved qualification</w:t>
      </w:r>
      <w:r>
        <w:t xml:space="preserve"> means a qualification for the education and care of children over preschool age that — </w:t>
      </w:r>
    </w:p>
    <w:p>
      <w:pPr>
        <w:pStyle w:val="Defpara"/>
      </w:pPr>
      <w:r>
        <w:tab/>
        <w:t>(a)</w:t>
      </w:r>
      <w:r>
        <w:tab/>
        <w:t>is approved as a qualification for an educator by the National Authority; and</w:t>
      </w:r>
    </w:p>
    <w:p>
      <w:pPr>
        <w:pStyle w:val="Defpara"/>
      </w:pPr>
      <w:r>
        <w:tab/>
        <w:t>(b)</w:t>
      </w:r>
      <w:r>
        <w:tab/>
        <w:t>is included in the list of approved qualifications for educators published under regulation 137(2)(c) for Western Australia;</w:t>
      </w:r>
    </w:p>
    <w:p>
      <w:pPr>
        <w:pStyle w:val="Defstart"/>
      </w:pPr>
      <w:r>
        <w:tab/>
      </w:r>
      <w:r>
        <w:rPr>
          <w:rStyle w:val="CharDefText"/>
        </w:rPr>
        <w:t>first qualified educator</w:t>
      </w:r>
      <w:r>
        <w:t xml:space="preserve"> means an educator who meets the following qualification requirements — </w:t>
      </w:r>
    </w:p>
    <w:p>
      <w:pPr>
        <w:pStyle w:val="Defpara"/>
      </w:pPr>
      <w:r>
        <w:tab/>
        <w:t>(a)</w:t>
      </w:r>
      <w:r>
        <w:tab/>
        <w:t>the educator holds an approved qualification; or</w:t>
      </w:r>
    </w:p>
    <w:p>
      <w:pPr>
        <w:pStyle w:val="Defpara"/>
        <w:keepNext/>
      </w:pPr>
      <w:r>
        <w:lastRenderedPageBreak/>
        <w:tab/>
        <w:t>(b)</w:t>
      </w:r>
      <w:r>
        <w:tab/>
        <w:t xml:space="preserve">the educator — </w:t>
      </w:r>
    </w:p>
    <w:p>
      <w:pPr>
        <w:pStyle w:val="Defsubpara"/>
      </w:pPr>
      <w:r>
        <w:tab/>
        <w:t>(i)</w:t>
      </w:r>
      <w:r>
        <w:tab/>
        <w:t>is enrolled in a course that is an approved first educator qualification; and</w:t>
      </w:r>
    </w:p>
    <w:p>
      <w:pPr>
        <w:pStyle w:val="Defsubpara"/>
      </w:pPr>
      <w:r>
        <w:tab/>
        <w:t>(ii)</w:t>
      </w:r>
      <w:r>
        <w:tab/>
        <w:t>has completed at least 50% of the course; and</w:t>
      </w:r>
    </w:p>
    <w:p>
      <w:pPr>
        <w:pStyle w:val="Defsubpara"/>
      </w:pPr>
      <w:r>
        <w:tab/>
        <w:t>(iii)</w:t>
      </w:r>
      <w:r>
        <w:tab/>
        <w:t>is making satisfactory progress towards completion of the course; and</w:t>
      </w:r>
    </w:p>
    <w:p>
      <w:pPr>
        <w:pStyle w:val="Defsubpara"/>
      </w:pPr>
      <w:r>
        <w:tab/>
        <w:t>(iv)</w:t>
      </w:r>
      <w:r>
        <w:tab/>
        <w:t>is meeting the requirements for maintaining the enrolment in the course;</w:t>
      </w:r>
    </w:p>
    <w:p>
      <w:pPr>
        <w:pStyle w:val="Defstart"/>
      </w:pPr>
      <w:r>
        <w:tab/>
      </w:r>
      <w:r>
        <w:rPr>
          <w:rStyle w:val="CharDefText"/>
        </w:rPr>
        <w:t>qualified educator</w:t>
      </w:r>
      <w:r>
        <w:t xml:space="preserve"> means an educator who meets the following qualification requirements — </w:t>
      </w:r>
    </w:p>
    <w:p>
      <w:pPr>
        <w:pStyle w:val="Defpara"/>
      </w:pPr>
      <w:r>
        <w:tab/>
        <w:t>(a)</w:t>
      </w:r>
      <w:r>
        <w:tab/>
        <w:t>holds an approved qualification or an approved educator qualification; or</w:t>
      </w:r>
    </w:p>
    <w:p>
      <w:pPr>
        <w:pStyle w:val="Defpara"/>
      </w:pPr>
      <w:r>
        <w:tab/>
        <w:t>(b)</w:t>
      </w:r>
      <w:r>
        <w:tab/>
        <w:t>is actively working towards an approved qualification or an approved educator qualification; or</w:t>
      </w:r>
    </w:p>
    <w:p>
      <w:pPr>
        <w:pStyle w:val="Defpara"/>
      </w:pPr>
      <w:r>
        <w:tab/>
        <w:t>(c)</w:t>
      </w:r>
      <w:r>
        <w:tab/>
        <w:t>is a first qualified educator.</w:t>
      </w:r>
    </w:p>
    <w:p>
      <w:pPr>
        <w:pStyle w:val="Subsection"/>
      </w:pPr>
      <w:r>
        <w:tab/>
        <w:t>(2)</w:t>
      </w:r>
      <w:r>
        <w:tab/>
        <w:t xml:space="preserve">This regulation sets out, for children over preschool age — </w:t>
      </w:r>
    </w:p>
    <w:p>
      <w:pPr>
        <w:pStyle w:val="Indenta"/>
      </w:pPr>
      <w:r>
        <w:tab/>
        <w:t>(a)</w:t>
      </w:r>
      <w:r>
        <w:tab/>
        <w:t>the educator to child ratios for the purposes of regulation 123(1)(d); and</w:t>
      </w:r>
    </w:p>
    <w:p>
      <w:pPr>
        <w:pStyle w:val="Indenta"/>
      </w:pPr>
      <w:r>
        <w:tab/>
        <w:t>(b)</w:t>
      </w:r>
      <w:r>
        <w:tab/>
        <w:t>the qualification requirements for educators for the purposes of regulation 126(2).</w:t>
      </w:r>
    </w:p>
    <w:p>
      <w:pPr>
        <w:pStyle w:val="Subsection"/>
      </w:pPr>
      <w:r>
        <w:tab/>
        <w:t>(3)</w:t>
      </w:r>
      <w:r>
        <w:tab/>
        <w:t>The educator to child ratios for children over preschool age are set out in the 3</w:t>
      </w:r>
      <w:r>
        <w:rPr>
          <w:vertAlign w:val="superscript"/>
        </w:rPr>
        <w:t>rd</w:t>
      </w:r>
      <w:r>
        <w:t xml:space="preserve"> column of the following Table.</w:t>
      </w:r>
    </w:p>
    <w:p>
      <w:pPr>
        <w:pStyle w:val="THeadingNAm"/>
      </w:pPr>
      <w:r>
        <w:t>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noWrap/>
            <w:vAlign w:val="center"/>
          </w:tcPr>
          <w:p>
            <w:pPr>
              <w:pStyle w:val="TableNAm"/>
              <w:ind w:left="133"/>
              <w:jc w:val="center"/>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noWrap/>
            <w:vAlign w:val="center"/>
          </w:tcPr>
          <w:p>
            <w:pPr>
              <w:pStyle w:val="TableNAm"/>
              <w:ind w:firstLine="134"/>
              <w:jc w:val="center"/>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 xml:space="preserve">Over preschool age (at least one preschool child attending session) </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bl>
    <w:p>
      <w:pPr>
        <w:pStyle w:val="Subsection"/>
      </w:pPr>
      <w:r>
        <w:tab/>
        <w:t>(4)</w:t>
      </w:r>
      <w:r>
        <w:tab/>
        <w:t>The number of educators at the service who are required to be qualified educators is the relevant number set out in the 4</w:t>
      </w:r>
      <w:r>
        <w:rPr>
          <w:vertAlign w:val="superscript"/>
        </w:rPr>
        <w:t>th</w:t>
      </w:r>
      <w:r>
        <w:t xml:space="preserve"> column of the Table to subregulation (3) in relation to the service.</w:t>
      </w:r>
    </w:p>
    <w:p>
      <w:pPr>
        <w:pStyle w:val="Subsection"/>
        <w:keepNext/>
      </w:pPr>
      <w:r>
        <w:lastRenderedPageBreak/>
        <w:tab/>
        <w:t>(5)</w:t>
      </w:r>
      <w:r>
        <w:tab/>
        <w:t>One of the qualified educators at the service must be a first qualified educator.</w:t>
      </w:r>
    </w:p>
    <w:p>
      <w:pPr>
        <w:pStyle w:val="PermNoteHeading"/>
      </w:pPr>
      <w:r>
        <w:tab/>
        <w:t>Note for this regulation:</w:t>
      </w:r>
    </w:p>
    <w:p>
      <w:pPr>
        <w:pStyle w:val="PermNoteText"/>
      </w:pPr>
      <w:r>
        <w:tab/>
      </w:r>
      <w:r>
        <w:tab/>
        <w:t>This regulation differs from regulation 369 of the national regulations made by the Ministerial Council.</w:t>
      </w:r>
    </w:p>
    <w:p>
      <w:pPr>
        <w:pStyle w:val="Footnotesection"/>
      </w:pPr>
      <w:r>
        <w:tab/>
        <w:t>[Regulation 369 inserted: SL 2023/105 r. 4.]</w:t>
      </w:r>
    </w:p>
    <w:p>
      <w:pPr>
        <w:pStyle w:val="Ednotesection"/>
      </w:pPr>
      <w:r>
        <w:t>[</w:t>
      </w:r>
      <w:r>
        <w:rPr>
          <w:b/>
        </w:rPr>
        <w:t>370.</w:t>
      </w:r>
      <w:r>
        <w:tab/>
        <w:t>Deleted: SL 2023/105 r. 5.]</w:t>
      </w:r>
    </w:p>
    <w:p>
      <w:pPr>
        <w:pStyle w:val="Heading4"/>
      </w:pPr>
      <w:bookmarkStart w:id="576" w:name="_Toc163809643"/>
      <w:bookmarkStart w:id="577" w:name="_Toc163810776"/>
      <w:bookmarkStart w:id="578" w:name="_Toc163818293"/>
      <w:r>
        <w:t>Division 3 — Minimum number of educators and qualifications required — centre</w:t>
      </w:r>
      <w:r>
        <w:noBreakHyphen/>
        <w:t>based services — children preschool age or under</w:t>
      </w:r>
      <w:bookmarkEnd w:id="576"/>
      <w:bookmarkEnd w:id="577"/>
      <w:bookmarkEnd w:id="578"/>
    </w:p>
    <w:p>
      <w:pPr>
        <w:pStyle w:val="Ednotesection"/>
        <w:keepNext/>
      </w:pPr>
      <w:r>
        <w:t>[</w:t>
      </w:r>
      <w:r>
        <w:rPr>
          <w:b/>
        </w:rPr>
        <w:t>371.</w:t>
      </w:r>
      <w:r>
        <w:tab/>
        <w:t>Deleted: Gazette 28 Sep 2018 p. 3649.]</w:t>
      </w:r>
    </w:p>
    <w:p>
      <w:pPr>
        <w:pStyle w:val="Heading5"/>
      </w:pPr>
      <w:bookmarkStart w:id="579" w:name="_Toc163818294"/>
      <w:r>
        <w:rPr>
          <w:rStyle w:val="CharSectno"/>
        </w:rPr>
        <w:t>372</w:t>
      </w:r>
      <w:r>
        <w:t>.</w:t>
      </w:r>
      <w:r>
        <w:tab/>
        <w:t>Educator to child ratio — pre</w:t>
      </w:r>
      <w:r>
        <w:noBreakHyphen/>
        <w:t>kindergarten programme or kindergarten programme provided by a school</w:t>
      </w:r>
      <w:bookmarkEnd w:id="579"/>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keepNext/>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580" w:name="_Toc163818295"/>
      <w:r>
        <w:rPr>
          <w:rStyle w:val="CharSectno"/>
        </w:rPr>
        <w:t>373</w:t>
      </w:r>
      <w:r>
        <w:t>.</w:t>
      </w:r>
      <w:r>
        <w:tab/>
        <w:t>Early childhood teachers — pre</w:t>
      </w:r>
      <w:r>
        <w:noBreakHyphen/>
        <w:t>kindergarten programme or kindergarten programme provided by a school</w:t>
      </w:r>
      <w:bookmarkEnd w:id="580"/>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keepNext/>
      </w:pPr>
      <w:r>
        <w:lastRenderedPageBreak/>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keepNext/>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581" w:name="_Toc163809646"/>
      <w:bookmarkStart w:id="582" w:name="_Toc163810779"/>
      <w:bookmarkStart w:id="583" w:name="_Toc163818296"/>
      <w:r>
        <w:t>Division 3A — Communication equipment at family day care residences and approved family day care venues</w:t>
      </w:r>
      <w:bookmarkEnd w:id="581"/>
      <w:bookmarkEnd w:id="582"/>
      <w:bookmarkEnd w:id="583"/>
    </w:p>
    <w:p>
      <w:pPr>
        <w:pStyle w:val="Footnoteheading"/>
        <w:keepNext/>
      </w:pPr>
      <w:r>
        <w:tab/>
        <w:t>[Heading inserted: SL 2022/139 r. 4.]</w:t>
      </w:r>
    </w:p>
    <w:p>
      <w:pPr>
        <w:pStyle w:val="PermNoteHeading"/>
      </w:pPr>
      <w:r>
        <w:tab/>
        <w:t>Note for this Division:</w:t>
      </w:r>
    </w:p>
    <w:p>
      <w:pPr>
        <w:pStyle w:val="PermNoteText"/>
        <w:keepNext/>
      </w:pPr>
      <w:r>
        <w:tab/>
      </w:r>
      <w:r>
        <w:tab/>
        <w:t>This Division heading differs from the heading to Chapter 7 Part 7.9 Division 3A of the national regulations made by the Ministerial Council.</w:t>
      </w:r>
    </w:p>
    <w:p>
      <w:pPr>
        <w:pStyle w:val="Footnotesection"/>
      </w:pPr>
      <w:r>
        <w:tab/>
        <w:t>[Note inserted: SL 2023/71 r. 20.]</w:t>
      </w:r>
    </w:p>
    <w:p>
      <w:pPr>
        <w:pStyle w:val="Heading5"/>
      </w:pPr>
      <w:bookmarkStart w:id="584" w:name="_Toc163818297"/>
      <w:r>
        <w:rPr>
          <w:rStyle w:val="CharSectno"/>
        </w:rPr>
        <w:t>373A</w:t>
      </w:r>
      <w:r>
        <w:t>.</w:t>
      </w:r>
      <w:r>
        <w:tab/>
        <w:t>Telephones or other communication equipment at family day care residences and approved family day care venues</w:t>
      </w:r>
      <w:bookmarkEnd w:id="584"/>
    </w:p>
    <w:p>
      <w:pPr>
        <w:pStyle w:val="Subsection"/>
        <w:keepNext/>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keepNext/>
      </w:pPr>
      <w:r>
        <w:lastRenderedPageBreak/>
        <w:tab/>
        <w:t>(b)</w:t>
      </w:r>
      <w:r>
        <w:tab/>
        <w:t>at least 1 of the telephones or other similar means of communication referred to in paragraph (a) is kept in a fixed location at the residence or venue.</w:t>
      </w:r>
    </w:p>
    <w:p>
      <w:pPr>
        <w:pStyle w:val="Penstart"/>
        <w:keepNext/>
      </w:pPr>
      <w:r>
        <w:tab/>
        <w:t>Penalty: a fine of $1100..</w:t>
      </w:r>
    </w:p>
    <w:p>
      <w:pPr>
        <w:pStyle w:val="PermNoteHeading"/>
      </w:pPr>
      <w:r>
        <w:tab/>
        <w:t>Notes for this regulation:</w:t>
      </w:r>
    </w:p>
    <w:p>
      <w:pPr>
        <w:pStyle w:val="PermNoteText"/>
      </w:pPr>
      <w:r>
        <w:tab/>
        <w:t>1.</w:t>
      </w:r>
      <w:r>
        <w:tab/>
        <w:t>This regulation differs from regulation 373A of the national regulations made by the Ministerial Council.</w:t>
      </w:r>
    </w:p>
    <w:p>
      <w:pPr>
        <w:pStyle w:val="PermNoteText"/>
      </w:pPr>
      <w:r>
        <w:tab/>
        <w:t>2.</w:t>
      </w:r>
      <w:r>
        <w:tab/>
        <w:t>See regulation 74(1)(b) which sets out requirements for documenting evidence about development of an educational program for children over preschool age.</w:t>
      </w:r>
    </w:p>
    <w:p>
      <w:pPr>
        <w:pStyle w:val="Footnotesection"/>
      </w:pPr>
      <w:r>
        <w:tab/>
        <w:t>[Regulation 373A inserted: SL 2022/139 r. 4; amended: SL 2023/71 r. 21; SL 2023/186 r. 42.]</w:t>
      </w:r>
    </w:p>
    <w:p>
      <w:pPr>
        <w:pStyle w:val="Heading4"/>
      </w:pPr>
      <w:bookmarkStart w:id="585" w:name="_Toc163809648"/>
      <w:bookmarkStart w:id="586" w:name="_Toc163810781"/>
      <w:bookmarkStart w:id="587" w:name="_Toc163818298"/>
      <w:r>
        <w:t>Division 3B — Swimming pools, outdoor spas and hazardous water features at family day care residences and approved family day care venues</w:t>
      </w:r>
      <w:bookmarkEnd w:id="585"/>
      <w:bookmarkEnd w:id="586"/>
      <w:bookmarkEnd w:id="587"/>
    </w:p>
    <w:p>
      <w:pPr>
        <w:pStyle w:val="Footnoteheading"/>
        <w:keepNext/>
      </w:pPr>
      <w:r>
        <w:tab/>
        <w:t>[Heading inserted: SL 2022/139 r. 4.]</w:t>
      </w:r>
    </w:p>
    <w:p>
      <w:pPr>
        <w:pStyle w:val="PermNoteHeading"/>
      </w:pPr>
      <w:r>
        <w:tab/>
        <w:t>Note for this Division:</w:t>
      </w:r>
    </w:p>
    <w:p>
      <w:pPr>
        <w:pStyle w:val="PermNoteText"/>
        <w:keepNext/>
      </w:pPr>
      <w:r>
        <w:tab/>
      </w:r>
      <w:r>
        <w:tab/>
        <w:t>The national regulations made by the Ministerial Council do not include provisions as Part 7.9 Division 3B.</w:t>
      </w:r>
    </w:p>
    <w:p>
      <w:pPr>
        <w:pStyle w:val="Footnotesection"/>
      </w:pPr>
      <w:r>
        <w:tab/>
        <w:t>[Note inserted: SL 2022/139 r. 4.]</w:t>
      </w:r>
    </w:p>
    <w:p>
      <w:pPr>
        <w:pStyle w:val="Heading5"/>
      </w:pPr>
      <w:bookmarkStart w:id="588" w:name="_Toc163818299"/>
      <w:r>
        <w:rPr>
          <w:rStyle w:val="CharSectno"/>
        </w:rPr>
        <w:t>373B</w:t>
      </w:r>
      <w:r>
        <w:t>.</w:t>
      </w:r>
      <w:r>
        <w:tab/>
        <w:t>Terms used</w:t>
      </w:r>
      <w:bookmarkEnd w:id="588"/>
    </w:p>
    <w:p>
      <w:pPr>
        <w:pStyle w:val="Subsection"/>
        <w:keepNext/>
      </w:pPr>
      <w:r>
        <w:tab/>
      </w:r>
      <w:r>
        <w:tab/>
        <w:t xml:space="preserve">In this Division — </w:t>
      </w:r>
    </w:p>
    <w:p>
      <w:pPr>
        <w:pStyle w:val="Defstart"/>
        <w:keepNex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keepNext/>
      </w:pPr>
      <w:r>
        <w:lastRenderedPageBreak/>
        <w:tab/>
      </w:r>
      <w:r>
        <w:rPr>
          <w:rStyle w:val="CharDefText"/>
        </w:rPr>
        <w:t>safety device</w:t>
      </w:r>
      <w:r>
        <w:t xml:space="preserve">, for a swimming pool or outdoor spa at a family day care residence or approved family day care venue, means a device designed to — </w:t>
      </w:r>
    </w:p>
    <w:p>
      <w:pPr>
        <w:pStyle w:val="Defpara"/>
        <w:keepNext/>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keepNext/>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keepNext/>
      </w:pPr>
      <w:r>
        <w:tab/>
      </w:r>
      <w:r>
        <w:rPr>
          <w:rStyle w:val="CharDefText"/>
        </w:rPr>
        <w:t>water hazard safety inspection report</w:t>
      </w:r>
      <w:r>
        <w:t xml:space="preserve"> has the meaning given in regulation 373E(1)(b).</w:t>
      </w:r>
    </w:p>
    <w:p>
      <w:pPr>
        <w:pStyle w:val="Footnotesection"/>
      </w:pPr>
      <w:r>
        <w:tab/>
        <w:t>[Regulation 373B inserted: SL 2022/139 r. 4.]</w:t>
      </w:r>
    </w:p>
    <w:p>
      <w:pPr>
        <w:pStyle w:val="Heading5"/>
      </w:pPr>
      <w:bookmarkStart w:id="589" w:name="_Toc163818300"/>
      <w:r>
        <w:rPr>
          <w:rStyle w:val="CharSectno"/>
        </w:rPr>
        <w:t>373C</w:t>
      </w:r>
      <w:r>
        <w:t>.</w:t>
      </w:r>
      <w:r>
        <w:tab/>
        <w:t>Conditions on service approval: restrictions on engaging or registering educators operating at residence or venue with swimming pool or outdoor spa</w:t>
      </w:r>
      <w:bookmarkEnd w:id="589"/>
    </w:p>
    <w:p>
      <w:pPr>
        <w:pStyle w:val="Subsection"/>
        <w:keepNext/>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keepNext/>
      </w:pPr>
      <w:r>
        <w:lastRenderedPageBreak/>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keepNext/>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tab/>
        <w:t>(b)</w:t>
      </w:r>
      <w:r>
        <w:tab/>
        <w:t>the educator was, before 1 September 2022, engaged by or registered with another family day care service to provide education and care to children at the residence or venue; and</w:t>
      </w:r>
    </w:p>
    <w:p>
      <w:pPr>
        <w:pStyle w:val="Indenta"/>
        <w:keepNext/>
      </w:pPr>
      <w:r>
        <w:tab/>
        <w:t>(c)</w:t>
      </w:r>
      <w:r>
        <w:tab/>
        <w:t>the Regulatory Authority considers exceptional circumstances exist justifying the approval.</w:t>
      </w:r>
    </w:p>
    <w:p>
      <w:pPr>
        <w:pStyle w:val="PermNoteHeading"/>
      </w:pPr>
      <w:r>
        <w:tab/>
        <w:t>Note for this regulation:</w:t>
      </w:r>
    </w:p>
    <w:p>
      <w:pPr>
        <w:pStyle w:val="PermNoteText"/>
        <w:keepNext/>
      </w:pPr>
      <w:r>
        <w:tab/>
      </w:r>
      <w:r>
        <w:tab/>
        <w:t>See section 51(5) of the Law.</w:t>
      </w:r>
    </w:p>
    <w:p>
      <w:pPr>
        <w:pStyle w:val="Footnotesection"/>
      </w:pPr>
      <w:r>
        <w:tab/>
        <w:t>[Regulation 373C inserted: SL 2022/139 r. 4.]</w:t>
      </w:r>
    </w:p>
    <w:p>
      <w:pPr>
        <w:pStyle w:val="Heading5"/>
      </w:pPr>
      <w:bookmarkStart w:id="590" w:name="_Toc163818301"/>
      <w:r>
        <w:rPr>
          <w:rStyle w:val="CharSectno"/>
        </w:rPr>
        <w:lastRenderedPageBreak/>
        <w:t>373D</w:t>
      </w:r>
      <w:r>
        <w:t>.</w:t>
      </w:r>
      <w:r>
        <w:tab/>
        <w:t>Condition on service approval: register of residences and venues with swimming pool, outdoor spa or hazardous water feature</w:t>
      </w:r>
      <w:bookmarkEnd w:id="590"/>
    </w:p>
    <w:p>
      <w:pPr>
        <w:pStyle w:val="Subsection"/>
        <w:keepNext/>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keepNext/>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keepNext/>
      </w:pPr>
      <w:r>
        <w:tab/>
        <w:t>(e)</w:t>
      </w:r>
      <w:r>
        <w:tab/>
        <w:t>the date on which a water hazard safety inspection of the residence or venue was last conducted.</w:t>
      </w:r>
    </w:p>
    <w:p>
      <w:pPr>
        <w:pStyle w:val="PermNoteHeading"/>
      </w:pPr>
      <w:r>
        <w:tab/>
        <w:t>Note for this regulation:</w:t>
      </w:r>
    </w:p>
    <w:p>
      <w:pPr>
        <w:pStyle w:val="PermNoteText"/>
        <w:keepNext/>
      </w:pPr>
      <w:r>
        <w:tab/>
      </w:r>
      <w:r>
        <w:tab/>
        <w:t>See section 51(5) of the Law.</w:t>
      </w:r>
    </w:p>
    <w:p>
      <w:pPr>
        <w:pStyle w:val="Footnotesection"/>
      </w:pPr>
      <w:r>
        <w:tab/>
        <w:t>[Regulation 373D inserted: SL 2022/139 r. 4.]</w:t>
      </w:r>
    </w:p>
    <w:p>
      <w:pPr>
        <w:pStyle w:val="Heading5"/>
      </w:pPr>
      <w:bookmarkStart w:id="591" w:name="_Toc163818302"/>
      <w:r>
        <w:rPr>
          <w:rStyle w:val="CharSectno"/>
        </w:rPr>
        <w:lastRenderedPageBreak/>
        <w:t>373DA</w:t>
      </w:r>
      <w:r>
        <w:t>.</w:t>
      </w:r>
      <w:r>
        <w:tab/>
        <w:t>Condition on service approval: safety devices for swimming pools and outdoor spas</w:t>
      </w:r>
      <w:bookmarkEnd w:id="591"/>
    </w:p>
    <w:p>
      <w:pPr>
        <w:pStyle w:val="Subsection"/>
        <w:keepNext/>
        <w:keepLines/>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pPr>
        <w:pStyle w:val="PermNoteHeading"/>
        <w:keepLines/>
      </w:pPr>
      <w:r>
        <w:tab/>
        <w:t>Note for this regulation:</w:t>
      </w:r>
    </w:p>
    <w:p>
      <w:pPr>
        <w:pStyle w:val="PermNoteText"/>
        <w:keepNext/>
        <w:keepLines/>
      </w:pPr>
      <w:r>
        <w:tab/>
      </w:r>
      <w:r>
        <w:tab/>
        <w:t>See section 51(5) of the Law.</w:t>
      </w:r>
    </w:p>
    <w:p>
      <w:pPr>
        <w:pStyle w:val="Footnotesection"/>
        <w:rPr>
          <w:rStyle w:val="CharSectno"/>
        </w:rPr>
      </w:pPr>
      <w:r>
        <w:rPr>
          <w:rStyle w:val="CharSectno"/>
        </w:rPr>
        <w:tab/>
        <w:t>[Regulation 373DA inserted: SL 2022/139 r. 5.]</w:t>
      </w:r>
    </w:p>
    <w:p>
      <w:pPr>
        <w:pStyle w:val="Heading5"/>
      </w:pPr>
      <w:bookmarkStart w:id="592" w:name="_Toc163818303"/>
      <w:r>
        <w:rPr>
          <w:rStyle w:val="CharSectno"/>
        </w:rPr>
        <w:t>373E</w:t>
      </w:r>
      <w:r>
        <w:t>.</w:t>
      </w:r>
      <w:r>
        <w:tab/>
        <w:t>Condition on service approval: water hazard safety inspections</w:t>
      </w:r>
      <w:bookmarkEnd w:id="592"/>
    </w:p>
    <w:p>
      <w:pPr>
        <w:pStyle w:val="Subsection"/>
        <w:keepNext/>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keepNext/>
      </w:pPr>
      <w:r>
        <w:lastRenderedPageBreak/>
        <w:tab/>
        <w:t>(2)</w:t>
      </w:r>
      <w:r>
        <w:tab/>
        <w:t xml:space="preserve">The times for conducting a water hazard safety inspection of a family day care residence or approved family day care venue are — </w:t>
      </w:r>
    </w:p>
    <w:p>
      <w:pPr>
        <w:pStyle w:val="Indenta"/>
        <w:keepNext/>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keepNext/>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keepNext/>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keepNext/>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keepNext/>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keepNext/>
      </w:pPr>
      <w:r>
        <w:lastRenderedPageBreak/>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keepNext/>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keepNext/>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keepNext/>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keepNext/>
      </w:pPr>
      <w:r>
        <w:lastRenderedPageBreak/>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keepNext/>
      </w:pPr>
      <w:r>
        <w:tab/>
        <w:t>(g)</w:t>
      </w:r>
      <w:r>
        <w:tab/>
        <w:t>any other information required by the form determined under subregulation (7)(a).</w:t>
      </w:r>
    </w:p>
    <w:p>
      <w:pPr>
        <w:pStyle w:val="PermNoteHeading"/>
      </w:pPr>
      <w:r>
        <w:tab/>
        <w:t>Note for this regulation:</w:t>
      </w:r>
    </w:p>
    <w:p>
      <w:pPr>
        <w:pStyle w:val="PermNoteText"/>
        <w:keepNext/>
      </w:pPr>
      <w:r>
        <w:tab/>
      </w:r>
      <w:r>
        <w:tab/>
        <w:t>See section 51(5) of the Law.</w:t>
      </w:r>
    </w:p>
    <w:p>
      <w:pPr>
        <w:pStyle w:val="Footnotesection"/>
      </w:pPr>
      <w:r>
        <w:tab/>
        <w:t>[Regulation 373E inserted: SL 2022/139 r. 4.]</w:t>
      </w:r>
    </w:p>
    <w:p>
      <w:pPr>
        <w:pStyle w:val="Heading5"/>
      </w:pPr>
      <w:bookmarkStart w:id="593" w:name="_Toc163818304"/>
      <w:r>
        <w:rPr>
          <w:rStyle w:val="CharSectno"/>
        </w:rPr>
        <w:t>373F</w:t>
      </w:r>
      <w:r>
        <w:t>.</w:t>
      </w:r>
      <w:r>
        <w:tab/>
        <w:t>Offences relating to water hazard safety inspection reports: approved provider</w:t>
      </w:r>
      <w:bookmarkEnd w:id="593"/>
    </w:p>
    <w:p>
      <w:pPr>
        <w:pStyle w:val="Subsection"/>
        <w:keepNext/>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keepNext/>
      </w:pPr>
      <w:r>
        <w:tab/>
        <w:t>(2)</w:t>
      </w:r>
      <w:r>
        <w:tab/>
        <w:t xml:space="preserve">The approved provider of a family day care service must, within 24 hours of being given a water hazard safety inspection report that identifies a safety issue in relation to a swimming pool, outdoor spa or hazardous water feature at a family day care </w:t>
      </w:r>
      <w:r>
        <w:lastRenderedPageBreak/>
        <w:t>residence or approved family day care venue of the service, give written notice of the safety issue to the Regulatory Authority.</w:t>
      </w:r>
    </w:p>
    <w:p>
      <w:pPr>
        <w:pStyle w:val="Penstart"/>
      </w:pPr>
      <w:r>
        <w:tab/>
        <w:t>Penalty for this subregulation: a fine of $2 000.</w:t>
      </w:r>
    </w:p>
    <w:p>
      <w:pPr>
        <w:pStyle w:val="Subsection"/>
        <w:keepNext/>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keepNext/>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keepNext/>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keepNext/>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keepNext/>
      </w:pPr>
      <w:r>
        <w:tab/>
        <w:t>Penalty for this subregulation: a fine of $2 000.</w:t>
      </w:r>
    </w:p>
    <w:p>
      <w:pPr>
        <w:pStyle w:val="Footnotesection"/>
      </w:pPr>
      <w:r>
        <w:tab/>
        <w:t>[Regulation 373F inserted: SL 2022/139 r. 4.]</w:t>
      </w:r>
    </w:p>
    <w:p>
      <w:pPr>
        <w:pStyle w:val="Heading5"/>
      </w:pPr>
      <w:bookmarkStart w:id="594" w:name="_Toc163818305"/>
      <w:r>
        <w:rPr>
          <w:rStyle w:val="CharSectno"/>
        </w:rPr>
        <w:lastRenderedPageBreak/>
        <w:t>373G</w:t>
      </w:r>
      <w:r>
        <w:t>.</w:t>
      </w:r>
      <w:r>
        <w:tab/>
        <w:t>Offences relating to water hazard safety inspection reports: family day care educator</w:t>
      </w:r>
      <w:bookmarkEnd w:id="594"/>
    </w:p>
    <w:p>
      <w:pPr>
        <w:pStyle w:val="Subsection"/>
        <w:keepNext/>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keepNext/>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keepNext/>
      </w:pPr>
      <w:r>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keepNext/>
      </w:pPr>
      <w:r>
        <w:tab/>
        <w:t>Penalty for this subregulation: a fine of $2 000.</w:t>
      </w:r>
    </w:p>
    <w:p>
      <w:pPr>
        <w:pStyle w:val="Footnotesection"/>
      </w:pPr>
      <w:r>
        <w:tab/>
        <w:t>[Regulation 373G inserted: SL 2022/139 r. 4.]</w:t>
      </w:r>
    </w:p>
    <w:p>
      <w:pPr>
        <w:pStyle w:val="Heading4"/>
      </w:pPr>
      <w:bookmarkStart w:id="595" w:name="_Toc163809656"/>
      <w:bookmarkStart w:id="596" w:name="_Toc163810789"/>
      <w:bookmarkStart w:id="597" w:name="_Toc163818306"/>
      <w:r>
        <w:t>Division 4 — Transitional provisions — staffing arrangements</w:t>
      </w:r>
      <w:bookmarkEnd w:id="595"/>
      <w:bookmarkEnd w:id="596"/>
      <w:bookmarkEnd w:id="597"/>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598" w:name="_Toc163818307"/>
      <w:r>
        <w:rPr>
          <w:rStyle w:val="CharSectno"/>
        </w:rPr>
        <w:t>379</w:t>
      </w:r>
      <w:r>
        <w:t>.</w:t>
      </w:r>
      <w:r>
        <w:tab/>
        <w:t>Educators required to be early childhood teachers</w:t>
      </w:r>
      <w:bookmarkEnd w:id="598"/>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keepNext/>
      </w:pPr>
      <w:r>
        <w:lastRenderedPageBreak/>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keepN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599" w:name="_Toc163809658"/>
      <w:bookmarkStart w:id="600" w:name="_Toc163810791"/>
      <w:bookmarkStart w:id="601" w:name="_Toc163818308"/>
      <w:r>
        <w:t>Division 5 — Saving provision — physical environment</w:t>
      </w:r>
      <w:bookmarkEnd w:id="599"/>
      <w:bookmarkEnd w:id="600"/>
      <w:bookmarkEnd w:id="601"/>
    </w:p>
    <w:p>
      <w:pPr>
        <w:pStyle w:val="Heading5"/>
      </w:pPr>
      <w:bookmarkStart w:id="602" w:name="_Toc163818309"/>
      <w:r>
        <w:rPr>
          <w:rStyle w:val="CharSectno"/>
        </w:rPr>
        <w:t>383</w:t>
      </w:r>
      <w:r>
        <w:t>.</w:t>
      </w:r>
      <w:r>
        <w:tab/>
        <w:t>Saving provision — education and care services provided by a school</w:t>
      </w:r>
      <w:bookmarkEnd w:id="602"/>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keepNext/>
      </w:pPr>
      <w:r>
        <w:tab/>
        <w:t>(4)</w:t>
      </w:r>
      <w:r>
        <w:tab/>
        <w:t xml:space="preserve">This regulation ceases to apply if — </w:t>
      </w:r>
    </w:p>
    <w:p>
      <w:pPr>
        <w:pStyle w:val="Indenta"/>
      </w:pPr>
      <w:r>
        <w:tab/>
        <w:t>(a)</w:t>
      </w:r>
      <w:r>
        <w:tab/>
        <w:t>the service approval is transferred to an approved provider that is not a school; or</w:t>
      </w:r>
    </w:p>
    <w:p>
      <w:pPr>
        <w:pStyle w:val="Indenta"/>
        <w:keepNext/>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603" w:name="_Toc163809660"/>
      <w:bookmarkStart w:id="604" w:name="_Toc163810793"/>
      <w:bookmarkStart w:id="605" w:name="_Toc163818310"/>
      <w:r>
        <w:lastRenderedPageBreak/>
        <w:t>Division 6 — Other transitional matters</w:t>
      </w:r>
      <w:bookmarkEnd w:id="603"/>
      <w:bookmarkEnd w:id="604"/>
      <w:bookmarkEnd w:id="605"/>
    </w:p>
    <w:p>
      <w:pPr>
        <w:pStyle w:val="Heading5"/>
      </w:pPr>
      <w:bookmarkStart w:id="606" w:name="_Toc163818311"/>
      <w:r>
        <w:rPr>
          <w:rStyle w:val="CharSectno"/>
        </w:rPr>
        <w:t>384</w:t>
      </w:r>
      <w:r>
        <w:t>.</w:t>
      </w:r>
      <w:r>
        <w:tab/>
        <w:t>Monetary orders under former education and care services law</w:t>
      </w:r>
      <w:bookmarkEnd w:id="606"/>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keepNext/>
      </w:pPr>
      <w:r>
        <w:tab/>
        <w:t>(2)</w:t>
      </w:r>
      <w:r>
        <w:tab/>
        <w:t xml:space="preserve">In subregulation (1) — </w:t>
      </w:r>
    </w:p>
    <w:p>
      <w:pPr>
        <w:pStyle w:val="Defstart"/>
        <w:keepNex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607" w:name="_Toc163818312"/>
      <w:r>
        <w:rPr>
          <w:rStyle w:val="CharSectno"/>
        </w:rPr>
        <w:t>385</w:t>
      </w:r>
      <w:r>
        <w:t>.</w:t>
      </w:r>
      <w:r>
        <w:tab/>
        <w:t>Proceedings under former education and care services law</w:t>
      </w:r>
      <w:bookmarkEnd w:id="607"/>
      <w:r>
        <w:t xml:space="preserve"> </w:t>
      </w:r>
    </w:p>
    <w:p>
      <w:pPr>
        <w:pStyle w:val="Subsection"/>
        <w:keepNext/>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keepN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608" w:name="_Toc163809663"/>
      <w:bookmarkStart w:id="609" w:name="_Toc163810796"/>
      <w:bookmarkStart w:id="610" w:name="_Toc163818313"/>
      <w:r>
        <w:rPr>
          <w:rStyle w:val="CharDivNo"/>
        </w:rPr>
        <w:lastRenderedPageBreak/>
        <w:t>Part 7.10</w:t>
      </w:r>
      <w:r>
        <w:t> — </w:t>
      </w:r>
      <w:r>
        <w:rPr>
          <w:rStyle w:val="CharDivText"/>
        </w:rPr>
        <w:t>Transitional and savings provisions — </w:t>
      </w:r>
      <w:r>
        <w:rPr>
          <w:rStyle w:val="CharDivText"/>
          <w:i/>
        </w:rPr>
        <w:t>Education and Care Services National Amendment Regulations (No. 3) 2018</w:t>
      </w:r>
      <w:bookmarkEnd w:id="608"/>
      <w:bookmarkEnd w:id="609"/>
      <w:bookmarkEnd w:id="610"/>
    </w:p>
    <w:p>
      <w:pPr>
        <w:pStyle w:val="Footnoteheading"/>
        <w:keepNext/>
      </w:pPr>
      <w:r>
        <w:tab/>
        <w:t>[Heading inserted: Gazette 28 Sep 2018 p. 3650.]</w:t>
      </w:r>
    </w:p>
    <w:p>
      <w:pPr>
        <w:pStyle w:val="Ednotedivision"/>
      </w:pPr>
      <w:r>
        <w:t>[Division 1 deleted: Gazette 24 Dec 2019 p. 4427.]</w:t>
      </w:r>
    </w:p>
    <w:p>
      <w:pPr>
        <w:pStyle w:val="Heading4"/>
      </w:pPr>
      <w:bookmarkStart w:id="611" w:name="_Toc163809664"/>
      <w:bookmarkStart w:id="612" w:name="_Toc163810797"/>
      <w:bookmarkStart w:id="613" w:name="_Toc163818314"/>
      <w:r>
        <w:t>Division 2 — Australian Capital Territory</w:t>
      </w:r>
      <w:bookmarkEnd w:id="611"/>
      <w:bookmarkEnd w:id="612"/>
      <w:bookmarkEnd w:id="613"/>
    </w:p>
    <w:p>
      <w:pPr>
        <w:pStyle w:val="Footnoteheading"/>
        <w:keepNext/>
      </w:pPr>
      <w:r>
        <w:tab/>
        <w:t>[Heading inserted: Gazette 28 Sep 2018 p. 3650.]</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22.]</w:t>
      </w:r>
    </w:p>
    <w:p>
      <w:pPr>
        <w:pStyle w:val="Heading4"/>
      </w:pPr>
      <w:bookmarkStart w:id="614" w:name="_Toc163809665"/>
      <w:bookmarkStart w:id="615" w:name="_Toc163810798"/>
      <w:bookmarkStart w:id="616" w:name="_Toc163818315"/>
      <w:r>
        <w:t>Division 3 — New South Wales</w:t>
      </w:r>
      <w:bookmarkEnd w:id="614"/>
      <w:bookmarkEnd w:id="615"/>
      <w:bookmarkEnd w:id="616"/>
    </w:p>
    <w:p>
      <w:pPr>
        <w:pStyle w:val="Footnoteheading"/>
        <w:keepNext/>
      </w:pPr>
      <w:r>
        <w:tab/>
        <w:t>[Heading inserted: Gazette 28 Sep 2018 p. 3651.]</w:t>
      </w:r>
    </w:p>
    <w:p>
      <w:pPr>
        <w:pStyle w:val="PermNoteHeading"/>
      </w:pPr>
      <w:r>
        <w:tab/>
        <w:t>Note for this Division:</w:t>
      </w:r>
    </w:p>
    <w:p>
      <w:pPr>
        <w:pStyle w:val="PermNoteText"/>
        <w:keepNext/>
      </w:pPr>
      <w:r>
        <w:tab/>
      </w:r>
      <w:r>
        <w:tab/>
        <w:t>The national regulations made by the Ministerial Council include provisions as Division 3 which are not relevant to Western Australia.</w:t>
      </w:r>
    </w:p>
    <w:p>
      <w:pPr>
        <w:pStyle w:val="Footnotesection"/>
      </w:pPr>
      <w:r>
        <w:tab/>
        <w:t>[Note inserted: Gazette 28 Sep 2018 p. 3651.]</w:t>
      </w:r>
    </w:p>
    <w:p>
      <w:pPr>
        <w:pStyle w:val="Heading4"/>
      </w:pPr>
      <w:bookmarkStart w:id="617" w:name="_Toc163809666"/>
      <w:bookmarkStart w:id="618" w:name="_Toc163810799"/>
      <w:bookmarkStart w:id="619" w:name="_Toc163818316"/>
      <w:r>
        <w:t>Division 4 — Queensland</w:t>
      </w:r>
      <w:bookmarkEnd w:id="617"/>
      <w:bookmarkEnd w:id="618"/>
      <w:bookmarkEnd w:id="619"/>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4 which were not relevant to Western Australia. Those provisions (except the heading to Division 4) were repealed by the </w:t>
      </w:r>
      <w:r>
        <w:rPr>
          <w:i/>
        </w:rPr>
        <w:t>Education and Care Services National Amendment Regulations 2023</w:t>
      </w:r>
      <w:r>
        <w:t>.</w:t>
      </w:r>
    </w:p>
    <w:p>
      <w:pPr>
        <w:pStyle w:val="Footnotesection"/>
      </w:pPr>
      <w:r>
        <w:tab/>
        <w:t>[Note inserted: SL 2023/71 r. 23.]</w:t>
      </w:r>
    </w:p>
    <w:p>
      <w:pPr>
        <w:pStyle w:val="Heading4"/>
      </w:pPr>
      <w:bookmarkStart w:id="620" w:name="_Toc163809667"/>
      <w:bookmarkStart w:id="621" w:name="_Toc163810800"/>
      <w:bookmarkStart w:id="622" w:name="_Toc163818317"/>
      <w:r>
        <w:lastRenderedPageBreak/>
        <w:t>Division 5 — Tasmania</w:t>
      </w:r>
      <w:bookmarkEnd w:id="620"/>
      <w:bookmarkEnd w:id="621"/>
      <w:bookmarkEnd w:id="622"/>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5 which were not relevant to Western Australia. Those provisions (except the heading to Division 5) were repealed by the </w:t>
      </w:r>
      <w:r>
        <w:rPr>
          <w:i/>
        </w:rPr>
        <w:t>Education and Care Services National Amendment Regulations 2023</w:t>
      </w:r>
      <w:r>
        <w:t>.</w:t>
      </w:r>
    </w:p>
    <w:p>
      <w:pPr>
        <w:pStyle w:val="Footnotesection"/>
      </w:pPr>
      <w:r>
        <w:tab/>
        <w:t>[Note inserted: SL 2023/71 r. 24.]</w:t>
      </w:r>
    </w:p>
    <w:p>
      <w:pPr>
        <w:pStyle w:val="Heading4"/>
      </w:pPr>
      <w:bookmarkStart w:id="623" w:name="_Toc163809668"/>
      <w:bookmarkStart w:id="624" w:name="_Toc163810801"/>
      <w:bookmarkStart w:id="625" w:name="_Toc163818318"/>
      <w:r>
        <w:t>Division 6 — Western Australia</w:t>
      </w:r>
      <w:bookmarkEnd w:id="623"/>
      <w:bookmarkEnd w:id="624"/>
      <w:bookmarkEnd w:id="625"/>
    </w:p>
    <w:p>
      <w:pPr>
        <w:pStyle w:val="Footnoteheading"/>
        <w:keepNext/>
      </w:pPr>
      <w:r>
        <w:tab/>
        <w:t>[Heading inserted: Gazette 28 Sep 2018 p. 3651.]</w:t>
      </w:r>
    </w:p>
    <w:p>
      <w:pPr>
        <w:pStyle w:val="Ednotesection"/>
      </w:pPr>
      <w:r>
        <w:t>[</w:t>
      </w:r>
      <w:r>
        <w:rPr>
          <w:b/>
          <w:bCs/>
        </w:rPr>
        <w:t>393, 394.</w:t>
      </w:r>
      <w:r>
        <w:tab/>
        <w:t>Deleted: SL 2023/71 r. 25.]</w:t>
      </w:r>
    </w:p>
    <w:p>
      <w:pPr>
        <w:pStyle w:val="Heading3"/>
      </w:pPr>
      <w:bookmarkStart w:id="626" w:name="_Toc163809669"/>
      <w:bookmarkStart w:id="627" w:name="_Toc163810802"/>
      <w:bookmarkStart w:id="628" w:name="_Toc163818319"/>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626"/>
      <w:bookmarkEnd w:id="627"/>
      <w:bookmarkEnd w:id="628"/>
    </w:p>
    <w:p>
      <w:pPr>
        <w:pStyle w:val="Footnoteheading"/>
        <w:keepNext/>
      </w:pPr>
      <w:r>
        <w:tab/>
        <w:t>[Heading inserted: Gazette 23 Jan 2018 p. 248.]</w:t>
      </w:r>
    </w:p>
    <w:p>
      <w:pPr>
        <w:pStyle w:val="Heading5"/>
      </w:pPr>
      <w:bookmarkStart w:id="629" w:name="_Toc163818320"/>
      <w:r>
        <w:rPr>
          <w:rStyle w:val="CharSectno"/>
        </w:rPr>
        <w:t>395</w:t>
      </w:r>
      <w:r>
        <w:t>.</w:t>
      </w:r>
      <w:r>
        <w:tab/>
        <w:t>Definition</w:t>
      </w:r>
      <w:bookmarkEnd w:id="629"/>
    </w:p>
    <w:p>
      <w:pPr>
        <w:pStyle w:val="Subsection"/>
        <w:keepNext/>
      </w:pPr>
      <w:r>
        <w:tab/>
        <w:t>(1)</w:t>
      </w:r>
      <w:r>
        <w:tab/>
        <w:t xml:space="preserve">In this Part — </w:t>
      </w:r>
    </w:p>
    <w:p>
      <w:pPr>
        <w:pStyle w:val="Defstart"/>
      </w:pPr>
      <w:r>
        <w:tab/>
      </w:r>
      <w:r>
        <w:rPr>
          <w:rStyle w:val="CharDefText"/>
        </w:rPr>
        <w:t>commencement day</w:t>
      </w:r>
      <w:r>
        <w:t xml:space="preserve"> means 1 February 2018.</w:t>
      </w:r>
    </w:p>
    <w:p>
      <w:pPr>
        <w:pStyle w:val="Subsection"/>
        <w:keepNext/>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630" w:name="_Toc163818321"/>
      <w:r>
        <w:rPr>
          <w:rStyle w:val="CharSectno"/>
        </w:rPr>
        <w:t>396</w:t>
      </w:r>
      <w:r>
        <w:t>.</w:t>
      </w:r>
      <w:r>
        <w:tab/>
        <w:t>Quality improvement plan held prior to commencement day</w:t>
      </w:r>
      <w:bookmarkEnd w:id="630"/>
    </w:p>
    <w:p>
      <w:pPr>
        <w:pStyle w:val="Subsection"/>
        <w:keepNext/>
      </w:pPr>
      <w:r>
        <w:tab/>
      </w:r>
      <w:r>
        <w:tab/>
        <w:t xml:space="preserve">A quality improvement plan that, immediately before the commencement day, was a current quality improvement plan for an approved education and care service continues, on and after the commencement day, to be a current quality improvement </w:t>
      </w:r>
      <w:r>
        <w:lastRenderedPageBreak/>
        <w:t xml:space="preserve">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keepNext/>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631" w:name="_Toc163818322"/>
      <w:r>
        <w:rPr>
          <w:rStyle w:val="CharSectno"/>
        </w:rPr>
        <w:t>397</w:t>
      </w:r>
      <w:r>
        <w:t>.</w:t>
      </w:r>
      <w:r>
        <w:tab/>
        <w:t>Assessments commenced prior to commencement day</w:t>
      </w:r>
      <w:bookmarkEnd w:id="631"/>
    </w:p>
    <w:p>
      <w:pPr>
        <w:pStyle w:val="Subsection"/>
        <w:keepNext/>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632" w:name="_Toc163818323"/>
      <w:r>
        <w:rPr>
          <w:rStyle w:val="CharSectno"/>
        </w:rPr>
        <w:t>398</w:t>
      </w:r>
      <w:r>
        <w:t>.</w:t>
      </w:r>
      <w:r>
        <w:tab/>
        <w:t>Reassessment or partial reassessment commenced prior to commencement day</w:t>
      </w:r>
      <w:bookmarkEnd w:id="632"/>
    </w:p>
    <w:p>
      <w:pPr>
        <w:pStyle w:val="Subsection"/>
        <w:keepNext/>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keepNext/>
      </w:pPr>
      <w:r>
        <w:lastRenderedPageBreak/>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633" w:name="_Toc163818324"/>
      <w:r>
        <w:rPr>
          <w:rStyle w:val="CharSectno"/>
        </w:rPr>
        <w:t>399</w:t>
      </w:r>
      <w:r>
        <w:t>.</w:t>
      </w:r>
      <w:r>
        <w:tab/>
        <w:t>Partial reassessment between the commencement day and the relevant day</w:t>
      </w:r>
      <w:bookmarkEnd w:id="633"/>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keepNext/>
      </w:pPr>
      <w:r>
        <w:tab/>
        <w:t>(3)</w:t>
      </w:r>
      <w:r>
        <w:tab/>
        <w:t xml:space="preserve">In this regulation — </w:t>
      </w:r>
    </w:p>
    <w:p>
      <w:pPr>
        <w:pStyle w:val="Defstart"/>
        <w:keepNex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keepNext/>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634" w:name="_Toc163818325"/>
      <w:r>
        <w:rPr>
          <w:rStyle w:val="CharSectno"/>
        </w:rPr>
        <w:lastRenderedPageBreak/>
        <w:t>400</w:t>
      </w:r>
      <w:r>
        <w:t>.</w:t>
      </w:r>
      <w:r>
        <w:tab/>
        <w:t>Suspension of initial assessment or reassessment commenced prior to commencement day</w:t>
      </w:r>
      <w:bookmarkEnd w:id="634"/>
    </w:p>
    <w:p>
      <w:pPr>
        <w:pStyle w:val="Subsection"/>
        <w:keepNext/>
      </w:pPr>
      <w:r>
        <w:tab/>
        <w:t>(1)</w:t>
      </w:r>
      <w:r>
        <w:tab/>
        <w:t xml:space="preserve">This regulation applies to an approved education and care service if — </w:t>
      </w:r>
    </w:p>
    <w:p>
      <w:pPr>
        <w:pStyle w:val="Indenta"/>
        <w:keepNext/>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keepNext/>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635" w:name="_Toc163818326"/>
      <w:r>
        <w:rPr>
          <w:rStyle w:val="CharSectno"/>
        </w:rPr>
        <w:t>401</w:t>
      </w:r>
      <w:r>
        <w:t>.</w:t>
      </w:r>
      <w:r>
        <w:tab/>
        <w:t>Suspension of partial reassessment commenced prior to commencement day</w:t>
      </w:r>
      <w:bookmarkEnd w:id="635"/>
    </w:p>
    <w:p>
      <w:pPr>
        <w:pStyle w:val="Subsection"/>
        <w:keepNext/>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lastRenderedPageBreak/>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636" w:name="_Toc163818327"/>
      <w:r>
        <w:rPr>
          <w:rStyle w:val="CharSectno"/>
        </w:rPr>
        <w:t>402</w:t>
      </w:r>
      <w:r>
        <w:t>.</w:t>
      </w:r>
      <w:r>
        <w:tab/>
        <w:t>Prescribed provisional rating level held prior to commencement day</w:t>
      </w:r>
      <w:bookmarkEnd w:id="636"/>
    </w:p>
    <w:p>
      <w:pPr>
        <w:pStyle w:val="Subsection"/>
        <w:keepNext/>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637" w:name="_Toc163818328"/>
      <w:r>
        <w:rPr>
          <w:rStyle w:val="CharSectno"/>
        </w:rPr>
        <w:t>403</w:t>
      </w:r>
      <w:r>
        <w:t>.</w:t>
      </w:r>
      <w:r>
        <w:tab/>
        <w:t>Prescribed rating level held prior to commencement day</w:t>
      </w:r>
      <w:bookmarkEnd w:id="637"/>
    </w:p>
    <w:p>
      <w:pPr>
        <w:pStyle w:val="Subsection"/>
        <w:keepNext/>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keepNext/>
      </w:pPr>
      <w:r>
        <w:lastRenderedPageBreak/>
        <w:tab/>
        <w:t>(c)</w:t>
      </w:r>
      <w:r>
        <w:tab/>
        <w:t>is awarded the highest rating level under section 155 of the Law.</w:t>
      </w:r>
    </w:p>
    <w:p>
      <w:pPr>
        <w:pStyle w:val="Footnotesection"/>
      </w:pPr>
      <w:r>
        <w:tab/>
        <w:t>[Regulation 403 inserted: Gazette 23 Jan 2018 p. 251.]</w:t>
      </w:r>
    </w:p>
    <w:p>
      <w:pPr>
        <w:pStyle w:val="Heading3"/>
      </w:pPr>
      <w:bookmarkStart w:id="638" w:name="_Toc163809679"/>
      <w:bookmarkStart w:id="639" w:name="_Toc163810812"/>
      <w:bookmarkStart w:id="640" w:name="_Toc163818329"/>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638"/>
      <w:bookmarkEnd w:id="639"/>
      <w:bookmarkEnd w:id="640"/>
    </w:p>
    <w:p>
      <w:pPr>
        <w:pStyle w:val="Footnoteheading"/>
        <w:keepNext/>
      </w:pPr>
      <w:r>
        <w:tab/>
        <w:t>[Heading inserted: Gazette 24 Dec 2019 p. 4428.]</w:t>
      </w:r>
    </w:p>
    <w:p>
      <w:pPr>
        <w:pStyle w:val="Heading4"/>
      </w:pPr>
      <w:bookmarkStart w:id="641" w:name="_Toc163809680"/>
      <w:bookmarkStart w:id="642" w:name="_Toc163810813"/>
      <w:bookmarkStart w:id="643" w:name="_Toc163818330"/>
      <w:r>
        <w:t>Division 1 — Australian Capital Territory</w:t>
      </w:r>
      <w:bookmarkEnd w:id="641"/>
      <w:bookmarkEnd w:id="642"/>
      <w:bookmarkEnd w:id="643"/>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1 which were not relevant to Western Australia. Those provisions (except the heading to Division 1) were repealed by the </w:t>
      </w:r>
      <w:r>
        <w:rPr>
          <w:i/>
        </w:rPr>
        <w:t>Education and Care Services National Amendment Regulations 2023</w:t>
      </w:r>
      <w:r>
        <w:t>.</w:t>
      </w:r>
    </w:p>
    <w:p>
      <w:pPr>
        <w:pStyle w:val="Footnotesection"/>
      </w:pPr>
      <w:r>
        <w:tab/>
        <w:t>[Note inserted: SL 2023/71 r. 26.]</w:t>
      </w:r>
    </w:p>
    <w:p>
      <w:pPr>
        <w:pStyle w:val="Heading4"/>
      </w:pPr>
      <w:bookmarkStart w:id="644" w:name="_Toc163809681"/>
      <w:bookmarkStart w:id="645" w:name="_Toc163810814"/>
      <w:bookmarkStart w:id="646" w:name="_Toc163818331"/>
      <w:r>
        <w:t>Division 2 — Queensland</w:t>
      </w:r>
      <w:bookmarkEnd w:id="644"/>
      <w:bookmarkEnd w:id="645"/>
      <w:bookmarkEnd w:id="646"/>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27.]</w:t>
      </w:r>
    </w:p>
    <w:p>
      <w:pPr>
        <w:pStyle w:val="Heading4"/>
      </w:pPr>
      <w:bookmarkStart w:id="647" w:name="_Toc163809682"/>
      <w:bookmarkStart w:id="648" w:name="_Toc163810815"/>
      <w:bookmarkStart w:id="649" w:name="_Toc163818332"/>
      <w:r>
        <w:t>Division 3 — Tasmania</w:t>
      </w:r>
      <w:bookmarkEnd w:id="647"/>
      <w:bookmarkEnd w:id="648"/>
      <w:bookmarkEnd w:id="649"/>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3 which were not relevant to Western Australia. Those provisions (except the heading to Division 3) were repealed by </w:t>
      </w:r>
      <w:r>
        <w:lastRenderedPageBreak/>
        <w:t xml:space="preserve">the </w:t>
      </w:r>
      <w:r>
        <w:rPr>
          <w:i/>
        </w:rPr>
        <w:t>Education and Care Services National Amendment Regulations 2023</w:t>
      </w:r>
      <w:r>
        <w:t>.</w:t>
      </w:r>
    </w:p>
    <w:p>
      <w:pPr>
        <w:pStyle w:val="Footnotesection"/>
      </w:pPr>
      <w:r>
        <w:tab/>
        <w:t>[Note inserted: SL 2023/71 r. 28.]</w:t>
      </w:r>
    </w:p>
    <w:p>
      <w:pPr>
        <w:pStyle w:val="Heading4"/>
      </w:pPr>
      <w:bookmarkStart w:id="650" w:name="_Toc163809683"/>
      <w:bookmarkStart w:id="651" w:name="_Toc163810816"/>
      <w:bookmarkStart w:id="652" w:name="_Toc163818333"/>
      <w:r>
        <w:t>Division 4 — Western Australia</w:t>
      </w:r>
      <w:bookmarkEnd w:id="650"/>
      <w:bookmarkEnd w:id="651"/>
      <w:bookmarkEnd w:id="652"/>
    </w:p>
    <w:p>
      <w:pPr>
        <w:pStyle w:val="Footnoteheading"/>
        <w:keepNext/>
      </w:pPr>
      <w:r>
        <w:tab/>
        <w:t>[Heading inserted: Gazette 24 Dec 2019 p. 4428.]</w:t>
      </w:r>
    </w:p>
    <w:p>
      <w:pPr>
        <w:pStyle w:val="Ednotesection"/>
      </w:pPr>
      <w:r>
        <w:t>[</w:t>
      </w:r>
      <w:r>
        <w:rPr>
          <w:b/>
          <w:bCs/>
        </w:rPr>
        <w:t>410, 411.</w:t>
      </w:r>
      <w:r>
        <w:tab/>
        <w:t>Deleted: SL 2023/71 r. 29.]</w:t>
      </w:r>
    </w:p>
    <w:p>
      <w:pPr>
        <w:pStyle w:val="Heading3"/>
      </w:pPr>
      <w:bookmarkStart w:id="653" w:name="_Toc163809684"/>
      <w:bookmarkStart w:id="654" w:name="_Toc163810817"/>
      <w:bookmarkStart w:id="655" w:name="_Toc163818334"/>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653"/>
      <w:bookmarkEnd w:id="654"/>
      <w:bookmarkEnd w:id="655"/>
    </w:p>
    <w:p>
      <w:pPr>
        <w:pStyle w:val="Footnoteheading"/>
        <w:keepNext/>
      </w:pPr>
      <w:r>
        <w:tab/>
        <w:t>[Heading inserted: SL 2021/140 r. 11.]</w:t>
      </w:r>
    </w:p>
    <w:p>
      <w:pPr>
        <w:pStyle w:val="Heading4"/>
      </w:pPr>
      <w:bookmarkStart w:id="656" w:name="_Toc163809685"/>
      <w:bookmarkStart w:id="657" w:name="_Toc163810818"/>
      <w:bookmarkStart w:id="658" w:name="_Toc163818335"/>
      <w:r>
        <w:t>Division 1 — General transitional and savings provision</w:t>
      </w:r>
      <w:bookmarkEnd w:id="656"/>
      <w:bookmarkEnd w:id="657"/>
      <w:bookmarkEnd w:id="658"/>
    </w:p>
    <w:p>
      <w:pPr>
        <w:pStyle w:val="Footnoteheading"/>
        <w:keepNext/>
      </w:pPr>
      <w:r>
        <w:tab/>
        <w:t>[Heading inserted: SL 2021/140 r. 11.]</w:t>
      </w:r>
    </w:p>
    <w:p>
      <w:pPr>
        <w:pStyle w:val="Heading5"/>
      </w:pPr>
      <w:bookmarkStart w:id="659" w:name="_Toc163818336"/>
      <w:r>
        <w:rPr>
          <w:rStyle w:val="CharSectno"/>
        </w:rPr>
        <w:t>412</w:t>
      </w:r>
      <w:r>
        <w:t>.</w:t>
      </w:r>
      <w:r>
        <w:tab/>
        <w:t>Requirement to display information in relation to the rating of an education and care service</w:t>
      </w:r>
      <w:bookmarkEnd w:id="659"/>
    </w:p>
    <w:p>
      <w:pPr>
        <w:pStyle w:val="Subsection"/>
        <w:keepNext/>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660" w:name="_Toc163809687"/>
      <w:bookmarkStart w:id="661" w:name="_Toc163810820"/>
      <w:bookmarkStart w:id="662" w:name="_Toc163818337"/>
      <w:r>
        <w:t>Division 2 — Northern Territory</w:t>
      </w:r>
      <w:bookmarkEnd w:id="660"/>
      <w:bookmarkEnd w:id="661"/>
      <w:bookmarkEnd w:id="662"/>
    </w:p>
    <w:p>
      <w:pPr>
        <w:pStyle w:val="Footnoteheading"/>
        <w:keepNext/>
      </w:pPr>
      <w:r>
        <w:tab/>
        <w:t>[Heading inserted: SL 2021/140 r. 11.]</w:t>
      </w:r>
    </w:p>
    <w:p>
      <w:pPr>
        <w:pStyle w:val="PermNoteHeading"/>
      </w:pPr>
      <w:r>
        <w:tab/>
        <w:t>Note for this Division:</w:t>
      </w:r>
    </w:p>
    <w:p>
      <w:pPr>
        <w:pStyle w:val="PermNoteText"/>
        <w:keepNext/>
      </w:pPr>
      <w:r>
        <w:tab/>
      </w:r>
      <w:r>
        <w:tab/>
        <w:t>The national regulations made by the Ministerial Council include provisions as Division 2 which are not relevant to Western Australia.</w:t>
      </w:r>
    </w:p>
    <w:p>
      <w:pPr>
        <w:pStyle w:val="Footnotesection"/>
      </w:pPr>
      <w:r>
        <w:tab/>
        <w:t>[Note inserted: SL 2021/140 r. 11.]</w:t>
      </w:r>
    </w:p>
    <w:p>
      <w:pPr>
        <w:pStyle w:val="Heading3"/>
      </w:pPr>
      <w:bookmarkStart w:id="663" w:name="_Toc163809688"/>
      <w:bookmarkStart w:id="664" w:name="_Toc163810821"/>
      <w:bookmarkStart w:id="665" w:name="_Toc163818338"/>
      <w:r>
        <w:rPr>
          <w:rStyle w:val="CharDivNo"/>
        </w:rPr>
        <w:lastRenderedPageBreak/>
        <w:t>Part 7.14</w:t>
      </w:r>
      <w:r>
        <w:t> — </w:t>
      </w:r>
      <w:r>
        <w:rPr>
          <w:rStyle w:val="CharDivText"/>
        </w:rPr>
        <w:t xml:space="preserve">Transitional and savings provisions for </w:t>
      </w:r>
      <w:r>
        <w:rPr>
          <w:rStyle w:val="CharDivText"/>
          <w:i/>
        </w:rPr>
        <w:t>Education and Care Services National Amendment Regulations (No. 3) 2023</w:t>
      </w:r>
      <w:bookmarkEnd w:id="663"/>
      <w:bookmarkEnd w:id="664"/>
      <w:bookmarkEnd w:id="665"/>
    </w:p>
    <w:p>
      <w:pPr>
        <w:pStyle w:val="Footnoteheading"/>
        <w:keepNext/>
      </w:pPr>
      <w:r>
        <w:tab/>
        <w:t>[Heading inserted: SL 2023/71 r. 30.]</w:t>
      </w:r>
    </w:p>
    <w:p>
      <w:pPr>
        <w:pStyle w:val="Heading4"/>
      </w:pPr>
      <w:bookmarkStart w:id="666" w:name="_Toc163809689"/>
      <w:bookmarkStart w:id="667" w:name="_Toc163810822"/>
      <w:bookmarkStart w:id="668" w:name="_Toc163818339"/>
      <w:r>
        <w:t>Division 1 — General</w:t>
      </w:r>
      <w:bookmarkEnd w:id="666"/>
      <w:bookmarkEnd w:id="667"/>
      <w:bookmarkEnd w:id="668"/>
    </w:p>
    <w:p>
      <w:pPr>
        <w:pStyle w:val="Footnoteheading"/>
        <w:keepNext/>
      </w:pPr>
      <w:r>
        <w:tab/>
        <w:t>[Heading inserted: SL 2023/71 r. 30.]</w:t>
      </w:r>
    </w:p>
    <w:p>
      <w:pPr>
        <w:pStyle w:val="PermNoteHeading"/>
      </w:pPr>
      <w:r>
        <w:tab/>
        <w:t>Note for this Division:</w:t>
      </w:r>
    </w:p>
    <w:p>
      <w:pPr>
        <w:pStyle w:val="PermNoteText"/>
        <w:keepNext/>
      </w:pPr>
      <w:r>
        <w:tab/>
      </w:r>
      <w:r>
        <w:tab/>
        <w:t>The national regulations made by the Ministerial Council include provisions as Division 1 which are not relevant to Western Australia.</w:t>
      </w:r>
    </w:p>
    <w:p>
      <w:pPr>
        <w:pStyle w:val="Footnotesection"/>
      </w:pPr>
      <w:r>
        <w:tab/>
        <w:t>[Note inserted: SL 2023/71 r. 30.]</w:t>
      </w:r>
    </w:p>
    <w:p>
      <w:pPr>
        <w:pStyle w:val="Heading3"/>
      </w:pPr>
      <w:bookmarkStart w:id="669" w:name="_Toc163809690"/>
      <w:bookmarkStart w:id="670" w:name="_Toc163810823"/>
      <w:bookmarkStart w:id="671" w:name="_Toc163818340"/>
      <w:r>
        <w:rPr>
          <w:rStyle w:val="CharDivNo"/>
        </w:rPr>
        <w:t>Part 7.15</w:t>
      </w:r>
      <w:r>
        <w:t> — </w:t>
      </w:r>
      <w:r>
        <w:rPr>
          <w:rStyle w:val="CharDivText"/>
        </w:rPr>
        <w:t xml:space="preserve">Transitional and savings provisions for </w:t>
      </w:r>
      <w:r>
        <w:rPr>
          <w:rStyle w:val="CharDivText"/>
          <w:i/>
          <w:iCs/>
        </w:rPr>
        <w:t>Education and Care Services National Amendment Regulations (No. 4) 2023</w:t>
      </w:r>
      <w:bookmarkEnd w:id="669"/>
      <w:bookmarkEnd w:id="670"/>
      <w:bookmarkEnd w:id="671"/>
    </w:p>
    <w:p>
      <w:pPr>
        <w:pStyle w:val="Footnoteheading"/>
        <w:keepNext/>
      </w:pPr>
      <w:r>
        <w:tab/>
        <w:t>[Heading inserted: SL 2023/186 r. 43.]</w:t>
      </w:r>
    </w:p>
    <w:p>
      <w:pPr>
        <w:pStyle w:val="Heading5"/>
      </w:pPr>
      <w:bookmarkStart w:id="672" w:name="_Toc163818341"/>
      <w:r>
        <w:rPr>
          <w:rStyle w:val="CharSectno"/>
        </w:rPr>
        <w:t>415</w:t>
      </w:r>
      <w:r>
        <w:t>.</w:t>
      </w:r>
      <w:r>
        <w:tab/>
        <w:t>Family day care educator actively working towards qualification prior to commencement day</w:t>
      </w:r>
      <w:bookmarkEnd w:id="672"/>
    </w:p>
    <w:p>
      <w:pPr>
        <w:pStyle w:val="Subsection"/>
      </w:pPr>
      <w:r>
        <w:tab/>
        <w:t>(1)</w:t>
      </w:r>
      <w:r>
        <w:tab/>
        <w:t xml:space="preserve">In this regulation — </w:t>
      </w:r>
    </w:p>
    <w:p>
      <w:pPr>
        <w:pStyle w:val="Defstart"/>
      </w:pPr>
      <w:r>
        <w:tab/>
      </w:r>
      <w:r>
        <w:rPr>
          <w:rStyle w:val="CharDefText"/>
        </w:rPr>
        <w:t>commencement day</w:t>
      </w:r>
      <w:r>
        <w:t xml:space="preserve"> means 1 December 2023.</w:t>
      </w:r>
    </w:p>
    <w:p>
      <w:pPr>
        <w:pStyle w:val="Subsection"/>
      </w:pPr>
      <w:r>
        <w:tab/>
        <w:t>(2)</w:t>
      </w:r>
      <w:r>
        <w:tab/>
        <w:t>This regulation applies in relation to a family day care educator who, immediately before commencement day, was actively working towards at least an approved certificate III level education and care qualification.</w:t>
      </w:r>
    </w:p>
    <w:p>
      <w:pPr>
        <w:pStyle w:val="Subsection"/>
      </w:pPr>
      <w:r>
        <w:tab/>
        <w:t>(3)</w:t>
      </w:r>
      <w:r>
        <w:tab/>
        <w:t xml:space="preserve">The family day care educator is taken to comply with regulation 127 until the earlier of the following — </w:t>
      </w:r>
    </w:p>
    <w:p>
      <w:pPr>
        <w:pStyle w:val="Indenta"/>
      </w:pPr>
      <w:r>
        <w:tab/>
        <w:t>(a)</w:t>
      </w:r>
      <w:r>
        <w:tab/>
        <w:t>the family day care educator ceases to be actively working towards the qualification as described in subregulation (2);</w:t>
      </w:r>
    </w:p>
    <w:p>
      <w:pPr>
        <w:pStyle w:val="Indenta"/>
        <w:keepNext/>
      </w:pPr>
      <w:r>
        <w:lastRenderedPageBreak/>
        <w:tab/>
        <w:t>(b)</w:t>
      </w:r>
      <w:r>
        <w:tab/>
        <w:t>30 November 2024.</w:t>
      </w:r>
    </w:p>
    <w:p>
      <w:pPr>
        <w:pStyle w:val="PermNoteHeading"/>
      </w:pPr>
      <w:r>
        <w:tab/>
        <w:t>Note for this regulation:</w:t>
      </w:r>
    </w:p>
    <w:p>
      <w:pPr>
        <w:pStyle w:val="PermNoteText"/>
        <w:keepNext/>
      </w:pPr>
      <w:r>
        <w:tab/>
      </w:r>
      <w:r>
        <w:tab/>
        <w:t>This regulation differs from regulation 415 of the national regulations made by the Ministerial Council.</w:t>
      </w:r>
    </w:p>
    <w:p>
      <w:pPr>
        <w:pStyle w:val="Footnotesection"/>
      </w:pPr>
      <w:r>
        <w:tab/>
        <w:t>[Regulation 415 inserted: SL 2023/186 r. 43.]</w:t>
      </w:r>
    </w:p>
    <w:p>
      <w:pPr>
        <w:pStyle w:val="PermNoteText"/>
      </w:pPr>
    </w:p>
    <w:p>
      <w:pPr>
        <w:sectPr>
          <w:headerReference w:type="even" r:id="rId21"/>
          <w:headerReference w:type="default" r:id="rId22"/>
          <w:headerReference w:type="first" r:id="rId23"/>
          <w:pgSz w:w="11907" w:h="16840" w:code="9"/>
          <w:pgMar w:top="2376" w:right="2404" w:bottom="3544" w:left="2404" w:header="709" w:footer="3544" w:gutter="0"/>
          <w:pgNumType w:start="1"/>
          <w:cols w:space="720"/>
          <w:noEndnote/>
          <w:titlePg/>
          <w:docGrid w:linePitch="326"/>
        </w:sectPr>
      </w:pPr>
    </w:p>
    <w:p>
      <w:pPr>
        <w:pStyle w:val="yScheduleHeading"/>
      </w:pPr>
      <w:bookmarkStart w:id="673" w:name="_Toc163809692"/>
      <w:bookmarkStart w:id="674" w:name="_Toc163810825"/>
      <w:bookmarkStart w:id="675" w:name="_Toc163818342"/>
      <w:r>
        <w:rPr>
          <w:rStyle w:val="CharSchNo"/>
        </w:rPr>
        <w:lastRenderedPageBreak/>
        <w:t>Schedule 1</w:t>
      </w:r>
      <w:r>
        <w:t> — </w:t>
      </w:r>
      <w:r>
        <w:rPr>
          <w:rStyle w:val="CharSchText"/>
        </w:rPr>
        <w:t>National Quality Standard</w:t>
      </w:r>
      <w:bookmarkEnd w:id="673"/>
      <w:bookmarkEnd w:id="674"/>
      <w:bookmarkEnd w:id="675"/>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lastRenderedPageBreak/>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lastRenderedPageBreak/>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lastRenderedPageBreak/>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lastRenderedPageBreak/>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lastRenderedPageBreak/>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lastRenderedPageBreak/>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lastRenderedPageBreak/>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lastRenderedPageBreak/>
        <w:tab/>
        <w:t>Element 7.2.3 — Development of professionals</w:t>
      </w:r>
    </w:p>
    <w:p>
      <w:pPr>
        <w:pStyle w:val="yMiscellaneousBody"/>
        <w:keepNext/>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676" w:name="_Toc163809693"/>
      <w:bookmarkStart w:id="677" w:name="_Toc163810826"/>
      <w:bookmarkStart w:id="678" w:name="_Toc163818343"/>
      <w:r>
        <w:rPr>
          <w:rStyle w:val="CharSchNo"/>
        </w:rPr>
        <w:lastRenderedPageBreak/>
        <w:t>Schedule 2</w:t>
      </w:r>
      <w:r>
        <w:t> — </w:t>
      </w:r>
      <w:r>
        <w:rPr>
          <w:rStyle w:val="CharSchText"/>
        </w:rPr>
        <w:t>Prescribed fees for period beginning on commencement day and ending on 30 June 2023</w:t>
      </w:r>
      <w:bookmarkEnd w:id="676"/>
      <w:bookmarkEnd w:id="677"/>
      <w:bookmarkEnd w:id="678"/>
    </w:p>
    <w:p>
      <w:pPr>
        <w:pStyle w:val="yShoulderClause"/>
      </w:pPr>
      <w:r>
        <w:t>[r. 236B]</w:t>
      </w:r>
    </w:p>
    <w:p>
      <w:pPr>
        <w:pStyle w:val="yFootnoteheading"/>
      </w:pPr>
      <w:r>
        <w:tab/>
        <w:t>[Heading inserted: SL 2023/71 r. 8.]</w:t>
      </w:r>
    </w:p>
    <w:p>
      <w:pPr>
        <w:pStyle w:val="yTHeadingNAm"/>
        <w:keepNext w:val="0"/>
      </w:pPr>
      <w:r>
        <w:t>Table 1 — Prescribed fees for provider approvals, service approvals, assessments and ratings</w:t>
      </w:r>
    </w:p>
    <w:p>
      <w:pPr>
        <w:pStyle w:val="yTHeadingNAm"/>
        <w:keepNext w:val="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843"/>
        <w:gridCol w:w="2410"/>
        <w:gridCol w:w="1701"/>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843" w:type="dxa"/>
          </w:tcPr>
          <w:p>
            <w:pPr>
              <w:pStyle w:val="yTableNAm"/>
              <w:rPr>
                <w:bCs/>
                <w:i/>
                <w:sz w:val="20"/>
              </w:rPr>
            </w:pPr>
            <w:r>
              <w:rPr>
                <w:bCs/>
                <w:i/>
                <w:sz w:val="20"/>
              </w:rPr>
              <w:t>Column 2</w:t>
            </w:r>
          </w:p>
          <w:p>
            <w:pPr>
              <w:pStyle w:val="yTableNAm"/>
              <w:rPr>
                <w:bCs/>
                <w:i/>
              </w:rPr>
            </w:pPr>
            <w:r>
              <w:rPr>
                <w:bCs/>
                <w:i/>
              </w:rPr>
              <w:t>Section of the Law</w:t>
            </w:r>
          </w:p>
        </w:tc>
        <w:tc>
          <w:tcPr>
            <w:tcW w:w="2410" w:type="dxa"/>
          </w:tcPr>
          <w:p>
            <w:pPr>
              <w:pStyle w:val="yTableNAm"/>
              <w:rPr>
                <w:bCs/>
                <w:i/>
                <w:sz w:val="20"/>
              </w:rPr>
            </w:pPr>
            <w:r>
              <w:rPr>
                <w:bCs/>
                <w:i/>
                <w:sz w:val="20"/>
              </w:rPr>
              <w:t>Column 3</w:t>
            </w:r>
          </w:p>
          <w:p>
            <w:pPr>
              <w:pStyle w:val="yTableNAm"/>
              <w:rPr>
                <w:bCs/>
                <w:i/>
              </w:rPr>
            </w:pPr>
            <w:r>
              <w:rPr>
                <w:bCs/>
                <w:i/>
              </w:rPr>
              <w:t>Description</w:t>
            </w:r>
          </w:p>
        </w:tc>
        <w:tc>
          <w:tcPr>
            <w:tcW w:w="1701" w:type="dxa"/>
          </w:tcPr>
          <w:p>
            <w:pPr>
              <w:pStyle w:val="yTableNAm"/>
              <w:rPr>
                <w:bCs/>
                <w:i/>
                <w:sz w:val="20"/>
              </w:rPr>
            </w:pPr>
            <w:r>
              <w:rPr>
                <w:bCs/>
                <w:i/>
                <w:sz w:val="20"/>
              </w:rPr>
              <w:t>Column 4</w:t>
            </w:r>
          </w:p>
          <w:p>
            <w:pPr>
              <w:pStyle w:val="yTableNAm"/>
              <w:rPr>
                <w:bCs/>
                <w:i/>
              </w:rPr>
            </w:pPr>
            <w:r>
              <w:rPr>
                <w:bCs/>
                <w:i/>
              </w:rPr>
              <w:t>Fee</w:t>
            </w:r>
          </w:p>
        </w:tc>
      </w:tr>
      <w:tr>
        <w:trPr>
          <w:trHeight w:val="393"/>
        </w:trPr>
        <w:tc>
          <w:tcPr>
            <w:tcW w:w="992" w:type="dxa"/>
          </w:tcPr>
          <w:p>
            <w:pPr>
              <w:pStyle w:val="yTableNAm"/>
              <w:rPr>
                <w:bCs/>
              </w:rPr>
            </w:pPr>
            <w:r>
              <w:rPr>
                <w:bCs/>
              </w:rPr>
              <w:t>1</w:t>
            </w:r>
          </w:p>
        </w:tc>
        <w:tc>
          <w:tcPr>
            <w:tcW w:w="1843" w:type="dxa"/>
          </w:tcPr>
          <w:p>
            <w:pPr>
              <w:pStyle w:val="yTableNAm"/>
              <w:rPr>
                <w:bCs/>
              </w:rPr>
            </w:pPr>
            <w:r>
              <w:rPr>
                <w:bCs/>
              </w:rPr>
              <w:t>Section 11(d)</w:t>
            </w:r>
          </w:p>
        </w:tc>
        <w:tc>
          <w:tcPr>
            <w:tcW w:w="2410" w:type="dxa"/>
          </w:tcPr>
          <w:p>
            <w:pPr>
              <w:pStyle w:val="yTableNAm"/>
              <w:rPr>
                <w:bCs/>
              </w:rPr>
            </w:pPr>
            <w:r>
              <w:rPr>
                <w:bCs/>
              </w:rPr>
              <w:t>Application for a provider approval</w:t>
            </w:r>
          </w:p>
        </w:tc>
        <w:tc>
          <w:tcPr>
            <w:tcW w:w="1701" w:type="dxa"/>
          </w:tcPr>
          <w:p>
            <w:pPr>
              <w:pStyle w:val="yTableNAm"/>
              <w:rPr>
                <w:bCs/>
              </w:rPr>
            </w:pPr>
            <w:r>
              <w:rPr>
                <w:bCs/>
              </w:rPr>
              <w:t>$241</w:t>
            </w:r>
          </w:p>
        </w:tc>
      </w:tr>
      <w:tr>
        <w:trPr>
          <w:trHeight w:val="393"/>
        </w:trPr>
        <w:tc>
          <w:tcPr>
            <w:tcW w:w="992" w:type="dxa"/>
          </w:tcPr>
          <w:p>
            <w:pPr>
              <w:pStyle w:val="yTableNAm"/>
              <w:rPr>
                <w:bCs/>
              </w:rPr>
            </w:pPr>
            <w:r>
              <w:rPr>
                <w:bCs/>
              </w:rPr>
              <w:t>2</w:t>
            </w:r>
          </w:p>
        </w:tc>
        <w:tc>
          <w:tcPr>
            <w:tcW w:w="1843" w:type="dxa"/>
          </w:tcPr>
          <w:p>
            <w:pPr>
              <w:pStyle w:val="yTableNAm"/>
              <w:rPr>
                <w:bCs/>
              </w:rPr>
            </w:pPr>
            <w:r>
              <w:rPr>
                <w:bCs/>
              </w:rPr>
              <w:t>Section 22(2)(c)</w:t>
            </w:r>
          </w:p>
        </w:tc>
        <w:tc>
          <w:tcPr>
            <w:tcW w:w="2410" w:type="dxa"/>
          </w:tcPr>
          <w:p>
            <w:pPr>
              <w:pStyle w:val="yTableNAm"/>
              <w:rPr>
                <w:bCs/>
              </w:rPr>
            </w:pPr>
            <w:r>
              <w:rPr>
                <w:bCs/>
              </w:rPr>
              <w:t>Application to amend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3</w:t>
            </w:r>
          </w:p>
        </w:tc>
        <w:tc>
          <w:tcPr>
            <w:tcW w:w="1843" w:type="dxa"/>
          </w:tcPr>
          <w:p>
            <w:pPr>
              <w:pStyle w:val="yTableNAm"/>
              <w:rPr>
                <w:bCs/>
              </w:rPr>
            </w:pPr>
            <w:r>
              <w:rPr>
                <w:bCs/>
              </w:rPr>
              <w:t>Section 37(2)(c)</w:t>
            </w:r>
          </w:p>
        </w:tc>
        <w:tc>
          <w:tcPr>
            <w:tcW w:w="2410" w:type="dxa"/>
          </w:tcPr>
          <w:p>
            <w:pPr>
              <w:pStyle w:val="yTableNAm"/>
              <w:rPr>
                <w:bCs/>
              </w:rPr>
            </w:pPr>
            <w:r>
              <w:rPr>
                <w:bCs/>
              </w:rPr>
              <w:t>Application to voluntarily suspend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4</w:t>
            </w:r>
          </w:p>
        </w:tc>
        <w:tc>
          <w:tcPr>
            <w:tcW w:w="1843" w:type="dxa"/>
          </w:tcPr>
          <w:p>
            <w:pPr>
              <w:pStyle w:val="yTableNAm"/>
              <w:rPr>
                <w:bCs/>
              </w:rPr>
            </w:pPr>
            <w:r>
              <w:rPr>
                <w:bCs/>
              </w:rPr>
              <w:t>Section 39(6)(c)</w:t>
            </w:r>
          </w:p>
        </w:tc>
        <w:tc>
          <w:tcPr>
            <w:tcW w:w="2410" w:type="dxa"/>
          </w:tcPr>
          <w:p>
            <w:pPr>
              <w:pStyle w:val="yTableNAm"/>
              <w:rPr>
                <w:bCs/>
              </w:rPr>
            </w:pPr>
            <w:r>
              <w:rPr>
                <w:bCs/>
              </w:rPr>
              <w:t>Application to approve an executor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sz w:val="24"/>
              </w:rPr>
              <w:br w:type="page"/>
            </w:r>
            <w:r>
              <w:rPr>
                <w:bCs/>
              </w:rPr>
              <w:t>5</w:t>
            </w:r>
          </w:p>
        </w:tc>
        <w:tc>
          <w:tcPr>
            <w:tcW w:w="1843" w:type="dxa"/>
          </w:tcPr>
          <w:p>
            <w:pPr>
              <w:pStyle w:val="yTableNAm"/>
              <w:rPr>
                <w:bCs/>
              </w:rPr>
            </w:pPr>
            <w:r>
              <w:rPr>
                <w:bCs/>
              </w:rPr>
              <w:t>Section 40(3)(c)</w:t>
            </w:r>
          </w:p>
        </w:tc>
        <w:tc>
          <w:tcPr>
            <w:tcW w:w="2410" w:type="dxa"/>
          </w:tcPr>
          <w:p>
            <w:pPr>
              <w:pStyle w:val="yTableNAm"/>
              <w:rPr>
                <w:b/>
                <w:bCs/>
                <w:i/>
                <w:sz w:val="18"/>
                <w:highlight w:val="yellow"/>
              </w:rPr>
            </w:pPr>
            <w:r>
              <w:rPr>
                <w:bCs/>
              </w:rPr>
              <w:t>Application to approve legal personal representative or guardian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6</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centre</w:t>
            </w:r>
            <w:r>
              <w:rPr>
                <w:bCs/>
              </w:rPr>
              <w:noBreakHyphen/>
              <w:t>based service</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lastRenderedPageBreak/>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lastRenderedPageBreak/>
              <w:t>7</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family day care service</w:t>
            </w:r>
          </w:p>
        </w:tc>
        <w:tc>
          <w:tcPr>
            <w:tcW w:w="1701" w:type="dxa"/>
          </w:tcPr>
          <w:p>
            <w:pPr>
              <w:pStyle w:val="yTableNAm"/>
              <w:rPr>
                <w:bCs/>
              </w:rPr>
            </w:pPr>
            <w:r>
              <w:rPr>
                <w:bCs/>
              </w:rPr>
              <w:t>$725</w:t>
            </w:r>
          </w:p>
        </w:tc>
      </w:tr>
      <w:tr>
        <w:trPr>
          <w:trHeight w:val="393"/>
        </w:trPr>
        <w:tc>
          <w:tcPr>
            <w:tcW w:w="992" w:type="dxa"/>
          </w:tcPr>
          <w:p>
            <w:pPr>
              <w:pStyle w:val="yTableNAm"/>
              <w:keepNext/>
              <w:rPr>
                <w:bCs/>
              </w:rPr>
            </w:pPr>
            <w:r>
              <w:rPr>
                <w:bCs/>
              </w:rPr>
              <w:t>8</w:t>
            </w:r>
          </w:p>
        </w:tc>
        <w:tc>
          <w:tcPr>
            <w:tcW w:w="1843" w:type="dxa"/>
          </w:tcPr>
          <w:p>
            <w:pPr>
              <w:pStyle w:val="yTableNAm"/>
              <w:keepNext/>
              <w:rPr>
                <w:bCs/>
              </w:rPr>
            </w:pPr>
            <w:r>
              <w:rPr>
                <w:bCs/>
              </w:rPr>
              <w:t>Section 53</w:t>
            </w:r>
          </w:p>
        </w:tc>
        <w:tc>
          <w:tcPr>
            <w:tcW w:w="2410" w:type="dxa"/>
          </w:tcPr>
          <w:p>
            <w:pPr>
              <w:pStyle w:val="yTableNAm"/>
              <w:keepNext/>
              <w:rPr>
                <w:bCs/>
              </w:rPr>
            </w:pPr>
            <w:r>
              <w:rPr>
                <w:bCs/>
              </w:rPr>
              <w:t>Annual fee — centre</w:t>
            </w:r>
            <w:r>
              <w:rPr>
                <w:bCs/>
              </w:rPr>
              <w:noBreakHyphen/>
              <w:t>based service</w:t>
            </w:r>
          </w:p>
        </w:tc>
        <w:tc>
          <w:tcPr>
            <w:tcW w:w="1701" w:type="dxa"/>
          </w:tcPr>
          <w:p>
            <w:pPr>
              <w:pStyle w:val="yTableNAm"/>
              <w:keepNext/>
              <w:rPr>
                <w:bCs/>
              </w:rPr>
            </w:pPr>
            <w:r>
              <w:rPr>
                <w:bCs/>
              </w:rPr>
              <w:t>Small service $218</w:t>
            </w:r>
          </w:p>
          <w:p>
            <w:pPr>
              <w:pStyle w:val="yTableNAm"/>
              <w:keepNext/>
              <w:rPr>
                <w:bCs/>
              </w:rPr>
            </w:pPr>
            <w:r>
              <w:rPr>
                <w:bCs/>
              </w:rPr>
              <w:t>Medium service $329</w:t>
            </w:r>
          </w:p>
          <w:p>
            <w:pPr>
              <w:pStyle w:val="yTableNAm"/>
              <w:keepNext/>
              <w:rPr>
                <w:bCs/>
              </w:rPr>
            </w:pPr>
            <w:r>
              <w:rPr>
                <w:bCs/>
              </w:rPr>
              <w:t>Large service $438</w:t>
            </w:r>
          </w:p>
          <w:p>
            <w:pPr>
              <w:pStyle w:val="yTableNAm"/>
              <w:keepNext/>
              <w:rPr>
                <w:bCs/>
              </w:rPr>
            </w:pPr>
            <w:r>
              <w:rPr>
                <w:bCs/>
              </w:rPr>
              <w:t>Extra</w:t>
            </w:r>
            <w:r>
              <w:rPr>
                <w:bCs/>
              </w:rPr>
              <w:noBreakHyphen/>
              <w:t>large service $438</w:t>
            </w:r>
          </w:p>
        </w:tc>
      </w:tr>
      <w:tr>
        <w:trPr>
          <w:trHeight w:val="393"/>
        </w:trPr>
        <w:tc>
          <w:tcPr>
            <w:tcW w:w="992" w:type="dxa"/>
          </w:tcPr>
          <w:p>
            <w:pPr>
              <w:pStyle w:val="yTableNAm"/>
              <w:rPr>
                <w:bCs/>
              </w:rPr>
            </w:pPr>
            <w:r>
              <w:rPr>
                <w:bCs/>
              </w:rPr>
              <w:t>9</w:t>
            </w:r>
          </w:p>
        </w:tc>
        <w:tc>
          <w:tcPr>
            <w:tcW w:w="1843" w:type="dxa"/>
          </w:tcPr>
          <w:p>
            <w:pPr>
              <w:pStyle w:val="yTableNAm"/>
              <w:rPr>
                <w:bCs/>
              </w:rPr>
            </w:pPr>
            <w:r>
              <w:rPr>
                <w:bCs/>
              </w:rPr>
              <w:t>Section 53</w:t>
            </w:r>
          </w:p>
        </w:tc>
        <w:tc>
          <w:tcPr>
            <w:tcW w:w="2410" w:type="dxa"/>
          </w:tcPr>
          <w:p>
            <w:pPr>
              <w:pStyle w:val="yTableNAm"/>
              <w:rPr>
                <w:bCs/>
              </w:rPr>
            </w:pPr>
            <w:r>
              <w:rPr>
                <w:bCs/>
              </w:rPr>
              <w:t>Annual fee — family day care service</w:t>
            </w:r>
          </w:p>
        </w:tc>
        <w:tc>
          <w:tcPr>
            <w:tcW w:w="1701" w:type="dxa"/>
          </w:tcPr>
          <w:p>
            <w:pPr>
              <w:pStyle w:val="yTableNAm"/>
              <w:rPr>
                <w:bCs/>
              </w:rPr>
            </w:pPr>
            <w:r>
              <w:rPr>
                <w:bCs/>
              </w:rPr>
              <w:t>Small service $218</w:t>
            </w:r>
          </w:p>
          <w:p>
            <w:pPr>
              <w:pStyle w:val="yTableNAm"/>
              <w:rPr>
                <w:bCs/>
              </w:rPr>
            </w:pPr>
            <w:r>
              <w:rPr>
                <w:bCs/>
              </w:rPr>
              <w:t>Medium service $329</w:t>
            </w:r>
          </w:p>
          <w:p>
            <w:pPr>
              <w:pStyle w:val="yTableNAm"/>
              <w:rPr>
                <w:bCs/>
              </w:rPr>
            </w:pPr>
            <w:r>
              <w:rPr>
                <w:bCs/>
              </w:rPr>
              <w:t>Large service $438</w:t>
            </w:r>
          </w:p>
          <w:p>
            <w:pPr>
              <w:pStyle w:val="yTableNAm"/>
              <w:rPr>
                <w:bCs/>
              </w:rPr>
            </w:pPr>
            <w:r>
              <w:rPr>
                <w:bCs/>
              </w:rPr>
              <w:t>Extra</w:t>
            </w:r>
            <w:r>
              <w:rPr>
                <w:bCs/>
              </w:rPr>
              <w:noBreakHyphen/>
              <w:t>large service $438</w:t>
            </w:r>
          </w:p>
        </w:tc>
      </w:tr>
      <w:tr>
        <w:trPr>
          <w:trHeight w:val="393"/>
        </w:trPr>
        <w:tc>
          <w:tcPr>
            <w:tcW w:w="992" w:type="dxa"/>
          </w:tcPr>
          <w:p>
            <w:pPr>
              <w:pStyle w:val="yTableNAm"/>
              <w:rPr>
                <w:bCs/>
              </w:rPr>
            </w:pPr>
            <w:r>
              <w:rPr>
                <w:bCs/>
              </w:rPr>
              <w:t>10</w:t>
            </w:r>
          </w:p>
        </w:tc>
        <w:tc>
          <w:tcPr>
            <w:tcW w:w="1843" w:type="dxa"/>
          </w:tcPr>
          <w:p>
            <w:pPr>
              <w:pStyle w:val="yTableNAm"/>
              <w:rPr>
                <w:bCs/>
              </w:rPr>
            </w:pPr>
            <w:r>
              <w:rPr>
                <w:bCs/>
              </w:rPr>
              <w:t>Section 54(2)(c)</w:t>
            </w:r>
          </w:p>
        </w:tc>
        <w:tc>
          <w:tcPr>
            <w:tcW w:w="2410" w:type="dxa"/>
          </w:tcPr>
          <w:p>
            <w:pPr>
              <w:pStyle w:val="yTableNAm"/>
              <w:rPr>
                <w:bCs/>
              </w:rPr>
            </w:pPr>
            <w:r>
              <w:rPr>
                <w:bCs/>
              </w:rPr>
              <w:t>Application to amend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11</w:t>
            </w:r>
          </w:p>
        </w:tc>
        <w:tc>
          <w:tcPr>
            <w:tcW w:w="1843" w:type="dxa"/>
          </w:tcPr>
          <w:p>
            <w:pPr>
              <w:pStyle w:val="yTableNAm"/>
              <w:rPr>
                <w:bCs/>
              </w:rPr>
            </w:pPr>
            <w:r>
              <w:rPr>
                <w:bCs/>
              </w:rPr>
              <w:t>Section 59(2)(c)</w:t>
            </w:r>
          </w:p>
        </w:tc>
        <w:tc>
          <w:tcPr>
            <w:tcW w:w="2410" w:type="dxa"/>
          </w:tcPr>
          <w:p>
            <w:pPr>
              <w:pStyle w:val="yTableNAm"/>
              <w:rPr>
                <w:bCs/>
              </w:rPr>
            </w:pPr>
            <w:r>
              <w:rPr>
                <w:bCs/>
              </w:rPr>
              <w:t>Notification of intended transfer of service approval</w:t>
            </w:r>
          </w:p>
        </w:tc>
        <w:tc>
          <w:tcPr>
            <w:tcW w:w="1701" w:type="dxa"/>
          </w:tcPr>
          <w:p>
            <w:pPr>
              <w:pStyle w:val="yTableNAm"/>
              <w:rPr>
                <w:bCs/>
              </w:rPr>
            </w:pPr>
            <w:r>
              <w:rPr>
                <w:bCs/>
              </w:rPr>
              <w:t>$116</w:t>
            </w:r>
          </w:p>
        </w:tc>
      </w:tr>
      <w:tr>
        <w:trPr>
          <w:trHeight w:val="393"/>
        </w:trPr>
        <w:tc>
          <w:tcPr>
            <w:tcW w:w="992" w:type="dxa"/>
          </w:tcPr>
          <w:p>
            <w:pPr>
              <w:pStyle w:val="yTableNAm"/>
              <w:rPr>
                <w:bCs/>
              </w:rPr>
            </w:pPr>
            <w:r>
              <w:rPr>
                <w:bCs/>
              </w:rPr>
              <w:lastRenderedPageBreak/>
              <w:t>12</w:t>
            </w:r>
          </w:p>
        </w:tc>
        <w:tc>
          <w:tcPr>
            <w:tcW w:w="1843" w:type="dxa"/>
          </w:tcPr>
          <w:p>
            <w:pPr>
              <w:pStyle w:val="yTableNAm"/>
              <w:rPr>
                <w:bCs/>
              </w:rPr>
            </w:pPr>
            <w:r>
              <w:rPr>
                <w:bCs/>
              </w:rPr>
              <w:t>Section 85(2)(c)</w:t>
            </w:r>
          </w:p>
        </w:tc>
        <w:tc>
          <w:tcPr>
            <w:tcW w:w="2410" w:type="dxa"/>
          </w:tcPr>
          <w:p>
            <w:pPr>
              <w:pStyle w:val="yTableNAm"/>
              <w:rPr>
                <w:bCs/>
              </w:rPr>
            </w:pPr>
            <w:r>
              <w:rPr>
                <w:bCs/>
              </w:rPr>
              <w:t>Application to voluntarily suspend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13</w:t>
            </w:r>
          </w:p>
        </w:tc>
        <w:tc>
          <w:tcPr>
            <w:tcW w:w="1843" w:type="dxa"/>
          </w:tcPr>
          <w:p>
            <w:pPr>
              <w:pStyle w:val="yTableNAm"/>
              <w:rPr>
                <w:bCs/>
              </w:rPr>
            </w:pPr>
            <w:r>
              <w:rPr>
                <w:bCs/>
              </w:rPr>
              <w:t>Section 88(c)</w:t>
            </w:r>
          </w:p>
        </w:tc>
        <w:tc>
          <w:tcPr>
            <w:tcW w:w="2410" w:type="dxa"/>
          </w:tcPr>
          <w:p>
            <w:pPr>
              <w:pStyle w:val="yTableNAm"/>
              <w:rPr>
                <w:bCs/>
              </w:rPr>
            </w:pPr>
            <w:r>
              <w:rPr>
                <w:bCs/>
              </w:rPr>
              <w:t>Application for service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14</w:t>
            </w:r>
          </w:p>
        </w:tc>
        <w:tc>
          <w:tcPr>
            <w:tcW w:w="1843" w:type="dxa"/>
          </w:tcPr>
          <w:p>
            <w:pPr>
              <w:pStyle w:val="yTableNAm"/>
              <w:rPr>
                <w:bCs/>
              </w:rPr>
            </w:pPr>
            <w:r>
              <w:rPr>
                <w:bCs/>
              </w:rPr>
              <w:t>Section 95(c)</w:t>
            </w:r>
          </w:p>
        </w:tc>
        <w:tc>
          <w:tcPr>
            <w:tcW w:w="2410" w:type="dxa"/>
          </w:tcPr>
          <w:p>
            <w:pPr>
              <w:pStyle w:val="yTableNAm"/>
              <w:rPr>
                <w:bCs/>
              </w:rPr>
            </w:pPr>
            <w:r>
              <w:rPr>
                <w:bCs/>
              </w:rPr>
              <w:t>Application for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15</w:t>
            </w:r>
          </w:p>
        </w:tc>
        <w:tc>
          <w:tcPr>
            <w:tcW w:w="1843" w:type="dxa"/>
          </w:tcPr>
          <w:p>
            <w:pPr>
              <w:pStyle w:val="yTableNAm"/>
              <w:rPr>
                <w:bCs/>
              </w:rPr>
            </w:pPr>
            <w:r>
              <w:rPr>
                <w:bCs/>
              </w:rPr>
              <w:t>Section 98(4)</w:t>
            </w:r>
          </w:p>
        </w:tc>
        <w:tc>
          <w:tcPr>
            <w:tcW w:w="2410" w:type="dxa"/>
          </w:tcPr>
          <w:p>
            <w:pPr>
              <w:pStyle w:val="yTableNAm"/>
              <w:rPr>
                <w:bCs/>
              </w:rPr>
            </w:pPr>
            <w:r>
              <w:rPr>
                <w:bCs/>
              </w:rPr>
              <w:t>Application to extend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16</w:t>
            </w:r>
          </w:p>
        </w:tc>
        <w:tc>
          <w:tcPr>
            <w:tcW w:w="1843" w:type="dxa"/>
          </w:tcPr>
          <w:p>
            <w:pPr>
              <w:pStyle w:val="yTableNAm"/>
              <w:rPr>
                <w:bCs/>
              </w:rPr>
            </w:pPr>
            <w:r>
              <w:rPr>
                <w:bCs/>
              </w:rPr>
              <w:t>Section 139(2)(c)</w:t>
            </w:r>
          </w:p>
        </w:tc>
        <w:tc>
          <w:tcPr>
            <w:tcW w:w="2410" w:type="dxa"/>
          </w:tcPr>
          <w:p>
            <w:pPr>
              <w:pStyle w:val="yTableNAm"/>
              <w:rPr>
                <w:bCs/>
              </w:rPr>
            </w:pPr>
            <w:r>
              <w:rPr>
                <w:bCs/>
              </w:rPr>
              <w:t>Application for reassessment and re</w:t>
            </w:r>
            <w:r>
              <w:rPr>
                <w:bCs/>
              </w:rPr>
              <w:noBreakHyphen/>
              <w:t>rating</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17</w:t>
            </w:r>
          </w:p>
        </w:tc>
        <w:tc>
          <w:tcPr>
            <w:tcW w:w="1843" w:type="dxa"/>
          </w:tcPr>
          <w:p>
            <w:pPr>
              <w:pStyle w:val="yTableNAm"/>
              <w:rPr>
                <w:bCs/>
              </w:rPr>
            </w:pPr>
            <w:r>
              <w:rPr>
                <w:bCs/>
              </w:rPr>
              <w:t>Section 141(4)(d)</w:t>
            </w:r>
          </w:p>
        </w:tc>
        <w:tc>
          <w:tcPr>
            <w:tcW w:w="2410" w:type="dxa"/>
          </w:tcPr>
          <w:p>
            <w:pPr>
              <w:pStyle w:val="yTableNAm"/>
              <w:rPr>
                <w:bCs/>
              </w:rPr>
            </w:pPr>
            <w:r>
              <w:rPr>
                <w:bCs/>
              </w:rPr>
              <w:t>Request for review by Regulatory Authority</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18</w:t>
            </w:r>
          </w:p>
        </w:tc>
        <w:tc>
          <w:tcPr>
            <w:tcW w:w="1843" w:type="dxa"/>
          </w:tcPr>
          <w:p>
            <w:pPr>
              <w:pStyle w:val="yTableNAm"/>
              <w:rPr>
                <w:bCs/>
              </w:rPr>
            </w:pPr>
            <w:r>
              <w:rPr>
                <w:bCs/>
              </w:rPr>
              <w:t>Section 145(2)(c)</w:t>
            </w:r>
          </w:p>
        </w:tc>
        <w:tc>
          <w:tcPr>
            <w:tcW w:w="2410" w:type="dxa"/>
          </w:tcPr>
          <w:p>
            <w:pPr>
              <w:pStyle w:val="yTableNAm"/>
              <w:rPr>
                <w:bCs/>
              </w:rPr>
            </w:pPr>
            <w:r>
              <w:rPr>
                <w:bCs/>
              </w:rPr>
              <w:t>Application for further review by Ratings Review Panel</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lastRenderedPageBreak/>
              <w:t>19</w:t>
            </w:r>
          </w:p>
        </w:tc>
        <w:tc>
          <w:tcPr>
            <w:tcW w:w="1843" w:type="dxa"/>
          </w:tcPr>
          <w:p>
            <w:pPr>
              <w:pStyle w:val="yTableNAm"/>
              <w:rPr>
                <w:bCs/>
              </w:rPr>
            </w:pPr>
            <w:r>
              <w:rPr>
                <w:bCs/>
              </w:rPr>
              <w:t>Section 152(3)(c)</w:t>
            </w:r>
          </w:p>
        </w:tc>
        <w:tc>
          <w:tcPr>
            <w:tcW w:w="2410" w:type="dxa"/>
          </w:tcPr>
          <w:p>
            <w:pPr>
              <w:pStyle w:val="yTableNAm"/>
              <w:rPr>
                <w:bCs/>
              </w:rPr>
            </w:pPr>
            <w:r>
              <w:rPr>
                <w:bCs/>
              </w:rPr>
              <w:t>Application for highest rating</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20</w:t>
            </w:r>
          </w:p>
        </w:tc>
        <w:tc>
          <w:tcPr>
            <w:tcW w:w="1843" w:type="dxa"/>
          </w:tcPr>
          <w:p>
            <w:pPr>
              <w:pStyle w:val="yTableNAm"/>
              <w:rPr>
                <w:bCs/>
              </w:rPr>
            </w:pPr>
            <w:r>
              <w:rPr>
                <w:bCs/>
              </w:rPr>
              <w:t>Section 159(3)(c)</w:t>
            </w:r>
          </w:p>
        </w:tc>
        <w:tc>
          <w:tcPr>
            <w:tcW w:w="2410" w:type="dxa"/>
          </w:tcPr>
          <w:p>
            <w:pPr>
              <w:pStyle w:val="yTableNAm"/>
              <w:rPr>
                <w:bCs/>
              </w:rPr>
            </w:pPr>
            <w:r>
              <w:rPr>
                <w:bCs/>
              </w:rPr>
              <w:t>Re</w:t>
            </w:r>
            <w:r>
              <w:rPr>
                <w:bCs/>
              </w:rPr>
              <w:noBreakHyphen/>
              <w:t>application for highest rating</w:t>
            </w:r>
          </w:p>
        </w:tc>
        <w:tc>
          <w:tcPr>
            <w:tcW w:w="1701" w:type="dxa"/>
          </w:tcPr>
          <w:p>
            <w:pPr>
              <w:pStyle w:val="yTableNAm"/>
              <w:rPr>
                <w:bCs/>
              </w:rPr>
            </w:pPr>
            <w:r>
              <w:rPr>
                <w:bCs/>
              </w:rPr>
              <w:t>Nil</w:t>
            </w:r>
          </w:p>
        </w:tc>
      </w:tr>
    </w:tbl>
    <w:p>
      <w:pPr>
        <w:pStyle w:val="yTHeadingNAm"/>
      </w:pPr>
      <w:r>
        <w:t>Table 2 — Other prescribed fees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985" w:type="dxa"/>
          </w:tcPr>
          <w:p>
            <w:pPr>
              <w:pStyle w:val="yTableNAm"/>
              <w:rPr>
                <w:bCs/>
                <w:i/>
                <w:sz w:val="20"/>
              </w:rPr>
            </w:pPr>
            <w:r>
              <w:rPr>
                <w:bCs/>
                <w:i/>
                <w:sz w:val="20"/>
              </w:rPr>
              <w:t>Column 2</w:t>
            </w:r>
          </w:p>
          <w:p>
            <w:pPr>
              <w:pStyle w:val="yTableNAm"/>
              <w:rPr>
                <w:bCs/>
                <w:i/>
              </w:rPr>
            </w:pPr>
            <w:r>
              <w:rPr>
                <w:bCs/>
                <w:i/>
              </w:rPr>
              <w:t>Section of the Law</w:t>
            </w:r>
          </w:p>
        </w:tc>
        <w:tc>
          <w:tcPr>
            <w:tcW w:w="2835" w:type="dxa"/>
          </w:tcPr>
          <w:p>
            <w:pPr>
              <w:pStyle w:val="yTableNAm"/>
              <w:rPr>
                <w:bCs/>
                <w:i/>
                <w:sz w:val="20"/>
              </w:rPr>
            </w:pPr>
            <w:r>
              <w:rPr>
                <w:bCs/>
                <w:i/>
                <w:sz w:val="20"/>
              </w:rPr>
              <w:t>Column 3</w:t>
            </w:r>
          </w:p>
          <w:p>
            <w:pPr>
              <w:pStyle w:val="yTableNAm"/>
              <w:rPr>
                <w:bCs/>
                <w:i/>
              </w:rPr>
            </w:pPr>
            <w:r>
              <w:rPr>
                <w:bCs/>
                <w:i/>
              </w:rPr>
              <w:t>Description</w:t>
            </w:r>
          </w:p>
        </w:tc>
        <w:tc>
          <w:tcPr>
            <w:tcW w:w="1105" w:type="dxa"/>
          </w:tcPr>
          <w:p>
            <w:pPr>
              <w:pStyle w:val="yTableNAm"/>
              <w:rPr>
                <w:bCs/>
                <w:i/>
                <w:sz w:val="20"/>
              </w:rPr>
            </w:pPr>
            <w:r>
              <w:rPr>
                <w:bCs/>
                <w:i/>
                <w:sz w:val="20"/>
              </w:rPr>
              <w:t>Column 4</w:t>
            </w:r>
          </w:p>
          <w:p>
            <w:pPr>
              <w:pStyle w:val="yTableNAm"/>
              <w:rPr>
                <w:bCs/>
                <w:i/>
              </w:rPr>
            </w:pPr>
            <w:r>
              <w:rPr>
                <w:bCs/>
                <w:i/>
              </w:rPr>
              <w:t>Fee</w:t>
            </w:r>
          </w:p>
        </w:tc>
      </w:tr>
      <w:tr>
        <w:trPr>
          <w:trHeight w:val="393"/>
          <w:tblHeader/>
        </w:trPr>
        <w:tc>
          <w:tcPr>
            <w:tcW w:w="992" w:type="dxa"/>
          </w:tcPr>
          <w:p>
            <w:pPr>
              <w:pStyle w:val="yTableNAm"/>
              <w:widowControl w:val="0"/>
              <w:rPr>
                <w:bCs/>
              </w:rPr>
            </w:pPr>
            <w:r>
              <w:rPr>
                <w:bCs/>
              </w:rPr>
              <w:t>1</w:t>
            </w:r>
          </w:p>
        </w:tc>
        <w:tc>
          <w:tcPr>
            <w:tcW w:w="1985" w:type="dxa"/>
          </w:tcPr>
          <w:p>
            <w:pPr>
              <w:pStyle w:val="yTableNAm"/>
              <w:widowControl w:val="0"/>
              <w:rPr>
                <w:bCs/>
              </w:rPr>
            </w:pPr>
            <w:r>
              <w:rPr>
                <w:bCs/>
              </w:rPr>
              <w:t>Section 266(4)</w:t>
            </w:r>
          </w:p>
        </w:tc>
        <w:tc>
          <w:tcPr>
            <w:tcW w:w="2835" w:type="dxa"/>
          </w:tcPr>
          <w:p>
            <w:pPr>
              <w:pStyle w:val="yTableNAm"/>
              <w:widowControl w:val="0"/>
              <w:rPr>
                <w:bCs/>
              </w:rPr>
            </w:pPr>
            <w:r>
              <w:rPr>
                <w:bCs/>
              </w:rPr>
              <w:t>Copy of or extract from register of approved providers</w:t>
            </w:r>
          </w:p>
        </w:tc>
        <w:tc>
          <w:tcPr>
            <w:tcW w:w="1105" w:type="dxa"/>
          </w:tcPr>
          <w:p>
            <w:pPr>
              <w:pStyle w:val="yTableNAm"/>
              <w:widowControl w:val="0"/>
              <w:rPr>
                <w:bCs/>
              </w:rPr>
            </w:pPr>
            <w:r>
              <w:rPr>
                <w:bCs/>
              </w:rPr>
              <w:t>$5 per page or $75 for an electronic copy</w:t>
            </w:r>
          </w:p>
        </w:tc>
      </w:tr>
      <w:tr>
        <w:trPr>
          <w:trHeight w:val="393"/>
          <w:tblHeader/>
        </w:trPr>
        <w:tc>
          <w:tcPr>
            <w:tcW w:w="992" w:type="dxa"/>
          </w:tcPr>
          <w:p>
            <w:pPr>
              <w:pStyle w:val="yTableNAm"/>
              <w:widowControl w:val="0"/>
              <w:rPr>
                <w:bCs/>
              </w:rPr>
            </w:pPr>
            <w:r>
              <w:rPr>
                <w:bCs/>
              </w:rPr>
              <w:t>2</w:t>
            </w:r>
          </w:p>
        </w:tc>
        <w:tc>
          <w:tcPr>
            <w:tcW w:w="1985" w:type="dxa"/>
          </w:tcPr>
          <w:p>
            <w:pPr>
              <w:pStyle w:val="yTableNAm"/>
              <w:widowControl w:val="0"/>
              <w:rPr>
                <w:bCs/>
              </w:rPr>
            </w:pPr>
            <w:r>
              <w:rPr>
                <w:bCs/>
              </w:rPr>
              <w:t>Section 267(4)</w:t>
            </w:r>
          </w:p>
        </w:tc>
        <w:tc>
          <w:tcPr>
            <w:tcW w:w="2835" w:type="dxa"/>
          </w:tcPr>
          <w:p>
            <w:pPr>
              <w:pStyle w:val="yTableNAm"/>
              <w:widowControl w:val="0"/>
              <w:rPr>
                <w:bCs/>
              </w:rPr>
            </w:pPr>
            <w:r>
              <w:rPr>
                <w:bCs/>
              </w:rPr>
              <w:t>Copy of or extract from register of approved education and care services</w:t>
            </w:r>
          </w:p>
        </w:tc>
        <w:tc>
          <w:tcPr>
            <w:tcW w:w="1105" w:type="dxa"/>
          </w:tcPr>
          <w:p>
            <w:pPr>
              <w:pStyle w:val="yTableNAm"/>
              <w:widowControl w:val="0"/>
              <w:rPr>
                <w:bCs/>
              </w:rPr>
            </w:pPr>
            <w:r>
              <w:rPr>
                <w:bCs/>
              </w:rPr>
              <w:t>$5 per page or $75 for an electronic copy</w:t>
            </w:r>
          </w:p>
        </w:tc>
      </w:tr>
    </w:tbl>
    <w:p>
      <w:pPr>
        <w:pStyle w:val="yFootnotesection"/>
      </w:pPr>
      <w:r>
        <w:tab/>
        <w:t>[Schedule 2 inserted: SL 2023/71 r. 8.]</w:t>
      </w:r>
    </w:p>
    <w:p>
      <w:pPr>
        <w:pStyle w:val="yScheduleHeading"/>
      </w:pPr>
      <w:bookmarkStart w:id="679" w:name="_Toc163809694"/>
      <w:bookmarkStart w:id="680" w:name="_Toc163810827"/>
      <w:bookmarkStart w:id="681" w:name="_Toc163818344"/>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679"/>
      <w:bookmarkEnd w:id="680"/>
      <w:bookmarkEnd w:id="681"/>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84A(1)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Reasonable steps to ensure that the needs for sleep and rest of children are met</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84C(1)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Risk assessment for the purposes of preparing sleep and rest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84D(1)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Prohibition of bassinets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(2A),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lastRenderedPageBreak/>
              <w:t>Regulation 102AAC(1)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Risk assessment for the purposes of preparing safe arrival of children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102B(1)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Transport risk assessment must be conducted before service transports child</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lastRenderedPageBreak/>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Pr>
        <w:pStyle w:val="yFootnotesection"/>
      </w:pPr>
      <w:r>
        <w:tab/>
        <w:t>[Schedule 3 amended: SL 2023/186 r. 44.]</w:t>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683" w:name="_Toc163809695"/>
      <w:bookmarkStart w:id="684" w:name="_Toc163810828"/>
      <w:bookmarkStart w:id="685" w:name="_Toc163818345"/>
      <w:r>
        <w:rPr>
          <w:rStyle w:val="CharSchNo"/>
        </w:rPr>
        <w:lastRenderedPageBreak/>
        <w:t>Schedule 4</w:t>
      </w:r>
      <w:r>
        <w:t> — </w:t>
      </w:r>
      <w:r>
        <w:rPr>
          <w:rStyle w:val="CharSchText"/>
        </w:rPr>
        <w:t>Prescribed forms</w:t>
      </w:r>
      <w:bookmarkEnd w:id="683"/>
      <w:bookmarkEnd w:id="684"/>
      <w:bookmarkEnd w:id="685"/>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lastRenderedPageBreak/>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lastRenderedPageBreak/>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lastRenderedPageBreak/>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686" w:name="_Toc163809696"/>
      <w:bookmarkStart w:id="687" w:name="_Toc163810829"/>
      <w:bookmarkStart w:id="688" w:name="_Toc163818346"/>
      <w:r>
        <w:lastRenderedPageBreak/>
        <w:t>Notes</w:t>
      </w:r>
      <w:bookmarkEnd w:id="686"/>
      <w:bookmarkEnd w:id="687"/>
      <w:bookmarkEnd w:id="688"/>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89" w:name="_Toc163818347"/>
      <w:r>
        <w:t>Compilation table</w:t>
      </w:r>
      <w:bookmarkEnd w:id="68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lastRenderedPageBreak/>
              <w:t>Education and Care Services National Amendment Regulations 2022</w:t>
            </w:r>
            <w:r>
              <w:t xml:space="preserve"> </w:t>
            </w:r>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pPr>
              <w:pStyle w:val="nTable"/>
              <w:spacing w:after="40"/>
            </w:pPr>
            <w:r>
              <w:t>SL 2023/15 24 Feb 2023</w:t>
            </w:r>
          </w:p>
        </w:tc>
        <w:tc>
          <w:tcPr>
            <w:tcW w:w="2693" w:type="dxa"/>
            <w:tcBorders>
              <w:top w:val="nil"/>
              <w:bottom w:val="nil"/>
            </w:tcBorders>
            <w:shd w:val="clear" w:color="auto" w:fill="auto"/>
          </w:tcPr>
          <w:p>
            <w:pPr>
              <w:pStyle w:val="nTable"/>
              <w:spacing w:after="40"/>
            </w:pPr>
            <w:r>
              <w:t>r. 1 and 2: 24 Feb 2023 (see r. 2(a));</w:t>
            </w:r>
            <w:r>
              <w:br/>
              <w:t>Regulations other than r. 1 and 2: 1 Mar 2023 (see r. 2(b))</w:t>
            </w:r>
          </w:p>
        </w:tc>
      </w:tr>
      <w:tr>
        <w:tc>
          <w:tcPr>
            <w:tcW w:w="3119" w:type="dxa"/>
            <w:tcBorders>
              <w:top w:val="nil"/>
              <w:bottom w:val="nil"/>
            </w:tcBorders>
            <w:shd w:val="clear" w:color="auto" w:fill="auto"/>
          </w:tcPr>
          <w:p>
            <w:pPr>
              <w:pStyle w:val="nTable"/>
              <w:spacing w:after="40"/>
            </w:pPr>
            <w:r>
              <w:rPr>
                <w:i/>
              </w:rPr>
              <w:t>Education and Care Services National Amendment Regulations (No. 3) 2023</w:t>
            </w:r>
            <w:r>
              <w:t xml:space="preserve"> </w:t>
            </w:r>
          </w:p>
        </w:tc>
        <w:tc>
          <w:tcPr>
            <w:tcW w:w="1276" w:type="dxa"/>
            <w:tcBorders>
              <w:top w:val="nil"/>
              <w:bottom w:val="nil"/>
            </w:tcBorders>
            <w:shd w:val="clear" w:color="auto" w:fill="auto"/>
          </w:tcPr>
          <w:p>
            <w:pPr>
              <w:pStyle w:val="nTable"/>
              <w:spacing w:after="40"/>
            </w:pPr>
            <w:r>
              <w:t>SL 2023/71 16 Jun 2023</w:t>
            </w:r>
          </w:p>
        </w:tc>
        <w:tc>
          <w:tcPr>
            <w:tcW w:w="2693" w:type="dxa"/>
            <w:tcBorders>
              <w:top w:val="nil"/>
              <w:bottom w:val="nil"/>
            </w:tcBorders>
            <w:shd w:val="clear" w:color="auto" w:fill="auto"/>
          </w:tcPr>
          <w:p>
            <w:pPr>
              <w:pStyle w:val="nTable"/>
              <w:spacing w:after="40"/>
            </w:pPr>
            <w:r>
              <w:t>Pt. 1: 16 Jun 2023 (see r. 2(a));</w:t>
            </w:r>
            <w:r>
              <w:br/>
              <w:t>Pt. 2: 17 Jun 2023 (see r. 2(b));</w:t>
            </w:r>
            <w:r>
              <w:br/>
              <w:t>Pt. 3: 1 Jul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2023</w:t>
            </w:r>
          </w:p>
        </w:tc>
        <w:tc>
          <w:tcPr>
            <w:tcW w:w="1276" w:type="dxa"/>
            <w:tcBorders>
              <w:top w:val="nil"/>
              <w:bottom w:val="nil"/>
            </w:tcBorders>
            <w:shd w:val="clear" w:color="auto" w:fill="auto"/>
          </w:tcPr>
          <w:p>
            <w:pPr>
              <w:pStyle w:val="nTable"/>
              <w:spacing w:after="40"/>
            </w:pPr>
            <w:r>
              <w:t>SL 2023/105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c>
          <w:tcPr>
            <w:tcW w:w="3119" w:type="dxa"/>
            <w:tcBorders>
              <w:top w:val="nil"/>
              <w:bottom w:val="nil"/>
            </w:tcBorders>
            <w:shd w:val="clear" w:color="auto" w:fill="auto"/>
          </w:tcPr>
          <w:p>
            <w:pPr>
              <w:pStyle w:val="nTable"/>
              <w:spacing w:after="40"/>
              <w:rPr>
                <w:i/>
              </w:rPr>
            </w:pPr>
            <w:r>
              <w:rPr>
                <w:i/>
              </w:rPr>
              <w:t xml:space="preserve">Education and Care Services National Amendment Regulations (No. 4) 2023 </w:t>
            </w:r>
            <w:r>
              <w:rPr>
                <w:iCs/>
              </w:rPr>
              <w:t>(other than r. 23 and 26)</w:t>
            </w:r>
          </w:p>
        </w:tc>
        <w:tc>
          <w:tcPr>
            <w:tcW w:w="1276" w:type="dxa"/>
            <w:tcBorders>
              <w:top w:val="nil"/>
              <w:bottom w:val="nil"/>
            </w:tcBorders>
            <w:shd w:val="clear" w:color="auto" w:fill="auto"/>
          </w:tcPr>
          <w:p>
            <w:pPr>
              <w:pStyle w:val="nTable"/>
              <w:spacing w:after="40"/>
            </w:pPr>
            <w:r>
              <w:t>SL 2023/186 29 Nov 2023</w:t>
            </w:r>
          </w:p>
        </w:tc>
        <w:tc>
          <w:tcPr>
            <w:tcW w:w="2693" w:type="dxa"/>
            <w:tcBorders>
              <w:top w:val="nil"/>
              <w:bottom w:val="nil"/>
            </w:tcBorders>
            <w:shd w:val="clear" w:color="auto" w:fill="auto"/>
          </w:tcPr>
          <w:p>
            <w:pPr>
              <w:pStyle w:val="nTable"/>
              <w:spacing w:after="40"/>
            </w:pPr>
            <w:r>
              <w:t>r. 1 and 2: 29 Nov 2023 (see r. 2(a));</w:t>
            </w:r>
            <w:r>
              <w:br/>
              <w:t>Regulations other than r. 1, 2, 23, 26 and 41: 1 Dec 2023 (see r. 2(d));</w:t>
            </w:r>
            <w:r>
              <w:br/>
              <w:t>r. 41: 2 Feb 2024 (see r. 2(c))</w:t>
            </w:r>
          </w:p>
        </w:tc>
      </w:tr>
      <w:tr>
        <w:tc>
          <w:tcPr>
            <w:tcW w:w="3119" w:type="dxa"/>
            <w:tcBorders>
              <w:top w:val="nil"/>
              <w:bottom w:val="single" w:sz="4" w:space="0" w:color="auto"/>
            </w:tcBorders>
            <w:shd w:val="clear" w:color="auto" w:fill="auto"/>
          </w:tcPr>
          <w:p>
            <w:pPr>
              <w:pStyle w:val="nTable"/>
              <w:spacing w:after="40"/>
              <w:rPr>
                <w:i/>
              </w:rPr>
            </w:pPr>
            <w:r>
              <w:rPr>
                <w:i/>
              </w:rPr>
              <w:t>Education and Care Services National Amendment Regulations 2024</w:t>
            </w:r>
          </w:p>
        </w:tc>
        <w:tc>
          <w:tcPr>
            <w:tcW w:w="1276" w:type="dxa"/>
            <w:tcBorders>
              <w:top w:val="nil"/>
              <w:bottom w:val="single" w:sz="4" w:space="0" w:color="auto"/>
            </w:tcBorders>
            <w:shd w:val="clear" w:color="auto" w:fill="auto"/>
          </w:tcPr>
          <w:p>
            <w:pPr>
              <w:pStyle w:val="nTable"/>
              <w:spacing w:after="40"/>
            </w:pPr>
            <w:r>
              <w:t>SL 2024/48</w:t>
            </w:r>
            <w:r>
              <w:br/>
              <w:t>17 Apr 2024</w:t>
            </w:r>
          </w:p>
        </w:tc>
        <w:tc>
          <w:tcPr>
            <w:tcW w:w="2693" w:type="dxa"/>
            <w:tcBorders>
              <w:top w:val="nil"/>
              <w:bottom w:val="single" w:sz="4" w:space="0" w:color="auto"/>
            </w:tcBorders>
            <w:shd w:val="clear" w:color="auto" w:fill="auto"/>
          </w:tcPr>
          <w:p>
            <w:pPr>
              <w:pStyle w:val="nTable"/>
              <w:spacing w:after="40"/>
            </w:pPr>
            <w:r>
              <w:t>r. 1 and 2: 17 Apr 2024 (see r. 2(a));</w:t>
            </w:r>
            <w:r>
              <w:br/>
              <w:t>Regulations other than r. 1 and 2: 18 Apr 2024 (see r. 2(b))</w:t>
            </w:r>
          </w:p>
        </w:tc>
      </w:tr>
    </w:tbl>
    <w:p>
      <w:pPr>
        <w:pStyle w:val="nHeading3"/>
      </w:pPr>
      <w:bookmarkStart w:id="690" w:name="_Toc163818348"/>
      <w:r>
        <w:t>Uncommenced provisions table</w:t>
      </w:r>
      <w:bookmarkEnd w:id="69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Education and Care Services National Amendment Regulations (No. 4) 2023 </w:t>
            </w:r>
            <w:r>
              <w:rPr>
                <w:iCs/>
              </w:rPr>
              <w:t>r. 23 and 26</w:t>
            </w:r>
          </w:p>
        </w:tc>
        <w:tc>
          <w:tcPr>
            <w:tcW w:w="1276" w:type="dxa"/>
          </w:tcPr>
          <w:p>
            <w:pPr>
              <w:pStyle w:val="nTable"/>
              <w:spacing w:after="40"/>
            </w:pPr>
            <w:r>
              <w:t>SL 2023/186 29 Nov 2023</w:t>
            </w:r>
          </w:p>
        </w:tc>
        <w:tc>
          <w:tcPr>
            <w:tcW w:w="2693" w:type="dxa"/>
          </w:tcPr>
          <w:p>
            <w:pPr>
              <w:pStyle w:val="nTable"/>
              <w:spacing w:after="40"/>
            </w:pPr>
            <w:r>
              <w:t>1 Jun 2024 (see r. 2(b))</w:t>
            </w:r>
          </w:p>
        </w:tc>
      </w:tr>
    </w:tbl>
    <w:p>
      <w:pPr>
        <w:pStyle w:val="nHeading3"/>
      </w:pPr>
      <w:bookmarkStart w:id="691" w:name="_Toc163818349"/>
      <w:r>
        <w:lastRenderedPageBreak/>
        <w:t>Other notes</w:t>
      </w:r>
      <w:bookmarkEnd w:id="691"/>
    </w:p>
    <w:p>
      <w:pPr>
        <w:pStyle w:val="nNote"/>
      </w:pPr>
      <w:r>
        <w:rPr>
          <w:vertAlign w:val="superscript"/>
        </w:rPr>
        <w:t>1</w:t>
      </w:r>
      <w:r>
        <w:tab/>
        <w:t xml:space="preserve">The short title of the </w:t>
      </w:r>
      <w:r>
        <w:rPr>
          <w:i/>
        </w:rPr>
        <w:t>Administrative Decisions Tribunal Act 1997</w:t>
      </w:r>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693" w:name="_Toc163818350"/>
      <w:r>
        <w:rPr>
          <w:sz w:val="28"/>
        </w:rPr>
        <w:lastRenderedPageBreak/>
        <w:t>Defined terms</w:t>
      </w:r>
      <w:bookmarkEnd w:id="6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education and care qualification</w:t>
      </w:r>
      <w:r>
        <w:tab/>
        <w:t>126A(1A), 135(1A)</w:t>
      </w:r>
    </w:p>
    <w:p>
      <w:pPr>
        <w:pStyle w:val="DefinedTerms"/>
      </w:pPr>
      <w:r>
        <w:t>approved educator qualification</w:t>
      </w:r>
      <w:r>
        <w:tab/>
        <w:t>369(1)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first educator qualification</w:t>
      </w:r>
      <w:r>
        <w:tab/>
        <w:t>369(1)</w:t>
      </w:r>
    </w:p>
    <w:p>
      <w:pPr>
        <w:pStyle w:val="DefinedTerms"/>
      </w:pPr>
      <w:r>
        <w:t>approved number of places</w:t>
      </w:r>
      <w:r>
        <w:tab/>
        <w:t>4(1)</w:t>
      </w:r>
    </w:p>
    <w:p>
      <w:pPr>
        <w:pStyle w:val="DefinedTerms"/>
      </w:pPr>
      <w:r>
        <w:t>approved qualification</w:t>
      </w:r>
      <w:r>
        <w:tab/>
        <w:t>369(1)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232, 395(1), 415(1)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service</w:t>
      </w:r>
      <w:r>
        <w:tab/>
        <w:t>162</w:t>
      </w:r>
    </w:p>
    <w:p>
      <w:pPr>
        <w:pStyle w:val="DefinedTerms"/>
      </w:pPr>
      <w:r>
        <w:t>early childhood teacher</w:t>
      </w:r>
      <w:r>
        <w:tab/>
        <w:t>3(1)</w:t>
      </w:r>
    </w:p>
    <w:p>
      <w:pPr>
        <w:pStyle w:val="DefinedTerms"/>
      </w:pPr>
      <w:r>
        <w:t>educational program</w:t>
      </w:r>
      <w:r>
        <w:tab/>
        <w:t>4(1), 73(1)</w:t>
      </w:r>
    </w:p>
    <w:p>
      <w:pPr>
        <w:pStyle w:val="DefinedTerms"/>
      </w:pPr>
      <w:r>
        <w:t>education or early childhood service</w:t>
      </w:r>
      <w:r>
        <w:tab/>
        <w:t>102AA</w:t>
      </w:r>
    </w:p>
    <w:p>
      <w:pPr>
        <w:pStyle w:val="DefinedTerms"/>
      </w:pPr>
      <w:r>
        <w:t>emergency</w:t>
      </w:r>
      <w:r>
        <w:tab/>
        <w:t>4(1), 123(1A)</w:t>
      </w:r>
    </w:p>
    <w:p>
      <w:pPr>
        <w:pStyle w:val="DefinedTerms"/>
      </w:pPr>
      <w:r>
        <w:t>excursion</w:t>
      </w:r>
      <w:r>
        <w:tab/>
        <w:t>4(1)</w:t>
      </w:r>
    </w:p>
    <w:p>
      <w:pPr>
        <w:pStyle w:val="DefinedTerms"/>
      </w:pPr>
      <w:r>
        <w:t>extra-large service</w:t>
      </w:r>
      <w:r>
        <w:tab/>
        <w:t>232</w:t>
      </w:r>
    </w:p>
    <w:p>
      <w:pPr>
        <w:pStyle w:val="DefinedTerms"/>
      </w:pPr>
      <w:r>
        <w:t>family assistance law</w:t>
      </w:r>
      <w:r>
        <w:tab/>
        <w:t>4(1)</w:t>
      </w:r>
    </w:p>
    <w:p>
      <w:pPr>
        <w:pStyle w:val="DefinedTerms"/>
      </w:pPr>
      <w:r>
        <w:t>family day care educator assistant</w:t>
      </w:r>
      <w:r>
        <w:tab/>
        <w:t>4(1)</w:t>
      </w:r>
    </w:p>
    <w:p>
      <w:pPr>
        <w:pStyle w:val="DefinedTerms"/>
      </w:pPr>
      <w:r>
        <w:t>financial declaration</w:t>
      </w:r>
      <w:r>
        <w:tab/>
        <w:t>4(1)</w:t>
      </w:r>
    </w:p>
    <w:p>
      <w:pPr>
        <w:pStyle w:val="DefinedTerms"/>
      </w:pPr>
      <w:r>
        <w:t>first qualified educator</w:t>
      </w:r>
      <w:r>
        <w:tab/>
        <w:t>369(1)</w:t>
      </w:r>
    </w:p>
    <w:p>
      <w:pPr>
        <w:pStyle w:val="DefinedTerms"/>
      </w:pPr>
      <w:r>
        <w:lastRenderedPageBreak/>
        <w:t>hazardous water feature</w:t>
      </w:r>
      <w:r>
        <w:tab/>
        <w:t>373B</w:t>
      </w:r>
    </w:p>
    <w:p>
      <w:pPr>
        <w:pStyle w:val="DefinedTerms"/>
      </w:pPr>
      <w:r>
        <w:t>in attendance</w:t>
      </w:r>
      <w:r>
        <w:tab/>
        <w:t>4(1), 11</w:t>
      </w:r>
    </w:p>
    <w:p>
      <w:pPr>
        <w:pStyle w:val="DefinedTerms"/>
      </w:pPr>
      <w:r>
        <w:t>indexation factor</w:t>
      </w:r>
      <w:r>
        <w:tab/>
        <w:t>232</w:t>
      </w:r>
    </w:p>
    <w:p>
      <w:pPr>
        <w:pStyle w:val="DefinedTerms"/>
      </w:pPr>
      <w:r>
        <w:t>index number</w:t>
      </w:r>
      <w:r>
        <w:tab/>
        <w:t>233(1)</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large service</w:t>
      </w:r>
      <w:r>
        <w:tab/>
        <w:t>232</w:t>
      </w:r>
    </w:p>
    <w:p>
      <w:pPr>
        <w:pStyle w:val="DefinedTerms"/>
      </w:pPr>
      <w:r>
        <w:t>medication</w:t>
      </w:r>
      <w:r>
        <w:tab/>
        <w:t>4(1)</w:t>
      </w:r>
    </w:p>
    <w:p>
      <w:pPr>
        <w:pStyle w:val="DefinedTerms"/>
      </w:pPr>
      <w:r>
        <w:t>medium service</w:t>
      </w:r>
      <w:r>
        <w:tab/>
        <w:t>232</w:t>
      </w:r>
    </w:p>
    <w:p>
      <w:pPr>
        <w:pStyle w:val="DefinedTerms"/>
      </w:pPr>
      <w:r>
        <w:t>monetary order</w:t>
      </w:r>
      <w:r>
        <w:tab/>
        <w:t>384(2)</w:t>
      </w:r>
    </w:p>
    <w:p>
      <w:pPr>
        <w:pStyle w:val="DefinedTerms"/>
      </w:pPr>
      <w:r>
        <w:t>most recent March year</w:t>
      </w:r>
      <w:r>
        <w:tab/>
        <w:t>233(1)</w:t>
      </w:r>
    </w:p>
    <w:p>
      <w:pPr>
        <w:pStyle w:val="DefinedTerms"/>
      </w:pPr>
      <w:r>
        <w:t>multi-storey building</w:t>
      </w:r>
      <w:r>
        <w:tab/>
        <w:t>4(1)</w:t>
      </w:r>
    </w:p>
    <w:p>
      <w:pPr>
        <w:pStyle w:val="DefinedTerms"/>
      </w:pPr>
      <w:r>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personal information</w:t>
      </w:r>
      <w:r>
        <w:tab/>
        <w:t>177(6), 178(8)</w:t>
      </w:r>
    </w:p>
    <w:p>
      <w:pPr>
        <w:pStyle w:val="DefinedTerms"/>
      </w:pPr>
      <w:r>
        <w:t>person in day-to-day charge</w:t>
      </w:r>
      <w:r>
        <w:tab/>
        <w:t>117A</w:t>
      </w:r>
    </w:p>
    <w:p>
      <w:pPr>
        <w:pStyle w:val="DefinedTerms"/>
      </w:pPr>
      <w:r>
        <w:t>planning and development law</w:t>
      </w:r>
      <w:r>
        <w:tab/>
        <w:t>4(1)</w:t>
      </w:r>
    </w:p>
    <w:p>
      <w:pPr>
        <w:pStyle w:val="DefinedTerms"/>
      </w:pPr>
      <w:r>
        <w:t>planning permit</w:t>
      </w:r>
      <w:r>
        <w:tab/>
        <w:t>4(1)</w:t>
      </w:r>
    </w:p>
    <w:p>
      <w:pPr>
        <w:pStyle w:val="DefinedTerms"/>
      </w:pPr>
      <w:r>
        <w:t>pre-kindergarten programme</w:t>
      </w:r>
      <w:r>
        <w:tab/>
        <w:t>368</w:t>
      </w:r>
    </w:p>
    <w:p>
      <w:pPr>
        <w:pStyle w:val="DefinedTerms"/>
      </w:pPr>
      <w:r>
        <w:t>pre-primary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233(1)</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369(1)</w:t>
      </w:r>
    </w:p>
    <w:p>
      <w:pPr>
        <w:pStyle w:val="DefinedTerms"/>
      </w:pPr>
      <w:r>
        <w:t>quarter</w:t>
      </w:r>
      <w:r>
        <w:tab/>
        <w:t>233(1)</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regular transportation</w:t>
      </w:r>
      <w:r>
        <w:tab/>
        <w:t>4(1)</w:t>
      </w:r>
    </w:p>
    <w:p>
      <w:pPr>
        <w:pStyle w:val="DefinedTerms"/>
      </w:pPr>
      <w:r>
        <w:t>relevant administrative tribunal</w:t>
      </w:r>
      <w:r>
        <w:tab/>
        <w:t>210</w:t>
      </w:r>
    </w:p>
    <w:p>
      <w:pPr>
        <w:pStyle w:val="DefinedTerms"/>
      </w:pPr>
      <w:r>
        <w:t>relevant day</w:t>
      </w:r>
      <w:r>
        <w:tab/>
        <w:t>399(3)</w:t>
      </w:r>
    </w:p>
    <w:p>
      <w:pPr>
        <w:pStyle w:val="DefinedTerms"/>
      </w:pPr>
      <w:r>
        <w:t>relevant financial year</w:t>
      </w:r>
      <w:r>
        <w:tab/>
        <w:t>236C(4), 236D(6), 236E(5), 236F(2),</w:t>
      </w:r>
    </w:p>
    <w:p>
      <w:pPr>
        <w:pStyle w:val="DefinedTerms"/>
        <w:ind w:right="1"/>
        <w:jc w:val="right"/>
      </w:pPr>
      <w:r>
        <w:t>236G(4), 236H, 236I, 236J, 236K(3),</w:t>
      </w:r>
      <w:r>
        <w:br/>
        <w:t>236L(5), 236M(1), (2), 236O(4), 236P</w:t>
      </w:r>
    </w:p>
    <w:p>
      <w:pPr>
        <w:pStyle w:val="DefinedTerms"/>
      </w:pPr>
      <w:r>
        <w:t>relevant regulation</w:t>
      </w:r>
      <w:r>
        <w:tab/>
        <w:t>242(3)</w:t>
      </w:r>
    </w:p>
    <w:p>
      <w:pPr>
        <w:pStyle w:val="DefinedTerms"/>
      </w:pPr>
      <w:r>
        <w:t>remote area</w:t>
      </w:r>
      <w:r>
        <w:tab/>
        <w:t>239A(5)</w:t>
      </w:r>
    </w:p>
    <w:p>
      <w:pPr>
        <w:pStyle w:val="DefinedTerms"/>
      </w:pPr>
      <w:r>
        <w:t>renovate</w:t>
      </w:r>
      <w:r>
        <w:tab/>
        <w:t>4(1)</w:t>
      </w:r>
    </w:p>
    <w:p>
      <w:pPr>
        <w:pStyle w:val="DefinedTerms"/>
      </w:pPr>
      <w:r>
        <w:lastRenderedPageBreak/>
        <w:t>responsible person</w:t>
      </w:r>
      <w:r>
        <w:tab/>
        <w:t>4(1)</w:t>
      </w:r>
    </w:p>
    <w:p>
      <w:pPr>
        <w:pStyle w:val="DefinedTerms"/>
      </w:pPr>
      <w:r>
        <w:t>safety device</w:t>
      </w:r>
      <w:r>
        <w:tab/>
        <w:t>373B</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 12</w:t>
      </w:r>
    </w:p>
    <w:p>
      <w:pPr>
        <w:pStyle w:val="DefinedTerms"/>
      </w:pPr>
      <w:r>
        <w:t>small service</w:t>
      </w:r>
      <w:r>
        <w:tab/>
        <w:t>232</w:t>
      </w:r>
    </w:p>
    <w:p>
      <w:pPr>
        <w:pStyle w:val="DefinedTerms"/>
      </w:pPr>
      <w:r>
        <w:t>soil assessment</w:t>
      </w:r>
      <w:r>
        <w:tab/>
        <w:t>4(1)</w:t>
      </w:r>
    </w:p>
    <w:p>
      <w:pPr>
        <w:pStyle w:val="DefinedTerms"/>
      </w:pPr>
      <w:r>
        <w:t>State collecting institution</w:t>
      </w:r>
      <w:r>
        <w:tab/>
        <w:t>216</w:t>
      </w:r>
    </w:p>
    <w:p>
      <w:pPr>
        <w:pStyle w:val="DefinedTerms"/>
      </w:pPr>
      <w:r>
        <w:t>storey</w:t>
      </w:r>
      <w:r>
        <w:tab/>
        <w:t>4(1)</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virtual inspection</w:t>
      </w:r>
      <w:r>
        <w:tab/>
        <w:t>373E(4)</w:t>
      </w:r>
    </w:p>
    <w:p>
      <w:pPr>
        <w:pStyle w:val="DefinedTerms"/>
      </w:pPr>
      <w:r>
        <w:t>water hazard safety inspection</w:t>
      </w:r>
      <w:r>
        <w:tab/>
        <w:t>373B, 373DA(1)</w:t>
      </w:r>
    </w:p>
    <w:p>
      <w:pPr>
        <w:pStyle w:val="DefinedTerms"/>
      </w:pPr>
      <w:r>
        <w:t>water hazard safety inspection report</w:t>
      </w:r>
      <w:r>
        <w:tab/>
        <w:t>373B, 373E(1)</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B3436B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561AC06" w14:textId="6F5923D0" w:rsidR="00AE4728" w:rsidRDefault="0001414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66F0E">
                        <w:rPr>
                          <w:sz w:val="16"/>
                        </w:rPr>
                        <w:t>2024</w:t>
                      </w:r>
                      <w:r>
                        <w:rPr>
                          <w:sz w:val="16"/>
                        </w:rPr>
                        <w:fldChar w:fldCharType="end"/>
                      </w:r>
                      <w:r>
                        <w:rPr>
                          <w:sz w:val="16"/>
                        </w:rPr>
                        <w:t>.</w:t>
                      </w:r>
                    </w:p>
                    <w:p w14:paraId="4F112FBB" w14:textId="77777777" w:rsidR="00AE4728" w:rsidRDefault="0001414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160F2B2" w14:textId="623D216F" w:rsidR="00AE4728" w:rsidRDefault="0001414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66F0E">
                        <w:rPr>
                          <w:sz w:val="16"/>
                        </w:rPr>
                        <w:t>2024</w:t>
                      </w:r>
                      <w:r>
                        <w:rPr>
                          <w:sz w:val="16"/>
                        </w:rPr>
                        <w:fldChar w:fldCharType="end"/>
                      </w:r>
                      <w:r>
                        <w:rPr>
                          <w:sz w:val="16"/>
                        </w:rPr>
                        <w:t>.</w:t>
                      </w:r>
                    </w:p>
                    <w:p w14:paraId="5F4B87BB" w14:textId="77777777" w:rsidR="00AE4728" w:rsidRDefault="0001414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01-aa0-00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01-aa0-00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82" w:name="Schedule"/>
    <w:bookmarkEnd w:id="6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2" w:name="Compilation"/>
    <w:bookmarkEnd w:id="69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94" w:name="DefinedTerms"/>
    <w:bookmarkEnd w:id="69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95" w:name="Coversheet"/>
    <w:bookmarkEnd w:id="6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641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12101101"/>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 w:name="WAFER_20230626142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502_GUID" w:val="7fa86eb4-681a-4b79-b2bc-f01ef16311fe"/>
    <w:docVar w:name="WAFER_2023062615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18_GUID" w:val="0b13e639-8ed7-4f55-9306-efc0344525cd"/>
    <w:docVar w:name="WAFER_2023062913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34101_GUID" w:val="ba571db9-8301-40f9-97d1-5b7cb49fc3bd"/>
    <w:docVar w:name="WAFER_2023112314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3140232_GUID" w:val="701f6301-8dc1-4f89-9728-a28d40c08e0d"/>
    <w:docVar w:name="WAFER_20231228101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001_GUID" w:val="85cc6336-f577-4b9b-b0ba-e37ddec4e411"/>
    <w:docVar w:name="WAFER_2024012908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9085922_GUID" w:val="34c45a64-2a18-4cd8-b837-b2b6190f217c"/>
    <w:docVar w:name="WAFER_2024041210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2101101_GUID" w:val="22e68b5c-7e6b-4568-b334-f4066ffdb8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4193"/>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7688E-9543-4A43-B71F-8E9CDFB3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77882</Words>
  <Characters>401873</Characters>
  <Application>Microsoft Office Word</Application>
  <DocSecurity>0</DocSecurity>
  <Lines>11482</Lines>
  <Paragraphs>6483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2012 - 01-aa0-00</dc:title>
  <dc:subject/>
  <dc:creator/>
  <cp:keywords/>
  <dc:description/>
  <cp:lastModifiedBy>Master Repository Process</cp:lastModifiedBy>
  <cp:revision>4</cp:revision>
  <cp:lastPrinted>2022-02-04T08:12:00Z</cp:lastPrinted>
  <dcterms:created xsi:type="dcterms:W3CDTF">2025-06-18T06:51:00Z</dcterms:created>
  <dcterms:modified xsi:type="dcterms:W3CDTF">2025-06-18T06:52:00Z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20240418</vt:lpwstr>
  </property>
  <property fmtid="{D5CDD505-2E9C-101B-9397-08002B2CF9AE}" pid="7" name="CommencementAsAt">
    <vt:filetime>2024-04-17T16:00:00Z</vt:filetime>
  </property>
  <property fmtid="{D5CDD505-2E9C-101B-9397-08002B2CF9AE}" pid="8" name="CommencementYear">
    <vt:lpwstr>2024</vt:lpwstr>
  </property>
  <property fmtid="{D5CDD505-2E9C-101B-9397-08002B2CF9AE}" pid="9" name="AsAtDate">
    <vt:lpwstr>18 Apr 2024</vt:lpwstr>
  </property>
  <property fmtid="{D5CDD505-2E9C-101B-9397-08002B2CF9AE}" pid="10" name="Suffix">
    <vt:lpwstr>01-aa0-00</vt:lpwstr>
  </property>
  <property fmtid="{D5CDD505-2E9C-101B-9397-08002B2CF9AE}" pid="11" name="Official">
    <vt:lpwstr/>
  </property>
</Properties>
</file>