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Electricity Industry Act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_Toc164842607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_Toc164842608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_Toc164842609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electricity supply</w:t>
      </w:r>
    </w:p>
    <w:p>
      <w:pPr>
        <w:pStyle w:val="TOC4"/>
        <w:tabs>
          <w:tab w:val="right" w:leader="dot" w:pos="7077"/>
        </w:tabs>
        <w:rPr>
          <w:rFonts w:asciiTheme="minorHAnsi" w:eastAsiaTheme="minorEastAsia" w:hAnsiTheme="minorHAnsi" w:cstheme="minorBidi"/>
          <w:b w:val="0"/>
          <w:szCs w:val="22"/>
        </w:rPr>
      </w:pPr>
      <w:r>
        <w:t>Division 1 — Licence classification and area</w:t>
      </w:r>
    </w:p>
    <w:p>
      <w:pPr>
        <w:pStyle w:val="TOC8"/>
        <w:rPr>
          <w:rFonts w:asciiTheme="minorHAnsi" w:eastAsiaTheme="minorEastAsia" w:hAnsiTheme="minorHAnsi" w:cstheme="minorBidi"/>
          <w:szCs w:val="22"/>
        </w:rPr>
      </w:pPr>
      <w:r>
        <w:t>4.</w:t>
      </w:r>
      <w:r>
        <w:tab/>
        <w:t>Classification of licences</w:t>
      </w:r>
      <w:r>
        <w:tab/>
      </w:r>
      <w:r>
        <w:fldChar w:fldCharType="begin"/>
      </w:r>
      <w:r>
        <w:instrText xml:space="preserve"> PAGEREF _Toc164842612 \h </w:instrText>
      </w:r>
      <w:r>
        <w:fldChar w:fldCharType="separate"/>
      </w:r>
      <w:r>
        <w:t>9</w:t>
      </w:r>
      <w:r>
        <w:fldChar w:fldCharType="end"/>
      </w:r>
    </w:p>
    <w:p>
      <w:pPr>
        <w:pStyle w:val="TOC8"/>
        <w:rPr>
          <w:rFonts w:asciiTheme="minorHAnsi" w:eastAsiaTheme="minorEastAsia" w:hAnsiTheme="minorHAnsi" w:cstheme="minorBidi"/>
          <w:szCs w:val="22"/>
        </w:rPr>
      </w:pPr>
      <w:r>
        <w:t>5.</w:t>
      </w:r>
      <w:r>
        <w:tab/>
        <w:t>Licence area</w:t>
      </w:r>
      <w:r>
        <w:tab/>
      </w:r>
      <w:r>
        <w:fldChar w:fldCharType="begin"/>
      </w:r>
      <w:r>
        <w:instrText xml:space="preserve"> PAGEREF _Toc164842613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Licensing requirements</w:t>
      </w:r>
    </w:p>
    <w:p>
      <w:pPr>
        <w:pStyle w:val="TOC8"/>
        <w:rPr>
          <w:rFonts w:asciiTheme="minorHAnsi" w:eastAsiaTheme="minorEastAsia" w:hAnsiTheme="minorHAnsi" w:cstheme="minorBidi"/>
          <w:szCs w:val="22"/>
        </w:rPr>
      </w:pPr>
      <w:r>
        <w:t>6.</w:t>
      </w:r>
      <w:r>
        <w:tab/>
        <w:t>Licensing extends to statutory providers</w:t>
      </w:r>
      <w:r>
        <w:tab/>
      </w:r>
      <w:r>
        <w:fldChar w:fldCharType="begin"/>
      </w:r>
      <w:r>
        <w:instrText xml:space="preserve"> PAGEREF _Toc164842615 \h </w:instrText>
      </w:r>
      <w:r>
        <w:fldChar w:fldCharType="separate"/>
      </w:r>
      <w:r>
        <w:t>10</w:t>
      </w:r>
      <w:r>
        <w:fldChar w:fldCharType="end"/>
      </w:r>
    </w:p>
    <w:p>
      <w:pPr>
        <w:pStyle w:val="TOC8"/>
        <w:rPr>
          <w:rFonts w:asciiTheme="minorHAnsi" w:eastAsiaTheme="minorEastAsia" w:hAnsiTheme="minorHAnsi" w:cstheme="minorBidi"/>
          <w:szCs w:val="22"/>
        </w:rPr>
      </w:pPr>
      <w:r>
        <w:t>7.</w:t>
      </w:r>
      <w:r>
        <w:tab/>
        <w:t>Requirement for licence</w:t>
      </w:r>
      <w:r>
        <w:tab/>
      </w:r>
      <w:r>
        <w:fldChar w:fldCharType="begin"/>
      </w:r>
      <w:r>
        <w:instrText xml:space="preserve"> PAGEREF _Toc164842616 \h </w:instrText>
      </w:r>
      <w:r>
        <w:fldChar w:fldCharType="separate"/>
      </w:r>
      <w:r>
        <w:t>10</w:t>
      </w:r>
      <w:r>
        <w:fldChar w:fldCharType="end"/>
      </w:r>
    </w:p>
    <w:p>
      <w:pPr>
        <w:pStyle w:val="TOC8"/>
        <w:rPr>
          <w:rFonts w:asciiTheme="minorHAnsi" w:eastAsiaTheme="minorEastAsia" w:hAnsiTheme="minorHAnsi" w:cstheme="minorBidi"/>
          <w:szCs w:val="22"/>
        </w:rPr>
      </w:pPr>
      <w:r>
        <w:t>8.</w:t>
      </w:r>
      <w:r>
        <w:tab/>
        <w:t>Power to exempt</w:t>
      </w:r>
      <w:r>
        <w:tab/>
      </w:r>
      <w:r>
        <w:fldChar w:fldCharType="begin"/>
      </w:r>
      <w:r>
        <w:instrText xml:space="preserve"> PAGEREF _Toc164842617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3 — General licensing provisions</w:t>
      </w:r>
    </w:p>
    <w:p>
      <w:pPr>
        <w:pStyle w:val="TOC8"/>
        <w:rPr>
          <w:rFonts w:asciiTheme="minorHAnsi" w:eastAsiaTheme="minorEastAsia" w:hAnsiTheme="minorHAnsi" w:cstheme="minorBidi"/>
          <w:szCs w:val="22"/>
        </w:rPr>
      </w:pPr>
      <w:r>
        <w:t>9.</w:t>
      </w:r>
      <w:r>
        <w:tab/>
        <w:t>Authority to consider public interest</w:t>
      </w:r>
      <w:r>
        <w:tab/>
      </w:r>
      <w:r>
        <w:fldChar w:fldCharType="begin"/>
      </w:r>
      <w:r>
        <w:instrText xml:space="preserve"> PAGEREF _Toc164842619 \h </w:instrText>
      </w:r>
      <w:r>
        <w:fldChar w:fldCharType="separate"/>
      </w:r>
      <w:r>
        <w:t>13</w:t>
      </w:r>
      <w:r>
        <w:fldChar w:fldCharType="end"/>
      </w:r>
    </w:p>
    <w:p>
      <w:pPr>
        <w:pStyle w:val="TOC8"/>
        <w:rPr>
          <w:rFonts w:asciiTheme="minorHAnsi" w:eastAsiaTheme="minorEastAsia" w:hAnsiTheme="minorHAnsi" w:cstheme="minorBidi"/>
          <w:szCs w:val="22"/>
        </w:rPr>
      </w:pPr>
      <w:r>
        <w:t>10.</w:t>
      </w:r>
      <w:r>
        <w:tab/>
        <w:t>Application for licence</w:t>
      </w:r>
      <w:r>
        <w:tab/>
      </w:r>
      <w:r>
        <w:fldChar w:fldCharType="begin"/>
      </w:r>
      <w:r>
        <w:instrText xml:space="preserve"> PAGEREF _Toc164842620 \h </w:instrText>
      </w:r>
      <w:r>
        <w:fldChar w:fldCharType="separate"/>
      </w:r>
      <w:r>
        <w:t>14</w:t>
      </w:r>
      <w:r>
        <w:fldChar w:fldCharType="end"/>
      </w:r>
    </w:p>
    <w:p>
      <w:pPr>
        <w:pStyle w:val="TOC8"/>
        <w:rPr>
          <w:rFonts w:asciiTheme="minorHAnsi" w:eastAsiaTheme="minorEastAsia" w:hAnsiTheme="minorHAnsi" w:cstheme="minorBidi"/>
          <w:szCs w:val="22"/>
        </w:rPr>
      </w:pPr>
      <w:r>
        <w:t>11.</w:t>
      </w:r>
      <w:r>
        <w:tab/>
        <w:t>Authority may determine licence terms and conditions</w:t>
      </w:r>
      <w:r>
        <w:tab/>
      </w:r>
      <w:r>
        <w:fldChar w:fldCharType="begin"/>
      </w:r>
      <w:r>
        <w:instrText xml:space="preserve"> PAGEREF _Toc164842621 \h </w:instrText>
      </w:r>
      <w:r>
        <w:fldChar w:fldCharType="separate"/>
      </w:r>
      <w:r>
        <w:t>14</w:t>
      </w:r>
      <w:r>
        <w:fldChar w:fldCharType="end"/>
      </w:r>
    </w:p>
    <w:p>
      <w:pPr>
        <w:pStyle w:val="TOC8"/>
        <w:rPr>
          <w:rFonts w:asciiTheme="minorHAnsi" w:eastAsiaTheme="minorEastAsia" w:hAnsiTheme="minorHAnsi" w:cstheme="minorBidi"/>
          <w:szCs w:val="22"/>
        </w:rPr>
      </w:pPr>
      <w:r>
        <w:t>12.</w:t>
      </w:r>
      <w:r>
        <w:tab/>
        <w:t>Regulations as to licence terms and conditions</w:t>
      </w:r>
      <w:r>
        <w:tab/>
      </w:r>
      <w:r>
        <w:fldChar w:fldCharType="begin"/>
      </w:r>
      <w:r>
        <w:instrText xml:space="preserve"> PAGEREF _Toc164842622 \h </w:instrText>
      </w:r>
      <w:r>
        <w:fldChar w:fldCharType="separate"/>
      </w:r>
      <w:r>
        <w:t>15</w:t>
      </w:r>
      <w:r>
        <w:fldChar w:fldCharType="end"/>
      </w:r>
    </w:p>
    <w:p>
      <w:pPr>
        <w:pStyle w:val="TOC8"/>
        <w:rPr>
          <w:rFonts w:asciiTheme="minorHAnsi" w:eastAsiaTheme="minorEastAsia" w:hAnsiTheme="minorHAnsi" w:cstheme="minorBidi"/>
          <w:szCs w:val="22"/>
        </w:rPr>
      </w:pPr>
      <w:r>
        <w:t>13.</w:t>
      </w:r>
      <w:r>
        <w:tab/>
        <w:t>Licence condition: performance audit</w:t>
      </w:r>
      <w:r>
        <w:tab/>
      </w:r>
      <w:r>
        <w:fldChar w:fldCharType="begin"/>
      </w:r>
      <w:r>
        <w:instrText xml:space="preserve"> PAGEREF _Toc164842623 \h </w:instrText>
      </w:r>
      <w:r>
        <w:fldChar w:fldCharType="separate"/>
      </w:r>
      <w:r>
        <w:t>15</w:t>
      </w:r>
      <w:r>
        <w:fldChar w:fldCharType="end"/>
      </w:r>
    </w:p>
    <w:p>
      <w:pPr>
        <w:pStyle w:val="TOC8"/>
        <w:rPr>
          <w:rFonts w:asciiTheme="minorHAnsi" w:eastAsiaTheme="minorEastAsia" w:hAnsiTheme="minorHAnsi" w:cstheme="minorBidi"/>
          <w:szCs w:val="22"/>
        </w:rPr>
      </w:pPr>
      <w:r>
        <w:t>14.</w:t>
      </w:r>
      <w:r>
        <w:tab/>
        <w:t>Licence condition: asset management system</w:t>
      </w:r>
      <w:r>
        <w:tab/>
      </w:r>
      <w:r>
        <w:fldChar w:fldCharType="begin"/>
      </w:r>
      <w:r>
        <w:instrText xml:space="preserve"> PAGEREF _Toc164842624 \h </w:instrText>
      </w:r>
      <w:r>
        <w:fldChar w:fldCharType="separate"/>
      </w:r>
      <w:r>
        <w:t>16</w:t>
      </w:r>
      <w:r>
        <w:fldChar w:fldCharType="end"/>
      </w:r>
    </w:p>
    <w:p>
      <w:pPr>
        <w:pStyle w:val="TOC8"/>
        <w:rPr>
          <w:rFonts w:asciiTheme="minorHAnsi" w:eastAsiaTheme="minorEastAsia" w:hAnsiTheme="minorHAnsi" w:cstheme="minorBidi"/>
          <w:szCs w:val="22"/>
        </w:rPr>
      </w:pPr>
      <w:r>
        <w:t>15.</w:t>
      </w:r>
      <w:r>
        <w:tab/>
        <w:t>Duration of licence</w:t>
      </w:r>
      <w:r>
        <w:tab/>
      </w:r>
      <w:r>
        <w:fldChar w:fldCharType="begin"/>
      </w:r>
      <w:r>
        <w:instrText xml:space="preserve"> PAGEREF _Toc164842625 \h </w:instrText>
      </w:r>
      <w:r>
        <w:fldChar w:fldCharType="separate"/>
      </w:r>
      <w:r>
        <w:t>16</w:t>
      </w:r>
      <w:r>
        <w:fldChar w:fldCharType="end"/>
      </w:r>
    </w:p>
    <w:p>
      <w:pPr>
        <w:pStyle w:val="TOC8"/>
        <w:rPr>
          <w:rFonts w:asciiTheme="minorHAnsi" w:eastAsiaTheme="minorEastAsia" w:hAnsiTheme="minorHAnsi" w:cstheme="minorBidi"/>
          <w:szCs w:val="22"/>
        </w:rPr>
      </w:pPr>
      <w:r>
        <w:t>16.</w:t>
      </w:r>
      <w:r>
        <w:tab/>
        <w:t>Renewal of licence</w:t>
      </w:r>
      <w:r>
        <w:tab/>
      </w:r>
      <w:r>
        <w:fldChar w:fldCharType="begin"/>
      </w:r>
      <w:r>
        <w:instrText xml:space="preserve"> PAGEREF _Toc164842626 \h </w:instrText>
      </w:r>
      <w:r>
        <w:fldChar w:fldCharType="separate"/>
      </w:r>
      <w:r>
        <w:t>16</w:t>
      </w:r>
      <w:r>
        <w:fldChar w:fldCharType="end"/>
      </w:r>
    </w:p>
    <w:p>
      <w:pPr>
        <w:pStyle w:val="TOC8"/>
        <w:rPr>
          <w:rFonts w:asciiTheme="minorHAnsi" w:eastAsiaTheme="minorEastAsia" w:hAnsiTheme="minorHAnsi" w:cstheme="minorBidi"/>
          <w:szCs w:val="22"/>
        </w:rPr>
      </w:pPr>
      <w:r>
        <w:t>17.</w:t>
      </w:r>
      <w:r>
        <w:tab/>
        <w:t>Licence fees</w:t>
      </w:r>
      <w:r>
        <w:tab/>
      </w:r>
      <w:r>
        <w:fldChar w:fldCharType="begin"/>
      </w:r>
      <w:r>
        <w:instrText xml:space="preserve"> PAGEREF _Toc164842627 \h </w:instrText>
      </w:r>
      <w:r>
        <w:fldChar w:fldCharType="separate"/>
      </w:r>
      <w:r>
        <w:t>17</w:t>
      </w:r>
      <w:r>
        <w:fldChar w:fldCharType="end"/>
      </w:r>
    </w:p>
    <w:p>
      <w:pPr>
        <w:pStyle w:val="TOC8"/>
        <w:rPr>
          <w:rFonts w:asciiTheme="minorHAnsi" w:eastAsiaTheme="minorEastAsia" w:hAnsiTheme="minorHAnsi" w:cstheme="minorBidi"/>
          <w:szCs w:val="22"/>
        </w:rPr>
      </w:pPr>
      <w:r>
        <w:t>18.</w:t>
      </w:r>
      <w:r>
        <w:tab/>
        <w:t>Transfer of licence</w:t>
      </w:r>
      <w:r>
        <w:tab/>
      </w:r>
      <w:r>
        <w:fldChar w:fldCharType="begin"/>
      </w:r>
      <w:r>
        <w:instrText xml:space="preserve"> PAGEREF _Toc164842628 \h </w:instrText>
      </w:r>
      <w:r>
        <w:fldChar w:fldCharType="separate"/>
      </w:r>
      <w:r>
        <w:t>17</w:t>
      </w:r>
      <w:r>
        <w:fldChar w:fldCharType="end"/>
      </w:r>
    </w:p>
    <w:p>
      <w:pPr>
        <w:pStyle w:val="TOC8"/>
        <w:rPr>
          <w:rFonts w:asciiTheme="minorHAnsi" w:eastAsiaTheme="minorEastAsia" w:hAnsiTheme="minorHAnsi" w:cstheme="minorBidi"/>
          <w:szCs w:val="22"/>
        </w:rPr>
      </w:pPr>
      <w:r>
        <w:t>19.</w:t>
      </w:r>
      <w:r>
        <w:tab/>
        <w:t>Decisions as to grant, renewal or transfer of licence</w:t>
      </w:r>
      <w:r>
        <w:tab/>
      </w:r>
      <w:r>
        <w:fldChar w:fldCharType="begin"/>
      </w:r>
      <w:r>
        <w:instrText xml:space="preserve"> PAGEREF _Toc164842629 \h </w:instrText>
      </w:r>
      <w:r>
        <w:fldChar w:fldCharType="separate"/>
      </w:r>
      <w:r>
        <w:t>17</w:t>
      </w:r>
      <w:r>
        <w:fldChar w:fldCharType="end"/>
      </w:r>
    </w:p>
    <w:p>
      <w:pPr>
        <w:pStyle w:val="TOC8"/>
        <w:rPr>
          <w:rFonts w:asciiTheme="minorHAnsi" w:eastAsiaTheme="minorEastAsia" w:hAnsiTheme="minorHAnsi" w:cstheme="minorBidi"/>
          <w:szCs w:val="22"/>
        </w:rPr>
      </w:pPr>
      <w:r>
        <w:lastRenderedPageBreak/>
        <w:t>20.</w:t>
      </w:r>
      <w:r>
        <w:tab/>
        <w:t>Other laws not affected</w:t>
      </w:r>
      <w:r>
        <w:tab/>
      </w:r>
      <w:r>
        <w:fldChar w:fldCharType="begin"/>
      </w:r>
      <w:r>
        <w:instrText xml:space="preserve"> PAGEREF _Toc164842630 \h </w:instrText>
      </w:r>
      <w:r>
        <w:fldChar w:fldCharType="separate"/>
      </w:r>
      <w:r>
        <w:t>18</w:t>
      </w:r>
      <w:r>
        <w:fldChar w:fldCharType="end"/>
      </w:r>
    </w:p>
    <w:p>
      <w:pPr>
        <w:pStyle w:val="TOC8"/>
        <w:rPr>
          <w:rFonts w:asciiTheme="minorHAnsi" w:eastAsiaTheme="minorEastAsia" w:hAnsiTheme="minorHAnsi" w:cstheme="minorBidi"/>
          <w:szCs w:val="22"/>
        </w:rPr>
      </w:pPr>
      <w:r>
        <w:t>21.</w:t>
      </w:r>
      <w:r>
        <w:tab/>
        <w:t>Amendment of licence on application of licensee</w:t>
      </w:r>
      <w:r>
        <w:tab/>
      </w:r>
      <w:r>
        <w:fldChar w:fldCharType="begin"/>
      </w:r>
      <w:r>
        <w:instrText xml:space="preserve"> PAGEREF _Toc164842631 \h </w:instrText>
      </w:r>
      <w:r>
        <w:fldChar w:fldCharType="separate"/>
      </w:r>
      <w:r>
        <w:t>18</w:t>
      </w:r>
      <w:r>
        <w:fldChar w:fldCharType="end"/>
      </w:r>
    </w:p>
    <w:p>
      <w:pPr>
        <w:pStyle w:val="TOC8"/>
        <w:rPr>
          <w:rFonts w:asciiTheme="minorHAnsi" w:eastAsiaTheme="minorEastAsia" w:hAnsiTheme="minorHAnsi" w:cstheme="minorBidi"/>
          <w:szCs w:val="22"/>
        </w:rPr>
      </w:pPr>
      <w:r>
        <w:t>22.</w:t>
      </w:r>
      <w:r>
        <w:tab/>
        <w:t>Amendment of licence on initiative of Authority</w:t>
      </w:r>
      <w:r>
        <w:tab/>
      </w:r>
      <w:r>
        <w:fldChar w:fldCharType="begin"/>
      </w:r>
      <w:r>
        <w:instrText xml:space="preserve"> PAGEREF _Toc164842632 \h </w:instrText>
      </w:r>
      <w:r>
        <w:fldChar w:fldCharType="separate"/>
      </w:r>
      <w:r>
        <w:t>19</w:t>
      </w:r>
      <w:r>
        <w:fldChar w:fldCharType="end"/>
      </w:r>
    </w:p>
    <w:p>
      <w:pPr>
        <w:pStyle w:val="TOC8"/>
        <w:rPr>
          <w:rFonts w:asciiTheme="minorHAnsi" w:eastAsiaTheme="minorEastAsia" w:hAnsiTheme="minorHAnsi" w:cstheme="minorBidi"/>
          <w:szCs w:val="22"/>
        </w:rPr>
      </w:pPr>
      <w:r>
        <w:t>23.</w:t>
      </w:r>
      <w:r>
        <w:tab/>
        <w:t>Notice of decisions</w:t>
      </w:r>
      <w:r>
        <w:tab/>
      </w:r>
      <w:r>
        <w:fldChar w:fldCharType="begin"/>
      </w:r>
      <w:r>
        <w:instrText xml:space="preserve"> PAGEREF _Toc164842633 \h </w:instrText>
      </w:r>
      <w:r>
        <w:fldChar w:fldCharType="separate"/>
      </w:r>
      <w:r>
        <w:t>19</w:t>
      </w:r>
      <w:r>
        <w:fldChar w:fldCharType="end"/>
      </w:r>
    </w:p>
    <w:p>
      <w:pPr>
        <w:pStyle w:val="TOC8"/>
        <w:rPr>
          <w:rFonts w:asciiTheme="minorHAnsi" w:eastAsiaTheme="minorEastAsia" w:hAnsiTheme="minorHAnsi" w:cstheme="minorBidi"/>
          <w:szCs w:val="22"/>
        </w:rPr>
      </w:pPr>
      <w:r>
        <w:t>24.</w:t>
      </w:r>
      <w:r>
        <w:tab/>
        <w:t>Licences to be available for inspection</w:t>
      </w:r>
      <w:r>
        <w:tab/>
      </w:r>
      <w:r>
        <w:fldChar w:fldCharType="begin"/>
      </w:r>
      <w:r>
        <w:instrText xml:space="preserve"> PAGEREF _Toc164842634 \h </w:instrText>
      </w:r>
      <w:r>
        <w:fldChar w:fldCharType="separate"/>
      </w:r>
      <w:r>
        <w:t>20</w:t>
      </w:r>
      <w:r>
        <w:fldChar w:fldCharType="end"/>
      </w:r>
    </w:p>
    <w:p>
      <w:pPr>
        <w:pStyle w:val="TOC8"/>
        <w:rPr>
          <w:rFonts w:asciiTheme="minorHAnsi" w:eastAsiaTheme="minorEastAsia" w:hAnsiTheme="minorHAnsi" w:cstheme="minorBidi"/>
          <w:szCs w:val="22"/>
        </w:rPr>
      </w:pPr>
      <w:r>
        <w:t>25.</w:t>
      </w:r>
      <w:r>
        <w:tab/>
        <w:t>Regulations about public consultation</w:t>
      </w:r>
      <w:r>
        <w:tab/>
      </w:r>
      <w:r>
        <w:fldChar w:fldCharType="begin"/>
      </w:r>
      <w:r>
        <w:instrText xml:space="preserve"> PAGEREF _Toc164842635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4 — Exclusive licences</w:t>
      </w:r>
    </w:p>
    <w:p>
      <w:pPr>
        <w:pStyle w:val="TOC8"/>
        <w:rPr>
          <w:rFonts w:asciiTheme="minorHAnsi" w:eastAsiaTheme="minorEastAsia" w:hAnsiTheme="minorHAnsi" w:cstheme="minorBidi"/>
          <w:szCs w:val="22"/>
        </w:rPr>
      </w:pPr>
      <w:r>
        <w:t>26.</w:t>
      </w:r>
      <w:r>
        <w:tab/>
        <w:t>Regulations may authorise an exclusive licence</w:t>
      </w:r>
      <w:r>
        <w:tab/>
      </w:r>
      <w:r>
        <w:fldChar w:fldCharType="begin"/>
      </w:r>
      <w:r>
        <w:instrText xml:space="preserve"> PAGEREF _Toc164842637 \h </w:instrText>
      </w:r>
      <w:r>
        <w:fldChar w:fldCharType="separate"/>
      </w:r>
      <w:r>
        <w:t>21</w:t>
      </w:r>
      <w:r>
        <w:fldChar w:fldCharType="end"/>
      </w:r>
    </w:p>
    <w:p>
      <w:pPr>
        <w:pStyle w:val="TOC8"/>
        <w:rPr>
          <w:rFonts w:asciiTheme="minorHAnsi" w:eastAsiaTheme="minorEastAsia" w:hAnsiTheme="minorHAnsi" w:cstheme="minorBidi"/>
          <w:szCs w:val="22"/>
        </w:rPr>
      </w:pPr>
      <w:r>
        <w:t>27.</w:t>
      </w:r>
      <w:r>
        <w:tab/>
        <w:t>Requirements for regulations</w:t>
      </w:r>
      <w:r>
        <w:tab/>
      </w:r>
      <w:r>
        <w:fldChar w:fldCharType="begin"/>
      </w:r>
      <w:r>
        <w:instrText xml:space="preserve"> PAGEREF _Toc164842638 \h </w:instrText>
      </w:r>
      <w:r>
        <w:fldChar w:fldCharType="separate"/>
      </w:r>
      <w:r>
        <w:t>21</w:t>
      </w:r>
      <w:r>
        <w:fldChar w:fldCharType="end"/>
      </w:r>
    </w:p>
    <w:p>
      <w:pPr>
        <w:pStyle w:val="TOC8"/>
        <w:rPr>
          <w:rFonts w:asciiTheme="minorHAnsi" w:eastAsiaTheme="minorEastAsia" w:hAnsiTheme="minorHAnsi" w:cstheme="minorBidi"/>
          <w:szCs w:val="22"/>
        </w:rPr>
      </w:pPr>
      <w:r>
        <w:t>28.</w:t>
      </w:r>
      <w:r>
        <w:tab/>
        <w:t>Application for and grant of licence</w:t>
      </w:r>
      <w:r>
        <w:tab/>
      </w:r>
      <w:r>
        <w:fldChar w:fldCharType="begin"/>
      </w:r>
      <w:r>
        <w:instrText xml:space="preserve"> PAGEREF _Toc164842639 \h </w:instrText>
      </w:r>
      <w:r>
        <w:fldChar w:fldCharType="separate"/>
      </w:r>
      <w:r>
        <w:t>22</w:t>
      </w:r>
      <w:r>
        <w:fldChar w:fldCharType="end"/>
      </w:r>
    </w:p>
    <w:p>
      <w:pPr>
        <w:pStyle w:val="TOC8"/>
        <w:rPr>
          <w:rFonts w:asciiTheme="minorHAnsi" w:eastAsiaTheme="minorEastAsia" w:hAnsiTheme="minorHAnsi" w:cstheme="minorBidi"/>
          <w:szCs w:val="22"/>
        </w:rPr>
      </w:pPr>
      <w:r>
        <w:t>29.</w:t>
      </w:r>
      <w:r>
        <w:tab/>
        <w:t>Prohibition of further licences</w:t>
      </w:r>
      <w:r>
        <w:tab/>
      </w:r>
      <w:r>
        <w:fldChar w:fldCharType="begin"/>
      </w:r>
      <w:r>
        <w:instrText xml:space="preserve"> PAGEREF _Toc164842640 \h </w:instrText>
      </w:r>
      <w:r>
        <w:fldChar w:fldCharType="separate"/>
      </w:r>
      <w:r>
        <w:t>22</w:t>
      </w:r>
      <w:r>
        <w:fldChar w:fldCharType="end"/>
      </w:r>
    </w:p>
    <w:p>
      <w:pPr>
        <w:pStyle w:val="TOC8"/>
        <w:rPr>
          <w:rFonts w:asciiTheme="minorHAnsi" w:eastAsiaTheme="minorEastAsia" w:hAnsiTheme="minorHAnsi" w:cstheme="minorBidi"/>
          <w:szCs w:val="22"/>
        </w:rPr>
      </w:pPr>
      <w:r>
        <w:t>30.</w:t>
      </w:r>
      <w:r>
        <w:tab/>
        <w:t>Trade practices authorisation</w:t>
      </w:r>
      <w:r>
        <w:tab/>
      </w:r>
      <w:r>
        <w:fldChar w:fldCharType="begin"/>
      </w:r>
      <w:r>
        <w:instrText xml:space="preserve"> PAGEREF _Toc164842641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5 — Interruption of supply</w:t>
      </w:r>
    </w:p>
    <w:p>
      <w:pPr>
        <w:pStyle w:val="TOC8"/>
        <w:rPr>
          <w:rFonts w:asciiTheme="minorHAnsi" w:eastAsiaTheme="minorEastAsia" w:hAnsiTheme="minorHAnsi" w:cstheme="minorBidi"/>
          <w:szCs w:val="22"/>
        </w:rPr>
      </w:pPr>
      <w:r>
        <w:t>31.</w:t>
      </w:r>
      <w:r>
        <w:tab/>
        <w:t>Interruption of supply</w:t>
      </w:r>
      <w:r>
        <w:tab/>
      </w:r>
      <w:r>
        <w:fldChar w:fldCharType="begin"/>
      </w:r>
      <w:r>
        <w:instrText xml:space="preserve"> PAGEREF _Toc164842643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6 — Enforcement</w:t>
      </w:r>
    </w:p>
    <w:p>
      <w:pPr>
        <w:pStyle w:val="TOC8"/>
        <w:rPr>
          <w:rFonts w:asciiTheme="minorHAnsi" w:eastAsiaTheme="minorEastAsia" w:hAnsiTheme="minorHAnsi" w:cstheme="minorBidi"/>
          <w:szCs w:val="22"/>
        </w:rPr>
      </w:pPr>
      <w:r>
        <w:t>32.</w:t>
      </w:r>
      <w:r>
        <w:tab/>
        <w:t>Failure to comply with licence</w:t>
      </w:r>
      <w:r>
        <w:tab/>
      </w:r>
      <w:r>
        <w:fldChar w:fldCharType="begin"/>
      </w:r>
      <w:r>
        <w:instrText xml:space="preserve"> PAGEREF _Toc164842645 \h </w:instrText>
      </w:r>
      <w:r>
        <w:fldChar w:fldCharType="separate"/>
      </w:r>
      <w:r>
        <w:t>24</w:t>
      </w:r>
      <w:r>
        <w:fldChar w:fldCharType="end"/>
      </w:r>
    </w:p>
    <w:p>
      <w:pPr>
        <w:pStyle w:val="TOC8"/>
        <w:rPr>
          <w:rFonts w:asciiTheme="minorHAnsi" w:eastAsiaTheme="minorEastAsia" w:hAnsiTheme="minorHAnsi" w:cstheme="minorBidi"/>
          <w:szCs w:val="22"/>
        </w:rPr>
      </w:pPr>
      <w:r>
        <w:t>33.</w:t>
      </w:r>
      <w:r>
        <w:tab/>
        <w:t>Right of licensee to make submissions</w:t>
      </w:r>
      <w:r>
        <w:tab/>
      </w:r>
      <w:r>
        <w:fldChar w:fldCharType="begin"/>
      </w:r>
      <w:r>
        <w:instrText xml:space="preserve"> PAGEREF _Toc164842646 \h </w:instrText>
      </w:r>
      <w:r>
        <w:fldChar w:fldCharType="separate"/>
      </w:r>
      <w:r>
        <w:t>25</w:t>
      </w:r>
      <w:r>
        <w:fldChar w:fldCharType="end"/>
      </w:r>
    </w:p>
    <w:p>
      <w:pPr>
        <w:pStyle w:val="TOC8"/>
        <w:rPr>
          <w:rFonts w:asciiTheme="minorHAnsi" w:eastAsiaTheme="minorEastAsia" w:hAnsiTheme="minorHAnsi" w:cstheme="minorBidi"/>
          <w:szCs w:val="22"/>
        </w:rPr>
      </w:pPr>
      <w:r>
        <w:t>34.</w:t>
      </w:r>
      <w:r>
        <w:tab/>
        <w:t>Exception where public health endangered</w:t>
      </w:r>
      <w:r>
        <w:tab/>
      </w:r>
      <w:r>
        <w:fldChar w:fldCharType="begin"/>
      </w:r>
      <w:r>
        <w:instrText xml:space="preserve"> PAGEREF _Toc164842647 \h </w:instrText>
      </w:r>
      <w:r>
        <w:fldChar w:fldCharType="separate"/>
      </w:r>
      <w:r>
        <w:t>25</w:t>
      </w:r>
      <w:r>
        <w:fldChar w:fldCharType="end"/>
      </w:r>
    </w:p>
    <w:p>
      <w:pPr>
        <w:pStyle w:val="TOC8"/>
        <w:rPr>
          <w:rFonts w:asciiTheme="minorHAnsi" w:eastAsiaTheme="minorEastAsia" w:hAnsiTheme="minorHAnsi" w:cstheme="minorBidi"/>
          <w:szCs w:val="22"/>
        </w:rPr>
      </w:pPr>
      <w:r>
        <w:t>35.</w:t>
      </w:r>
      <w:r>
        <w:tab/>
        <w:t>Cancellation of licence</w:t>
      </w:r>
      <w:r>
        <w:tab/>
      </w:r>
      <w:r>
        <w:fldChar w:fldCharType="begin"/>
      </w:r>
      <w:r>
        <w:instrText xml:space="preserve"> PAGEREF _Toc164842648 \h </w:instrText>
      </w:r>
      <w:r>
        <w:fldChar w:fldCharType="separate"/>
      </w:r>
      <w:r>
        <w:t>26</w:t>
      </w:r>
      <w:r>
        <w:fldChar w:fldCharType="end"/>
      </w:r>
    </w:p>
    <w:p>
      <w:pPr>
        <w:pStyle w:val="TOC8"/>
        <w:rPr>
          <w:rFonts w:asciiTheme="minorHAnsi" w:eastAsiaTheme="minorEastAsia" w:hAnsiTheme="minorHAnsi" w:cstheme="minorBidi"/>
          <w:szCs w:val="22"/>
        </w:rPr>
      </w:pPr>
      <w:r>
        <w:t>36.</w:t>
      </w:r>
      <w:r>
        <w:tab/>
        <w:t>Duty to leave system in safe condition</w:t>
      </w:r>
      <w:r>
        <w:tab/>
      </w:r>
      <w:r>
        <w:fldChar w:fldCharType="begin"/>
      </w:r>
      <w:r>
        <w:instrText xml:space="preserve"> PAGEREF _Toc164842649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7 — Administration and monitoring of licensing scheme and issue of codes</w:t>
      </w:r>
    </w:p>
    <w:p>
      <w:pPr>
        <w:pStyle w:val="TOC8"/>
        <w:rPr>
          <w:rFonts w:asciiTheme="minorHAnsi" w:eastAsiaTheme="minorEastAsia" w:hAnsiTheme="minorHAnsi" w:cstheme="minorBidi"/>
          <w:szCs w:val="22"/>
        </w:rPr>
      </w:pPr>
      <w:r>
        <w:t>37.</w:t>
      </w:r>
      <w:r>
        <w:tab/>
        <w:t>Authority to administer licensing scheme</w:t>
      </w:r>
      <w:r>
        <w:tab/>
      </w:r>
      <w:r>
        <w:fldChar w:fldCharType="begin"/>
      </w:r>
      <w:r>
        <w:instrText xml:space="preserve"> PAGEREF _Toc164842651 \h </w:instrText>
      </w:r>
      <w:r>
        <w:fldChar w:fldCharType="separate"/>
      </w:r>
      <w:r>
        <w:t>28</w:t>
      </w:r>
      <w:r>
        <w:fldChar w:fldCharType="end"/>
      </w:r>
    </w:p>
    <w:p>
      <w:pPr>
        <w:pStyle w:val="TOC8"/>
        <w:rPr>
          <w:rFonts w:asciiTheme="minorHAnsi" w:eastAsiaTheme="minorEastAsia" w:hAnsiTheme="minorHAnsi" w:cstheme="minorBidi"/>
          <w:szCs w:val="22"/>
        </w:rPr>
      </w:pPr>
      <w:r>
        <w:t>38.</w:t>
      </w:r>
      <w:r>
        <w:tab/>
        <w:t>Authority to monitor licensing scheme and licence compliance</w:t>
      </w:r>
      <w:r>
        <w:tab/>
      </w:r>
      <w:r>
        <w:fldChar w:fldCharType="begin"/>
      </w:r>
      <w:r>
        <w:instrText xml:space="preserve"> PAGEREF _Toc164842652 \h </w:instrText>
      </w:r>
      <w:r>
        <w:fldChar w:fldCharType="separate"/>
      </w:r>
      <w:r>
        <w:t>28</w:t>
      </w:r>
      <w:r>
        <w:fldChar w:fldCharType="end"/>
      </w:r>
    </w:p>
    <w:p>
      <w:pPr>
        <w:pStyle w:val="TOC8"/>
        <w:rPr>
          <w:rFonts w:asciiTheme="minorHAnsi" w:eastAsiaTheme="minorEastAsia" w:hAnsiTheme="minorHAnsi" w:cstheme="minorBidi"/>
          <w:szCs w:val="22"/>
        </w:rPr>
      </w:pPr>
      <w:r>
        <w:t>39.</w:t>
      </w:r>
      <w:r>
        <w:tab/>
        <w:t>Authority may issue codes</w:t>
      </w:r>
      <w:r>
        <w:tab/>
      </w:r>
      <w:r>
        <w:fldChar w:fldCharType="begin"/>
      </w:r>
      <w:r>
        <w:instrText xml:space="preserve"> PAGEREF _Toc164842653 \h </w:instrText>
      </w:r>
      <w:r>
        <w:fldChar w:fldCharType="separate"/>
      </w:r>
      <w:r>
        <w:t>28</w:t>
      </w:r>
      <w:r>
        <w:fldChar w:fldCharType="end"/>
      </w:r>
    </w:p>
    <w:p>
      <w:pPr>
        <w:pStyle w:val="TOC8"/>
        <w:rPr>
          <w:rFonts w:asciiTheme="minorHAnsi" w:eastAsiaTheme="minorEastAsia" w:hAnsiTheme="minorHAnsi" w:cstheme="minorBidi"/>
          <w:szCs w:val="22"/>
        </w:rPr>
      </w:pPr>
      <w:r>
        <w:t>39A.</w:t>
      </w:r>
      <w:r>
        <w:tab/>
        <w:t>Review of code standards applying to Regional Power Corporation</w:t>
      </w:r>
      <w:r>
        <w:tab/>
      </w:r>
      <w:r>
        <w:fldChar w:fldCharType="begin"/>
      </w:r>
      <w:r>
        <w:instrText xml:space="preserve"> PAGEREF _Toc164842654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8 — Powers in relation to land</w:t>
      </w:r>
    </w:p>
    <w:p>
      <w:pPr>
        <w:pStyle w:val="TOC8"/>
        <w:rPr>
          <w:rFonts w:asciiTheme="minorHAnsi" w:eastAsiaTheme="minorEastAsia" w:hAnsiTheme="minorHAnsi" w:cstheme="minorBidi"/>
          <w:szCs w:val="22"/>
        </w:rPr>
      </w:pPr>
      <w:r>
        <w:t>40.</w:t>
      </w:r>
      <w:r>
        <w:tab/>
        <w:t>Power of public authority to grant certain interests</w:t>
      </w:r>
      <w:r>
        <w:tab/>
      </w:r>
      <w:r>
        <w:fldChar w:fldCharType="begin"/>
      </w:r>
      <w:r>
        <w:instrText xml:space="preserve"> PAGEREF _Toc164842656 \h </w:instrText>
      </w:r>
      <w:r>
        <w:fldChar w:fldCharType="separate"/>
      </w:r>
      <w:r>
        <w:t>32</w:t>
      </w:r>
      <w:r>
        <w:fldChar w:fldCharType="end"/>
      </w:r>
    </w:p>
    <w:p>
      <w:pPr>
        <w:pStyle w:val="TOC8"/>
        <w:rPr>
          <w:rFonts w:asciiTheme="minorHAnsi" w:eastAsiaTheme="minorEastAsia" w:hAnsiTheme="minorHAnsi" w:cstheme="minorBidi"/>
          <w:szCs w:val="22"/>
        </w:rPr>
      </w:pPr>
      <w:r>
        <w:t>41.</w:t>
      </w:r>
      <w:r>
        <w:tab/>
        <w:t>Taking of interest or easement for purposes of licence</w:t>
      </w:r>
      <w:r>
        <w:tab/>
      </w:r>
      <w:r>
        <w:fldChar w:fldCharType="begin"/>
      </w:r>
      <w:r>
        <w:instrText xml:space="preserve"> PAGEREF _Toc164842657 \h </w:instrText>
      </w:r>
      <w:r>
        <w:fldChar w:fldCharType="separate"/>
      </w:r>
      <w:r>
        <w:t>33</w:t>
      </w:r>
      <w:r>
        <w:fldChar w:fldCharType="end"/>
      </w:r>
    </w:p>
    <w:p>
      <w:pPr>
        <w:pStyle w:val="TOC8"/>
        <w:rPr>
          <w:rFonts w:asciiTheme="minorHAnsi" w:eastAsiaTheme="minorEastAsia" w:hAnsiTheme="minorHAnsi" w:cstheme="minorBidi"/>
          <w:szCs w:val="22"/>
        </w:rPr>
      </w:pPr>
      <w:r>
        <w:t>42.</w:t>
      </w:r>
      <w:r>
        <w:tab/>
        <w:t>Vesting of interest or easement</w:t>
      </w:r>
      <w:r>
        <w:tab/>
      </w:r>
      <w:r>
        <w:fldChar w:fldCharType="begin"/>
      </w:r>
      <w:r>
        <w:instrText xml:space="preserve"> PAGEREF _Toc164842658 \h </w:instrText>
      </w:r>
      <w:r>
        <w:fldChar w:fldCharType="separate"/>
      </w:r>
      <w:r>
        <w:t>34</w:t>
      </w:r>
      <w:r>
        <w:fldChar w:fldCharType="end"/>
      </w:r>
    </w:p>
    <w:p>
      <w:pPr>
        <w:pStyle w:val="TOC8"/>
        <w:rPr>
          <w:rFonts w:asciiTheme="minorHAnsi" w:eastAsiaTheme="minorEastAsia" w:hAnsiTheme="minorHAnsi" w:cstheme="minorBidi"/>
          <w:szCs w:val="22"/>
        </w:rPr>
      </w:pPr>
      <w:r>
        <w:t>43.</w:t>
      </w:r>
      <w:r>
        <w:tab/>
        <w:t>Proceedings and liability</w:t>
      </w:r>
      <w:r>
        <w:tab/>
      </w:r>
      <w:r>
        <w:fldChar w:fldCharType="begin"/>
      </w:r>
      <w:r>
        <w:instrText xml:space="preserve"> PAGEREF _Toc164842659 \h </w:instrText>
      </w:r>
      <w:r>
        <w:fldChar w:fldCharType="separate"/>
      </w:r>
      <w:r>
        <w:t>34</w:t>
      </w:r>
      <w:r>
        <w:fldChar w:fldCharType="end"/>
      </w:r>
    </w:p>
    <w:p>
      <w:pPr>
        <w:pStyle w:val="TOC8"/>
        <w:rPr>
          <w:rFonts w:asciiTheme="minorHAnsi" w:eastAsiaTheme="minorEastAsia" w:hAnsiTheme="minorHAnsi" w:cstheme="minorBidi"/>
          <w:szCs w:val="22"/>
        </w:rPr>
      </w:pPr>
      <w:r>
        <w:t>44.</w:t>
      </w:r>
      <w:r>
        <w:tab/>
        <w:t>Easements in gross</w:t>
      </w:r>
      <w:r>
        <w:tab/>
      </w:r>
      <w:r>
        <w:fldChar w:fldCharType="begin"/>
      </w:r>
      <w:r>
        <w:instrText xml:space="preserve"> PAGEREF _Toc164842660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lastRenderedPageBreak/>
        <w:t xml:space="preserve">Division 9 — Extension of </w:t>
      </w:r>
      <w:r>
        <w:rPr>
          <w:i/>
        </w:rPr>
        <w:t>Energy Operators (Powers) Act 1979</w:t>
      </w:r>
      <w:r>
        <w:t xml:space="preserve"> to licensees</w:t>
      </w:r>
    </w:p>
    <w:p>
      <w:pPr>
        <w:pStyle w:val="TOC8"/>
        <w:rPr>
          <w:rFonts w:asciiTheme="minorHAnsi" w:eastAsiaTheme="minorEastAsia" w:hAnsiTheme="minorHAnsi" w:cstheme="minorBidi"/>
          <w:szCs w:val="22"/>
        </w:rPr>
      </w:pPr>
      <w:r>
        <w:t>45.</w:t>
      </w:r>
      <w:r>
        <w:tab/>
        <w:t xml:space="preserve">Extension of certain provisions of </w:t>
      </w:r>
      <w:r>
        <w:rPr>
          <w:i/>
        </w:rPr>
        <w:t>Energy Operators (Powers) Act 1979</w:t>
      </w:r>
      <w:r>
        <w:tab/>
      </w:r>
      <w:r>
        <w:fldChar w:fldCharType="begin"/>
      </w:r>
      <w:r>
        <w:instrText xml:space="preserve"> PAGEREF _Toc164842662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10 — Transitional provision</w:t>
      </w:r>
    </w:p>
    <w:p>
      <w:pPr>
        <w:pStyle w:val="TOC8"/>
        <w:rPr>
          <w:rFonts w:asciiTheme="minorHAnsi" w:eastAsiaTheme="minorEastAsia" w:hAnsiTheme="minorHAnsi" w:cstheme="minorBidi"/>
          <w:szCs w:val="22"/>
        </w:rPr>
      </w:pPr>
      <w:r>
        <w:t>46.</w:t>
      </w:r>
      <w:r>
        <w:tab/>
        <w:t>Transitional provision for existing operators</w:t>
      </w:r>
      <w:r>
        <w:tab/>
      </w:r>
      <w:r>
        <w:fldChar w:fldCharType="begin"/>
      </w:r>
      <w:r>
        <w:instrText xml:space="preserve"> PAGEREF _Toc164842664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3 — Supply of electricity to small use customers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47.</w:t>
      </w:r>
      <w:r>
        <w:tab/>
        <w:t>Term used: retail licensee</w:t>
      </w:r>
      <w:r>
        <w:tab/>
      </w:r>
      <w:r>
        <w:fldChar w:fldCharType="begin"/>
      </w:r>
      <w:r>
        <w:instrText xml:space="preserve"> PAGEREF _Toc164842667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2 — Supply contracts</w:t>
      </w:r>
    </w:p>
    <w:p>
      <w:pPr>
        <w:pStyle w:val="TOC8"/>
        <w:rPr>
          <w:rFonts w:asciiTheme="minorHAnsi" w:eastAsiaTheme="minorEastAsia" w:hAnsiTheme="minorHAnsi" w:cstheme="minorBidi"/>
          <w:szCs w:val="22"/>
        </w:rPr>
      </w:pPr>
      <w:r>
        <w:t>48.</w:t>
      </w:r>
      <w:r>
        <w:tab/>
        <w:t>Regulations as to supply contracts</w:t>
      </w:r>
      <w:r>
        <w:tab/>
      </w:r>
      <w:r>
        <w:fldChar w:fldCharType="begin"/>
      </w:r>
      <w:r>
        <w:instrText xml:space="preserve"> PAGEREF _Toc164842669 \h </w:instrText>
      </w:r>
      <w:r>
        <w:fldChar w:fldCharType="separate"/>
      </w:r>
      <w:r>
        <w:t>38</w:t>
      </w:r>
      <w:r>
        <w:fldChar w:fldCharType="end"/>
      </w:r>
    </w:p>
    <w:p>
      <w:pPr>
        <w:pStyle w:val="TOC8"/>
        <w:rPr>
          <w:rFonts w:asciiTheme="minorHAnsi" w:eastAsiaTheme="minorEastAsia" w:hAnsiTheme="minorHAnsi" w:cstheme="minorBidi"/>
          <w:szCs w:val="22"/>
        </w:rPr>
      </w:pPr>
      <w:r>
        <w:t>49.</w:t>
      </w:r>
      <w:r>
        <w:tab/>
        <w:t>Form of contract to be submitted with application for grant, renewal or transfer</w:t>
      </w:r>
      <w:r>
        <w:tab/>
      </w:r>
      <w:r>
        <w:fldChar w:fldCharType="begin"/>
      </w:r>
      <w:r>
        <w:instrText xml:space="preserve"> PAGEREF _Toc164842670 \h </w:instrText>
      </w:r>
      <w:r>
        <w:fldChar w:fldCharType="separate"/>
      </w:r>
      <w:r>
        <w:t>39</w:t>
      </w:r>
      <w:r>
        <w:fldChar w:fldCharType="end"/>
      </w:r>
    </w:p>
    <w:p>
      <w:pPr>
        <w:pStyle w:val="TOC8"/>
        <w:rPr>
          <w:rFonts w:asciiTheme="minorHAnsi" w:eastAsiaTheme="minorEastAsia" w:hAnsiTheme="minorHAnsi" w:cstheme="minorBidi"/>
          <w:szCs w:val="22"/>
        </w:rPr>
      </w:pPr>
      <w:r>
        <w:t>50.</w:t>
      </w:r>
      <w:r>
        <w:tab/>
        <w:t>Licence application not to be granted unless standard form contract approved</w:t>
      </w:r>
      <w:r>
        <w:tab/>
      </w:r>
      <w:r>
        <w:fldChar w:fldCharType="begin"/>
      </w:r>
      <w:r>
        <w:instrText xml:space="preserve"> PAGEREF _Toc164842671 \h </w:instrText>
      </w:r>
      <w:r>
        <w:fldChar w:fldCharType="separate"/>
      </w:r>
      <w:r>
        <w:t>40</w:t>
      </w:r>
      <w:r>
        <w:fldChar w:fldCharType="end"/>
      </w:r>
    </w:p>
    <w:p>
      <w:pPr>
        <w:pStyle w:val="TOC8"/>
        <w:rPr>
          <w:rFonts w:asciiTheme="minorHAnsi" w:eastAsiaTheme="minorEastAsia" w:hAnsiTheme="minorHAnsi" w:cstheme="minorBidi"/>
          <w:szCs w:val="22"/>
        </w:rPr>
      </w:pPr>
      <w:r>
        <w:t>51.</w:t>
      </w:r>
      <w:r>
        <w:tab/>
        <w:t>Approval of standard form contract</w:t>
      </w:r>
      <w:r>
        <w:tab/>
      </w:r>
      <w:r>
        <w:fldChar w:fldCharType="begin"/>
      </w:r>
      <w:r>
        <w:instrText xml:space="preserve"> PAGEREF _Toc164842672 \h </w:instrText>
      </w:r>
      <w:r>
        <w:fldChar w:fldCharType="separate"/>
      </w:r>
      <w:r>
        <w:t>41</w:t>
      </w:r>
      <w:r>
        <w:fldChar w:fldCharType="end"/>
      </w:r>
    </w:p>
    <w:p>
      <w:pPr>
        <w:pStyle w:val="TOC8"/>
        <w:rPr>
          <w:rFonts w:asciiTheme="minorHAnsi" w:eastAsiaTheme="minorEastAsia" w:hAnsiTheme="minorHAnsi" w:cstheme="minorBidi"/>
          <w:szCs w:val="22"/>
        </w:rPr>
      </w:pPr>
      <w:r>
        <w:t>52.</w:t>
      </w:r>
      <w:r>
        <w:tab/>
        <w:t>Amendment or replacement of standard form contract</w:t>
      </w:r>
      <w:r>
        <w:tab/>
      </w:r>
      <w:r>
        <w:fldChar w:fldCharType="begin"/>
      </w:r>
      <w:r>
        <w:instrText xml:space="preserve"> PAGEREF _Toc164842673 \h </w:instrText>
      </w:r>
      <w:r>
        <w:fldChar w:fldCharType="separate"/>
      </w:r>
      <w:r>
        <w:t>41</w:t>
      </w:r>
      <w:r>
        <w:fldChar w:fldCharType="end"/>
      </w:r>
    </w:p>
    <w:p>
      <w:pPr>
        <w:pStyle w:val="TOC8"/>
        <w:rPr>
          <w:rFonts w:asciiTheme="minorHAnsi" w:eastAsiaTheme="minorEastAsia" w:hAnsiTheme="minorHAnsi" w:cstheme="minorBidi"/>
          <w:szCs w:val="22"/>
        </w:rPr>
      </w:pPr>
      <w:r>
        <w:t>53.</w:t>
      </w:r>
      <w:r>
        <w:tab/>
        <w:t>Authority may direct that amendment be made</w:t>
      </w:r>
      <w:r>
        <w:tab/>
      </w:r>
      <w:r>
        <w:fldChar w:fldCharType="begin"/>
      </w:r>
      <w:r>
        <w:instrText xml:space="preserve"> PAGEREF _Toc164842674 \h </w:instrText>
      </w:r>
      <w:r>
        <w:fldChar w:fldCharType="separate"/>
      </w:r>
      <w:r>
        <w:t>41</w:t>
      </w:r>
      <w:r>
        <w:fldChar w:fldCharType="end"/>
      </w:r>
    </w:p>
    <w:p>
      <w:pPr>
        <w:pStyle w:val="TOC8"/>
        <w:rPr>
          <w:rFonts w:asciiTheme="minorHAnsi" w:eastAsiaTheme="minorEastAsia" w:hAnsiTheme="minorHAnsi" w:cstheme="minorBidi"/>
          <w:szCs w:val="22"/>
        </w:rPr>
      </w:pPr>
      <w:r>
        <w:t>54.</w:t>
      </w:r>
      <w:r>
        <w:tab/>
        <w:t>Licence condition: contracts</w:t>
      </w:r>
      <w:r>
        <w:tab/>
      </w:r>
      <w:r>
        <w:fldChar w:fldCharType="begin"/>
      </w:r>
      <w:r>
        <w:instrText xml:space="preserve"> PAGEREF _Toc164842675 \h </w:instrText>
      </w:r>
      <w:r>
        <w:fldChar w:fldCharType="separate"/>
      </w:r>
      <w:r>
        <w:t>42</w:t>
      </w:r>
      <w:r>
        <w:fldChar w:fldCharType="end"/>
      </w:r>
    </w:p>
    <w:p>
      <w:pPr>
        <w:pStyle w:val="TOC8"/>
        <w:rPr>
          <w:rFonts w:asciiTheme="minorHAnsi" w:eastAsiaTheme="minorEastAsia" w:hAnsiTheme="minorHAnsi" w:cstheme="minorBidi"/>
          <w:szCs w:val="22"/>
        </w:rPr>
      </w:pPr>
      <w:r>
        <w:t>54A.</w:t>
      </w:r>
      <w:r>
        <w:tab/>
        <w:t>Electricity corporations required to offer to supply electricity under prescribed form of contract</w:t>
      </w:r>
      <w:r>
        <w:tab/>
      </w:r>
      <w:r>
        <w:fldChar w:fldCharType="begin"/>
      </w:r>
      <w:r>
        <w:instrText xml:space="preserve"> PAGEREF _Toc164842676 \h </w:instrText>
      </w:r>
      <w:r>
        <w:fldChar w:fldCharType="separate"/>
      </w:r>
      <w:r>
        <w:t>43</w:t>
      </w:r>
      <w:r>
        <w:fldChar w:fldCharType="end"/>
      </w:r>
    </w:p>
    <w:p>
      <w:pPr>
        <w:pStyle w:val="TOC8"/>
        <w:rPr>
          <w:rFonts w:asciiTheme="minorHAnsi" w:eastAsiaTheme="minorEastAsia" w:hAnsiTheme="minorHAnsi" w:cstheme="minorBidi"/>
          <w:szCs w:val="22"/>
        </w:rPr>
      </w:pPr>
      <w:r>
        <w:t>54B.</w:t>
      </w:r>
      <w:r>
        <w:tab/>
        <w:t>Enforcement of obligation in section 54A(2)</w:t>
      </w:r>
      <w:r>
        <w:tab/>
      </w:r>
      <w:r>
        <w:fldChar w:fldCharType="begin"/>
      </w:r>
      <w:r>
        <w:instrText xml:space="preserve"> PAGEREF _Toc164842677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3 — Connection to distribution system</w:t>
      </w:r>
    </w:p>
    <w:p>
      <w:pPr>
        <w:pStyle w:val="TOC8"/>
        <w:rPr>
          <w:rFonts w:asciiTheme="minorHAnsi" w:eastAsiaTheme="minorEastAsia" w:hAnsiTheme="minorHAnsi" w:cstheme="minorBidi"/>
          <w:szCs w:val="22"/>
        </w:rPr>
      </w:pPr>
      <w:r>
        <w:t>57.</w:t>
      </w:r>
      <w:r>
        <w:tab/>
        <w:t>Terms used</w:t>
      </w:r>
      <w:r>
        <w:tab/>
      </w:r>
      <w:r>
        <w:fldChar w:fldCharType="begin"/>
      </w:r>
      <w:r>
        <w:instrText xml:space="preserve"> PAGEREF _Toc164842679 \h </w:instrText>
      </w:r>
      <w:r>
        <w:fldChar w:fldCharType="separate"/>
      </w:r>
      <w:r>
        <w:t>45</w:t>
      </w:r>
      <w:r>
        <w:fldChar w:fldCharType="end"/>
      </w:r>
    </w:p>
    <w:p>
      <w:pPr>
        <w:pStyle w:val="TOC8"/>
        <w:rPr>
          <w:rFonts w:asciiTheme="minorHAnsi" w:eastAsiaTheme="minorEastAsia" w:hAnsiTheme="minorHAnsi" w:cstheme="minorBidi"/>
          <w:szCs w:val="22"/>
        </w:rPr>
      </w:pPr>
      <w:r>
        <w:t>58.</w:t>
      </w:r>
      <w:r>
        <w:tab/>
        <w:t>Regulations as to connection</w:t>
      </w:r>
      <w:r>
        <w:tab/>
      </w:r>
      <w:r>
        <w:fldChar w:fldCharType="begin"/>
      </w:r>
      <w:r>
        <w:instrText xml:space="preserve"> PAGEREF _Toc164842680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4 — Default supplier</w:t>
      </w:r>
    </w:p>
    <w:p>
      <w:pPr>
        <w:pStyle w:val="TOC8"/>
        <w:rPr>
          <w:rFonts w:asciiTheme="minorHAnsi" w:eastAsiaTheme="minorEastAsia" w:hAnsiTheme="minorHAnsi" w:cstheme="minorBidi"/>
          <w:szCs w:val="22"/>
        </w:rPr>
      </w:pPr>
      <w:r>
        <w:t>59.</w:t>
      </w:r>
      <w:r>
        <w:tab/>
        <w:t>Regulations as to default supplier</w:t>
      </w:r>
      <w:r>
        <w:tab/>
      </w:r>
      <w:r>
        <w:fldChar w:fldCharType="begin"/>
      </w:r>
      <w:r>
        <w:instrText xml:space="preserve"> PAGEREF _Toc164842682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3A — Registration framework for alternative electricity services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59A.</w:t>
      </w:r>
      <w:r>
        <w:tab/>
        <w:t>Purpose of Part</w:t>
      </w:r>
      <w:r>
        <w:tab/>
      </w:r>
      <w:r>
        <w:fldChar w:fldCharType="begin"/>
      </w:r>
      <w:r>
        <w:instrText xml:space="preserve"> PAGEREF _Toc164842685 \h </w:instrText>
      </w:r>
      <w:r>
        <w:fldChar w:fldCharType="separate"/>
      </w:r>
      <w:r>
        <w:t>48</w:t>
      </w:r>
      <w:r>
        <w:fldChar w:fldCharType="end"/>
      </w:r>
    </w:p>
    <w:p>
      <w:pPr>
        <w:pStyle w:val="TOC8"/>
        <w:rPr>
          <w:rFonts w:asciiTheme="minorHAnsi" w:eastAsiaTheme="minorEastAsia" w:hAnsiTheme="minorHAnsi" w:cstheme="minorBidi"/>
          <w:szCs w:val="22"/>
        </w:rPr>
      </w:pPr>
      <w:r>
        <w:t>59B.</w:t>
      </w:r>
      <w:r>
        <w:tab/>
        <w:t>Terms used</w:t>
      </w:r>
      <w:r>
        <w:tab/>
      </w:r>
      <w:r>
        <w:fldChar w:fldCharType="begin"/>
      </w:r>
      <w:r>
        <w:instrText xml:space="preserve"> PAGEREF _Toc164842686 \h </w:instrText>
      </w:r>
      <w:r>
        <w:fldChar w:fldCharType="separate"/>
      </w:r>
      <w:r>
        <w:t>48</w:t>
      </w:r>
      <w:r>
        <w:fldChar w:fldCharType="end"/>
      </w:r>
    </w:p>
    <w:p>
      <w:pPr>
        <w:pStyle w:val="TOC8"/>
        <w:rPr>
          <w:rFonts w:asciiTheme="minorHAnsi" w:eastAsiaTheme="minorEastAsia" w:hAnsiTheme="minorHAnsi" w:cstheme="minorBidi"/>
          <w:szCs w:val="22"/>
        </w:rPr>
      </w:pPr>
      <w:r>
        <w:t>59C.</w:t>
      </w:r>
      <w:r>
        <w:tab/>
        <w:t>Alternative electricity services</w:t>
      </w:r>
      <w:r>
        <w:tab/>
      </w:r>
      <w:r>
        <w:fldChar w:fldCharType="begin"/>
      </w:r>
      <w:r>
        <w:instrText xml:space="preserve"> PAGEREF _Toc164842687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Registration requirements</w:t>
      </w:r>
    </w:p>
    <w:p>
      <w:pPr>
        <w:pStyle w:val="TOC8"/>
        <w:rPr>
          <w:rFonts w:asciiTheme="minorHAnsi" w:eastAsiaTheme="minorEastAsia" w:hAnsiTheme="minorHAnsi" w:cstheme="minorBidi"/>
          <w:szCs w:val="22"/>
        </w:rPr>
      </w:pPr>
      <w:r>
        <w:t>59D.</w:t>
      </w:r>
      <w:r>
        <w:tab/>
        <w:t>Requirement for registration</w:t>
      </w:r>
      <w:r>
        <w:tab/>
      </w:r>
      <w:r>
        <w:fldChar w:fldCharType="begin"/>
      </w:r>
      <w:r>
        <w:instrText xml:space="preserve"> PAGEREF _Toc164842689 \h </w:instrText>
      </w:r>
      <w:r>
        <w:fldChar w:fldCharType="separate"/>
      </w:r>
      <w:r>
        <w:t>51</w:t>
      </w:r>
      <w:r>
        <w:fldChar w:fldCharType="end"/>
      </w:r>
    </w:p>
    <w:p>
      <w:pPr>
        <w:pStyle w:val="TOC8"/>
        <w:rPr>
          <w:rFonts w:asciiTheme="minorHAnsi" w:eastAsiaTheme="minorEastAsia" w:hAnsiTheme="minorHAnsi" w:cstheme="minorBidi"/>
          <w:szCs w:val="22"/>
        </w:rPr>
      </w:pPr>
      <w:r>
        <w:t>59E.</w:t>
      </w:r>
      <w:r>
        <w:tab/>
        <w:t>Registration holder to comply with terms and conditions of registration</w:t>
      </w:r>
      <w:r>
        <w:tab/>
      </w:r>
      <w:r>
        <w:fldChar w:fldCharType="begin"/>
      </w:r>
      <w:r>
        <w:instrText xml:space="preserve"> PAGEREF _Toc164842690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 — General registration provisions</w:t>
      </w:r>
    </w:p>
    <w:p>
      <w:pPr>
        <w:pStyle w:val="TOC8"/>
        <w:rPr>
          <w:rFonts w:asciiTheme="minorHAnsi" w:eastAsiaTheme="minorEastAsia" w:hAnsiTheme="minorHAnsi" w:cstheme="minorBidi"/>
          <w:szCs w:val="22"/>
        </w:rPr>
      </w:pPr>
      <w:r>
        <w:t>59F.</w:t>
      </w:r>
      <w:r>
        <w:tab/>
        <w:t>Authority to consider public interest</w:t>
      </w:r>
      <w:r>
        <w:tab/>
      </w:r>
      <w:r>
        <w:fldChar w:fldCharType="begin"/>
      </w:r>
      <w:r>
        <w:instrText xml:space="preserve"> PAGEREF _Toc164842692 \h </w:instrText>
      </w:r>
      <w:r>
        <w:fldChar w:fldCharType="separate"/>
      </w:r>
      <w:r>
        <w:t>52</w:t>
      </w:r>
      <w:r>
        <w:fldChar w:fldCharType="end"/>
      </w:r>
    </w:p>
    <w:p>
      <w:pPr>
        <w:pStyle w:val="TOC8"/>
        <w:rPr>
          <w:rFonts w:asciiTheme="minorHAnsi" w:eastAsiaTheme="minorEastAsia" w:hAnsiTheme="minorHAnsi" w:cstheme="minorBidi"/>
          <w:szCs w:val="22"/>
        </w:rPr>
      </w:pPr>
      <w:r>
        <w:t>59G.</w:t>
      </w:r>
      <w:r>
        <w:tab/>
        <w:t>Application for registration</w:t>
      </w:r>
      <w:r>
        <w:tab/>
      </w:r>
      <w:r>
        <w:fldChar w:fldCharType="begin"/>
      </w:r>
      <w:r>
        <w:instrText xml:space="preserve"> PAGEREF _Toc164842693 \h </w:instrText>
      </w:r>
      <w:r>
        <w:fldChar w:fldCharType="separate"/>
      </w:r>
      <w:r>
        <w:t>53</w:t>
      </w:r>
      <w:r>
        <w:fldChar w:fldCharType="end"/>
      </w:r>
    </w:p>
    <w:p>
      <w:pPr>
        <w:pStyle w:val="TOC8"/>
        <w:rPr>
          <w:rFonts w:asciiTheme="minorHAnsi" w:eastAsiaTheme="minorEastAsia" w:hAnsiTheme="minorHAnsi" w:cstheme="minorBidi"/>
          <w:szCs w:val="22"/>
        </w:rPr>
      </w:pPr>
      <w:r>
        <w:t>59H.</w:t>
      </w:r>
      <w:r>
        <w:tab/>
        <w:t>Renewal of registration</w:t>
      </w:r>
      <w:r>
        <w:tab/>
      </w:r>
      <w:r>
        <w:fldChar w:fldCharType="begin"/>
      </w:r>
      <w:r>
        <w:instrText xml:space="preserve"> PAGEREF _Toc164842694 \h </w:instrText>
      </w:r>
      <w:r>
        <w:fldChar w:fldCharType="separate"/>
      </w:r>
      <w:r>
        <w:t>53</w:t>
      </w:r>
      <w:r>
        <w:fldChar w:fldCharType="end"/>
      </w:r>
    </w:p>
    <w:p>
      <w:pPr>
        <w:pStyle w:val="TOC8"/>
        <w:rPr>
          <w:rFonts w:asciiTheme="minorHAnsi" w:eastAsiaTheme="minorEastAsia" w:hAnsiTheme="minorHAnsi" w:cstheme="minorBidi"/>
          <w:szCs w:val="22"/>
        </w:rPr>
      </w:pPr>
      <w:r>
        <w:t>59I.</w:t>
      </w:r>
      <w:r>
        <w:tab/>
        <w:t>Amendment of registration</w:t>
      </w:r>
      <w:r>
        <w:tab/>
      </w:r>
      <w:r>
        <w:fldChar w:fldCharType="begin"/>
      </w:r>
      <w:r>
        <w:instrText xml:space="preserve"> PAGEREF _Toc164842695 \h </w:instrText>
      </w:r>
      <w:r>
        <w:fldChar w:fldCharType="separate"/>
      </w:r>
      <w:r>
        <w:t>53</w:t>
      </w:r>
      <w:r>
        <w:fldChar w:fldCharType="end"/>
      </w:r>
    </w:p>
    <w:p>
      <w:pPr>
        <w:pStyle w:val="TOC8"/>
        <w:rPr>
          <w:rFonts w:asciiTheme="minorHAnsi" w:eastAsiaTheme="minorEastAsia" w:hAnsiTheme="minorHAnsi" w:cstheme="minorBidi"/>
          <w:szCs w:val="22"/>
        </w:rPr>
      </w:pPr>
      <w:r>
        <w:t>59J.</w:t>
      </w:r>
      <w:r>
        <w:tab/>
        <w:t>Transfer of registration</w:t>
      </w:r>
      <w:r>
        <w:tab/>
      </w:r>
      <w:r>
        <w:fldChar w:fldCharType="begin"/>
      </w:r>
      <w:r>
        <w:instrText xml:space="preserve"> PAGEREF _Toc164842696 \h </w:instrText>
      </w:r>
      <w:r>
        <w:fldChar w:fldCharType="separate"/>
      </w:r>
      <w:r>
        <w:t>54</w:t>
      </w:r>
      <w:r>
        <w:fldChar w:fldCharType="end"/>
      </w:r>
    </w:p>
    <w:p>
      <w:pPr>
        <w:pStyle w:val="TOC8"/>
        <w:rPr>
          <w:rFonts w:asciiTheme="minorHAnsi" w:eastAsiaTheme="minorEastAsia" w:hAnsiTheme="minorHAnsi" w:cstheme="minorBidi"/>
          <w:szCs w:val="22"/>
        </w:rPr>
      </w:pPr>
      <w:r>
        <w:t>59K.</w:t>
      </w:r>
      <w:r>
        <w:tab/>
        <w:t>Further information</w:t>
      </w:r>
      <w:r>
        <w:tab/>
      </w:r>
      <w:r>
        <w:fldChar w:fldCharType="begin"/>
      </w:r>
      <w:r>
        <w:instrText xml:space="preserve"> PAGEREF _Toc164842697 \h </w:instrText>
      </w:r>
      <w:r>
        <w:fldChar w:fldCharType="separate"/>
      </w:r>
      <w:r>
        <w:t>54</w:t>
      </w:r>
      <w:r>
        <w:fldChar w:fldCharType="end"/>
      </w:r>
    </w:p>
    <w:p>
      <w:pPr>
        <w:pStyle w:val="TOC8"/>
        <w:rPr>
          <w:rFonts w:asciiTheme="minorHAnsi" w:eastAsiaTheme="minorEastAsia" w:hAnsiTheme="minorHAnsi" w:cstheme="minorBidi"/>
          <w:szCs w:val="22"/>
        </w:rPr>
      </w:pPr>
      <w:r>
        <w:t>59L.</w:t>
      </w:r>
      <w:r>
        <w:tab/>
        <w:t>Public consultation on grant, renewal, amendment or transfer of registration</w:t>
      </w:r>
      <w:r>
        <w:tab/>
      </w:r>
      <w:r>
        <w:fldChar w:fldCharType="begin"/>
      </w:r>
      <w:r>
        <w:instrText xml:space="preserve"> PAGEREF _Toc164842698 \h </w:instrText>
      </w:r>
      <w:r>
        <w:fldChar w:fldCharType="separate"/>
      </w:r>
      <w:r>
        <w:t>54</w:t>
      </w:r>
      <w:r>
        <w:fldChar w:fldCharType="end"/>
      </w:r>
    </w:p>
    <w:p>
      <w:pPr>
        <w:pStyle w:val="TOC8"/>
        <w:rPr>
          <w:rFonts w:asciiTheme="minorHAnsi" w:eastAsiaTheme="minorEastAsia" w:hAnsiTheme="minorHAnsi" w:cstheme="minorBidi"/>
          <w:szCs w:val="22"/>
        </w:rPr>
      </w:pPr>
      <w:r>
        <w:t>59M.</w:t>
      </w:r>
      <w:r>
        <w:tab/>
        <w:t>Decision to grant, renew, amend or approve transfer of registration</w:t>
      </w:r>
      <w:r>
        <w:tab/>
      </w:r>
      <w:r>
        <w:fldChar w:fldCharType="begin"/>
      </w:r>
      <w:r>
        <w:instrText xml:space="preserve"> PAGEREF _Toc164842699 \h </w:instrText>
      </w:r>
      <w:r>
        <w:fldChar w:fldCharType="separate"/>
      </w:r>
      <w:r>
        <w:t>55</w:t>
      </w:r>
      <w:r>
        <w:fldChar w:fldCharType="end"/>
      </w:r>
    </w:p>
    <w:p>
      <w:pPr>
        <w:pStyle w:val="TOC8"/>
        <w:rPr>
          <w:rFonts w:asciiTheme="minorHAnsi" w:eastAsiaTheme="minorEastAsia" w:hAnsiTheme="minorHAnsi" w:cstheme="minorBidi"/>
          <w:szCs w:val="22"/>
        </w:rPr>
      </w:pPr>
      <w:r>
        <w:t>59N.</w:t>
      </w:r>
      <w:r>
        <w:tab/>
        <w:t>Registration area</w:t>
      </w:r>
      <w:r>
        <w:tab/>
      </w:r>
      <w:r>
        <w:fldChar w:fldCharType="begin"/>
      </w:r>
      <w:r>
        <w:instrText xml:space="preserve"> PAGEREF _Toc164842700 \h </w:instrText>
      </w:r>
      <w:r>
        <w:fldChar w:fldCharType="separate"/>
      </w:r>
      <w:r>
        <w:t>55</w:t>
      </w:r>
      <w:r>
        <w:fldChar w:fldCharType="end"/>
      </w:r>
    </w:p>
    <w:p>
      <w:pPr>
        <w:pStyle w:val="TOC8"/>
        <w:rPr>
          <w:rFonts w:asciiTheme="minorHAnsi" w:eastAsiaTheme="minorEastAsia" w:hAnsiTheme="minorHAnsi" w:cstheme="minorBidi"/>
          <w:szCs w:val="22"/>
        </w:rPr>
      </w:pPr>
      <w:r>
        <w:t>59O.</w:t>
      </w:r>
      <w:r>
        <w:tab/>
        <w:t>Registration is subject to terms and conditions</w:t>
      </w:r>
      <w:r>
        <w:tab/>
      </w:r>
      <w:r>
        <w:fldChar w:fldCharType="begin"/>
      </w:r>
      <w:r>
        <w:instrText xml:space="preserve"> PAGEREF _Toc164842701 \h </w:instrText>
      </w:r>
      <w:r>
        <w:fldChar w:fldCharType="separate"/>
      </w:r>
      <w:r>
        <w:t>55</w:t>
      </w:r>
      <w:r>
        <w:fldChar w:fldCharType="end"/>
      </w:r>
    </w:p>
    <w:p>
      <w:pPr>
        <w:pStyle w:val="TOC8"/>
        <w:rPr>
          <w:rFonts w:asciiTheme="minorHAnsi" w:eastAsiaTheme="minorEastAsia" w:hAnsiTheme="minorHAnsi" w:cstheme="minorBidi"/>
          <w:szCs w:val="22"/>
        </w:rPr>
      </w:pPr>
      <w:r>
        <w:t>59P.</w:t>
      </w:r>
      <w:r>
        <w:tab/>
        <w:t>Duration of registration</w:t>
      </w:r>
      <w:r>
        <w:tab/>
      </w:r>
      <w:r>
        <w:fldChar w:fldCharType="begin"/>
      </w:r>
      <w:r>
        <w:instrText xml:space="preserve"> PAGEREF _Toc164842702 \h </w:instrText>
      </w:r>
      <w:r>
        <w:fldChar w:fldCharType="separate"/>
      </w:r>
      <w:r>
        <w:t>56</w:t>
      </w:r>
      <w:r>
        <w:fldChar w:fldCharType="end"/>
      </w:r>
    </w:p>
    <w:p>
      <w:pPr>
        <w:pStyle w:val="TOC8"/>
        <w:rPr>
          <w:rFonts w:asciiTheme="minorHAnsi" w:eastAsiaTheme="minorEastAsia" w:hAnsiTheme="minorHAnsi" w:cstheme="minorBidi"/>
          <w:szCs w:val="22"/>
        </w:rPr>
      </w:pPr>
      <w:r>
        <w:t>59Q.</w:t>
      </w:r>
      <w:r>
        <w:tab/>
        <w:t>Annual fees</w:t>
      </w:r>
      <w:r>
        <w:tab/>
      </w:r>
      <w:r>
        <w:fldChar w:fldCharType="begin"/>
      </w:r>
      <w:r>
        <w:instrText xml:space="preserve"> PAGEREF _Toc164842703 \h </w:instrText>
      </w:r>
      <w:r>
        <w:fldChar w:fldCharType="separate"/>
      </w:r>
      <w:r>
        <w:t>56</w:t>
      </w:r>
      <w:r>
        <w:fldChar w:fldCharType="end"/>
      </w:r>
    </w:p>
    <w:p>
      <w:pPr>
        <w:pStyle w:val="TOC8"/>
        <w:rPr>
          <w:rFonts w:asciiTheme="minorHAnsi" w:eastAsiaTheme="minorEastAsia" w:hAnsiTheme="minorHAnsi" w:cstheme="minorBidi"/>
          <w:szCs w:val="22"/>
        </w:rPr>
      </w:pPr>
      <w:r>
        <w:t>59R.</w:t>
      </w:r>
      <w:r>
        <w:tab/>
        <w:t>Surrender of registration</w:t>
      </w:r>
      <w:r>
        <w:tab/>
      </w:r>
      <w:r>
        <w:fldChar w:fldCharType="begin"/>
      </w:r>
      <w:r>
        <w:instrText xml:space="preserve"> PAGEREF _Toc164842704 \h </w:instrText>
      </w:r>
      <w:r>
        <w:fldChar w:fldCharType="separate"/>
      </w:r>
      <w:r>
        <w:t>57</w:t>
      </w:r>
      <w:r>
        <w:fldChar w:fldCharType="end"/>
      </w:r>
    </w:p>
    <w:p>
      <w:pPr>
        <w:pStyle w:val="TOC8"/>
        <w:rPr>
          <w:rFonts w:asciiTheme="minorHAnsi" w:eastAsiaTheme="minorEastAsia" w:hAnsiTheme="minorHAnsi" w:cstheme="minorBidi"/>
          <w:szCs w:val="22"/>
        </w:rPr>
      </w:pPr>
      <w:r>
        <w:t>59S.</w:t>
      </w:r>
      <w:r>
        <w:tab/>
        <w:t>Other laws not affected</w:t>
      </w:r>
      <w:r>
        <w:tab/>
      </w:r>
      <w:r>
        <w:fldChar w:fldCharType="begin"/>
      </w:r>
      <w:r>
        <w:instrText xml:space="preserve"> PAGEREF _Toc164842705 \h </w:instrText>
      </w:r>
      <w:r>
        <w:fldChar w:fldCharType="separate"/>
      </w:r>
      <w:r>
        <w:t>57</w:t>
      </w:r>
      <w:r>
        <w:fldChar w:fldCharType="end"/>
      </w:r>
    </w:p>
    <w:p>
      <w:pPr>
        <w:pStyle w:val="TOC8"/>
        <w:rPr>
          <w:rFonts w:asciiTheme="minorHAnsi" w:eastAsiaTheme="minorEastAsia" w:hAnsiTheme="minorHAnsi" w:cstheme="minorBidi"/>
          <w:szCs w:val="22"/>
        </w:rPr>
      </w:pPr>
      <w:r>
        <w:t>59T.</w:t>
      </w:r>
      <w:r>
        <w:tab/>
        <w:t>Notice of decision</w:t>
      </w:r>
      <w:r>
        <w:tab/>
      </w:r>
      <w:r>
        <w:fldChar w:fldCharType="begin"/>
      </w:r>
      <w:r>
        <w:instrText xml:space="preserve"> PAGEREF _Toc164842706 \h </w:instrText>
      </w:r>
      <w:r>
        <w:fldChar w:fldCharType="separate"/>
      </w:r>
      <w:r>
        <w:t>57</w:t>
      </w:r>
      <w:r>
        <w:fldChar w:fldCharType="end"/>
      </w:r>
    </w:p>
    <w:p>
      <w:pPr>
        <w:pStyle w:val="TOC8"/>
        <w:rPr>
          <w:rFonts w:asciiTheme="minorHAnsi" w:eastAsiaTheme="minorEastAsia" w:hAnsiTheme="minorHAnsi" w:cstheme="minorBidi"/>
          <w:szCs w:val="22"/>
        </w:rPr>
      </w:pPr>
      <w:r>
        <w:t>59U.</w:t>
      </w:r>
      <w:r>
        <w:tab/>
        <w:t>Review of certain decisions</w:t>
      </w:r>
      <w:r>
        <w:tab/>
      </w:r>
      <w:r>
        <w:fldChar w:fldCharType="begin"/>
      </w:r>
      <w:r>
        <w:instrText xml:space="preserve"> PAGEREF _Toc164842707 \h </w:instrText>
      </w:r>
      <w:r>
        <w:fldChar w:fldCharType="separate"/>
      </w:r>
      <w:r>
        <w:t>58</w:t>
      </w:r>
      <w:r>
        <w:fldChar w:fldCharType="end"/>
      </w:r>
    </w:p>
    <w:p>
      <w:pPr>
        <w:pStyle w:val="TOC8"/>
        <w:rPr>
          <w:rFonts w:asciiTheme="minorHAnsi" w:eastAsiaTheme="minorEastAsia" w:hAnsiTheme="minorHAnsi" w:cstheme="minorBidi"/>
          <w:szCs w:val="22"/>
        </w:rPr>
      </w:pPr>
      <w:r>
        <w:t>59V.</w:t>
      </w:r>
      <w:r>
        <w:tab/>
        <w:t>Register</w:t>
      </w:r>
      <w:r>
        <w:tab/>
      </w:r>
      <w:r>
        <w:fldChar w:fldCharType="begin"/>
      </w:r>
      <w:r>
        <w:instrText xml:space="preserve"> PAGEREF _Toc164842708 \h </w:instrText>
      </w:r>
      <w:r>
        <w:fldChar w:fldCharType="separate"/>
      </w:r>
      <w:r>
        <w:t>60</w:t>
      </w:r>
      <w:r>
        <w:fldChar w:fldCharType="end"/>
      </w:r>
    </w:p>
    <w:p>
      <w:pPr>
        <w:pStyle w:val="TOC8"/>
        <w:rPr>
          <w:rFonts w:asciiTheme="minorHAnsi" w:eastAsiaTheme="minorEastAsia" w:hAnsiTheme="minorHAnsi" w:cstheme="minorBidi"/>
          <w:szCs w:val="22"/>
        </w:rPr>
      </w:pPr>
      <w:r>
        <w:t>59W.</w:t>
      </w:r>
      <w:r>
        <w:tab/>
        <w:t>Fee regulations</w:t>
      </w:r>
      <w:r>
        <w:tab/>
      </w:r>
      <w:r>
        <w:fldChar w:fldCharType="begin"/>
      </w:r>
      <w:r>
        <w:instrText xml:space="preserve"> PAGEREF _Toc164842709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4 — AES code of practice</w:t>
      </w:r>
    </w:p>
    <w:p>
      <w:pPr>
        <w:pStyle w:val="TOC8"/>
        <w:rPr>
          <w:rFonts w:asciiTheme="minorHAnsi" w:eastAsiaTheme="minorEastAsia" w:hAnsiTheme="minorHAnsi" w:cstheme="minorBidi"/>
          <w:szCs w:val="22"/>
        </w:rPr>
      </w:pPr>
      <w:r>
        <w:t>59X.</w:t>
      </w:r>
      <w:r>
        <w:tab/>
        <w:t>AES code of practice</w:t>
      </w:r>
      <w:r>
        <w:tab/>
      </w:r>
      <w:r>
        <w:fldChar w:fldCharType="begin"/>
      </w:r>
      <w:r>
        <w:instrText xml:space="preserve"> PAGEREF _Toc164842711 \h </w:instrText>
      </w:r>
      <w:r>
        <w:fldChar w:fldCharType="separate"/>
      </w:r>
      <w:r>
        <w:t>62</w:t>
      </w:r>
      <w:r>
        <w:fldChar w:fldCharType="end"/>
      </w:r>
    </w:p>
    <w:p>
      <w:pPr>
        <w:pStyle w:val="TOC8"/>
        <w:rPr>
          <w:rFonts w:asciiTheme="minorHAnsi" w:eastAsiaTheme="minorEastAsia" w:hAnsiTheme="minorHAnsi" w:cstheme="minorBidi"/>
          <w:szCs w:val="22"/>
        </w:rPr>
      </w:pPr>
      <w:r>
        <w:t>59Y.</w:t>
      </w:r>
      <w:r>
        <w:tab/>
        <w:t>AES code of practice is subsidiary legislation</w:t>
      </w:r>
      <w:r>
        <w:tab/>
      </w:r>
      <w:r>
        <w:fldChar w:fldCharType="begin"/>
      </w:r>
      <w:r>
        <w:instrText xml:space="preserve"> PAGEREF _Toc164842712 \h </w:instrText>
      </w:r>
      <w:r>
        <w:fldChar w:fldCharType="separate"/>
      </w:r>
      <w:r>
        <w:t>64</w:t>
      </w:r>
      <w:r>
        <w:fldChar w:fldCharType="end"/>
      </w:r>
    </w:p>
    <w:p>
      <w:pPr>
        <w:pStyle w:val="TOC8"/>
        <w:rPr>
          <w:rFonts w:asciiTheme="minorHAnsi" w:eastAsiaTheme="minorEastAsia" w:hAnsiTheme="minorHAnsi" w:cstheme="minorBidi"/>
          <w:szCs w:val="22"/>
        </w:rPr>
      </w:pPr>
      <w:r>
        <w:t>59Z.</w:t>
      </w:r>
      <w:r>
        <w:tab/>
        <w:t>Public consultation on issue, amendment or replacement of AES code of practice</w:t>
      </w:r>
      <w:r>
        <w:tab/>
      </w:r>
      <w:r>
        <w:fldChar w:fldCharType="begin"/>
      </w:r>
      <w:r>
        <w:instrText xml:space="preserve"> PAGEREF _Toc164842713 \h </w:instrText>
      </w:r>
      <w:r>
        <w:fldChar w:fldCharType="separate"/>
      </w:r>
      <w:r>
        <w:t>64</w:t>
      </w:r>
      <w:r>
        <w:fldChar w:fldCharType="end"/>
      </w:r>
    </w:p>
    <w:p>
      <w:pPr>
        <w:pStyle w:val="TOC8"/>
        <w:rPr>
          <w:rFonts w:asciiTheme="minorHAnsi" w:eastAsiaTheme="minorEastAsia" w:hAnsiTheme="minorHAnsi" w:cstheme="minorBidi"/>
          <w:szCs w:val="22"/>
        </w:rPr>
      </w:pPr>
      <w:r>
        <w:t>59ZA.</w:t>
      </w:r>
      <w:r>
        <w:tab/>
        <w:t>Notice to registration holders of amendment or replacement of AES code of practice</w:t>
      </w:r>
      <w:r>
        <w:tab/>
      </w:r>
      <w:r>
        <w:fldChar w:fldCharType="begin"/>
      </w:r>
      <w:r>
        <w:instrText xml:space="preserve"> PAGEREF _Toc164842714 \h </w:instrText>
      </w:r>
      <w:r>
        <w:fldChar w:fldCharType="separate"/>
      </w:r>
      <w:r>
        <w:t>65</w:t>
      </w:r>
      <w:r>
        <w:fldChar w:fldCharType="end"/>
      </w:r>
    </w:p>
    <w:p>
      <w:pPr>
        <w:pStyle w:val="TOC8"/>
        <w:rPr>
          <w:rFonts w:asciiTheme="minorHAnsi" w:eastAsiaTheme="minorEastAsia" w:hAnsiTheme="minorHAnsi" w:cstheme="minorBidi"/>
          <w:szCs w:val="22"/>
        </w:rPr>
      </w:pPr>
      <w:r>
        <w:t>59ZB.</w:t>
      </w:r>
      <w:r>
        <w:tab/>
        <w:t>Review of AES code of practice</w:t>
      </w:r>
      <w:r>
        <w:tab/>
      </w:r>
      <w:r>
        <w:fldChar w:fldCharType="begin"/>
      </w:r>
      <w:r>
        <w:instrText xml:space="preserve"> PAGEREF _Toc164842715 \h </w:instrText>
      </w:r>
      <w:r>
        <w:fldChar w:fldCharType="separate"/>
      </w:r>
      <w:r>
        <w:t>65</w:t>
      </w:r>
      <w:r>
        <w:fldChar w:fldCharType="end"/>
      </w:r>
    </w:p>
    <w:p>
      <w:pPr>
        <w:pStyle w:val="TOC8"/>
        <w:rPr>
          <w:rFonts w:asciiTheme="minorHAnsi" w:eastAsiaTheme="minorEastAsia" w:hAnsiTheme="minorHAnsi" w:cstheme="minorBidi"/>
          <w:szCs w:val="22"/>
        </w:rPr>
      </w:pPr>
      <w:r>
        <w:t>59ZC.</w:t>
      </w:r>
      <w:r>
        <w:tab/>
        <w:t>Public consultation on review</w:t>
      </w:r>
      <w:r>
        <w:tab/>
      </w:r>
      <w:r>
        <w:fldChar w:fldCharType="begin"/>
      </w:r>
      <w:r>
        <w:instrText xml:space="preserve"> PAGEREF _Toc164842716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5 — Functions of Authority</w:t>
      </w:r>
    </w:p>
    <w:p>
      <w:pPr>
        <w:pStyle w:val="TOC8"/>
        <w:rPr>
          <w:rFonts w:asciiTheme="minorHAnsi" w:eastAsiaTheme="minorEastAsia" w:hAnsiTheme="minorHAnsi" w:cstheme="minorBidi"/>
          <w:szCs w:val="22"/>
        </w:rPr>
      </w:pPr>
      <w:r>
        <w:t>59ZD.</w:t>
      </w:r>
      <w:r>
        <w:tab/>
        <w:t>Functions of Authority</w:t>
      </w:r>
      <w:r>
        <w:tab/>
      </w:r>
      <w:r>
        <w:fldChar w:fldCharType="begin"/>
      </w:r>
      <w:r>
        <w:instrText xml:space="preserve"> PAGEREF _Toc164842718 \h </w:instrText>
      </w:r>
      <w:r>
        <w:fldChar w:fldCharType="separate"/>
      </w:r>
      <w:r>
        <w:t>66</w:t>
      </w:r>
      <w:r>
        <w:fldChar w:fldCharType="end"/>
      </w:r>
    </w:p>
    <w:p>
      <w:pPr>
        <w:pStyle w:val="TOC8"/>
        <w:rPr>
          <w:rFonts w:asciiTheme="minorHAnsi" w:eastAsiaTheme="minorEastAsia" w:hAnsiTheme="minorHAnsi" w:cstheme="minorBidi"/>
          <w:szCs w:val="22"/>
        </w:rPr>
      </w:pPr>
      <w:r>
        <w:t>59ZE.</w:t>
      </w:r>
      <w:r>
        <w:tab/>
        <w:t>Annual report</w:t>
      </w:r>
      <w:r>
        <w:tab/>
      </w:r>
      <w:r>
        <w:fldChar w:fldCharType="begin"/>
      </w:r>
      <w:r>
        <w:instrText xml:space="preserve"> PAGEREF _Toc164842719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6 — Performance reporting and compliance monitoring</w:t>
      </w:r>
    </w:p>
    <w:p>
      <w:pPr>
        <w:pStyle w:val="TOC8"/>
        <w:rPr>
          <w:rFonts w:asciiTheme="minorHAnsi" w:eastAsiaTheme="minorEastAsia" w:hAnsiTheme="minorHAnsi" w:cstheme="minorBidi"/>
          <w:szCs w:val="22"/>
        </w:rPr>
      </w:pPr>
      <w:r>
        <w:t>59ZF.</w:t>
      </w:r>
      <w:r>
        <w:tab/>
        <w:t>Requirement to provide information or report to Authority</w:t>
      </w:r>
      <w:r>
        <w:tab/>
      </w:r>
      <w:r>
        <w:fldChar w:fldCharType="begin"/>
      </w:r>
      <w:r>
        <w:instrText xml:space="preserve"> PAGEREF _Toc164842721 \h </w:instrText>
      </w:r>
      <w:r>
        <w:fldChar w:fldCharType="separate"/>
      </w:r>
      <w:r>
        <w:t>67</w:t>
      </w:r>
      <w:r>
        <w:fldChar w:fldCharType="end"/>
      </w:r>
    </w:p>
    <w:p>
      <w:pPr>
        <w:pStyle w:val="TOC8"/>
        <w:rPr>
          <w:rFonts w:asciiTheme="minorHAnsi" w:eastAsiaTheme="minorEastAsia" w:hAnsiTheme="minorHAnsi" w:cstheme="minorBidi"/>
          <w:szCs w:val="22"/>
        </w:rPr>
      </w:pPr>
      <w:r>
        <w:t>59ZG.</w:t>
      </w:r>
      <w:r>
        <w:tab/>
        <w:t>Compliance audit</w:t>
      </w:r>
      <w:r>
        <w:tab/>
      </w:r>
      <w:r>
        <w:fldChar w:fldCharType="begin"/>
      </w:r>
      <w:r>
        <w:instrText xml:space="preserve"> PAGEREF _Toc164842722 \h </w:instrText>
      </w:r>
      <w:r>
        <w:fldChar w:fldCharType="separate"/>
      </w:r>
      <w:r>
        <w:t>67</w:t>
      </w:r>
      <w:r>
        <w:fldChar w:fldCharType="end"/>
      </w:r>
    </w:p>
    <w:p>
      <w:pPr>
        <w:pStyle w:val="TOC8"/>
        <w:rPr>
          <w:rFonts w:asciiTheme="minorHAnsi" w:eastAsiaTheme="minorEastAsia" w:hAnsiTheme="minorHAnsi" w:cstheme="minorBidi"/>
          <w:szCs w:val="22"/>
        </w:rPr>
      </w:pPr>
      <w:r>
        <w:t>59ZH.</w:t>
      </w:r>
      <w:r>
        <w:tab/>
        <w:t>Use and disclosure of information</w:t>
      </w:r>
      <w:r>
        <w:tab/>
      </w:r>
      <w:r>
        <w:fldChar w:fldCharType="begin"/>
      </w:r>
      <w:r>
        <w:instrText xml:space="preserve"> PAGEREF _Toc164842723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7 — Enforcement</w:t>
      </w:r>
    </w:p>
    <w:p>
      <w:pPr>
        <w:pStyle w:val="TOC8"/>
        <w:rPr>
          <w:rFonts w:asciiTheme="minorHAnsi" w:eastAsiaTheme="minorEastAsia" w:hAnsiTheme="minorHAnsi" w:cstheme="minorBidi"/>
          <w:szCs w:val="22"/>
        </w:rPr>
      </w:pPr>
      <w:r>
        <w:t>59ZI.</w:t>
      </w:r>
      <w:r>
        <w:tab/>
        <w:t>Failure to comply with registration</w:t>
      </w:r>
      <w:r>
        <w:tab/>
      </w:r>
      <w:r>
        <w:fldChar w:fldCharType="begin"/>
      </w:r>
      <w:r>
        <w:instrText xml:space="preserve"> PAGEREF _Toc164842725 \h </w:instrText>
      </w:r>
      <w:r>
        <w:fldChar w:fldCharType="separate"/>
      </w:r>
      <w:r>
        <w:t>68</w:t>
      </w:r>
      <w:r>
        <w:fldChar w:fldCharType="end"/>
      </w:r>
    </w:p>
    <w:p>
      <w:pPr>
        <w:pStyle w:val="TOC8"/>
        <w:rPr>
          <w:rFonts w:asciiTheme="minorHAnsi" w:eastAsiaTheme="minorEastAsia" w:hAnsiTheme="minorHAnsi" w:cstheme="minorBidi"/>
          <w:szCs w:val="22"/>
        </w:rPr>
      </w:pPr>
      <w:r>
        <w:t>59ZJ.</w:t>
      </w:r>
      <w:r>
        <w:tab/>
        <w:t>Right of registration holder to make submissions</w:t>
      </w:r>
      <w:r>
        <w:tab/>
      </w:r>
      <w:r>
        <w:fldChar w:fldCharType="begin"/>
      </w:r>
      <w:r>
        <w:instrText xml:space="preserve"> PAGEREF _Toc164842726 \h </w:instrText>
      </w:r>
      <w:r>
        <w:fldChar w:fldCharType="separate"/>
      </w:r>
      <w:r>
        <w:t>69</w:t>
      </w:r>
      <w:r>
        <w:fldChar w:fldCharType="end"/>
      </w:r>
    </w:p>
    <w:p>
      <w:pPr>
        <w:pStyle w:val="TOC8"/>
        <w:rPr>
          <w:rFonts w:asciiTheme="minorHAnsi" w:eastAsiaTheme="minorEastAsia" w:hAnsiTheme="minorHAnsi" w:cstheme="minorBidi"/>
          <w:szCs w:val="22"/>
        </w:rPr>
      </w:pPr>
      <w:r>
        <w:t>59ZK.</w:t>
      </w:r>
      <w:r>
        <w:tab/>
        <w:t>Power to enter premises to rectify contravention</w:t>
      </w:r>
      <w:r>
        <w:tab/>
      </w:r>
      <w:r>
        <w:fldChar w:fldCharType="begin"/>
      </w:r>
      <w:r>
        <w:instrText xml:space="preserve"> PAGEREF _Toc164842727 \h </w:instrText>
      </w:r>
      <w:r>
        <w:fldChar w:fldCharType="separate"/>
      </w:r>
      <w:r>
        <w:t>69</w:t>
      </w:r>
      <w:r>
        <w:fldChar w:fldCharType="end"/>
      </w:r>
    </w:p>
    <w:p>
      <w:pPr>
        <w:pStyle w:val="TOC8"/>
        <w:rPr>
          <w:rFonts w:asciiTheme="minorHAnsi" w:eastAsiaTheme="minorEastAsia" w:hAnsiTheme="minorHAnsi" w:cstheme="minorBidi"/>
          <w:szCs w:val="22"/>
        </w:rPr>
      </w:pPr>
      <w:r>
        <w:t>59ZL.</w:t>
      </w:r>
      <w:r>
        <w:tab/>
        <w:t>Recovery of penalty, costs and expenses</w:t>
      </w:r>
      <w:r>
        <w:tab/>
      </w:r>
      <w:r>
        <w:fldChar w:fldCharType="begin"/>
      </w:r>
      <w:r>
        <w:instrText xml:space="preserve"> PAGEREF _Toc164842728 \h </w:instrText>
      </w:r>
      <w:r>
        <w:fldChar w:fldCharType="separate"/>
      </w:r>
      <w:r>
        <w:t>70</w:t>
      </w:r>
      <w:r>
        <w:fldChar w:fldCharType="end"/>
      </w:r>
    </w:p>
    <w:p>
      <w:pPr>
        <w:pStyle w:val="TOC8"/>
        <w:rPr>
          <w:rFonts w:asciiTheme="minorHAnsi" w:eastAsiaTheme="minorEastAsia" w:hAnsiTheme="minorHAnsi" w:cstheme="minorBidi"/>
          <w:szCs w:val="22"/>
        </w:rPr>
      </w:pPr>
      <w:r>
        <w:t>59ZM.</w:t>
      </w:r>
      <w:r>
        <w:tab/>
        <w:t>Enforceable undertakings</w:t>
      </w:r>
      <w:r>
        <w:tab/>
      </w:r>
      <w:r>
        <w:fldChar w:fldCharType="begin"/>
      </w:r>
      <w:r>
        <w:instrText xml:space="preserve"> PAGEREF _Toc164842729 \h </w:instrText>
      </w:r>
      <w:r>
        <w:fldChar w:fldCharType="separate"/>
      </w:r>
      <w:r>
        <w:t>70</w:t>
      </w:r>
      <w:r>
        <w:fldChar w:fldCharType="end"/>
      </w:r>
    </w:p>
    <w:p>
      <w:pPr>
        <w:pStyle w:val="TOC8"/>
        <w:rPr>
          <w:rFonts w:asciiTheme="minorHAnsi" w:eastAsiaTheme="minorEastAsia" w:hAnsiTheme="minorHAnsi" w:cstheme="minorBidi"/>
          <w:szCs w:val="22"/>
        </w:rPr>
      </w:pPr>
      <w:r>
        <w:t>59ZN.</w:t>
      </w:r>
      <w:r>
        <w:tab/>
        <w:t>Certain actions prohibited while undertaking is in force</w:t>
      </w:r>
      <w:r>
        <w:tab/>
      </w:r>
      <w:r>
        <w:fldChar w:fldCharType="begin"/>
      </w:r>
      <w:r>
        <w:instrText xml:space="preserve"> PAGEREF _Toc164842730 \h </w:instrText>
      </w:r>
      <w:r>
        <w:fldChar w:fldCharType="separate"/>
      </w:r>
      <w:r>
        <w:t>70</w:t>
      </w:r>
      <w:r>
        <w:fldChar w:fldCharType="end"/>
      </w:r>
    </w:p>
    <w:p>
      <w:pPr>
        <w:pStyle w:val="TOC8"/>
        <w:rPr>
          <w:rFonts w:asciiTheme="minorHAnsi" w:eastAsiaTheme="minorEastAsia" w:hAnsiTheme="minorHAnsi" w:cstheme="minorBidi"/>
          <w:szCs w:val="22"/>
        </w:rPr>
      </w:pPr>
      <w:r>
        <w:t>59ZO.</w:t>
      </w:r>
      <w:r>
        <w:tab/>
        <w:t>Certain actions prohibited if undertaking is complied with</w:t>
      </w:r>
      <w:r>
        <w:tab/>
      </w:r>
      <w:r>
        <w:fldChar w:fldCharType="begin"/>
      </w:r>
      <w:r>
        <w:instrText xml:space="preserve"> PAGEREF _Toc164842731 \h </w:instrText>
      </w:r>
      <w:r>
        <w:fldChar w:fldCharType="separate"/>
      </w:r>
      <w:r>
        <w:t>70</w:t>
      </w:r>
      <w:r>
        <w:fldChar w:fldCharType="end"/>
      </w:r>
    </w:p>
    <w:p>
      <w:pPr>
        <w:pStyle w:val="TOC8"/>
        <w:rPr>
          <w:rFonts w:asciiTheme="minorHAnsi" w:eastAsiaTheme="minorEastAsia" w:hAnsiTheme="minorHAnsi" w:cstheme="minorBidi"/>
          <w:szCs w:val="22"/>
        </w:rPr>
      </w:pPr>
      <w:r>
        <w:t>59ZP.</w:t>
      </w:r>
      <w:r>
        <w:tab/>
        <w:t>Failure to comply with enforceable undertakings</w:t>
      </w:r>
      <w:r>
        <w:tab/>
      </w:r>
      <w:r>
        <w:fldChar w:fldCharType="begin"/>
      </w:r>
      <w:r>
        <w:instrText xml:space="preserve"> PAGEREF _Toc164842732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Part 4 — Extension and expansion policies for certain corporations</w:t>
      </w:r>
    </w:p>
    <w:p>
      <w:pPr>
        <w:pStyle w:val="TOC8"/>
        <w:rPr>
          <w:rFonts w:asciiTheme="minorHAnsi" w:eastAsiaTheme="minorEastAsia" w:hAnsiTheme="minorHAnsi" w:cstheme="minorBidi"/>
          <w:szCs w:val="22"/>
        </w:rPr>
      </w:pPr>
      <w:r>
        <w:t>60.</w:t>
      </w:r>
      <w:r>
        <w:tab/>
        <w:t>Terms used</w:t>
      </w:r>
      <w:r>
        <w:tab/>
      </w:r>
      <w:r>
        <w:fldChar w:fldCharType="begin"/>
      </w:r>
      <w:r>
        <w:instrText xml:space="preserve"> PAGEREF _Toc164842734 \h </w:instrText>
      </w:r>
      <w:r>
        <w:fldChar w:fldCharType="separate"/>
      </w:r>
      <w:r>
        <w:t>72</w:t>
      </w:r>
      <w:r>
        <w:fldChar w:fldCharType="end"/>
      </w:r>
    </w:p>
    <w:p>
      <w:pPr>
        <w:pStyle w:val="TOC8"/>
        <w:rPr>
          <w:rFonts w:asciiTheme="minorHAnsi" w:eastAsiaTheme="minorEastAsia" w:hAnsiTheme="minorHAnsi" w:cstheme="minorBidi"/>
          <w:szCs w:val="22"/>
        </w:rPr>
      </w:pPr>
      <w:r>
        <w:t>61.</w:t>
      </w:r>
      <w:r>
        <w:tab/>
        <w:t>Draft policy to be submitted to Coordinator</w:t>
      </w:r>
      <w:r>
        <w:tab/>
      </w:r>
      <w:r>
        <w:fldChar w:fldCharType="begin"/>
      </w:r>
      <w:r>
        <w:instrText xml:space="preserve"> PAGEREF _Toc164842735 \h </w:instrText>
      </w:r>
      <w:r>
        <w:fldChar w:fldCharType="separate"/>
      </w:r>
      <w:r>
        <w:t>72</w:t>
      </w:r>
      <w:r>
        <w:fldChar w:fldCharType="end"/>
      </w:r>
    </w:p>
    <w:p>
      <w:pPr>
        <w:pStyle w:val="TOC8"/>
        <w:rPr>
          <w:rFonts w:asciiTheme="minorHAnsi" w:eastAsiaTheme="minorEastAsia" w:hAnsiTheme="minorHAnsi" w:cstheme="minorBidi"/>
          <w:szCs w:val="22"/>
        </w:rPr>
      </w:pPr>
      <w:r>
        <w:t>62.</w:t>
      </w:r>
      <w:r>
        <w:tab/>
        <w:t>Approval of policy</w:t>
      </w:r>
      <w:r>
        <w:tab/>
      </w:r>
      <w:r>
        <w:fldChar w:fldCharType="begin"/>
      </w:r>
      <w:r>
        <w:instrText xml:space="preserve"> PAGEREF _Toc164842736 \h </w:instrText>
      </w:r>
      <w:r>
        <w:fldChar w:fldCharType="separate"/>
      </w:r>
      <w:r>
        <w:t>73</w:t>
      </w:r>
      <w:r>
        <w:fldChar w:fldCharType="end"/>
      </w:r>
    </w:p>
    <w:p>
      <w:pPr>
        <w:pStyle w:val="TOC8"/>
        <w:rPr>
          <w:rFonts w:asciiTheme="minorHAnsi" w:eastAsiaTheme="minorEastAsia" w:hAnsiTheme="minorHAnsi" w:cstheme="minorBidi"/>
          <w:szCs w:val="22"/>
        </w:rPr>
      </w:pPr>
      <w:r>
        <w:t>63.</w:t>
      </w:r>
      <w:r>
        <w:tab/>
        <w:t>Amendment or replacement of policy</w:t>
      </w:r>
      <w:r>
        <w:tab/>
      </w:r>
      <w:r>
        <w:fldChar w:fldCharType="begin"/>
      </w:r>
      <w:r>
        <w:instrText xml:space="preserve"> PAGEREF _Toc164842737 \h </w:instrText>
      </w:r>
      <w:r>
        <w:fldChar w:fldCharType="separate"/>
      </w:r>
      <w:r>
        <w:t>73</w:t>
      </w:r>
      <w:r>
        <w:fldChar w:fldCharType="end"/>
      </w:r>
    </w:p>
    <w:p>
      <w:pPr>
        <w:pStyle w:val="TOC8"/>
        <w:rPr>
          <w:rFonts w:asciiTheme="minorHAnsi" w:eastAsiaTheme="minorEastAsia" w:hAnsiTheme="minorHAnsi" w:cstheme="minorBidi"/>
          <w:szCs w:val="22"/>
        </w:rPr>
      </w:pPr>
      <w:r>
        <w:t>64.</w:t>
      </w:r>
      <w:r>
        <w:tab/>
        <w:t>Coordinator may direct that amendment be made</w:t>
      </w:r>
      <w:r>
        <w:tab/>
      </w:r>
      <w:r>
        <w:fldChar w:fldCharType="begin"/>
      </w:r>
      <w:r>
        <w:instrText xml:space="preserve"> PAGEREF _Toc164842738 \h </w:instrText>
      </w:r>
      <w:r>
        <w:fldChar w:fldCharType="separate"/>
      </w:r>
      <w:r>
        <w:t>74</w:t>
      </w:r>
      <w:r>
        <w:fldChar w:fldCharType="end"/>
      </w:r>
    </w:p>
    <w:p>
      <w:pPr>
        <w:pStyle w:val="TOC8"/>
        <w:rPr>
          <w:rFonts w:asciiTheme="minorHAnsi" w:eastAsiaTheme="minorEastAsia" w:hAnsiTheme="minorHAnsi" w:cstheme="minorBidi"/>
          <w:szCs w:val="22"/>
        </w:rPr>
      </w:pPr>
      <w:r>
        <w:t>65.</w:t>
      </w:r>
      <w:r>
        <w:tab/>
        <w:t>Licence condition: extension and expansion</w:t>
      </w:r>
      <w:r>
        <w:tab/>
      </w:r>
      <w:r>
        <w:fldChar w:fldCharType="begin"/>
      </w:r>
      <w:r>
        <w:instrText xml:space="preserve"> PAGEREF _Toc164842739 \h </w:instrText>
      </w:r>
      <w:r>
        <w:fldChar w:fldCharType="separate"/>
      </w:r>
      <w:r>
        <w:t>75</w:t>
      </w:r>
      <w:r>
        <w:fldChar w:fldCharType="end"/>
      </w:r>
    </w:p>
    <w:p>
      <w:pPr>
        <w:pStyle w:val="TOC8"/>
        <w:rPr>
          <w:rFonts w:asciiTheme="minorHAnsi" w:eastAsiaTheme="minorEastAsia" w:hAnsiTheme="minorHAnsi" w:cstheme="minorBidi"/>
          <w:szCs w:val="22"/>
        </w:rPr>
      </w:pPr>
      <w:r>
        <w:t>66.</w:t>
      </w:r>
      <w:r>
        <w:tab/>
        <w:t>Regulations as to content of policies</w:t>
      </w:r>
      <w:r>
        <w:tab/>
      </w:r>
      <w:r>
        <w:fldChar w:fldCharType="begin"/>
      </w:r>
      <w:r>
        <w:instrText xml:space="preserve"> PAGEREF _Toc164842740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Part 5 — Last resort supply arrangements</w:t>
      </w:r>
    </w:p>
    <w:p>
      <w:pPr>
        <w:pStyle w:val="TOC8"/>
        <w:rPr>
          <w:rFonts w:asciiTheme="minorHAnsi" w:eastAsiaTheme="minorEastAsia" w:hAnsiTheme="minorHAnsi" w:cstheme="minorBidi"/>
          <w:szCs w:val="22"/>
        </w:rPr>
      </w:pPr>
      <w:r>
        <w:t>67.</w:t>
      </w:r>
      <w:r>
        <w:tab/>
        <w:t>Terms used</w:t>
      </w:r>
      <w:r>
        <w:tab/>
      </w:r>
      <w:r>
        <w:fldChar w:fldCharType="begin"/>
      </w:r>
      <w:r>
        <w:instrText xml:space="preserve"> PAGEREF _Toc164842742 \h </w:instrText>
      </w:r>
      <w:r>
        <w:fldChar w:fldCharType="separate"/>
      </w:r>
      <w:r>
        <w:t>77</w:t>
      </w:r>
      <w:r>
        <w:fldChar w:fldCharType="end"/>
      </w:r>
    </w:p>
    <w:p>
      <w:pPr>
        <w:pStyle w:val="TOC8"/>
        <w:rPr>
          <w:rFonts w:asciiTheme="minorHAnsi" w:eastAsiaTheme="minorEastAsia" w:hAnsiTheme="minorHAnsi" w:cstheme="minorBidi"/>
          <w:szCs w:val="22"/>
        </w:rPr>
      </w:pPr>
      <w:r>
        <w:t>68.</w:t>
      </w:r>
      <w:r>
        <w:tab/>
        <w:t>Authority to ensure supply plan in place in designated areas</w:t>
      </w:r>
      <w:r>
        <w:tab/>
      </w:r>
      <w:r>
        <w:fldChar w:fldCharType="begin"/>
      </w:r>
      <w:r>
        <w:instrText xml:space="preserve"> PAGEREF _Toc164842743 \h </w:instrText>
      </w:r>
      <w:r>
        <w:fldChar w:fldCharType="separate"/>
      </w:r>
      <w:r>
        <w:t>77</w:t>
      </w:r>
      <w:r>
        <w:fldChar w:fldCharType="end"/>
      </w:r>
    </w:p>
    <w:p>
      <w:pPr>
        <w:pStyle w:val="TOC8"/>
        <w:rPr>
          <w:rFonts w:asciiTheme="minorHAnsi" w:eastAsiaTheme="minorEastAsia" w:hAnsiTheme="minorHAnsi" w:cstheme="minorBidi"/>
          <w:szCs w:val="22"/>
        </w:rPr>
      </w:pPr>
      <w:r>
        <w:t>69.</w:t>
      </w:r>
      <w:r>
        <w:tab/>
        <w:t>Requirements for last resort supply plan</w:t>
      </w:r>
      <w:r>
        <w:tab/>
      </w:r>
      <w:r>
        <w:fldChar w:fldCharType="begin"/>
      </w:r>
      <w:r>
        <w:instrText xml:space="preserve"> PAGEREF _Toc164842744 \h </w:instrText>
      </w:r>
      <w:r>
        <w:fldChar w:fldCharType="separate"/>
      </w:r>
      <w:r>
        <w:t>77</w:t>
      </w:r>
      <w:r>
        <w:fldChar w:fldCharType="end"/>
      </w:r>
    </w:p>
    <w:p>
      <w:pPr>
        <w:pStyle w:val="TOC8"/>
        <w:rPr>
          <w:rFonts w:asciiTheme="minorHAnsi" w:eastAsiaTheme="minorEastAsia" w:hAnsiTheme="minorHAnsi" w:cstheme="minorBidi"/>
          <w:szCs w:val="22"/>
        </w:rPr>
      </w:pPr>
      <w:r>
        <w:t>70.</w:t>
      </w:r>
      <w:r>
        <w:tab/>
        <w:t>How plan brought into operation</w:t>
      </w:r>
      <w:r>
        <w:tab/>
      </w:r>
      <w:r>
        <w:fldChar w:fldCharType="begin"/>
      </w:r>
      <w:r>
        <w:instrText xml:space="preserve"> PAGEREF _Toc164842745 \h </w:instrText>
      </w:r>
      <w:r>
        <w:fldChar w:fldCharType="separate"/>
      </w:r>
      <w:r>
        <w:t>78</w:t>
      </w:r>
      <w:r>
        <w:fldChar w:fldCharType="end"/>
      </w:r>
    </w:p>
    <w:p>
      <w:pPr>
        <w:pStyle w:val="TOC8"/>
        <w:rPr>
          <w:rFonts w:asciiTheme="minorHAnsi" w:eastAsiaTheme="minorEastAsia" w:hAnsiTheme="minorHAnsi" w:cstheme="minorBidi"/>
          <w:szCs w:val="22"/>
        </w:rPr>
      </w:pPr>
      <w:r>
        <w:t>71.</w:t>
      </w:r>
      <w:r>
        <w:tab/>
        <w:t>Supplier of last resort</w:t>
      </w:r>
      <w:r>
        <w:tab/>
      </w:r>
      <w:r>
        <w:fldChar w:fldCharType="begin"/>
      </w:r>
      <w:r>
        <w:instrText xml:space="preserve"> PAGEREF _Toc164842746 \h </w:instrText>
      </w:r>
      <w:r>
        <w:fldChar w:fldCharType="separate"/>
      </w:r>
      <w:r>
        <w:t>78</w:t>
      </w:r>
      <w:r>
        <w:fldChar w:fldCharType="end"/>
      </w:r>
    </w:p>
    <w:p>
      <w:pPr>
        <w:pStyle w:val="TOC8"/>
        <w:rPr>
          <w:rFonts w:asciiTheme="minorHAnsi" w:eastAsiaTheme="minorEastAsia" w:hAnsiTheme="minorHAnsi" w:cstheme="minorBidi"/>
          <w:szCs w:val="22"/>
        </w:rPr>
      </w:pPr>
      <w:r>
        <w:t>72.</w:t>
      </w:r>
      <w:r>
        <w:tab/>
        <w:t>Functions of supplier of last resort</w:t>
      </w:r>
      <w:r>
        <w:tab/>
      </w:r>
      <w:r>
        <w:fldChar w:fldCharType="begin"/>
      </w:r>
      <w:r>
        <w:instrText xml:space="preserve"> PAGEREF _Toc164842747 \h </w:instrText>
      </w:r>
      <w:r>
        <w:fldChar w:fldCharType="separate"/>
      </w:r>
      <w:r>
        <w:t>79</w:t>
      </w:r>
      <w:r>
        <w:fldChar w:fldCharType="end"/>
      </w:r>
    </w:p>
    <w:p>
      <w:pPr>
        <w:pStyle w:val="TOC8"/>
        <w:rPr>
          <w:rFonts w:asciiTheme="minorHAnsi" w:eastAsiaTheme="minorEastAsia" w:hAnsiTheme="minorHAnsi" w:cstheme="minorBidi"/>
          <w:szCs w:val="22"/>
        </w:rPr>
      </w:pPr>
      <w:r>
        <w:t>73.</w:t>
      </w:r>
      <w:r>
        <w:tab/>
        <w:t>Approval or determination of plan</w:t>
      </w:r>
      <w:r>
        <w:tab/>
      </w:r>
      <w:r>
        <w:fldChar w:fldCharType="begin"/>
      </w:r>
      <w:r>
        <w:instrText xml:space="preserve"> PAGEREF _Toc164842748 \h </w:instrText>
      </w:r>
      <w:r>
        <w:fldChar w:fldCharType="separate"/>
      </w:r>
      <w:r>
        <w:t>79</w:t>
      </w:r>
      <w:r>
        <w:fldChar w:fldCharType="end"/>
      </w:r>
    </w:p>
    <w:p>
      <w:pPr>
        <w:pStyle w:val="TOC8"/>
        <w:rPr>
          <w:rFonts w:asciiTheme="minorHAnsi" w:eastAsiaTheme="minorEastAsia" w:hAnsiTheme="minorHAnsi" w:cstheme="minorBidi"/>
          <w:szCs w:val="22"/>
        </w:rPr>
      </w:pPr>
      <w:r>
        <w:t>74.</w:t>
      </w:r>
      <w:r>
        <w:tab/>
        <w:t>Amendment of plan by supplier</w:t>
      </w:r>
      <w:r>
        <w:tab/>
      </w:r>
      <w:r>
        <w:fldChar w:fldCharType="begin"/>
      </w:r>
      <w:r>
        <w:instrText xml:space="preserve"> PAGEREF _Toc164842749 \h </w:instrText>
      </w:r>
      <w:r>
        <w:fldChar w:fldCharType="separate"/>
      </w:r>
      <w:r>
        <w:t>80</w:t>
      </w:r>
      <w:r>
        <w:fldChar w:fldCharType="end"/>
      </w:r>
    </w:p>
    <w:p>
      <w:pPr>
        <w:pStyle w:val="TOC8"/>
        <w:rPr>
          <w:rFonts w:asciiTheme="minorHAnsi" w:eastAsiaTheme="minorEastAsia" w:hAnsiTheme="minorHAnsi" w:cstheme="minorBidi"/>
          <w:szCs w:val="22"/>
        </w:rPr>
      </w:pPr>
      <w:r>
        <w:lastRenderedPageBreak/>
        <w:t>75.</w:t>
      </w:r>
      <w:r>
        <w:tab/>
        <w:t>Authority may make amendment</w:t>
      </w:r>
      <w:r>
        <w:tab/>
      </w:r>
      <w:r>
        <w:fldChar w:fldCharType="begin"/>
      </w:r>
      <w:r>
        <w:instrText xml:space="preserve"> PAGEREF _Toc164842750 \h </w:instrText>
      </w:r>
      <w:r>
        <w:fldChar w:fldCharType="separate"/>
      </w:r>
      <w:r>
        <w:t>80</w:t>
      </w:r>
      <w:r>
        <w:fldChar w:fldCharType="end"/>
      </w:r>
    </w:p>
    <w:p>
      <w:pPr>
        <w:pStyle w:val="TOC8"/>
        <w:rPr>
          <w:rFonts w:asciiTheme="minorHAnsi" w:eastAsiaTheme="minorEastAsia" w:hAnsiTheme="minorHAnsi" w:cstheme="minorBidi"/>
          <w:szCs w:val="22"/>
        </w:rPr>
      </w:pPr>
      <w:r>
        <w:t>76.</w:t>
      </w:r>
      <w:r>
        <w:tab/>
        <w:t>Licence condition: last resort supply</w:t>
      </w:r>
      <w:r>
        <w:tab/>
      </w:r>
      <w:r>
        <w:fldChar w:fldCharType="begin"/>
      </w:r>
      <w:r>
        <w:instrText xml:space="preserve"> PAGEREF _Toc164842751 \h </w:instrText>
      </w:r>
      <w:r>
        <w:fldChar w:fldCharType="separate"/>
      </w:r>
      <w:r>
        <w:t>80</w:t>
      </w:r>
      <w:r>
        <w:fldChar w:fldCharType="end"/>
      </w:r>
    </w:p>
    <w:p>
      <w:pPr>
        <w:pStyle w:val="TOC8"/>
        <w:rPr>
          <w:rFonts w:asciiTheme="minorHAnsi" w:eastAsiaTheme="minorEastAsia" w:hAnsiTheme="minorHAnsi" w:cstheme="minorBidi"/>
          <w:szCs w:val="22"/>
        </w:rPr>
      </w:pPr>
      <w:r>
        <w:t>77.</w:t>
      </w:r>
      <w:r>
        <w:tab/>
        <w:t>Provision may be made by regulation</w:t>
      </w:r>
      <w:r>
        <w:tab/>
      </w:r>
      <w:r>
        <w:fldChar w:fldCharType="begin"/>
      </w:r>
      <w:r>
        <w:instrText xml:space="preserve"> PAGEREF _Toc164842752 \h </w:instrText>
      </w:r>
      <w:r>
        <w:fldChar w:fldCharType="separate"/>
      </w:r>
      <w:r>
        <w:t>81</w:t>
      </w:r>
      <w:r>
        <w:fldChar w:fldCharType="end"/>
      </w:r>
    </w:p>
    <w:p>
      <w:pPr>
        <w:pStyle w:val="TOC2"/>
        <w:tabs>
          <w:tab w:val="right" w:leader="dot" w:pos="7077"/>
        </w:tabs>
        <w:rPr>
          <w:rFonts w:asciiTheme="minorHAnsi" w:eastAsiaTheme="minorEastAsia" w:hAnsiTheme="minorHAnsi" w:cstheme="minorBidi"/>
          <w:b w:val="0"/>
          <w:sz w:val="22"/>
          <w:szCs w:val="22"/>
        </w:rPr>
      </w:pPr>
      <w:r>
        <w:t>Part 6 — Code of conduct for supply of electricity to small use customers</w:t>
      </w:r>
    </w:p>
    <w:p>
      <w:pPr>
        <w:pStyle w:val="TOC8"/>
        <w:rPr>
          <w:rFonts w:asciiTheme="minorHAnsi" w:eastAsiaTheme="minorEastAsia" w:hAnsiTheme="minorHAnsi" w:cstheme="minorBidi"/>
          <w:szCs w:val="22"/>
        </w:rPr>
      </w:pPr>
      <w:r>
        <w:t>78.</w:t>
      </w:r>
      <w:r>
        <w:tab/>
        <w:t>Terms used</w:t>
      </w:r>
      <w:r>
        <w:tab/>
      </w:r>
      <w:r>
        <w:fldChar w:fldCharType="begin"/>
      </w:r>
      <w:r>
        <w:instrText xml:space="preserve"> PAGEREF _Toc164842754 \h </w:instrText>
      </w:r>
      <w:r>
        <w:fldChar w:fldCharType="separate"/>
      </w:r>
      <w:r>
        <w:t>83</w:t>
      </w:r>
      <w:r>
        <w:fldChar w:fldCharType="end"/>
      </w:r>
    </w:p>
    <w:p>
      <w:pPr>
        <w:pStyle w:val="TOC8"/>
        <w:rPr>
          <w:rFonts w:asciiTheme="minorHAnsi" w:eastAsiaTheme="minorEastAsia" w:hAnsiTheme="minorHAnsi" w:cstheme="minorBidi"/>
          <w:szCs w:val="22"/>
        </w:rPr>
      </w:pPr>
      <w:r>
        <w:t>79.</w:t>
      </w:r>
      <w:r>
        <w:tab/>
        <w:t>Code of conduct</w:t>
      </w:r>
      <w:r>
        <w:tab/>
      </w:r>
      <w:r>
        <w:fldChar w:fldCharType="begin"/>
      </w:r>
      <w:r>
        <w:instrText xml:space="preserve"> PAGEREF _Toc164842755 \h </w:instrText>
      </w:r>
      <w:r>
        <w:fldChar w:fldCharType="separate"/>
      </w:r>
      <w:r>
        <w:t>84</w:t>
      </w:r>
      <w:r>
        <w:fldChar w:fldCharType="end"/>
      </w:r>
    </w:p>
    <w:p>
      <w:pPr>
        <w:pStyle w:val="TOC8"/>
        <w:rPr>
          <w:rFonts w:asciiTheme="minorHAnsi" w:eastAsiaTheme="minorEastAsia" w:hAnsiTheme="minorHAnsi" w:cstheme="minorBidi"/>
          <w:szCs w:val="22"/>
        </w:rPr>
      </w:pPr>
      <w:r>
        <w:t>80.</w:t>
      </w:r>
      <w:r>
        <w:tab/>
        <w:t>Code is subsidiary legislation</w:t>
      </w:r>
      <w:r>
        <w:tab/>
      </w:r>
      <w:r>
        <w:fldChar w:fldCharType="begin"/>
      </w:r>
      <w:r>
        <w:instrText xml:space="preserve"> PAGEREF _Toc164842756 \h </w:instrText>
      </w:r>
      <w:r>
        <w:fldChar w:fldCharType="separate"/>
      </w:r>
      <w:r>
        <w:t>85</w:t>
      </w:r>
      <w:r>
        <w:fldChar w:fldCharType="end"/>
      </w:r>
    </w:p>
    <w:p>
      <w:pPr>
        <w:pStyle w:val="TOC8"/>
        <w:rPr>
          <w:rFonts w:asciiTheme="minorHAnsi" w:eastAsiaTheme="minorEastAsia" w:hAnsiTheme="minorHAnsi" w:cstheme="minorBidi"/>
          <w:szCs w:val="22"/>
        </w:rPr>
      </w:pPr>
      <w:r>
        <w:t>81.</w:t>
      </w:r>
      <w:r>
        <w:tab/>
        <w:t>Consultative committee</w:t>
      </w:r>
      <w:r>
        <w:tab/>
      </w:r>
      <w:r>
        <w:fldChar w:fldCharType="begin"/>
      </w:r>
      <w:r>
        <w:instrText xml:space="preserve"> PAGEREF _Toc164842757 \h </w:instrText>
      </w:r>
      <w:r>
        <w:fldChar w:fldCharType="separate"/>
      </w:r>
      <w:r>
        <w:t>85</w:t>
      </w:r>
      <w:r>
        <w:fldChar w:fldCharType="end"/>
      </w:r>
    </w:p>
    <w:p>
      <w:pPr>
        <w:pStyle w:val="TOC8"/>
        <w:rPr>
          <w:rFonts w:asciiTheme="minorHAnsi" w:eastAsiaTheme="minorEastAsia" w:hAnsiTheme="minorHAnsi" w:cstheme="minorBidi"/>
          <w:szCs w:val="22"/>
        </w:rPr>
      </w:pPr>
      <w:r>
        <w:t>82.</w:t>
      </w:r>
      <w:r>
        <w:tab/>
        <w:t>Licence condition: code of conduct</w:t>
      </w:r>
      <w:r>
        <w:tab/>
      </w:r>
      <w:r>
        <w:fldChar w:fldCharType="begin"/>
      </w:r>
      <w:r>
        <w:instrText xml:space="preserve"> PAGEREF _Toc164842758 \h </w:instrText>
      </w:r>
      <w:r>
        <w:fldChar w:fldCharType="separate"/>
      </w:r>
      <w:r>
        <w:t>86</w:t>
      </w:r>
      <w:r>
        <w:fldChar w:fldCharType="end"/>
      </w:r>
    </w:p>
    <w:p>
      <w:pPr>
        <w:pStyle w:val="TOC8"/>
        <w:rPr>
          <w:rFonts w:asciiTheme="minorHAnsi" w:eastAsiaTheme="minorEastAsia" w:hAnsiTheme="minorHAnsi" w:cstheme="minorBidi"/>
          <w:szCs w:val="22"/>
        </w:rPr>
      </w:pPr>
      <w:r>
        <w:t>83.</w:t>
      </w:r>
      <w:r>
        <w:tab/>
        <w:t>Enforcement of code of conduct against marketing agents</w:t>
      </w:r>
      <w:r>
        <w:tab/>
      </w:r>
      <w:r>
        <w:fldChar w:fldCharType="begin"/>
      </w:r>
      <w:r>
        <w:instrText xml:space="preserve"> PAGEREF _Toc164842759 \h </w:instrText>
      </w:r>
      <w:r>
        <w:fldChar w:fldCharType="separate"/>
      </w:r>
      <w:r>
        <w:t>86</w:t>
      </w:r>
      <w:r>
        <w:fldChar w:fldCharType="end"/>
      </w:r>
    </w:p>
    <w:p>
      <w:pPr>
        <w:pStyle w:val="TOC8"/>
        <w:rPr>
          <w:rFonts w:asciiTheme="minorHAnsi" w:eastAsiaTheme="minorEastAsia" w:hAnsiTheme="minorHAnsi" w:cstheme="minorBidi"/>
          <w:szCs w:val="22"/>
        </w:rPr>
      </w:pPr>
      <w:r>
        <w:t>84.</w:t>
      </w:r>
      <w:r>
        <w:tab/>
        <w:t>Code may provide for vicarious liability</w:t>
      </w:r>
      <w:r>
        <w:tab/>
      </w:r>
      <w:r>
        <w:fldChar w:fldCharType="begin"/>
      </w:r>
      <w:r>
        <w:instrText xml:space="preserve"> PAGEREF _Toc164842760 \h </w:instrText>
      </w:r>
      <w:r>
        <w:fldChar w:fldCharType="separate"/>
      </w:r>
      <w:r>
        <w:t>86</w:t>
      </w:r>
      <w:r>
        <w:fldChar w:fldCharType="end"/>
      </w:r>
    </w:p>
    <w:p>
      <w:pPr>
        <w:pStyle w:val="TOC8"/>
        <w:rPr>
          <w:rFonts w:asciiTheme="minorHAnsi" w:eastAsiaTheme="minorEastAsia" w:hAnsiTheme="minorHAnsi" w:cstheme="minorBidi"/>
          <w:szCs w:val="22"/>
        </w:rPr>
      </w:pPr>
      <w:r>
        <w:t>85.</w:t>
      </w:r>
      <w:r>
        <w:tab/>
        <w:t>Code may include presumption of authority</w:t>
      </w:r>
      <w:r>
        <w:tab/>
      </w:r>
      <w:r>
        <w:fldChar w:fldCharType="begin"/>
      </w:r>
      <w:r>
        <w:instrText xml:space="preserve"> PAGEREF _Toc164842761 \h </w:instrText>
      </w:r>
      <w:r>
        <w:fldChar w:fldCharType="separate"/>
      </w:r>
      <w:r>
        <w:t>86</w:t>
      </w:r>
      <w:r>
        <w:fldChar w:fldCharType="end"/>
      </w:r>
    </w:p>
    <w:p>
      <w:pPr>
        <w:pStyle w:val="TOC8"/>
        <w:rPr>
          <w:rFonts w:asciiTheme="minorHAnsi" w:eastAsiaTheme="minorEastAsia" w:hAnsiTheme="minorHAnsi" w:cstheme="minorBidi"/>
          <w:szCs w:val="22"/>
        </w:rPr>
      </w:pPr>
      <w:r>
        <w:t>86.</w:t>
      </w:r>
      <w:r>
        <w:tab/>
        <w:t>Authority to monitor compliance</w:t>
      </w:r>
      <w:r>
        <w:tab/>
      </w:r>
      <w:r>
        <w:fldChar w:fldCharType="begin"/>
      </w:r>
      <w:r>
        <w:instrText xml:space="preserve"> PAGEREF _Toc164842762 \h </w:instrText>
      </w:r>
      <w:r>
        <w:fldChar w:fldCharType="separate"/>
      </w:r>
      <w:r>
        <w:t>87</w:t>
      </w:r>
      <w:r>
        <w:fldChar w:fldCharType="end"/>
      </w:r>
    </w:p>
    <w:p>
      <w:pPr>
        <w:pStyle w:val="TOC8"/>
        <w:rPr>
          <w:rFonts w:asciiTheme="minorHAnsi" w:eastAsiaTheme="minorEastAsia" w:hAnsiTheme="minorHAnsi" w:cstheme="minorBidi"/>
          <w:szCs w:val="22"/>
        </w:rPr>
      </w:pPr>
      <w:r>
        <w:t>87.</w:t>
      </w:r>
      <w:r>
        <w:tab/>
        <w:t>Comment to be sought on amendment or replacement of code</w:t>
      </w:r>
      <w:r>
        <w:tab/>
      </w:r>
      <w:r>
        <w:fldChar w:fldCharType="begin"/>
      </w:r>
      <w:r>
        <w:instrText xml:space="preserve"> PAGEREF _Toc164842763 \h </w:instrText>
      </w:r>
      <w:r>
        <w:fldChar w:fldCharType="separate"/>
      </w:r>
      <w:r>
        <w:t>87</w:t>
      </w:r>
      <w:r>
        <w:fldChar w:fldCharType="end"/>
      </w:r>
    </w:p>
    <w:p>
      <w:pPr>
        <w:pStyle w:val="TOC8"/>
        <w:rPr>
          <w:rFonts w:asciiTheme="minorHAnsi" w:eastAsiaTheme="minorEastAsia" w:hAnsiTheme="minorHAnsi" w:cstheme="minorBidi"/>
          <w:szCs w:val="22"/>
        </w:rPr>
      </w:pPr>
      <w:r>
        <w:t>88.</w:t>
      </w:r>
      <w:r>
        <w:tab/>
        <w:t>Review of code</w:t>
      </w:r>
      <w:r>
        <w:tab/>
      </w:r>
      <w:r>
        <w:fldChar w:fldCharType="begin"/>
      </w:r>
      <w:r>
        <w:instrText xml:space="preserve"> PAGEREF _Toc164842764 \h </w:instrText>
      </w:r>
      <w:r>
        <w:fldChar w:fldCharType="separate"/>
      </w:r>
      <w:r>
        <w:t>87</w:t>
      </w:r>
      <w:r>
        <w:fldChar w:fldCharType="end"/>
      </w:r>
    </w:p>
    <w:p>
      <w:pPr>
        <w:pStyle w:val="TOC8"/>
        <w:rPr>
          <w:rFonts w:asciiTheme="minorHAnsi" w:eastAsiaTheme="minorEastAsia" w:hAnsiTheme="minorHAnsi" w:cstheme="minorBidi"/>
          <w:szCs w:val="22"/>
        </w:rPr>
      </w:pPr>
      <w:r>
        <w:t>89.</w:t>
      </w:r>
      <w:r>
        <w:tab/>
        <w:t>Further provisions about opportunity to comment</w:t>
      </w:r>
      <w:r>
        <w:tab/>
      </w:r>
      <w:r>
        <w:fldChar w:fldCharType="begin"/>
      </w:r>
      <w:r>
        <w:instrText xml:space="preserve"> PAGEREF _Toc164842765 \h </w:instrText>
      </w:r>
      <w:r>
        <w:fldChar w:fldCharType="separate"/>
      </w:r>
      <w:r>
        <w:t>88</w:t>
      </w:r>
      <w:r>
        <w:fldChar w:fldCharType="end"/>
      </w:r>
    </w:p>
    <w:p>
      <w:pPr>
        <w:pStyle w:val="TOC8"/>
        <w:rPr>
          <w:rFonts w:asciiTheme="minorHAnsi" w:eastAsiaTheme="minorEastAsia" w:hAnsiTheme="minorHAnsi" w:cstheme="minorBidi"/>
          <w:szCs w:val="22"/>
        </w:rPr>
      </w:pPr>
      <w:r>
        <w:t>89A.</w:t>
      </w:r>
      <w:r>
        <w:tab/>
        <w:t>Regulations may modify application or operation of enactments to facilitate operation of code</w:t>
      </w:r>
      <w:r>
        <w:tab/>
      </w:r>
      <w:r>
        <w:fldChar w:fldCharType="begin"/>
      </w:r>
      <w:r>
        <w:instrText xml:space="preserve"> PAGEREF _Toc164842766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7 — Electricity ombudsman scheme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90.</w:t>
      </w:r>
      <w:r>
        <w:tab/>
        <w:t>Terms used</w:t>
      </w:r>
      <w:r>
        <w:tab/>
      </w:r>
      <w:r>
        <w:fldChar w:fldCharType="begin"/>
      </w:r>
      <w:r>
        <w:instrText xml:space="preserve"> PAGEREF _Toc164842769 \h </w:instrText>
      </w:r>
      <w:r>
        <w:fldChar w:fldCharType="separate"/>
      </w:r>
      <w:r>
        <w:t>90</w:t>
      </w:r>
      <w:r>
        <w:fldChar w:fldCharType="end"/>
      </w:r>
    </w:p>
    <w:p>
      <w:pPr>
        <w:pStyle w:val="TOC8"/>
        <w:rPr>
          <w:rFonts w:asciiTheme="minorHAnsi" w:eastAsiaTheme="minorEastAsia" w:hAnsiTheme="minorHAnsi" w:cstheme="minorBidi"/>
          <w:szCs w:val="22"/>
        </w:rPr>
      </w:pPr>
      <w:r>
        <w:t>91.</w:t>
      </w:r>
      <w:r>
        <w:tab/>
        <w:t>Regulations as to electricity ombudsman scheme</w:t>
      </w:r>
      <w:r>
        <w:tab/>
      </w:r>
      <w:r>
        <w:fldChar w:fldCharType="begin"/>
      </w:r>
      <w:r>
        <w:instrText xml:space="preserve"> PAGEREF _Toc164842770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Division 2 — Approval of electricity ombudsman scheme</w:t>
      </w:r>
    </w:p>
    <w:p>
      <w:pPr>
        <w:pStyle w:val="TOC8"/>
        <w:rPr>
          <w:rFonts w:asciiTheme="minorHAnsi" w:eastAsiaTheme="minorEastAsia" w:hAnsiTheme="minorHAnsi" w:cstheme="minorBidi"/>
          <w:szCs w:val="22"/>
        </w:rPr>
      </w:pPr>
      <w:r>
        <w:t>92.</w:t>
      </w:r>
      <w:r>
        <w:tab/>
        <w:t>Authority may approve scheme</w:t>
      </w:r>
      <w:r>
        <w:tab/>
      </w:r>
      <w:r>
        <w:fldChar w:fldCharType="begin"/>
      </w:r>
      <w:r>
        <w:instrText xml:space="preserve"> PAGEREF _Toc164842772 \h </w:instrText>
      </w:r>
      <w:r>
        <w:fldChar w:fldCharType="separate"/>
      </w:r>
      <w:r>
        <w:t>91</w:t>
      </w:r>
      <w:r>
        <w:fldChar w:fldCharType="end"/>
      </w:r>
    </w:p>
    <w:p>
      <w:pPr>
        <w:pStyle w:val="TOC8"/>
        <w:rPr>
          <w:rFonts w:asciiTheme="minorHAnsi" w:eastAsiaTheme="minorEastAsia" w:hAnsiTheme="minorHAnsi" w:cstheme="minorBidi"/>
          <w:szCs w:val="22"/>
        </w:rPr>
      </w:pPr>
      <w:r>
        <w:t>93.</w:t>
      </w:r>
      <w:r>
        <w:tab/>
        <w:t>Requirements for scheme or amendment to be approved</w:t>
      </w:r>
      <w:r>
        <w:tab/>
      </w:r>
      <w:r>
        <w:fldChar w:fldCharType="begin"/>
      </w:r>
      <w:r>
        <w:instrText xml:space="preserve"> PAGEREF _Toc164842773 \h </w:instrText>
      </w:r>
      <w:r>
        <w:fldChar w:fldCharType="separate"/>
      </w:r>
      <w:r>
        <w:t>92</w:t>
      </w:r>
      <w:r>
        <w:fldChar w:fldCharType="end"/>
      </w:r>
    </w:p>
    <w:p>
      <w:pPr>
        <w:pStyle w:val="TOC8"/>
        <w:rPr>
          <w:rFonts w:asciiTheme="minorHAnsi" w:eastAsiaTheme="minorEastAsia" w:hAnsiTheme="minorHAnsi" w:cstheme="minorBidi"/>
          <w:szCs w:val="22"/>
        </w:rPr>
      </w:pPr>
      <w:r>
        <w:t>94.</w:t>
      </w:r>
      <w:r>
        <w:tab/>
        <w:t>Revocation of approval</w:t>
      </w:r>
      <w:r>
        <w:tab/>
      </w:r>
      <w:r>
        <w:fldChar w:fldCharType="begin"/>
      </w:r>
      <w:r>
        <w:instrText xml:space="preserve"> PAGEREF _Toc164842774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3 — Scheme operation</w:t>
      </w:r>
    </w:p>
    <w:p>
      <w:pPr>
        <w:pStyle w:val="TOC8"/>
        <w:rPr>
          <w:rFonts w:asciiTheme="minorHAnsi" w:eastAsiaTheme="minorEastAsia" w:hAnsiTheme="minorHAnsi" w:cstheme="minorBidi"/>
          <w:szCs w:val="22"/>
        </w:rPr>
      </w:pPr>
      <w:r>
        <w:t>95.</w:t>
      </w:r>
      <w:r>
        <w:tab/>
        <w:t>Customer may have decision or complaint reviewed</w:t>
      </w:r>
      <w:r>
        <w:tab/>
      </w:r>
      <w:r>
        <w:fldChar w:fldCharType="begin"/>
      </w:r>
      <w:r>
        <w:instrText xml:space="preserve"> PAGEREF _Toc164842776 \h </w:instrText>
      </w:r>
      <w:r>
        <w:fldChar w:fldCharType="separate"/>
      </w:r>
      <w:r>
        <w:t>92</w:t>
      </w:r>
      <w:r>
        <w:fldChar w:fldCharType="end"/>
      </w:r>
    </w:p>
    <w:p>
      <w:pPr>
        <w:pStyle w:val="TOC8"/>
        <w:rPr>
          <w:rFonts w:asciiTheme="minorHAnsi" w:eastAsiaTheme="minorEastAsia" w:hAnsiTheme="minorHAnsi" w:cstheme="minorBidi"/>
          <w:szCs w:val="22"/>
        </w:rPr>
      </w:pPr>
      <w:r>
        <w:lastRenderedPageBreak/>
        <w:t>96.</w:t>
      </w:r>
      <w:r>
        <w:tab/>
        <w:t>Jurisdiction of courts and tribunals</w:t>
      </w:r>
      <w:r>
        <w:tab/>
      </w:r>
      <w:r>
        <w:fldChar w:fldCharType="begin"/>
      </w:r>
      <w:r>
        <w:instrText xml:space="preserve"> PAGEREF _Toc164842777 \h </w:instrText>
      </w:r>
      <w:r>
        <w:fldChar w:fldCharType="separate"/>
      </w:r>
      <w:r>
        <w:t>93</w:t>
      </w:r>
      <w:r>
        <w:fldChar w:fldCharType="end"/>
      </w:r>
    </w:p>
    <w:p>
      <w:pPr>
        <w:pStyle w:val="TOC8"/>
        <w:rPr>
          <w:rFonts w:asciiTheme="minorHAnsi" w:eastAsiaTheme="minorEastAsia" w:hAnsiTheme="minorHAnsi" w:cstheme="minorBidi"/>
          <w:szCs w:val="22"/>
        </w:rPr>
      </w:pPr>
      <w:r>
        <w:t>97.</w:t>
      </w:r>
      <w:r>
        <w:tab/>
        <w:t>Enforcement against marketing agents and others</w:t>
      </w:r>
      <w:r>
        <w:tab/>
      </w:r>
      <w:r>
        <w:fldChar w:fldCharType="begin"/>
      </w:r>
      <w:r>
        <w:instrText xml:space="preserve"> PAGEREF _Toc164842778 \h </w:instrText>
      </w:r>
      <w:r>
        <w:fldChar w:fldCharType="separate"/>
      </w:r>
      <w:r>
        <w:t>93</w:t>
      </w:r>
      <w:r>
        <w:fldChar w:fldCharType="end"/>
      </w:r>
    </w:p>
    <w:p>
      <w:pPr>
        <w:pStyle w:val="TOC8"/>
        <w:rPr>
          <w:rFonts w:asciiTheme="minorHAnsi" w:eastAsiaTheme="minorEastAsia" w:hAnsiTheme="minorHAnsi" w:cstheme="minorBidi"/>
          <w:szCs w:val="22"/>
        </w:rPr>
      </w:pPr>
      <w:r>
        <w:t>98.</w:t>
      </w:r>
      <w:r>
        <w:tab/>
        <w:t>Authority to monitor compliance with decisions</w:t>
      </w:r>
      <w:r>
        <w:tab/>
      </w:r>
      <w:r>
        <w:fldChar w:fldCharType="begin"/>
      </w:r>
      <w:r>
        <w:instrText xml:space="preserve"> PAGEREF _Toc164842779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4 — Membership of approved scheme by licensee</w:t>
      </w:r>
    </w:p>
    <w:p>
      <w:pPr>
        <w:pStyle w:val="TOC8"/>
        <w:rPr>
          <w:rFonts w:asciiTheme="minorHAnsi" w:eastAsiaTheme="minorEastAsia" w:hAnsiTheme="minorHAnsi" w:cstheme="minorBidi"/>
          <w:szCs w:val="22"/>
        </w:rPr>
      </w:pPr>
      <w:r>
        <w:t>99.</w:t>
      </w:r>
      <w:r>
        <w:tab/>
        <w:t>Proof of membership in applications relating to licence</w:t>
      </w:r>
      <w:r>
        <w:tab/>
      </w:r>
      <w:r>
        <w:fldChar w:fldCharType="begin"/>
      </w:r>
      <w:r>
        <w:instrText xml:space="preserve"> PAGEREF _Toc164842781 \h </w:instrText>
      </w:r>
      <w:r>
        <w:fldChar w:fldCharType="separate"/>
      </w:r>
      <w:r>
        <w:t>94</w:t>
      </w:r>
      <w:r>
        <w:fldChar w:fldCharType="end"/>
      </w:r>
    </w:p>
    <w:p>
      <w:pPr>
        <w:pStyle w:val="TOC8"/>
        <w:rPr>
          <w:rFonts w:asciiTheme="minorHAnsi" w:eastAsiaTheme="minorEastAsia" w:hAnsiTheme="minorHAnsi" w:cstheme="minorBidi"/>
          <w:szCs w:val="22"/>
        </w:rPr>
      </w:pPr>
      <w:r>
        <w:t>100.</w:t>
      </w:r>
      <w:r>
        <w:tab/>
        <w:t>Prerequisite to grant, renewal or transfer of licence</w:t>
      </w:r>
      <w:r>
        <w:tab/>
      </w:r>
      <w:r>
        <w:fldChar w:fldCharType="begin"/>
      </w:r>
      <w:r>
        <w:instrText xml:space="preserve"> PAGEREF _Toc164842782 \h </w:instrText>
      </w:r>
      <w:r>
        <w:fldChar w:fldCharType="separate"/>
      </w:r>
      <w:r>
        <w:t>95</w:t>
      </w:r>
      <w:r>
        <w:fldChar w:fldCharType="end"/>
      </w:r>
    </w:p>
    <w:p>
      <w:pPr>
        <w:pStyle w:val="TOC8"/>
        <w:rPr>
          <w:rFonts w:asciiTheme="minorHAnsi" w:eastAsiaTheme="minorEastAsia" w:hAnsiTheme="minorHAnsi" w:cstheme="minorBidi"/>
          <w:szCs w:val="22"/>
        </w:rPr>
      </w:pPr>
      <w:r>
        <w:t>101.</w:t>
      </w:r>
      <w:r>
        <w:tab/>
        <w:t>Licence condition: membership of scheme</w:t>
      </w:r>
      <w:r>
        <w:tab/>
      </w:r>
      <w:r>
        <w:fldChar w:fldCharType="begin"/>
      </w:r>
      <w:r>
        <w:instrText xml:space="preserve"> PAGEREF _Toc164842783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5 — Membership of approved scheme by registration holder</w:t>
      </w:r>
    </w:p>
    <w:p>
      <w:pPr>
        <w:pStyle w:val="TOC8"/>
        <w:rPr>
          <w:rFonts w:asciiTheme="minorHAnsi" w:eastAsiaTheme="minorEastAsia" w:hAnsiTheme="minorHAnsi" w:cstheme="minorBidi"/>
          <w:szCs w:val="22"/>
        </w:rPr>
      </w:pPr>
      <w:r>
        <w:t>101A.</w:t>
      </w:r>
      <w:r>
        <w:tab/>
        <w:t>Proof of membership in applications relating to registration</w:t>
      </w:r>
      <w:r>
        <w:tab/>
      </w:r>
      <w:r>
        <w:fldChar w:fldCharType="begin"/>
      </w:r>
      <w:r>
        <w:instrText xml:space="preserve"> PAGEREF _Toc164842785 \h </w:instrText>
      </w:r>
      <w:r>
        <w:fldChar w:fldCharType="separate"/>
      </w:r>
      <w:r>
        <w:t>95</w:t>
      </w:r>
      <w:r>
        <w:fldChar w:fldCharType="end"/>
      </w:r>
    </w:p>
    <w:p>
      <w:pPr>
        <w:pStyle w:val="TOC8"/>
        <w:rPr>
          <w:rFonts w:asciiTheme="minorHAnsi" w:eastAsiaTheme="minorEastAsia" w:hAnsiTheme="minorHAnsi" w:cstheme="minorBidi"/>
          <w:szCs w:val="22"/>
        </w:rPr>
      </w:pPr>
      <w:r>
        <w:t>101B.</w:t>
      </w:r>
      <w:r>
        <w:tab/>
        <w:t>Prerequisite to grant, renewal, amendment or transfer of registration</w:t>
      </w:r>
      <w:r>
        <w:tab/>
      </w:r>
      <w:r>
        <w:fldChar w:fldCharType="begin"/>
      </w:r>
      <w:r>
        <w:instrText xml:space="preserve"> PAGEREF _Toc164842786 \h </w:instrText>
      </w:r>
      <w:r>
        <w:fldChar w:fldCharType="separate"/>
      </w:r>
      <w:r>
        <w:t>96</w:t>
      </w:r>
      <w:r>
        <w:fldChar w:fldCharType="end"/>
      </w:r>
    </w:p>
    <w:p>
      <w:pPr>
        <w:pStyle w:val="TOC8"/>
        <w:rPr>
          <w:rFonts w:asciiTheme="minorHAnsi" w:eastAsiaTheme="minorEastAsia" w:hAnsiTheme="minorHAnsi" w:cstheme="minorBidi"/>
          <w:szCs w:val="22"/>
        </w:rPr>
      </w:pPr>
      <w:r>
        <w:t>101C.</w:t>
      </w:r>
      <w:r>
        <w:tab/>
        <w:t>Registration condition: membership of scheme</w:t>
      </w:r>
      <w:r>
        <w:tab/>
      </w:r>
      <w:r>
        <w:fldChar w:fldCharType="begin"/>
      </w:r>
      <w:r>
        <w:instrText xml:space="preserve"> PAGEREF _Toc164842787 \h </w:instrText>
      </w:r>
      <w:r>
        <w:fldChar w:fldCharType="separate"/>
      </w:r>
      <w:r>
        <w:t>96</w:t>
      </w:r>
      <w:r>
        <w:fldChar w:fldCharType="end"/>
      </w:r>
    </w:p>
    <w:p>
      <w:pPr>
        <w:pStyle w:val="TOC2"/>
        <w:tabs>
          <w:tab w:val="right" w:leader="dot" w:pos="7077"/>
        </w:tabs>
        <w:rPr>
          <w:rFonts w:asciiTheme="minorHAnsi" w:eastAsiaTheme="minorEastAsia" w:hAnsiTheme="minorHAnsi" w:cstheme="minorBidi"/>
          <w:b w:val="0"/>
          <w:sz w:val="22"/>
          <w:szCs w:val="22"/>
        </w:rPr>
      </w:pPr>
      <w:r>
        <w:t>Part 8 — Access to services of network infrastructure facilities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102.</w:t>
      </w:r>
      <w:r>
        <w:tab/>
        <w:t>Purposes of this Part</w:t>
      </w:r>
      <w:r>
        <w:tab/>
      </w:r>
      <w:r>
        <w:fldChar w:fldCharType="begin"/>
      </w:r>
      <w:r>
        <w:instrText xml:space="preserve"> PAGEREF _Toc164842790 \h </w:instrText>
      </w:r>
      <w:r>
        <w:fldChar w:fldCharType="separate"/>
      </w:r>
      <w:r>
        <w:t>98</w:t>
      </w:r>
      <w:r>
        <w:fldChar w:fldCharType="end"/>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_Toc164842791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t>Division 2 — Establishment of Code</w:t>
      </w:r>
    </w:p>
    <w:p>
      <w:pPr>
        <w:pStyle w:val="TOC8"/>
        <w:rPr>
          <w:rFonts w:asciiTheme="minorHAnsi" w:eastAsiaTheme="minorEastAsia" w:hAnsiTheme="minorHAnsi" w:cstheme="minorBidi"/>
          <w:szCs w:val="22"/>
        </w:rPr>
      </w:pPr>
      <w:r>
        <w:t>104.</w:t>
      </w:r>
      <w:r>
        <w:tab/>
        <w:t>Minister to establish Code</w:t>
      </w:r>
      <w:r>
        <w:tab/>
      </w:r>
      <w:r>
        <w:fldChar w:fldCharType="begin"/>
      </w:r>
      <w:r>
        <w:instrText xml:space="preserve"> PAGEREF _Toc164842793 \h </w:instrText>
      </w:r>
      <w:r>
        <w:fldChar w:fldCharType="separate"/>
      </w:r>
      <w:r>
        <w:t>99</w:t>
      </w:r>
      <w:r>
        <w:fldChar w:fldCharType="end"/>
      </w:r>
    </w:p>
    <w:p>
      <w:pPr>
        <w:pStyle w:val="TOC8"/>
        <w:rPr>
          <w:rFonts w:asciiTheme="minorHAnsi" w:eastAsiaTheme="minorEastAsia" w:hAnsiTheme="minorHAnsi" w:cstheme="minorBidi"/>
          <w:szCs w:val="22"/>
        </w:rPr>
      </w:pPr>
      <w:r>
        <w:t>104A.</w:t>
      </w:r>
      <w:r>
        <w:tab/>
        <w:t>Code to provide for coverage of networks</w:t>
      </w:r>
      <w:r>
        <w:tab/>
      </w:r>
      <w:r>
        <w:fldChar w:fldCharType="begin"/>
      </w:r>
      <w:r>
        <w:instrText xml:space="preserve"> PAGEREF _Toc164842794 \h </w:instrText>
      </w:r>
      <w:r>
        <w:fldChar w:fldCharType="separate"/>
      </w:r>
      <w:r>
        <w:t>99</w:t>
      </w:r>
      <w:r>
        <w:fldChar w:fldCharType="end"/>
      </w:r>
    </w:p>
    <w:p>
      <w:pPr>
        <w:pStyle w:val="TOC8"/>
        <w:rPr>
          <w:rFonts w:asciiTheme="minorHAnsi" w:eastAsiaTheme="minorEastAsia" w:hAnsiTheme="minorHAnsi" w:cstheme="minorBidi"/>
          <w:szCs w:val="22"/>
        </w:rPr>
      </w:pPr>
      <w:r>
        <w:t>104B.</w:t>
      </w:r>
      <w:r>
        <w:tab/>
        <w:t>Code to provide for full regulation of access to services of covered networks</w:t>
      </w:r>
      <w:r>
        <w:tab/>
      </w:r>
      <w:r>
        <w:fldChar w:fldCharType="begin"/>
      </w:r>
      <w:r>
        <w:instrText xml:space="preserve"> PAGEREF _Toc164842795 \h </w:instrText>
      </w:r>
      <w:r>
        <w:fldChar w:fldCharType="separate"/>
      </w:r>
      <w:r>
        <w:t>100</w:t>
      </w:r>
      <w:r>
        <w:fldChar w:fldCharType="end"/>
      </w:r>
    </w:p>
    <w:p>
      <w:pPr>
        <w:pStyle w:val="TOC8"/>
        <w:rPr>
          <w:rFonts w:asciiTheme="minorHAnsi" w:eastAsiaTheme="minorEastAsia" w:hAnsiTheme="minorHAnsi" w:cstheme="minorBidi"/>
          <w:szCs w:val="22"/>
        </w:rPr>
      </w:pPr>
      <w:r>
        <w:t>105.</w:t>
      </w:r>
      <w:r>
        <w:tab/>
        <w:t>Other matters for which Code may make provision</w:t>
      </w:r>
      <w:r>
        <w:tab/>
      </w:r>
      <w:r>
        <w:fldChar w:fldCharType="begin"/>
      </w:r>
      <w:r>
        <w:instrText xml:space="preserve"> PAGEREF _Toc164842796 \h </w:instrText>
      </w:r>
      <w:r>
        <w:fldChar w:fldCharType="separate"/>
      </w:r>
      <w:r>
        <w:t>102</w:t>
      </w:r>
      <w:r>
        <w:fldChar w:fldCharType="end"/>
      </w:r>
    </w:p>
    <w:p>
      <w:pPr>
        <w:pStyle w:val="TOC8"/>
        <w:rPr>
          <w:rFonts w:asciiTheme="minorHAnsi" w:eastAsiaTheme="minorEastAsia" w:hAnsiTheme="minorHAnsi" w:cstheme="minorBidi"/>
          <w:szCs w:val="22"/>
        </w:rPr>
      </w:pPr>
      <w:r>
        <w:t>106.</w:t>
      </w:r>
      <w:r>
        <w:tab/>
        <w:t>Code does not affect existing agreements</w:t>
      </w:r>
      <w:r>
        <w:tab/>
      </w:r>
      <w:r>
        <w:fldChar w:fldCharType="begin"/>
      </w:r>
      <w:r>
        <w:instrText xml:space="preserve"> PAGEREF _Toc164842797 \h </w:instrText>
      </w:r>
      <w:r>
        <w:fldChar w:fldCharType="separate"/>
      </w:r>
      <w:r>
        <w:t>102</w:t>
      </w:r>
      <w:r>
        <w:fldChar w:fldCharType="end"/>
      </w:r>
    </w:p>
    <w:p>
      <w:pPr>
        <w:pStyle w:val="TOC8"/>
        <w:rPr>
          <w:rFonts w:asciiTheme="minorHAnsi" w:eastAsiaTheme="minorEastAsia" w:hAnsiTheme="minorHAnsi" w:cstheme="minorBidi"/>
          <w:szCs w:val="22"/>
        </w:rPr>
      </w:pPr>
      <w:r>
        <w:t>107.</w:t>
      </w:r>
      <w:r>
        <w:tab/>
        <w:t>Code is subsidiary legislation</w:t>
      </w:r>
      <w:r>
        <w:tab/>
      </w:r>
      <w:r>
        <w:fldChar w:fldCharType="begin"/>
      </w:r>
      <w:r>
        <w:instrText xml:space="preserve"> PAGEREF _Toc164842798 \h </w:instrText>
      </w:r>
      <w:r>
        <w:fldChar w:fldCharType="separate"/>
      </w:r>
      <w:r>
        <w:t>103</w:t>
      </w:r>
      <w:r>
        <w:fldChar w:fldCharType="end"/>
      </w:r>
    </w:p>
    <w:p>
      <w:pPr>
        <w:pStyle w:val="TOC8"/>
        <w:rPr>
          <w:rFonts w:asciiTheme="minorHAnsi" w:eastAsiaTheme="minorEastAsia" w:hAnsiTheme="minorHAnsi" w:cstheme="minorBidi"/>
          <w:szCs w:val="22"/>
        </w:rPr>
      </w:pPr>
      <w:r>
        <w:t>108.</w:t>
      </w:r>
      <w:r>
        <w:tab/>
        <w:t>Public comment on amendment or replacement of Code</w:t>
      </w:r>
      <w:r>
        <w:tab/>
      </w:r>
      <w:r>
        <w:fldChar w:fldCharType="begin"/>
      </w:r>
      <w:r>
        <w:instrText xml:space="preserve"> PAGEREF _Toc164842799 \h </w:instrText>
      </w:r>
      <w:r>
        <w:fldChar w:fldCharType="separate"/>
      </w:r>
      <w:r>
        <w:t>104</w:t>
      </w:r>
      <w:r>
        <w:fldChar w:fldCharType="end"/>
      </w:r>
    </w:p>
    <w:p>
      <w:pPr>
        <w:pStyle w:val="TOC8"/>
        <w:rPr>
          <w:rFonts w:asciiTheme="minorHAnsi" w:eastAsiaTheme="minorEastAsia" w:hAnsiTheme="minorHAnsi" w:cstheme="minorBidi"/>
          <w:szCs w:val="22"/>
        </w:rPr>
      </w:pPr>
      <w:r>
        <w:t>109.</w:t>
      </w:r>
      <w:r>
        <w:tab/>
        <w:t>Exception to section 108</w:t>
      </w:r>
      <w:r>
        <w:tab/>
      </w:r>
      <w:r>
        <w:fldChar w:fldCharType="begin"/>
      </w:r>
      <w:r>
        <w:instrText xml:space="preserve"> PAGEREF _Toc164842800 \h </w:instrText>
      </w:r>
      <w:r>
        <w:fldChar w:fldCharType="separate"/>
      </w:r>
      <w:r>
        <w:t>105</w:t>
      </w:r>
      <w:r>
        <w:fldChar w:fldCharType="end"/>
      </w:r>
    </w:p>
    <w:p>
      <w:pPr>
        <w:pStyle w:val="TOC8"/>
        <w:rPr>
          <w:rFonts w:asciiTheme="minorHAnsi" w:eastAsiaTheme="minorEastAsia" w:hAnsiTheme="minorHAnsi" w:cstheme="minorBidi"/>
          <w:szCs w:val="22"/>
        </w:rPr>
      </w:pPr>
      <w:r>
        <w:t>110.</w:t>
      </w:r>
      <w:r>
        <w:tab/>
        <w:t>Consultation with network service providers on amendment or replacement of Code</w:t>
      </w:r>
      <w:r>
        <w:tab/>
      </w:r>
      <w:r>
        <w:fldChar w:fldCharType="begin"/>
      </w:r>
      <w:r>
        <w:instrText xml:space="preserve"> PAGEREF _Toc164842801 \h </w:instrText>
      </w:r>
      <w:r>
        <w:fldChar w:fldCharType="separate"/>
      </w:r>
      <w:r>
        <w:t>105</w:t>
      </w:r>
      <w:r>
        <w:fldChar w:fldCharType="end"/>
      </w:r>
    </w:p>
    <w:p>
      <w:pPr>
        <w:pStyle w:val="TOC8"/>
        <w:rPr>
          <w:rFonts w:asciiTheme="minorHAnsi" w:eastAsiaTheme="minorEastAsia" w:hAnsiTheme="minorHAnsi" w:cstheme="minorBidi"/>
          <w:szCs w:val="22"/>
        </w:rPr>
      </w:pPr>
      <w:r>
        <w:t>111.</w:t>
      </w:r>
      <w:r>
        <w:tab/>
        <w:t>Review of Code</w:t>
      </w:r>
      <w:r>
        <w:tab/>
      </w:r>
      <w:r>
        <w:fldChar w:fldCharType="begin"/>
      </w:r>
      <w:r>
        <w:instrText xml:space="preserve"> PAGEREF _Toc164842802 \h </w:instrText>
      </w:r>
      <w:r>
        <w:fldChar w:fldCharType="separate"/>
      </w:r>
      <w:r>
        <w:t>106</w:t>
      </w:r>
      <w:r>
        <w:fldChar w:fldCharType="end"/>
      </w:r>
    </w:p>
    <w:p>
      <w:pPr>
        <w:pStyle w:val="TOC8"/>
        <w:rPr>
          <w:rFonts w:asciiTheme="minorHAnsi" w:eastAsiaTheme="minorEastAsia" w:hAnsiTheme="minorHAnsi" w:cstheme="minorBidi"/>
          <w:szCs w:val="22"/>
        </w:rPr>
      </w:pPr>
      <w:r>
        <w:t>112.</w:t>
      </w:r>
      <w:r>
        <w:tab/>
        <w:t>Functions of the Authority</w:t>
      </w:r>
      <w:r>
        <w:tab/>
      </w:r>
      <w:r>
        <w:fldChar w:fldCharType="begin"/>
      </w:r>
      <w:r>
        <w:instrText xml:space="preserve"> PAGEREF _Toc164842803 \h </w:instrText>
      </w:r>
      <w:r>
        <w:fldChar w:fldCharType="separate"/>
      </w:r>
      <w:r>
        <w:t>107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Enforcement</w:t>
      </w:r>
    </w:p>
    <w:p>
      <w:pPr>
        <w:pStyle w:val="TOC8"/>
        <w:rPr>
          <w:rFonts w:asciiTheme="minorHAnsi" w:eastAsiaTheme="minorEastAsia" w:hAnsiTheme="minorHAnsi" w:cstheme="minorBidi"/>
          <w:szCs w:val="22"/>
        </w:rPr>
      </w:pPr>
      <w:r>
        <w:t>114.</w:t>
      </w:r>
      <w:r>
        <w:tab/>
        <w:t>References to contravening the Code</w:t>
      </w:r>
      <w:r>
        <w:tab/>
      </w:r>
      <w:r>
        <w:fldChar w:fldCharType="begin"/>
      </w:r>
      <w:r>
        <w:instrText xml:space="preserve"> PAGEREF _Toc164842805 \h </w:instrText>
      </w:r>
      <w:r>
        <w:fldChar w:fldCharType="separate"/>
      </w:r>
      <w:r>
        <w:t>107</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r>
      <w:r>
        <w:t>Prohibitions on hindering or preventing access</w:t>
      </w:r>
      <w:r>
        <w:tab/>
      </w:r>
      <w:r>
        <w:fldChar w:fldCharType="begin"/>
      </w:r>
      <w:r>
        <w:instrText xml:space="preserve"> PAGEREF _Toc164842806 \h </w:instrText>
      </w:r>
      <w:r>
        <w:fldChar w:fldCharType="separate"/>
      </w:r>
      <w:r>
        <w:t>108</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r>
      <w:r>
        <w:t>Proceedings</w:t>
      </w:r>
      <w:r>
        <w:tab/>
      </w:r>
      <w:r>
        <w:fldChar w:fldCharType="begin"/>
      </w:r>
      <w:r>
        <w:instrText xml:space="preserve"> PAGEREF _Toc164842807 \h </w:instrText>
      </w:r>
      <w:r>
        <w:fldChar w:fldCharType="separate"/>
      </w:r>
      <w:r>
        <w:t>109</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r>
      <w:r>
        <w:t>Criminal</w:t>
      </w:r>
      <w:r>
        <w:rPr>
          <w:snapToGrid w:val="0"/>
        </w:rPr>
        <w:t xml:space="preserve"> proceedings do not lie</w:t>
      </w:r>
      <w:r>
        <w:tab/>
      </w:r>
      <w:r>
        <w:fldChar w:fldCharType="begin"/>
      </w:r>
      <w:r>
        <w:instrText xml:space="preserve"> PAGEREF _Toc164842808 \h </w:instrText>
      </w:r>
      <w:r>
        <w:fldChar w:fldCharType="separate"/>
      </w:r>
      <w:r>
        <w:t>110</w:t>
      </w:r>
      <w:r>
        <w:fldChar w:fldCharType="end"/>
      </w:r>
    </w:p>
    <w:p>
      <w:pPr>
        <w:pStyle w:val="TOC8"/>
        <w:rPr>
          <w:rFonts w:asciiTheme="minorHAnsi" w:eastAsiaTheme="minorEastAsia" w:hAnsiTheme="minorHAnsi" w:cstheme="minorBidi"/>
          <w:szCs w:val="22"/>
        </w:rPr>
      </w:pPr>
      <w:r>
        <w:t>118.</w:t>
      </w:r>
      <w:r>
        <w:tab/>
        <w:t>Regulations as to enforcement of Code</w:t>
      </w:r>
      <w:r>
        <w:tab/>
      </w:r>
      <w:r>
        <w:fldChar w:fldCharType="begin"/>
      </w:r>
      <w:r>
        <w:instrText xml:space="preserve"> PAGEREF _Toc164842809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Part 8A — Pilbara networks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119.</w:t>
      </w:r>
      <w:r>
        <w:tab/>
        <w:t>Purposes and objective of this Part</w:t>
      </w:r>
      <w:r>
        <w:tab/>
      </w:r>
      <w:r>
        <w:fldChar w:fldCharType="begin"/>
      </w:r>
      <w:r>
        <w:instrText xml:space="preserve"> PAGEREF _Toc164842812 \h </w:instrText>
      </w:r>
      <w:r>
        <w:fldChar w:fldCharType="separate"/>
      </w:r>
      <w:r>
        <w:t>112</w:t>
      </w:r>
      <w:r>
        <w:fldChar w:fldCharType="end"/>
      </w:r>
    </w:p>
    <w:p>
      <w:pPr>
        <w:pStyle w:val="TOC8"/>
        <w:rPr>
          <w:rFonts w:asciiTheme="minorHAnsi" w:eastAsiaTheme="minorEastAsia" w:hAnsiTheme="minorHAnsi" w:cstheme="minorBidi"/>
          <w:szCs w:val="22"/>
        </w:rPr>
      </w:pPr>
      <w:r>
        <w:t>120.</w:t>
      </w:r>
      <w:r>
        <w:tab/>
        <w:t>Terms used</w:t>
      </w:r>
      <w:r>
        <w:tab/>
      </w:r>
      <w:r>
        <w:fldChar w:fldCharType="begin"/>
      </w:r>
      <w:r>
        <w:instrText xml:space="preserve"> PAGEREF _Toc164842813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2 — Pilbara Networks Access Code</w:t>
      </w:r>
    </w:p>
    <w:p>
      <w:pPr>
        <w:pStyle w:val="TOC8"/>
        <w:rPr>
          <w:rFonts w:asciiTheme="minorHAnsi" w:eastAsiaTheme="minorEastAsia" w:hAnsiTheme="minorHAnsi" w:cstheme="minorBidi"/>
          <w:szCs w:val="22"/>
        </w:rPr>
      </w:pPr>
      <w:r>
        <w:t>120A.</w:t>
      </w:r>
      <w:r>
        <w:tab/>
        <w:t>Minister to establish Pilbara Networks Access Code</w:t>
      </w:r>
      <w:r>
        <w:tab/>
      </w:r>
      <w:r>
        <w:fldChar w:fldCharType="begin"/>
      </w:r>
      <w:r>
        <w:instrText xml:space="preserve"> PAGEREF _Toc164842815 \h </w:instrText>
      </w:r>
      <w:r>
        <w:fldChar w:fldCharType="separate"/>
      </w:r>
      <w:r>
        <w:t>115</w:t>
      </w:r>
      <w:r>
        <w:fldChar w:fldCharType="end"/>
      </w:r>
    </w:p>
    <w:p>
      <w:pPr>
        <w:pStyle w:val="TOC8"/>
        <w:rPr>
          <w:rFonts w:asciiTheme="minorHAnsi" w:eastAsiaTheme="minorEastAsia" w:hAnsiTheme="minorHAnsi" w:cstheme="minorBidi"/>
          <w:szCs w:val="22"/>
        </w:rPr>
      </w:pPr>
      <w:r>
        <w:t>120B.</w:t>
      </w:r>
      <w:r>
        <w:tab/>
        <w:t>Pilbara Networks Access Code — covered Pilbara networks</w:t>
      </w:r>
      <w:r>
        <w:tab/>
      </w:r>
      <w:r>
        <w:fldChar w:fldCharType="begin"/>
      </w:r>
      <w:r>
        <w:instrText xml:space="preserve"> PAGEREF _Toc164842816 \h </w:instrText>
      </w:r>
      <w:r>
        <w:fldChar w:fldCharType="separate"/>
      </w:r>
      <w:r>
        <w:t>115</w:t>
      </w:r>
      <w:r>
        <w:fldChar w:fldCharType="end"/>
      </w:r>
    </w:p>
    <w:p>
      <w:pPr>
        <w:pStyle w:val="TOC8"/>
        <w:rPr>
          <w:rFonts w:asciiTheme="minorHAnsi" w:eastAsiaTheme="minorEastAsia" w:hAnsiTheme="minorHAnsi" w:cstheme="minorBidi"/>
          <w:szCs w:val="22"/>
        </w:rPr>
      </w:pPr>
      <w:r>
        <w:t>120C.</w:t>
      </w:r>
      <w:r>
        <w:tab/>
        <w:t>Pilbara Networks Access Code — light regulation</w:t>
      </w:r>
      <w:r>
        <w:tab/>
      </w:r>
      <w:r>
        <w:fldChar w:fldCharType="begin"/>
      </w:r>
      <w:r>
        <w:instrText xml:space="preserve"> PAGEREF _Toc164842817 \h </w:instrText>
      </w:r>
      <w:r>
        <w:fldChar w:fldCharType="separate"/>
      </w:r>
      <w:r>
        <w:t>117</w:t>
      </w:r>
      <w:r>
        <w:fldChar w:fldCharType="end"/>
      </w:r>
    </w:p>
    <w:p>
      <w:pPr>
        <w:pStyle w:val="TOC8"/>
        <w:rPr>
          <w:rFonts w:asciiTheme="minorHAnsi" w:eastAsiaTheme="minorEastAsia" w:hAnsiTheme="minorHAnsi" w:cstheme="minorBidi"/>
          <w:szCs w:val="22"/>
        </w:rPr>
      </w:pPr>
      <w:r>
        <w:t>120D.</w:t>
      </w:r>
      <w:r>
        <w:tab/>
        <w:t>Additional matters for Pilbara Networks Access Code and other instruments</w:t>
      </w:r>
      <w:r>
        <w:tab/>
      </w:r>
      <w:r>
        <w:fldChar w:fldCharType="begin"/>
      </w:r>
      <w:r>
        <w:instrText xml:space="preserve"> PAGEREF _Toc164842818 \h </w:instrText>
      </w:r>
      <w:r>
        <w:fldChar w:fldCharType="separate"/>
      </w:r>
      <w:r>
        <w:t>120</w:t>
      </w:r>
      <w:r>
        <w:fldChar w:fldCharType="end"/>
      </w:r>
    </w:p>
    <w:p>
      <w:pPr>
        <w:pStyle w:val="TOC8"/>
        <w:rPr>
          <w:rFonts w:asciiTheme="minorHAnsi" w:eastAsiaTheme="minorEastAsia" w:hAnsiTheme="minorHAnsi" w:cstheme="minorBidi"/>
          <w:szCs w:val="22"/>
        </w:rPr>
      </w:pPr>
      <w:r>
        <w:t>120E.</w:t>
      </w:r>
      <w:r>
        <w:tab/>
        <w:t>Additional matters for Pilbara Networks Access Code: more than one provider for network</w:t>
      </w:r>
      <w:r>
        <w:tab/>
      </w:r>
      <w:r>
        <w:fldChar w:fldCharType="begin"/>
      </w:r>
      <w:r>
        <w:instrText xml:space="preserve"> PAGEREF _Toc164842819 \h </w:instrText>
      </w:r>
      <w:r>
        <w:fldChar w:fldCharType="separate"/>
      </w:r>
      <w:r>
        <w:t>121</w:t>
      </w:r>
      <w:r>
        <w:fldChar w:fldCharType="end"/>
      </w:r>
    </w:p>
    <w:p>
      <w:pPr>
        <w:pStyle w:val="TOC8"/>
        <w:rPr>
          <w:rFonts w:asciiTheme="minorHAnsi" w:eastAsiaTheme="minorEastAsia" w:hAnsiTheme="minorHAnsi" w:cstheme="minorBidi"/>
          <w:szCs w:val="22"/>
        </w:rPr>
      </w:pPr>
      <w:r>
        <w:t>120F.</w:t>
      </w:r>
      <w:r>
        <w:tab/>
        <w:t>Consequential amendments to the Code</w:t>
      </w:r>
      <w:r>
        <w:tab/>
      </w:r>
      <w:r>
        <w:fldChar w:fldCharType="begin"/>
      </w:r>
      <w:r>
        <w:instrText xml:space="preserve"> PAGEREF _Toc164842820 \h </w:instrText>
      </w:r>
      <w:r>
        <w:fldChar w:fldCharType="separate"/>
      </w:r>
      <w:r>
        <w:t>122</w:t>
      </w:r>
      <w:r>
        <w:fldChar w:fldCharType="end"/>
      </w:r>
    </w:p>
    <w:p>
      <w:pPr>
        <w:pStyle w:val="TOC8"/>
        <w:rPr>
          <w:rFonts w:asciiTheme="minorHAnsi" w:eastAsiaTheme="minorEastAsia" w:hAnsiTheme="minorHAnsi" w:cstheme="minorBidi"/>
          <w:szCs w:val="22"/>
        </w:rPr>
      </w:pPr>
      <w:r>
        <w:t>120G.</w:t>
      </w:r>
      <w:r>
        <w:tab/>
        <w:t>Pilbara Networks Access Code is subsidiary legislation</w:t>
      </w:r>
      <w:r>
        <w:tab/>
      </w:r>
      <w:r>
        <w:fldChar w:fldCharType="begin"/>
      </w:r>
      <w:r>
        <w:instrText xml:space="preserve"> PAGEREF _Toc164842821 \h </w:instrText>
      </w:r>
      <w:r>
        <w:fldChar w:fldCharType="separate"/>
      </w:r>
      <w:r>
        <w:t>122</w:t>
      </w:r>
      <w:r>
        <w:fldChar w:fldCharType="end"/>
      </w:r>
    </w:p>
    <w:p>
      <w:pPr>
        <w:pStyle w:val="TOC8"/>
        <w:rPr>
          <w:rFonts w:asciiTheme="minorHAnsi" w:eastAsiaTheme="minorEastAsia" w:hAnsiTheme="minorHAnsi" w:cstheme="minorBidi"/>
          <w:szCs w:val="22"/>
        </w:rPr>
      </w:pPr>
      <w:r>
        <w:t>120H.</w:t>
      </w:r>
      <w:r>
        <w:tab/>
        <w:t>Public comment on amendment or replacement of Pilbara Networks Access Code</w:t>
      </w:r>
      <w:r>
        <w:tab/>
      </w:r>
      <w:r>
        <w:fldChar w:fldCharType="begin"/>
      </w:r>
      <w:r>
        <w:instrText xml:space="preserve"> PAGEREF _Toc164842822 \h </w:instrText>
      </w:r>
      <w:r>
        <w:fldChar w:fldCharType="separate"/>
      </w:r>
      <w:r>
        <w:t>124</w:t>
      </w:r>
      <w:r>
        <w:fldChar w:fldCharType="end"/>
      </w:r>
    </w:p>
    <w:p>
      <w:pPr>
        <w:pStyle w:val="TOC8"/>
        <w:rPr>
          <w:rFonts w:asciiTheme="minorHAnsi" w:eastAsiaTheme="minorEastAsia" w:hAnsiTheme="minorHAnsi" w:cstheme="minorBidi"/>
          <w:szCs w:val="22"/>
        </w:rPr>
      </w:pPr>
      <w:r>
        <w:t>120I.</w:t>
      </w:r>
      <w:r>
        <w:tab/>
        <w:t>Exception to section 120H</w:t>
      </w:r>
      <w:r>
        <w:tab/>
      </w:r>
      <w:r>
        <w:fldChar w:fldCharType="begin"/>
      </w:r>
      <w:r>
        <w:instrText xml:space="preserve"> PAGEREF _Toc164842823 \h </w:instrText>
      </w:r>
      <w:r>
        <w:fldChar w:fldCharType="separate"/>
      </w:r>
      <w:r>
        <w:t>125</w:t>
      </w:r>
      <w:r>
        <w:fldChar w:fldCharType="end"/>
      </w:r>
    </w:p>
    <w:p>
      <w:pPr>
        <w:pStyle w:val="TOC8"/>
        <w:rPr>
          <w:rFonts w:asciiTheme="minorHAnsi" w:eastAsiaTheme="minorEastAsia" w:hAnsiTheme="minorHAnsi" w:cstheme="minorBidi"/>
          <w:szCs w:val="22"/>
        </w:rPr>
      </w:pPr>
      <w:r>
        <w:t>120J.</w:t>
      </w:r>
      <w:r>
        <w:tab/>
        <w:t>Consultation with network service providers on amendment or replacement of Pilbara Networks Access Code</w:t>
      </w:r>
      <w:r>
        <w:tab/>
      </w:r>
      <w:r>
        <w:fldChar w:fldCharType="begin"/>
      </w:r>
      <w:r>
        <w:instrText xml:space="preserve"> PAGEREF _Toc164842824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Division 3 — Pilbara networks rules</w:t>
      </w:r>
    </w:p>
    <w:p>
      <w:pPr>
        <w:pStyle w:val="TOC8"/>
        <w:rPr>
          <w:rFonts w:asciiTheme="minorHAnsi" w:eastAsiaTheme="minorEastAsia" w:hAnsiTheme="minorHAnsi" w:cstheme="minorBidi"/>
          <w:szCs w:val="22"/>
        </w:rPr>
      </w:pPr>
      <w:r>
        <w:t>120K.</w:t>
      </w:r>
      <w:r>
        <w:tab/>
        <w:t>Regulations to provide for Pilbara networks rules</w:t>
      </w:r>
      <w:r>
        <w:tab/>
      </w:r>
      <w:r>
        <w:fldChar w:fldCharType="begin"/>
      </w:r>
      <w:r>
        <w:instrText xml:space="preserve"> PAGEREF _Toc164842826 \h </w:instrText>
      </w:r>
      <w:r>
        <w:fldChar w:fldCharType="separate"/>
      </w:r>
      <w:r>
        <w:t>126</w:t>
      </w:r>
      <w:r>
        <w:fldChar w:fldCharType="end"/>
      </w:r>
    </w:p>
    <w:p>
      <w:pPr>
        <w:pStyle w:val="TOC8"/>
        <w:rPr>
          <w:rFonts w:asciiTheme="minorHAnsi" w:eastAsiaTheme="minorEastAsia" w:hAnsiTheme="minorHAnsi" w:cstheme="minorBidi"/>
          <w:szCs w:val="22"/>
        </w:rPr>
      </w:pPr>
      <w:r>
        <w:t>120L.</w:t>
      </w:r>
      <w:r>
        <w:tab/>
        <w:t>Pilbara networks rules not subsidiary legislation</w:t>
      </w:r>
      <w:r>
        <w:tab/>
      </w:r>
      <w:r>
        <w:fldChar w:fldCharType="begin"/>
      </w:r>
      <w:r>
        <w:instrText xml:space="preserve"> PAGEREF _Toc164842827 \h </w:instrText>
      </w:r>
      <w:r>
        <w:fldChar w:fldCharType="separate"/>
      </w:r>
      <w:r>
        <w:t>127</w:t>
      </w:r>
      <w:r>
        <w:fldChar w:fldCharType="end"/>
      </w:r>
    </w:p>
    <w:p>
      <w:pPr>
        <w:pStyle w:val="TOC8"/>
        <w:rPr>
          <w:rFonts w:asciiTheme="minorHAnsi" w:eastAsiaTheme="minorEastAsia" w:hAnsiTheme="minorHAnsi" w:cstheme="minorBidi"/>
          <w:szCs w:val="22"/>
        </w:rPr>
      </w:pPr>
      <w:r>
        <w:t>120M.</w:t>
      </w:r>
      <w:r>
        <w:tab/>
        <w:t>Establishment and amendment of Pilbara networks rules</w:t>
      </w:r>
      <w:r>
        <w:tab/>
      </w:r>
      <w:r>
        <w:fldChar w:fldCharType="begin"/>
      </w:r>
      <w:r>
        <w:instrText xml:space="preserve"> PAGEREF _Toc164842828 \h </w:instrText>
      </w:r>
      <w:r>
        <w:fldChar w:fldCharType="separate"/>
      </w:r>
      <w:r>
        <w:t>127</w:t>
      </w:r>
      <w:r>
        <w:fldChar w:fldCharType="end"/>
      </w:r>
    </w:p>
    <w:p>
      <w:pPr>
        <w:pStyle w:val="TOC8"/>
        <w:rPr>
          <w:rFonts w:asciiTheme="minorHAnsi" w:eastAsiaTheme="minorEastAsia" w:hAnsiTheme="minorHAnsi" w:cstheme="minorBidi"/>
          <w:szCs w:val="22"/>
        </w:rPr>
      </w:pPr>
      <w:r>
        <w:t>120N.</w:t>
      </w:r>
      <w:r>
        <w:tab/>
        <w:t>General matters to be dealt with in regulations</w:t>
      </w:r>
      <w:r>
        <w:tab/>
      </w:r>
      <w:r>
        <w:fldChar w:fldCharType="begin"/>
      </w:r>
      <w:r>
        <w:instrText xml:space="preserve"> PAGEREF _Toc164842829 \h </w:instrText>
      </w:r>
      <w:r>
        <w:fldChar w:fldCharType="separate"/>
      </w:r>
      <w:r>
        <w:t>128</w:t>
      </w:r>
      <w:r>
        <w:fldChar w:fldCharType="end"/>
      </w:r>
    </w:p>
    <w:p>
      <w:pPr>
        <w:pStyle w:val="TOC8"/>
        <w:rPr>
          <w:rFonts w:asciiTheme="minorHAnsi" w:eastAsiaTheme="minorEastAsia" w:hAnsiTheme="minorHAnsi" w:cstheme="minorBidi"/>
          <w:szCs w:val="22"/>
        </w:rPr>
      </w:pPr>
      <w:r>
        <w:t>120O.</w:t>
      </w:r>
      <w:r>
        <w:tab/>
        <w:t>Additional matters to be dealt with in regulations or rules</w:t>
      </w:r>
      <w:r>
        <w:tab/>
      </w:r>
      <w:r>
        <w:fldChar w:fldCharType="begin"/>
      </w:r>
      <w:r>
        <w:instrText xml:space="preserve"> PAGEREF _Toc164842830 \h </w:instrText>
      </w:r>
      <w:r>
        <w:fldChar w:fldCharType="separate"/>
      </w:r>
      <w:r>
        <w:t>130</w:t>
      </w:r>
      <w:r>
        <w:fldChar w:fldCharType="end"/>
      </w:r>
    </w:p>
    <w:p>
      <w:pPr>
        <w:pStyle w:val="TOC8"/>
        <w:rPr>
          <w:rFonts w:asciiTheme="minorHAnsi" w:eastAsiaTheme="minorEastAsia" w:hAnsiTheme="minorHAnsi" w:cstheme="minorBidi"/>
          <w:szCs w:val="22"/>
        </w:rPr>
      </w:pPr>
      <w:r>
        <w:lastRenderedPageBreak/>
        <w:t>120P.</w:t>
      </w:r>
      <w:r>
        <w:tab/>
        <w:t>Additional matters to be dealt with in rules: more than one provider</w:t>
      </w:r>
      <w:r>
        <w:tab/>
      </w:r>
      <w:r>
        <w:fldChar w:fldCharType="begin"/>
      </w:r>
      <w:r>
        <w:instrText xml:space="preserve"> PAGEREF _Toc164842831 \h </w:instrText>
      </w:r>
      <w:r>
        <w:fldChar w:fldCharType="separate"/>
      </w:r>
      <w:r>
        <w:t>131</w:t>
      </w:r>
      <w:r>
        <w:fldChar w:fldCharType="end"/>
      </w:r>
    </w:p>
    <w:p>
      <w:pPr>
        <w:pStyle w:val="TOC4"/>
        <w:tabs>
          <w:tab w:val="right" w:leader="dot" w:pos="7077"/>
        </w:tabs>
        <w:rPr>
          <w:rFonts w:asciiTheme="minorHAnsi" w:eastAsiaTheme="minorEastAsia" w:hAnsiTheme="minorHAnsi" w:cstheme="minorBidi"/>
          <w:b w:val="0"/>
          <w:szCs w:val="22"/>
        </w:rPr>
      </w:pPr>
      <w:r>
        <w:t>Division 4 — Pilbara networks technical rules</w:t>
      </w:r>
    </w:p>
    <w:p>
      <w:pPr>
        <w:pStyle w:val="TOC8"/>
        <w:rPr>
          <w:rFonts w:asciiTheme="minorHAnsi" w:eastAsiaTheme="minorEastAsia" w:hAnsiTheme="minorHAnsi" w:cstheme="minorBidi"/>
          <w:szCs w:val="22"/>
        </w:rPr>
      </w:pPr>
      <w:r>
        <w:t>120Q.</w:t>
      </w:r>
      <w:r>
        <w:tab/>
        <w:t>Technical rules</w:t>
      </w:r>
      <w:r>
        <w:tab/>
      </w:r>
      <w:r>
        <w:fldChar w:fldCharType="begin"/>
      </w:r>
      <w:r>
        <w:instrText xml:space="preserve"> PAGEREF _Toc164842833 \h </w:instrText>
      </w:r>
      <w:r>
        <w:fldChar w:fldCharType="separate"/>
      </w:r>
      <w:r>
        <w:t>132</w:t>
      </w:r>
      <w:r>
        <w:fldChar w:fldCharType="end"/>
      </w:r>
    </w:p>
    <w:p>
      <w:pPr>
        <w:pStyle w:val="TOC4"/>
        <w:tabs>
          <w:tab w:val="right" w:leader="dot" w:pos="7077"/>
        </w:tabs>
        <w:rPr>
          <w:rFonts w:asciiTheme="minorHAnsi" w:eastAsiaTheme="minorEastAsia" w:hAnsiTheme="minorHAnsi" w:cstheme="minorBidi"/>
          <w:b w:val="0"/>
          <w:szCs w:val="22"/>
        </w:rPr>
      </w:pPr>
      <w:r>
        <w:t>Division 5 — Enforcement</w:t>
      </w:r>
    </w:p>
    <w:p>
      <w:pPr>
        <w:pStyle w:val="TOC8"/>
        <w:rPr>
          <w:rFonts w:asciiTheme="minorHAnsi" w:eastAsiaTheme="minorEastAsia" w:hAnsiTheme="minorHAnsi" w:cstheme="minorBidi"/>
          <w:szCs w:val="22"/>
        </w:rPr>
      </w:pPr>
      <w:r>
        <w:t>120R.</w:t>
      </w:r>
      <w:r>
        <w:tab/>
        <w:t>References to contravening regulations, Pilbara Networks Access Code or Pilbara networks rules</w:t>
      </w:r>
      <w:r>
        <w:tab/>
      </w:r>
      <w:r>
        <w:fldChar w:fldCharType="begin"/>
      </w:r>
      <w:r>
        <w:instrText xml:space="preserve"> PAGEREF _Toc164842835 \h </w:instrText>
      </w:r>
      <w:r>
        <w:fldChar w:fldCharType="separate"/>
      </w:r>
      <w:r>
        <w:t>133</w:t>
      </w:r>
      <w:r>
        <w:fldChar w:fldCharType="end"/>
      </w:r>
    </w:p>
    <w:p>
      <w:pPr>
        <w:pStyle w:val="TOC8"/>
        <w:rPr>
          <w:rFonts w:asciiTheme="minorHAnsi" w:eastAsiaTheme="minorEastAsia" w:hAnsiTheme="minorHAnsi" w:cstheme="minorBidi"/>
          <w:szCs w:val="22"/>
        </w:rPr>
      </w:pPr>
      <w:r>
        <w:t>120S.</w:t>
      </w:r>
      <w:r>
        <w:tab/>
        <w:t>Prohibitions on hindering or preventing access</w:t>
      </w:r>
      <w:r>
        <w:tab/>
      </w:r>
      <w:r>
        <w:fldChar w:fldCharType="begin"/>
      </w:r>
      <w:r>
        <w:instrText xml:space="preserve"> PAGEREF _Toc164842836 \h </w:instrText>
      </w:r>
      <w:r>
        <w:fldChar w:fldCharType="separate"/>
      </w:r>
      <w:r>
        <w:t>133</w:t>
      </w:r>
      <w:r>
        <w:fldChar w:fldCharType="end"/>
      </w:r>
    </w:p>
    <w:p>
      <w:pPr>
        <w:pStyle w:val="TOC8"/>
        <w:rPr>
          <w:rFonts w:asciiTheme="minorHAnsi" w:eastAsiaTheme="minorEastAsia" w:hAnsiTheme="minorHAnsi" w:cstheme="minorBidi"/>
          <w:szCs w:val="22"/>
        </w:rPr>
      </w:pPr>
      <w:r>
        <w:t>120T.</w:t>
      </w:r>
      <w:r>
        <w:tab/>
        <w:t>Proceedings</w:t>
      </w:r>
      <w:r>
        <w:tab/>
      </w:r>
      <w:r>
        <w:fldChar w:fldCharType="begin"/>
      </w:r>
      <w:r>
        <w:instrText xml:space="preserve"> PAGEREF _Toc164842837 \h </w:instrText>
      </w:r>
      <w:r>
        <w:fldChar w:fldCharType="separate"/>
      </w:r>
      <w:r>
        <w:t>135</w:t>
      </w:r>
      <w:r>
        <w:fldChar w:fldCharType="end"/>
      </w:r>
    </w:p>
    <w:p>
      <w:pPr>
        <w:pStyle w:val="TOC8"/>
        <w:rPr>
          <w:rFonts w:asciiTheme="minorHAnsi" w:eastAsiaTheme="minorEastAsia" w:hAnsiTheme="minorHAnsi" w:cstheme="minorBidi"/>
          <w:szCs w:val="22"/>
        </w:rPr>
      </w:pPr>
      <w:r>
        <w:t>120U.</w:t>
      </w:r>
      <w:r>
        <w:tab/>
        <w:t>Criminal proceedings do not lie</w:t>
      </w:r>
      <w:r>
        <w:tab/>
      </w:r>
      <w:r>
        <w:fldChar w:fldCharType="begin"/>
      </w:r>
      <w:r>
        <w:instrText xml:space="preserve"> PAGEREF _Toc164842838 \h </w:instrText>
      </w:r>
      <w:r>
        <w:fldChar w:fldCharType="separate"/>
      </w:r>
      <w:r>
        <w:t>136</w:t>
      </w:r>
      <w:r>
        <w:fldChar w:fldCharType="end"/>
      </w:r>
    </w:p>
    <w:p>
      <w:pPr>
        <w:pStyle w:val="TOC8"/>
        <w:rPr>
          <w:rFonts w:asciiTheme="minorHAnsi" w:eastAsiaTheme="minorEastAsia" w:hAnsiTheme="minorHAnsi" w:cstheme="minorBidi"/>
          <w:szCs w:val="22"/>
        </w:rPr>
      </w:pPr>
      <w:r>
        <w:t>120V.</w:t>
      </w:r>
      <w:r>
        <w:tab/>
        <w:t>Regulations as to enforcement of Pilbara Networks Access Code and Pilbara networks rules</w:t>
      </w:r>
      <w:r>
        <w:tab/>
      </w:r>
      <w:r>
        <w:fldChar w:fldCharType="begin"/>
      </w:r>
      <w:r>
        <w:instrText xml:space="preserve"> PAGEREF _Toc164842839 \h </w:instrText>
      </w:r>
      <w:r>
        <w:fldChar w:fldCharType="separate"/>
      </w:r>
      <w:r>
        <w:t>136</w:t>
      </w:r>
      <w:r>
        <w:fldChar w:fldCharType="end"/>
      </w:r>
    </w:p>
    <w:p>
      <w:pPr>
        <w:pStyle w:val="TOC4"/>
        <w:tabs>
          <w:tab w:val="right" w:leader="dot" w:pos="7077"/>
        </w:tabs>
        <w:rPr>
          <w:rFonts w:asciiTheme="minorHAnsi" w:eastAsiaTheme="minorEastAsia" w:hAnsiTheme="minorHAnsi" w:cstheme="minorBidi"/>
          <w:b w:val="0"/>
          <w:szCs w:val="22"/>
        </w:rPr>
      </w:pPr>
      <w:r>
        <w:t>Division 6 — Independent system operator</w:t>
      </w:r>
    </w:p>
    <w:p>
      <w:pPr>
        <w:pStyle w:val="TOC8"/>
        <w:rPr>
          <w:rFonts w:asciiTheme="minorHAnsi" w:eastAsiaTheme="minorEastAsia" w:hAnsiTheme="minorHAnsi" w:cstheme="minorBidi"/>
          <w:szCs w:val="22"/>
        </w:rPr>
      </w:pPr>
      <w:r>
        <w:t>120W.</w:t>
      </w:r>
      <w:r>
        <w:tab/>
        <w:t>Independent system operator</w:t>
      </w:r>
      <w:r>
        <w:tab/>
      </w:r>
      <w:r>
        <w:fldChar w:fldCharType="begin"/>
      </w:r>
      <w:r>
        <w:instrText xml:space="preserve"> PAGEREF _Toc164842841 \h </w:instrText>
      </w:r>
      <w:r>
        <w:fldChar w:fldCharType="separate"/>
      </w:r>
      <w:r>
        <w:t>138</w:t>
      </w:r>
      <w:r>
        <w:fldChar w:fldCharType="end"/>
      </w:r>
    </w:p>
    <w:p>
      <w:pPr>
        <w:pStyle w:val="TOC8"/>
        <w:rPr>
          <w:rFonts w:asciiTheme="minorHAnsi" w:eastAsiaTheme="minorEastAsia" w:hAnsiTheme="minorHAnsi" w:cstheme="minorBidi"/>
          <w:szCs w:val="22"/>
        </w:rPr>
      </w:pPr>
      <w:r>
        <w:t>120X.</w:t>
      </w:r>
      <w:r>
        <w:tab/>
        <w:t>Regulations relating to Pilbara ISO</w:t>
      </w:r>
      <w:r>
        <w:tab/>
      </w:r>
      <w:r>
        <w:fldChar w:fldCharType="begin"/>
      </w:r>
      <w:r>
        <w:instrText xml:space="preserve"> PAGEREF _Toc164842842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Division 7 — Functions of Authority</w:t>
      </w:r>
    </w:p>
    <w:p>
      <w:pPr>
        <w:pStyle w:val="TOC8"/>
        <w:rPr>
          <w:rFonts w:asciiTheme="minorHAnsi" w:eastAsiaTheme="minorEastAsia" w:hAnsiTheme="minorHAnsi" w:cstheme="minorBidi"/>
          <w:szCs w:val="22"/>
        </w:rPr>
      </w:pPr>
      <w:r>
        <w:t>120Y.</w:t>
      </w:r>
      <w:r>
        <w:tab/>
        <w:t>Functions of Authority</w:t>
      </w:r>
      <w:r>
        <w:tab/>
      </w:r>
      <w:r>
        <w:fldChar w:fldCharType="begin"/>
      </w:r>
      <w:r>
        <w:instrText xml:space="preserve"> PAGEREF _Toc164842844 \h </w:instrText>
      </w:r>
      <w:r>
        <w:fldChar w:fldCharType="separate"/>
      </w:r>
      <w:r>
        <w:t>140</w:t>
      </w:r>
      <w:r>
        <w:fldChar w:fldCharType="end"/>
      </w:r>
    </w:p>
    <w:p>
      <w:pPr>
        <w:pStyle w:val="TOC4"/>
        <w:tabs>
          <w:tab w:val="right" w:leader="dot" w:pos="7077"/>
        </w:tabs>
        <w:rPr>
          <w:rFonts w:asciiTheme="minorHAnsi" w:eastAsiaTheme="minorEastAsia" w:hAnsiTheme="minorHAnsi" w:cstheme="minorBidi"/>
          <w:b w:val="0"/>
          <w:szCs w:val="22"/>
        </w:rPr>
      </w:pPr>
      <w:r>
        <w:t>Division 8 — Reviews of decisions</w:t>
      </w:r>
    </w:p>
    <w:p>
      <w:pPr>
        <w:pStyle w:val="TOC8"/>
        <w:rPr>
          <w:rFonts w:asciiTheme="minorHAnsi" w:eastAsiaTheme="minorEastAsia" w:hAnsiTheme="minorHAnsi" w:cstheme="minorBidi"/>
          <w:szCs w:val="22"/>
        </w:rPr>
      </w:pPr>
      <w:r>
        <w:t>120Z.</w:t>
      </w:r>
      <w:r>
        <w:tab/>
        <w:t>Reviews of decisions</w:t>
      </w:r>
      <w:r>
        <w:tab/>
      </w:r>
      <w:r>
        <w:fldChar w:fldCharType="begin"/>
      </w:r>
      <w:r>
        <w:instrText xml:space="preserve"> PAGEREF _Toc164842846 \h </w:instrText>
      </w:r>
      <w:r>
        <w:fldChar w:fldCharType="separate"/>
      </w:r>
      <w:r>
        <w:t>140</w:t>
      </w:r>
      <w:r>
        <w:fldChar w:fldCharType="end"/>
      </w:r>
    </w:p>
    <w:p>
      <w:pPr>
        <w:pStyle w:val="TOC4"/>
        <w:tabs>
          <w:tab w:val="right" w:leader="dot" w:pos="7077"/>
        </w:tabs>
        <w:rPr>
          <w:rFonts w:asciiTheme="minorHAnsi" w:eastAsiaTheme="minorEastAsia" w:hAnsiTheme="minorHAnsi" w:cstheme="minorBidi"/>
          <w:b w:val="0"/>
          <w:szCs w:val="22"/>
        </w:rPr>
      </w:pPr>
      <w:r>
        <w:t>Division 9 — Immunity</w:t>
      </w:r>
    </w:p>
    <w:p>
      <w:pPr>
        <w:pStyle w:val="TOC8"/>
        <w:rPr>
          <w:rFonts w:asciiTheme="minorHAnsi" w:eastAsiaTheme="minorEastAsia" w:hAnsiTheme="minorHAnsi" w:cstheme="minorBidi"/>
          <w:szCs w:val="22"/>
        </w:rPr>
      </w:pPr>
      <w:r>
        <w:t>120ZA.</w:t>
      </w:r>
      <w:r>
        <w:tab/>
        <w:t>Terms used</w:t>
      </w:r>
      <w:r>
        <w:tab/>
      </w:r>
      <w:r>
        <w:fldChar w:fldCharType="begin"/>
      </w:r>
      <w:r>
        <w:instrText xml:space="preserve"> PAGEREF _Toc164842848 \h </w:instrText>
      </w:r>
      <w:r>
        <w:fldChar w:fldCharType="separate"/>
      </w:r>
      <w:r>
        <w:t>141</w:t>
      </w:r>
      <w:r>
        <w:fldChar w:fldCharType="end"/>
      </w:r>
    </w:p>
    <w:p>
      <w:pPr>
        <w:pStyle w:val="TOC8"/>
        <w:rPr>
          <w:rFonts w:asciiTheme="minorHAnsi" w:eastAsiaTheme="minorEastAsia" w:hAnsiTheme="minorHAnsi" w:cstheme="minorBidi"/>
          <w:szCs w:val="22"/>
        </w:rPr>
      </w:pPr>
      <w:r>
        <w:t>120ZB.</w:t>
      </w:r>
      <w:r>
        <w:tab/>
        <w:t>Immunity of participants and their officers or employees</w:t>
      </w:r>
      <w:r>
        <w:tab/>
      </w:r>
      <w:r>
        <w:fldChar w:fldCharType="begin"/>
      </w:r>
      <w:r>
        <w:instrText xml:space="preserve"> PAGEREF _Toc164842849 \h </w:instrText>
      </w:r>
      <w:r>
        <w:fldChar w:fldCharType="separate"/>
      </w:r>
      <w:r>
        <w:t>142</w:t>
      </w:r>
      <w:r>
        <w:fldChar w:fldCharType="end"/>
      </w:r>
    </w:p>
    <w:p>
      <w:pPr>
        <w:pStyle w:val="TOC8"/>
        <w:rPr>
          <w:rFonts w:asciiTheme="minorHAnsi" w:eastAsiaTheme="minorEastAsia" w:hAnsiTheme="minorHAnsi" w:cstheme="minorBidi"/>
          <w:szCs w:val="22"/>
        </w:rPr>
      </w:pPr>
      <w:r>
        <w:t>120ZC.</w:t>
      </w:r>
      <w:r>
        <w:tab/>
        <w:t>Regulations may limit or affect immunity</w:t>
      </w:r>
      <w:r>
        <w:tab/>
      </w:r>
      <w:r>
        <w:fldChar w:fldCharType="begin"/>
      </w:r>
      <w:r>
        <w:instrText xml:space="preserve"> PAGEREF _Toc164842850 \h </w:instrText>
      </w:r>
      <w:r>
        <w:fldChar w:fldCharType="separate"/>
      </w:r>
      <w:r>
        <w:t>143</w:t>
      </w:r>
      <w:r>
        <w:fldChar w:fldCharType="end"/>
      </w:r>
    </w:p>
    <w:p>
      <w:pPr>
        <w:pStyle w:val="TOC8"/>
        <w:rPr>
          <w:rFonts w:asciiTheme="minorHAnsi" w:eastAsiaTheme="minorEastAsia" w:hAnsiTheme="minorHAnsi" w:cstheme="minorBidi"/>
          <w:szCs w:val="22"/>
        </w:rPr>
      </w:pPr>
      <w:r>
        <w:t>120ZD.</w:t>
      </w:r>
      <w:r>
        <w:tab/>
        <w:t>Limitation on immunity after initial period</w:t>
      </w:r>
      <w:r>
        <w:tab/>
      </w:r>
      <w:r>
        <w:fldChar w:fldCharType="begin"/>
      </w:r>
      <w:r>
        <w:instrText xml:space="preserve"> PAGEREF _Toc164842851 \h </w:instrText>
      </w:r>
      <w:r>
        <w:fldChar w:fldCharType="separate"/>
      </w:r>
      <w:r>
        <w:t>144</w:t>
      </w:r>
      <w:r>
        <w:fldChar w:fldCharType="end"/>
      </w:r>
    </w:p>
    <w:p>
      <w:pPr>
        <w:pStyle w:val="TOC8"/>
        <w:rPr>
          <w:rFonts w:asciiTheme="minorHAnsi" w:eastAsiaTheme="minorEastAsia" w:hAnsiTheme="minorHAnsi" w:cstheme="minorBidi"/>
          <w:szCs w:val="22"/>
        </w:rPr>
      </w:pPr>
      <w:r>
        <w:t>120ZE.</w:t>
      </w:r>
      <w:r>
        <w:tab/>
        <w:t>Liability of officer of an entity to that entity not affected</w:t>
      </w:r>
      <w:r>
        <w:tab/>
      </w:r>
      <w:r>
        <w:fldChar w:fldCharType="begin"/>
      </w:r>
      <w:r>
        <w:instrText xml:space="preserve"> PAGEREF _Toc164842852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10 — Competition authorisation</w:t>
      </w:r>
    </w:p>
    <w:p>
      <w:pPr>
        <w:pStyle w:val="TOC8"/>
        <w:rPr>
          <w:rFonts w:asciiTheme="minorHAnsi" w:eastAsiaTheme="minorEastAsia" w:hAnsiTheme="minorHAnsi" w:cstheme="minorBidi"/>
          <w:szCs w:val="22"/>
        </w:rPr>
      </w:pPr>
      <w:r>
        <w:t>120ZF.</w:t>
      </w:r>
      <w:r>
        <w:tab/>
        <w:t>Competition authorisation by regulation</w:t>
      </w:r>
      <w:r>
        <w:tab/>
      </w:r>
      <w:r>
        <w:fldChar w:fldCharType="begin"/>
      </w:r>
      <w:r>
        <w:instrText xml:space="preserve"> PAGEREF _Toc164842854 \h </w:instrText>
      </w:r>
      <w:r>
        <w:fldChar w:fldCharType="separate"/>
      </w:r>
      <w:r>
        <w:t>145</w:t>
      </w:r>
      <w:r>
        <w:fldChar w:fldCharType="end"/>
      </w:r>
    </w:p>
    <w:p>
      <w:pPr>
        <w:pStyle w:val="TOC4"/>
        <w:tabs>
          <w:tab w:val="right" w:leader="dot" w:pos="7077"/>
        </w:tabs>
        <w:rPr>
          <w:rFonts w:asciiTheme="minorHAnsi" w:eastAsiaTheme="minorEastAsia" w:hAnsiTheme="minorHAnsi" w:cstheme="minorBidi"/>
          <w:b w:val="0"/>
          <w:szCs w:val="22"/>
        </w:rPr>
      </w:pPr>
      <w:r>
        <w:t>Division 11 — Review of system</w:t>
      </w:r>
    </w:p>
    <w:p>
      <w:pPr>
        <w:pStyle w:val="TOC8"/>
        <w:rPr>
          <w:rFonts w:asciiTheme="minorHAnsi" w:eastAsiaTheme="minorEastAsia" w:hAnsiTheme="minorHAnsi" w:cstheme="minorBidi"/>
          <w:szCs w:val="22"/>
        </w:rPr>
      </w:pPr>
      <w:r>
        <w:t>120ZG.</w:t>
      </w:r>
      <w:r>
        <w:tab/>
        <w:t>Review of regulation of Pilbara networks</w:t>
      </w:r>
      <w:r>
        <w:tab/>
      </w:r>
      <w:r>
        <w:fldChar w:fldCharType="begin"/>
      </w:r>
      <w:r>
        <w:instrText xml:space="preserve"> PAGEREF _Toc164842856 \h </w:instrText>
      </w:r>
      <w:r>
        <w:fldChar w:fldCharType="separate"/>
      </w:r>
      <w:r>
        <w:t>145</w:t>
      </w:r>
      <w:r>
        <w:fldChar w:fldCharType="end"/>
      </w:r>
    </w:p>
    <w:p>
      <w:pPr>
        <w:pStyle w:val="TOC8"/>
        <w:rPr>
          <w:rFonts w:asciiTheme="minorHAnsi" w:eastAsiaTheme="minorEastAsia" w:hAnsiTheme="minorHAnsi" w:cstheme="minorBidi"/>
          <w:szCs w:val="22"/>
        </w:rPr>
      </w:pPr>
      <w:r>
        <w:t>120ZH.</w:t>
      </w:r>
      <w:r>
        <w:tab/>
        <w:t>Public consultation</w:t>
      </w:r>
      <w:r>
        <w:tab/>
      </w:r>
      <w:r>
        <w:fldChar w:fldCharType="begin"/>
      </w:r>
      <w:r>
        <w:instrText xml:space="preserve"> PAGEREF _Toc164842857 \h </w:instrText>
      </w:r>
      <w:r>
        <w:fldChar w:fldCharType="separate"/>
      </w:r>
      <w:r>
        <w:t>146</w:t>
      </w:r>
      <w:r>
        <w:fldChar w:fldCharType="end"/>
      </w:r>
    </w:p>
    <w:p>
      <w:pPr>
        <w:pStyle w:val="TOC4"/>
        <w:tabs>
          <w:tab w:val="right" w:leader="dot" w:pos="7077"/>
        </w:tabs>
        <w:rPr>
          <w:rFonts w:asciiTheme="minorHAnsi" w:eastAsiaTheme="minorEastAsia" w:hAnsiTheme="minorHAnsi" w:cstheme="minorBidi"/>
          <w:b w:val="0"/>
          <w:szCs w:val="22"/>
        </w:rPr>
      </w:pPr>
      <w:r>
        <w:t>Division 12 — Transitional provisions</w:t>
      </w:r>
    </w:p>
    <w:p>
      <w:pPr>
        <w:pStyle w:val="TOC8"/>
        <w:rPr>
          <w:rFonts w:asciiTheme="minorHAnsi" w:eastAsiaTheme="minorEastAsia" w:hAnsiTheme="minorHAnsi" w:cstheme="minorBidi"/>
          <w:szCs w:val="22"/>
        </w:rPr>
      </w:pPr>
      <w:r>
        <w:t>120ZI.</w:t>
      </w:r>
      <w:r>
        <w:tab/>
        <w:t>Pilbara Networks Access Code and Pilbara networks rules do not affect existing agreements</w:t>
      </w:r>
      <w:r>
        <w:tab/>
      </w:r>
      <w:r>
        <w:fldChar w:fldCharType="begin"/>
      </w:r>
      <w:r>
        <w:instrText xml:space="preserve"> PAGEREF _Toc164842859 \h </w:instrText>
      </w:r>
      <w:r>
        <w:fldChar w:fldCharType="separate"/>
      </w:r>
      <w:r>
        <w:t>147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9 — Wholesale electricity market</w:t>
      </w:r>
    </w:p>
    <w:p>
      <w:pPr>
        <w:pStyle w:val="TOC8"/>
        <w:rPr>
          <w:rFonts w:asciiTheme="minorHAnsi" w:eastAsiaTheme="minorEastAsia" w:hAnsiTheme="minorHAnsi" w:cstheme="minorBidi"/>
          <w:szCs w:val="22"/>
        </w:rPr>
      </w:pPr>
      <w:r>
        <w:t>121.</w:t>
      </w:r>
      <w:r>
        <w:tab/>
        <w:t>Terms used</w:t>
      </w:r>
      <w:r>
        <w:tab/>
      </w:r>
      <w:r>
        <w:fldChar w:fldCharType="begin"/>
      </w:r>
      <w:r>
        <w:instrText xml:space="preserve"> PAGEREF _Toc164842861 \h </w:instrText>
      </w:r>
      <w:r>
        <w:fldChar w:fldCharType="separate"/>
      </w:r>
      <w:r>
        <w:t>149</w:t>
      </w:r>
      <w:r>
        <w:fldChar w:fldCharType="end"/>
      </w:r>
    </w:p>
    <w:p>
      <w:pPr>
        <w:pStyle w:val="TOC8"/>
        <w:rPr>
          <w:rFonts w:asciiTheme="minorHAnsi" w:eastAsiaTheme="minorEastAsia" w:hAnsiTheme="minorHAnsi" w:cstheme="minorBidi"/>
          <w:szCs w:val="22"/>
        </w:rPr>
      </w:pPr>
      <w:r>
        <w:t>122.</w:t>
      </w:r>
      <w:r>
        <w:tab/>
        <w:t>Regulations for a wholesale electricity market</w:t>
      </w:r>
      <w:r>
        <w:tab/>
      </w:r>
      <w:r>
        <w:fldChar w:fldCharType="begin"/>
      </w:r>
      <w:r>
        <w:instrText xml:space="preserve"> PAGEREF _Toc164842862 \h </w:instrText>
      </w:r>
      <w:r>
        <w:fldChar w:fldCharType="separate"/>
      </w:r>
      <w:r>
        <w:t>149</w:t>
      </w:r>
      <w:r>
        <w:fldChar w:fldCharType="end"/>
      </w:r>
    </w:p>
    <w:p>
      <w:pPr>
        <w:pStyle w:val="TOC8"/>
        <w:rPr>
          <w:rFonts w:asciiTheme="minorHAnsi" w:eastAsiaTheme="minorEastAsia" w:hAnsiTheme="minorHAnsi" w:cstheme="minorBidi"/>
          <w:szCs w:val="22"/>
        </w:rPr>
      </w:pPr>
      <w:r>
        <w:t>123.</w:t>
      </w:r>
      <w:r>
        <w:tab/>
        <w:t>Market rules</w:t>
      </w:r>
      <w:r>
        <w:tab/>
      </w:r>
      <w:r>
        <w:fldChar w:fldCharType="begin"/>
      </w:r>
      <w:r>
        <w:instrText xml:space="preserve"> PAGEREF _Toc164842863 \h </w:instrText>
      </w:r>
      <w:r>
        <w:fldChar w:fldCharType="separate"/>
      </w:r>
      <w:r>
        <w:t>150</w:t>
      </w:r>
      <w:r>
        <w:fldChar w:fldCharType="end"/>
      </w:r>
    </w:p>
    <w:p>
      <w:pPr>
        <w:pStyle w:val="TOC8"/>
        <w:rPr>
          <w:rFonts w:asciiTheme="minorHAnsi" w:eastAsiaTheme="minorEastAsia" w:hAnsiTheme="minorHAnsi" w:cstheme="minorBidi"/>
          <w:szCs w:val="22"/>
        </w:rPr>
      </w:pPr>
      <w:r>
        <w:t>124.</w:t>
      </w:r>
      <w:r>
        <w:tab/>
        <w:t>Matters to be dealt with in regulations</w:t>
      </w:r>
      <w:r>
        <w:tab/>
      </w:r>
      <w:r>
        <w:fldChar w:fldCharType="begin"/>
      </w:r>
      <w:r>
        <w:instrText xml:space="preserve"> PAGEREF _Toc164842864 \h </w:instrText>
      </w:r>
      <w:r>
        <w:fldChar w:fldCharType="separate"/>
      </w:r>
      <w:r>
        <w:t>151</w:t>
      </w:r>
      <w:r>
        <w:fldChar w:fldCharType="end"/>
      </w:r>
    </w:p>
    <w:p>
      <w:pPr>
        <w:pStyle w:val="TOC8"/>
        <w:rPr>
          <w:rFonts w:asciiTheme="minorHAnsi" w:eastAsiaTheme="minorEastAsia" w:hAnsiTheme="minorHAnsi" w:cstheme="minorBidi"/>
          <w:szCs w:val="22"/>
        </w:rPr>
      </w:pPr>
      <w:r>
        <w:t>125.</w:t>
      </w:r>
      <w:r>
        <w:tab/>
        <w:t>Reviews</w:t>
      </w:r>
      <w:r>
        <w:tab/>
      </w:r>
      <w:r>
        <w:fldChar w:fldCharType="begin"/>
      </w:r>
      <w:r>
        <w:instrText xml:space="preserve"> PAGEREF _Toc164842865 \h </w:instrText>
      </w:r>
      <w:r>
        <w:fldChar w:fldCharType="separate"/>
      </w:r>
      <w:r>
        <w:t>153</w:t>
      </w:r>
      <w:r>
        <w:fldChar w:fldCharType="end"/>
      </w:r>
    </w:p>
    <w:p>
      <w:pPr>
        <w:pStyle w:val="TOC8"/>
        <w:rPr>
          <w:rFonts w:asciiTheme="minorHAnsi" w:eastAsiaTheme="minorEastAsia" w:hAnsiTheme="minorHAnsi" w:cstheme="minorBidi"/>
          <w:szCs w:val="22"/>
        </w:rPr>
      </w:pPr>
      <w:r>
        <w:t>126.</w:t>
      </w:r>
      <w:r>
        <w:tab/>
        <w:t>Immunity of certain participants</w:t>
      </w:r>
      <w:r>
        <w:tab/>
      </w:r>
      <w:r>
        <w:fldChar w:fldCharType="begin"/>
      </w:r>
      <w:r>
        <w:instrText xml:space="preserve"> PAGEREF _Toc164842866 \h </w:instrText>
      </w:r>
      <w:r>
        <w:fldChar w:fldCharType="separate"/>
      </w:r>
      <w:r>
        <w:t>154</w:t>
      </w:r>
      <w:r>
        <w:fldChar w:fldCharType="end"/>
      </w:r>
    </w:p>
    <w:p>
      <w:pPr>
        <w:pStyle w:val="TOC8"/>
        <w:rPr>
          <w:rFonts w:asciiTheme="minorHAnsi" w:eastAsiaTheme="minorEastAsia" w:hAnsiTheme="minorHAnsi" w:cstheme="minorBidi"/>
          <w:szCs w:val="22"/>
        </w:rPr>
      </w:pPr>
      <w:r>
        <w:t>127.</w:t>
      </w:r>
      <w:r>
        <w:tab/>
        <w:t>Competition authorisation by regulation</w:t>
      </w:r>
      <w:r>
        <w:tab/>
      </w:r>
      <w:r>
        <w:fldChar w:fldCharType="begin"/>
      </w:r>
      <w:r>
        <w:instrText xml:space="preserve"> PAGEREF _Toc164842867 \h </w:instrText>
      </w:r>
      <w:r>
        <w:fldChar w:fldCharType="separate"/>
      </w:r>
      <w:r>
        <w:t>156</w:t>
      </w:r>
      <w:r>
        <w:fldChar w:fldCharType="end"/>
      </w:r>
    </w:p>
    <w:p>
      <w:pPr>
        <w:pStyle w:val="TOC8"/>
        <w:rPr>
          <w:rFonts w:asciiTheme="minorHAnsi" w:eastAsiaTheme="minorEastAsia" w:hAnsiTheme="minorHAnsi" w:cstheme="minorBidi"/>
          <w:szCs w:val="22"/>
        </w:rPr>
      </w:pPr>
      <w:r>
        <w:t>128.</w:t>
      </w:r>
      <w:r>
        <w:tab/>
        <w:t>Review of market operation</w:t>
      </w:r>
      <w:r>
        <w:tab/>
      </w:r>
      <w:r>
        <w:fldChar w:fldCharType="begin"/>
      </w:r>
      <w:r>
        <w:instrText xml:space="preserve"> PAGEREF _Toc164842868 \h </w:instrText>
      </w:r>
      <w:r>
        <w:fldChar w:fldCharType="separate"/>
      </w:r>
      <w:r>
        <w:t>156</w:t>
      </w:r>
      <w:r>
        <w:fldChar w:fldCharType="end"/>
      </w:r>
    </w:p>
    <w:p>
      <w:pPr>
        <w:pStyle w:val="TOC8"/>
        <w:rPr>
          <w:rFonts w:asciiTheme="minorHAnsi" w:eastAsiaTheme="minorEastAsia" w:hAnsiTheme="minorHAnsi" w:cstheme="minorBidi"/>
          <w:szCs w:val="22"/>
        </w:rPr>
      </w:pPr>
      <w:r>
        <w:t>129.</w:t>
      </w:r>
      <w:r>
        <w:tab/>
        <w:t>Public consultation</w:t>
      </w:r>
      <w:r>
        <w:tab/>
      </w:r>
      <w:r>
        <w:fldChar w:fldCharType="begin"/>
      </w:r>
      <w:r>
        <w:instrText xml:space="preserve"> PAGEREF _Toc164842869 \h </w:instrText>
      </w:r>
      <w:r>
        <w:fldChar w:fldCharType="separate"/>
      </w:r>
      <w:r>
        <w:t>157</w:t>
      </w:r>
      <w:r>
        <w:fldChar w:fldCharType="end"/>
      </w:r>
    </w:p>
    <w:p>
      <w:pPr>
        <w:pStyle w:val="TOC2"/>
        <w:tabs>
          <w:tab w:val="right" w:leader="dot" w:pos="7077"/>
        </w:tabs>
        <w:rPr>
          <w:rFonts w:asciiTheme="minorHAnsi" w:eastAsiaTheme="minorEastAsia" w:hAnsiTheme="minorHAnsi" w:cstheme="minorBidi"/>
          <w:b w:val="0"/>
          <w:sz w:val="22"/>
          <w:szCs w:val="22"/>
        </w:rPr>
      </w:pPr>
      <w:r>
        <w:t>Part 9A — Tariff equalisation</w:t>
      </w:r>
    </w:p>
    <w:p>
      <w:pPr>
        <w:pStyle w:val="TOC8"/>
        <w:rPr>
          <w:rFonts w:asciiTheme="minorHAnsi" w:eastAsiaTheme="minorEastAsia" w:hAnsiTheme="minorHAnsi" w:cstheme="minorBidi"/>
          <w:szCs w:val="22"/>
        </w:rPr>
      </w:pPr>
      <w:r>
        <w:t>129A.</w:t>
      </w:r>
      <w:r>
        <w:tab/>
        <w:t>Purpose of this Part</w:t>
      </w:r>
      <w:r>
        <w:tab/>
      </w:r>
      <w:r>
        <w:fldChar w:fldCharType="begin"/>
      </w:r>
      <w:r>
        <w:instrText xml:space="preserve"> PAGEREF _Toc164842871 \h </w:instrText>
      </w:r>
      <w:r>
        <w:fldChar w:fldCharType="separate"/>
      </w:r>
      <w:r>
        <w:t>159</w:t>
      </w:r>
      <w:r>
        <w:fldChar w:fldCharType="end"/>
      </w:r>
    </w:p>
    <w:p>
      <w:pPr>
        <w:pStyle w:val="TOC8"/>
        <w:rPr>
          <w:rFonts w:asciiTheme="minorHAnsi" w:eastAsiaTheme="minorEastAsia" w:hAnsiTheme="minorHAnsi" w:cstheme="minorBidi"/>
          <w:szCs w:val="22"/>
        </w:rPr>
      </w:pPr>
      <w:r>
        <w:t>129B.</w:t>
      </w:r>
      <w:r>
        <w:tab/>
        <w:t>Terms used</w:t>
      </w:r>
      <w:r>
        <w:tab/>
      </w:r>
      <w:r>
        <w:fldChar w:fldCharType="begin"/>
      </w:r>
      <w:r>
        <w:instrText xml:space="preserve"> PAGEREF _Toc164842872 \h </w:instrText>
      </w:r>
      <w:r>
        <w:fldChar w:fldCharType="separate"/>
      </w:r>
      <w:r>
        <w:t>159</w:t>
      </w:r>
      <w:r>
        <w:fldChar w:fldCharType="end"/>
      </w:r>
    </w:p>
    <w:p>
      <w:pPr>
        <w:pStyle w:val="TOC8"/>
        <w:rPr>
          <w:rFonts w:asciiTheme="minorHAnsi" w:eastAsiaTheme="minorEastAsia" w:hAnsiTheme="minorHAnsi" w:cstheme="minorBidi"/>
          <w:szCs w:val="22"/>
        </w:rPr>
      </w:pPr>
      <w:r>
        <w:t>129C.</w:t>
      </w:r>
      <w:r>
        <w:tab/>
        <w:t>Tariff Equalisation Account</w:t>
      </w:r>
      <w:r>
        <w:tab/>
      </w:r>
      <w:r>
        <w:fldChar w:fldCharType="begin"/>
      </w:r>
      <w:r>
        <w:instrText xml:space="preserve"> PAGEREF _Toc164842873 \h </w:instrText>
      </w:r>
      <w:r>
        <w:fldChar w:fldCharType="separate"/>
      </w:r>
      <w:r>
        <w:t>160</w:t>
      </w:r>
      <w:r>
        <w:fldChar w:fldCharType="end"/>
      </w:r>
    </w:p>
    <w:p>
      <w:pPr>
        <w:pStyle w:val="TOC8"/>
        <w:rPr>
          <w:rFonts w:asciiTheme="minorHAnsi" w:eastAsiaTheme="minorEastAsia" w:hAnsiTheme="minorHAnsi" w:cstheme="minorBidi"/>
          <w:szCs w:val="22"/>
        </w:rPr>
      </w:pPr>
      <w:r>
        <w:t>129D.</w:t>
      </w:r>
      <w:r>
        <w:tab/>
        <w:t>Determination of tariff equalisation contributions</w:t>
      </w:r>
      <w:r>
        <w:tab/>
      </w:r>
      <w:r>
        <w:fldChar w:fldCharType="begin"/>
      </w:r>
      <w:r>
        <w:instrText xml:space="preserve"> PAGEREF _Toc164842874 \h </w:instrText>
      </w:r>
      <w:r>
        <w:fldChar w:fldCharType="separate"/>
      </w:r>
      <w:r>
        <w:t>160</w:t>
      </w:r>
      <w:r>
        <w:fldChar w:fldCharType="end"/>
      </w:r>
    </w:p>
    <w:p>
      <w:pPr>
        <w:pStyle w:val="TOC8"/>
        <w:rPr>
          <w:rFonts w:asciiTheme="minorHAnsi" w:eastAsiaTheme="minorEastAsia" w:hAnsiTheme="minorHAnsi" w:cstheme="minorBidi"/>
          <w:szCs w:val="22"/>
        </w:rPr>
      </w:pPr>
      <w:r>
        <w:t>129E.</w:t>
      </w:r>
      <w:r>
        <w:tab/>
        <w:t>Treasurer may seek advice from the Authority</w:t>
      </w:r>
      <w:r>
        <w:tab/>
      </w:r>
      <w:r>
        <w:fldChar w:fldCharType="begin"/>
      </w:r>
      <w:r>
        <w:instrText xml:space="preserve"> PAGEREF _Toc164842875 \h </w:instrText>
      </w:r>
      <w:r>
        <w:fldChar w:fldCharType="separate"/>
      </w:r>
      <w:r>
        <w:t>161</w:t>
      </w:r>
      <w:r>
        <w:fldChar w:fldCharType="end"/>
      </w:r>
    </w:p>
    <w:p>
      <w:pPr>
        <w:pStyle w:val="TOC8"/>
        <w:rPr>
          <w:rFonts w:asciiTheme="minorHAnsi" w:eastAsiaTheme="minorEastAsia" w:hAnsiTheme="minorHAnsi" w:cstheme="minorBidi"/>
          <w:szCs w:val="22"/>
        </w:rPr>
      </w:pPr>
      <w:r>
        <w:t>129F.</w:t>
      </w:r>
      <w:r>
        <w:tab/>
        <w:t>Payment and passing on of tariff equalisation contributions</w:t>
      </w:r>
      <w:r>
        <w:tab/>
      </w:r>
      <w:r>
        <w:fldChar w:fldCharType="begin"/>
      </w:r>
      <w:r>
        <w:instrText xml:space="preserve"> PAGEREF _Toc164842876 \h </w:instrText>
      </w:r>
      <w:r>
        <w:fldChar w:fldCharType="separate"/>
      </w:r>
      <w:r>
        <w:t>162</w:t>
      </w:r>
      <w:r>
        <w:fldChar w:fldCharType="end"/>
      </w:r>
    </w:p>
    <w:p>
      <w:pPr>
        <w:pStyle w:val="TOC8"/>
        <w:rPr>
          <w:rFonts w:asciiTheme="minorHAnsi" w:eastAsiaTheme="minorEastAsia" w:hAnsiTheme="minorHAnsi" w:cstheme="minorBidi"/>
          <w:szCs w:val="22"/>
        </w:rPr>
      </w:pPr>
      <w:r>
        <w:t>129G.</w:t>
      </w:r>
      <w:r>
        <w:tab/>
        <w:t>Payments from the Account</w:t>
      </w:r>
      <w:r>
        <w:tab/>
      </w:r>
      <w:r>
        <w:fldChar w:fldCharType="begin"/>
      </w:r>
      <w:r>
        <w:instrText xml:space="preserve"> PAGEREF _Toc164842877 \h </w:instrText>
      </w:r>
      <w:r>
        <w:fldChar w:fldCharType="separate"/>
      </w:r>
      <w:r>
        <w:t>163</w:t>
      </w:r>
      <w:r>
        <w:fldChar w:fldCharType="end"/>
      </w:r>
    </w:p>
    <w:p>
      <w:pPr>
        <w:pStyle w:val="TOC8"/>
        <w:rPr>
          <w:rFonts w:asciiTheme="minorHAnsi" w:eastAsiaTheme="minorEastAsia" w:hAnsiTheme="minorHAnsi" w:cstheme="minorBidi"/>
          <w:szCs w:val="22"/>
        </w:rPr>
      </w:pPr>
      <w:r>
        <w:t>129H.</w:t>
      </w:r>
      <w:r>
        <w:tab/>
        <w:t>Information</w:t>
      </w:r>
      <w:r>
        <w:tab/>
      </w:r>
      <w:r>
        <w:fldChar w:fldCharType="begin"/>
      </w:r>
      <w:r>
        <w:instrText xml:space="preserve"> PAGEREF _Toc164842878 \h </w:instrText>
      </w:r>
      <w:r>
        <w:fldChar w:fldCharType="separate"/>
      </w:r>
      <w:r>
        <w:t>163</w:t>
      </w:r>
      <w:r>
        <w:fldChar w:fldCharType="end"/>
      </w:r>
    </w:p>
    <w:p>
      <w:pPr>
        <w:pStyle w:val="TOC8"/>
        <w:rPr>
          <w:rFonts w:asciiTheme="minorHAnsi" w:eastAsiaTheme="minorEastAsia" w:hAnsiTheme="minorHAnsi" w:cstheme="minorBidi"/>
          <w:szCs w:val="22"/>
        </w:rPr>
      </w:pPr>
      <w:r>
        <w:t>129I.</w:t>
      </w:r>
      <w:r>
        <w:tab/>
        <w:t>Treasurer to recommend regulations</w:t>
      </w:r>
      <w:r>
        <w:tab/>
      </w:r>
      <w:r>
        <w:fldChar w:fldCharType="begin"/>
      </w:r>
      <w:r>
        <w:instrText xml:space="preserve"> PAGEREF _Toc164842879 \h </w:instrText>
      </w:r>
      <w:r>
        <w:fldChar w:fldCharType="separate"/>
      </w:r>
      <w:r>
        <w:t>164</w:t>
      </w:r>
      <w:r>
        <w:fldChar w:fldCharType="end"/>
      </w:r>
    </w:p>
    <w:p>
      <w:pPr>
        <w:pStyle w:val="TOC8"/>
        <w:rPr>
          <w:rFonts w:asciiTheme="minorHAnsi" w:eastAsiaTheme="minorEastAsia" w:hAnsiTheme="minorHAnsi" w:cstheme="minorBidi"/>
          <w:szCs w:val="22"/>
        </w:rPr>
      </w:pPr>
      <w:r>
        <w:t>129J.</w:t>
      </w:r>
      <w:r>
        <w:tab/>
        <w:t>Delegation by Treasurer</w:t>
      </w:r>
      <w:r>
        <w:tab/>
      </w:r>
      <w:r>
        <w:fldChar w:fldCharType="begin"/>
      </w:r>
      <w:r>
        <w:instrText xml:space="preserve"> PAGEREF _Toc164842880 \h </w:instrText>
      </w:r>
      <w:r>
        <w:fldChar w:fldCharType="separate"/>
      </w:r>
      <w:r>
        <w:t>164</w:t>
      </w:r>
      <w:r>
        <w:fldChar w:fldCharType="end"/>
      </w:r>
    </w:p>
    <w:p>
      <w:pPr>
        <w:pStyle w:val="TOC2"/>
        <w:tabs>
          <w:tab w:val="right" w:leader="dot" w:pos="7077"/>
        </w:tabs>
        <w:rPr>
          <w:rFonts w:asciiTheme="minorHAnsi" w:eastAsiaTheme="minorEastAsia" w:hAnsiTheme="minorHAnsi" w:cstheme="minorBidi"/>
          <w:b w:val="0"/>
          <w:sz w:val="22"/>
          <w:szCs w:val="22"/>
        </w:rPr>
      </w:pPr>
      <w:r>
        <w:t>Part 9B — Temporary access contribution</w:t>
      </w:r>
    </w:p>
    <w:p>
      <w:pPr>
        <w:pStyle w:val="TOC8"/>
        <w:rPr>
          <w:rFonts w:asciiTheme="minorHAnsi" w:eastAsiaTheme="minorEastAsia" w:hAnsiTheme="minorHAnsi" w:cstheme="minorBidi"/>
          <w:szCs w:val="22"/>
        </w:rPr>
      </w:pPr>
      <w:r>
        <w:t>129K.</w:t>
      </w:r>
      <w:r>
        <w:tab/>
        <w:t>Purpose of this Part</w:t>
      </w:r>
      <w:r>
        <w:tab/>
      </w:r>
      <w:r>
        <w:fldChar w:fldCharType="begin"/>
      </w:r>
      <w:r>
        <w:instrText xml:space="preserve"> PAGEREF _Toc164842882 \h </w:instrText>
      </w:r>
      <w:r>
        <w:fldChar w:fldCharType="separate"/>
      </w:r>
      <w:r>
        <w:t>165</w:t>
      </w:r>
      <w:r>
        <w:fldChar w:fldCharType="end"/>
      </w:r>
    </w:p>
    <w:p>
      <w:pPr>
        <w:pStyle w:val="TOC8"/>
        <w:rPr>
          <w:rFonts w:asciiTheme="minorHAnsi" w:eastAsiaTheme="minorEastAsia" w:hAnsiTheme="minorHAnsi" w:cstheme="minorBidi"/>
          <w:szCs w:val="22"/>
        </w:rPr>
      </w:pPr>
      <w:r>
        <w:t>129L.</w:t>
      </w:r>
      <w:r>
        <w:tab/>
        <w:t>Terms used</w:t>
      </w:r>
      <w:r>
        <w:tab/>
      </w:r>
      <w:r>
        <w:fldChar w:fldCharType="begin"/>
      </w:r>
      <w:r>
        <w:instrText xml:space="preserve"> PAGEREF _Toc164842883 \h </w:instrText>
      </w:r>
      <w:r>
        <w:fldChar w:fldCharType="separate"/>
      </w:r>
      <w:r>
        <w:t>165</w:t>
      </w:r>
      <w:r>
        <w:fldChar w:fldCharType="end"/>
      </w:r>
    </w:p>
    <w:p>
      <w:pPr>
        <w:pStyle w:val="TOC8"/>
        <w:rPr>
          <w:rFonts w:asciiTheme="minorHAnsi" w:eastAsiaTheme="minorEastAsia" w:hAnsiTheme="minorHAnsi" w:cstheme="minorBidi"/>
          <w:szCs w:val="22"/>
        </w:rPr>
      </w:pPr>
      <w:r>
        <w:t>129M.</w:t>
      </w:r>
      <w:r>
        <w:tab/>
        <w:t>Temporary Access Contribution Account</w:t>
      </w:r>
      <w:r>
        <w:tab/>
      </w:r>
      <w:r>
        <w:fldChar w:fldCharType="begin"/>
      </w:r>
      <w:r>
        <w:instrText xml:space="preserve"> PAGEREF _Toc164842884 \h </w:instrText>
      </w:r>
      <w:r>
        <w:fldChar w:fldCharType="separate"/>
      </w:r>
      <w:r>
        <w:t>166</w:t>
      </w:r>
      <w:r>
        <w:fldChar w:fldCharType="end"/>
      </w:r>
    </w:p>
    <w:p>
      <w:pPr>
        <w:pStyle w:val="TOC8"/>
        <w:rPr>
          <w:rFonts w:asciiTheme="minorHAnsi" w:eastAsiaTheme="minorEastAsia" w:hAnsiTheme="minorHAnsi" w:cstheme="minorBidi"/>
          <w:szCs w:val="22"/>
        </w:rPr>
      </w:pPr>
      <w:r>
        <w:t>129N.</w:t>
      </w:r>
      <w:r>
        <w:tab/>
        <w:t>Determination of temporary access contributions</w:t>
      </w:r>
      <w:r>
        <w:tab/>
      </w:r>
      <w:r>
        <w:fldChar w:fldCharType="begin"/>
      </w:r>
      <w:r>
        <w:instrText xml:space="preserve"> PAGEREF _Toc164842885 \h </w:instrText>
      </w:r>
      <w:r>
        <w:fldChar w:fldCharType="separate"/>
      </w:r>
      <w:r>
        <w:t>167</w:t>
      </w:r>
      <w:r>
        <w:fldChar w:fldCharType="end"/>
      </w:r>
    </w:p>
    <w:p>
      <w:pPr>
        <w:pStyle w:val="TOC8"/>
        <w:rPr>
          <w:rFonts w:asciiTheme="minorHAnsi" w:eastAsiaTheme="minorEastAsia" w:hAnsiTheme="minorHAnsi" w:cstheme="minorBidi"/>
          <w:szCs w:val="22"/>
        </w:rPr>
      </w:pPr>
      <w:r>
        <w:t>129O.</w:t>
      </w:r>
      <w:r>
        <w:tab/>
        <w:t>Treasurer may seek advice from the Authority</w:t>
      </w:r>
      <w:r>
        <w:tab/>
      </w:r>
      <w:r>
        <w:fldChar w:fldCharType="begin"/>
      </w:r>
      <w:r>
        <w:instrText xml:space="preserve"> PAGEREF _Toc164842886 \h </w:instrText>
      </w:r>
      <w:r>
        <w:fldChar w:fldCharType="separate"/>
      </w:r>
      <w:r>
        <w:t>168</w:t>
      </w:r>
      <w:r>
        <w:fldChar w:fldCharType="end"/>
      </w:r>
    </w:p>
    <w:p>
      <w:pPr>
        <w:pStyle w:val="TOC8"/>
        <w:rPr>
          <w:rFonts w:asciiTheme="minorHAnsi" w:eastAsiaTheme="minorEastAsia" w:hAnsiTheme="minorHAnsi" w:cstheme="minorBidi"/>
          <w:szCs w:val="22"/>
        </w:rPr>
      </w:pPr>
      <w:r>
        <w:t>129P.</w:t>
      </w:r>
      <w:r>
        <w:tab/>
        <w:t>Payment and passing on of temporary access contribution</w:t>
      </w:r>
      <w:r>
        <w:tab/>
      </w:r>
      <w:r>
        <w:fldChar w:fldCharType="begin"/>
      </w:r>
      <w:r>
        <w:instrText xml:space="preserve"> PAGEREF _Toc164842887 \h </w:instrText>
      </w:r>
      <w:r>
        <w:fldChar w:fldCharType="separate"/>
      </w:r>
      <w:r>
        <w:t>168</w:t>
      </w:r>
      <w:r>
        <w:fldChar w:fldCharType="end"/>
      </w:r>
    </w:p>
    <w:p>
      <w:pPr>
        <w:pStyle w:val="TOC8"/>
        <w:rPr>
          <w:rFonts w:asciiTheme="minorHAnsi" w:eastAsiaTheme="minorEastAsia" w:hAnsiTheme="minorHAnsi" w:cstheme="minorBidi"/>
          <w:szCs w:val="22"/>
        </w:rPr>
      </w:pPr>
      <w:r>
        <w:t>129Q.</w:t>
      </w:r>
      <w:r>
        <w:tab/>
        <w:t>Payments from Temporary Access Contribution Account</w:t>
      </w:r>
      <w:r>
        <w:tab/>
      </w:r>
      <w:r>
        <w:fldChar w:fldCharType="begin"/>
      </w:r>
      <w:r>
        <w:instrText xml:space="preserve"> PAGEREF _Toc164842888 \h </w:instrText>
      </w:r>
      <w:r>
        <w:fldChar w:fldCharType="separate"/>
      </w:r>
      <w:r>
        <w:t>169</w:t>
      </w:r>
      <w:r>
        <w:fldChar w:fldCharType="end"/>
      </w:r>
    </w:p>
    <w:p>
      <w:pPr>
        <w:pStyle w:val="TOC8"/>
        <w:rPr>
          <w:rFonts w:asciiTheme="minorHAnsi" w:eastAsiaTheme="minorEastAsia" w:hAnsiTheme="minorHAnsi" w:cstheme="minorBidi"/>
          <w:szCs w:val="22"/>
        </w:rPr>
      </w:pPr>
      <w:r>
        <w:t>129R.</w:t>
      </w:r>
      <w:r>
        <w:tab/>
        <w:t>Information</w:t>
      </w:r>
      <w:r>
        <w:tab/>
      </w:r>
      <w:r>
        <w:fldChar w:fldCharType="begin"/>
      </w:r>
      <w:r>
        <w:instrText xml:space="preserve"> PAGEREF _Toc164842889 \h </w:instrText>
      </w:r>
      <w:r>
        <w:fldChar w:fldCharType="separate"/>
      </w:r>
      <w:r>
        <w:t>170</w:t>
      </w:r>
      <w:r>
        <w:fldChar w:fldCharType="end"/>
      </w:r>
    </w:p>
    <w:p>
      <w:pPr>
        <w:pStyle w:val="TOC8"/>
        <w:rPr>
          <w:rFonts w:asciiTheme="minorHAnsi" w:eastAsiaTheme="minorEastAsia" w:hAnsiTheme="minorHAnsi" w:cstheme="minorBidi"/>
          <w:szCs w:val="22"/>
        </w:rPr>
      </w:pPr>
      <w:r>
        <w:t>129S.</w:t>
      </w:r>
      <w:r>
        <w:tab/>
        <w:t>Treasurer to recommend regulations</w:t>
      </w:r>
      <w:r>
        <w:tab/>
      </w:r>
      <w:r>
        <w:fldChar w:fldCharType="begin"/>
      </w:r>
      <w:r>
        <w:instrText xml:space="preserve"> PAGEREF _Toc164842890 \h </w:instrText>
      </w:r>
      <w:r>
        <w:fldChar w:fldCharType="separate"/>
      </w:r>
      <w:r>
        <w:t>170</w:t>
      </w:r>
      <w:r>
        <w:fldChar w:fldCharType="end"/>
      </w:r>
    </w:p>
    <w:p>
      <w:pPr>
        <w:pStyle w:val="TOC8"/>
        <w:rPr>
          <w:rFonts w:asciiTheme="minorHAnsi" w:eastAsiaTheme="minorEastAsia" w:hAnsiTheme="minorHAnsi" w:cstheme="minorBidi"/>
          <w:szCs w:val="22"/>
        </w:rPr>
      </w:pPr>
      <w:r>
        <w:t>129T.</w:t>
      </w:r>
      <w:r>
        <w:tab/>
        <w:t>Delegation by Treasurer</w:t>
      </w:r>
      <w:r>
        <w:tab/>
      </w:r>
      <w:r>
        <w:fldChar w:fldCharType="begin"/>
      </w:r>
      <w:r>
        <w:instrText xml:space="preserve"> PAGEREF _Toc164842891 \h </w:instrText>
      </w:r>
      <w:r>
        <w:fldChar w:fldCharType="separate"/>
      </w:r>
      <w:r>
        <w:t>170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10 — Other matters</w:t>
      </w:r>
    </w:p>
    <w:p>
      <w:pPr>
        <w:pStyle w:val="TOC8"/>
        <w:rPr>
          <w:rFonts w:asciiTheme="minorHAnsi" w:eastAsiaTheme="minorEastAsia" w:hAnsiTheme="minorHAnsi" w:cstheme="minorBidi"/>
          <w:szCs w:val="22"/>
        </w:rPr>
      </w:pPr>
      <w:r>
        <w:t>130.</w:t>
      </w:r>
      <w:r>
        <w:tab/>
        <w:t>Review by the Board</w:t>
      </w:r>
      <w:r>
        <w:tab/>
      </w:r>
      <w:r>
        <w:fldChar w:fldCharType="begin"/>
      </w:r>
      <w:r>
        <w:instrText xml:space="preserve"> PAGEREF _Toc164842893 \h </w:instrText>
      </w:r>
      <w:r>
        <w:fldChar w:fldCharType="separate"/>
      </w:r>
      <w:r>
        <w:t>171</w:t>
      </w:r>
      <w:r>
        <w:fldChar w:fldCharType="end"/>
      </w:r>
    </w:p>
    <w:p>
      <w:pPr>
        <w:pStyle w:val="TOC8"/>
        <w:rPr>
          <w:rFonts w:asciiTheme="minorHAnsi" w:eastAsiaTheme="minorEastAsia" w:hAnsiTheme="minorHAnsi" w:cstheme="minorBidi"/>
          <w:szCs w:val="22"/>
        </w:rPr>
      </w:pPr>
      <w:r>
        <w:t>131A.</w:t>
      </w:r>
      <w:r>
        <w:tab/>
        <w:t xml:space="preserve">Licence not personal property for the purposes of the </w:t>
      </w:r>
      <w:r>
        <w:rPr>
          <w:i/>
          <w:iCs/>
        </w:rPr>
        <w:t>Personal Property Securities Act 2009</w:t>
      </w:r>
      <w:r>
        <w:t xml:space="preserve"> (Commonwealth)</w:t>
      </w:r>
      <w:r>
        <w:tab/>
      </w:r>
      <w:r>
        <w:fldChar w:fldCharType="begin"/>
      </w:r>
      <w:r>
        <w:instrText xml:space="preserve"> PAGEREF _Toc164842894 \h </w:instrText>
      </w:r>
      <w:r>
        <w:fldChar w:fldCharType="separate"/>
      </w:r>
      <w:r>
        <w:t>174</w:t>
      </w:r>
      <w:r>
        <w:fldChar w:fldCharType="end"/>
      </w:r>
    </w:p>
    <w:p>
      <w:pPr>
        <w:pStyle w:val="TOC8"/>
        <w:rPr>
          <w:rFonts w:asciiTheme="minorHAnsi" w:eastAsiaTheme="minorEastAsia" w:hAnsiTheme="minorHAnsi" w:cstheme="minorBidi"/>
          <w:szCs w:val="22"/>
        </w:rPr>
      </w:pPr>
      <w:r>
        <w:t>131.</w:t>
      </w:r>
      <w:r>
        <w:tab/>
        <w:t>Regulations</w:t>
      </w:r>
      <w:r>
        <w:tab/>
      </w:r>
      <w:r>
        <w:fldChar w:fldCharType="begin"/>
      </w:r>
      <w:r>
        <w:instrText xml:space="preserve"> PAGEREF _Toc164842895 \h </w:instrText>
      </w:r>
      <w:r>
        <w:fldChar w:fldCharType="separate"/>
      </w:r>
      <w:r>
        <w:t>174</w:t>
      </w:r>
      <w:r>
        <w:fldChar w:fldCharType="end"/>
      </w:r>
    </w:p>
    <w:p>
      <w:pPr>
        <w:pStyle w:val="TOC8"/>
        <w:rPr>
          <w:rFonts w:asciiTheme="minorHAnsi" w:eastAsiaTheme="minorEastAsia" w:hAnsiTheme="minorHAnsi" w:cstheme="minorBidi"/>
          <w:szCs w:val="22"/>
        </w:rPr>
      </w:pPr>
      <w:r>
        <w:t>131B.</w:t>
      </w:r>
      <w:r>
        <w:tab/>
        <w:t>Enforcement of the regulations</w:t>
      </w:r>
      <w:r>
        <w:tab/>
      </w:r>
      <w:r>
        <w:fldChar w:fldCharType="begin"/>
      </w:r>
      <w:r>
        <w:instrText xml:space="preserve"> PAGEREF _Toc164842896 \h </w:instrText>
      </w:r>
      <w:r>
        <w:fldChar w:fldCharType="separate"/>
      </w:r>
      <w:r>
        <w:t>174</w:t>
      </w:r>
      <w:r>
        <w:fldChar w:fldCharType="end"/>
      </w:r>
    </w:p>
    <w:p>
      <w:pPr>
        <w:pStyle w:val="TOC8"/>
        <w:rPr>
          <w:rFonts w:asciiTheme="minorHAnsi" w:eastAsiaTheme="minorEastAsia" w:hAnsiTheme="minorHAnsi" w:cstheme="minorBidi"/>
          <w:szCs w:val="22"/>
        </w:rPr>
      </w:pPr>
      <w:r>
        <w:t>132.</w:t>
      </w:r>
      <w:r>
        <w:tab/>
        <w:t>Regulations as to fees and charges for supply and services</w:t>
      </w:r>
      <w:r>
        <w:tab/>
      </w:r>
      <w:r>
        <w:fldChar w:fldCharType="begin"/>
      </w:r>
      <w:r>
        <w:instrText xml:space="preserve"> PAGEREF _Toc164842897 \h </w:instrText>
      </w:r>
      <w:r>
        <w:fldChar w:fldCharType="separate"/>
      </w:r>
      <w:r>
        <w:t>174</w:t>
      </w:r>
      <w:r>
        <w:fldChar w:fldCharType="end"/>
      </w:r>
    </w:p>
    <w:p>
      <w:pPr>
        <w:pStyle w:val="TOC8"/>
        <w:rPr>
          <w:rFonts w:asciiTheme="minorHAnsi" w:eastAsiaTheme="minorEastAsia" w:hAnsiTheme="minorHAnsi" w:cstheme="minorBidi"/>
          <w:szCs w:val="22"/>
        </w:rPr>
      </w:pPr>
      <w:r>
        <w:t>133.</w:t>
      </w:r>
      <w:r>
        <w:tab/>
        <w:t>Regulations as to fees and charges for functions of arbitrator and Board</w:t>
      </w:r>
      <w:r>
        <w:tab/>
      </w:r>
      <w:r>
        <w:fldChar w:fldCharType="begin"/>
      </w:r>
      <w:r>
        <w:instrText xml:space="preserve"> PAGEREF _Toc164842898 \h </w:instrText>
      </w:r>
      <w:r>
        <w:fldChar w:fldCharType="separate"/>
      </w:r>
      <w:r>
        <w:t>175</w:t>
      </w:r>
      <w:r>
        <w:fldChar w:fldCharType="end"/>
      </w:r>
    </w:p>
    <w:p>
      <w:pPr>
        <w:pStyle w:val="TOC8"/>
        <w:rPr>
          <w:rFonts w:asciiTheme="minorHAnsi" w:eastAsiaTheme="minorEastAsia" w:hAnsiTheme="minorHAnsi" w:cstheme="minorBidi"/>
          <w:szCs w:val="22"/>
        </w:rPr>
      </w:pPr>
      <w:r>
        <w:t>134.</w:t>
      </w:r>
      <w:r>
        <w:tab/>
        <w:t>Regulations as to excluding Corporations legislation</w:t>
      </w:r>
      <w:r>
        <w:tab/>
      </w:r>
      <w:r>
        <w:fldChar w:fldCharType="begin"/>
      </w:r>
      <w:r>
        <w:instrText xml:space="preserve"> PAGEREF _Toc164842899 \h </w:instrText>
      </w:r>
      <w:r>
        <w:fldChar w:fldCharType="separate"/>
      </w:r>
      <w:r>
        <w:t>176</w:t>
      </w:r>
      <w:r>
        <w:fldChar w:fldCharType="end"/>
      </w:r>
    </w:p>
    <w:p>
      <w:pPr>
        <w:pStyle w:val="TOC2"/>
        <w:tabs>
          <w:tab w:val="right" w:leader="dot" w:pos="7077"/>
        </w:tabs>
        <w:rPr>
          <w:rFonts w:asciiTheme="minorHAnsi" w:eastAsiaTheme="minorEastAsia" w:hAnsiTheme="minorHAnsi" w:cstheme="minorBidi"/>
          <w:b w:val="0"/>
          <w:sz w:val="22"/>
          <w:szCs w:val="22"/>
        </w:rPr>
      </w:pPr>
      <w:r>
        <w:t>Schedule 1 — Licence terms and conditions</w:t>
      </w:r>
    </w:p>
    <w:p>
      <w:pPr>
        <w:pStyle w:val="TOC8"/>
        <w:rPr>
          <w:rFonts w:asciiTheme="minorHAnsi" w:eastAsiaTheme="minorEastAsia" w:hAnsiTheme="minorHAnsi" w:cstheme="minorBidi"/>
          <w:szCs w:val="22"/>
        </w:rPr>
      </w:pPr>
      <w:r>
        <w:t>1</w:t>
      </w:r>
      <w:r>
        <w:rPr>
          <w:snapToGrid w:val="0"/>
        </w:rPr>
        <w:t>.</w:t>
      </w:r>
      <w:r>
        <w:rPr>
          <w:snapToGrid w:val="0"/>
        </w:rPr>
        <w:tab/>
        <w:t>Licence terms and conditions</w:t>
      </w:r>
      <w:r>
        <w:tab/>
      </w:r>
      <w:r>
        <w:fldChar w:fldCharType="begin"/>
      </w:r>
      <w:r>
        <w:instrText xml:space="preserve"> PAGEREF _Toc164842901 \h </w:instrText>
      </w:r>
      <w:r>
        <w:fldChar w:fldCharType="separate"/>
      </w:r>
      <w:r>
        <w:t>177</w:t>
      </w:r>
      <w:r>
        <w:fldChar w:fldCharType="end"/>
      </w:r>
    </w:p>
    <w:p>
      <w:pPr>
        <w:pStyle w:val="TOC2"/>
        <w:tabs>
          <w:tab w:val="right" w:leader="dot" w:pos="7077"/>
        </w:tabs>
        <w:rPr>
          <w:rFonts w:asciiTheme="minorHAnsi" w:eastAsiaTheme="minorEastAsia" w:hAnsiTheme="minorHAnsi" w:cstheme="minorBidi"/>
          <w:b w:val="0"/>
          <w:sz w:val="22"/>
          <w:szCs w:val="22"/>
        </w:rPr>
      </w:pPr>
      <w:r>
        <w:t>Schedule 2 — Objectives to be met by the electricity ombudsman scheme</w:t>
      </w:r>
    </w:p>
    <w:p>
      <w:pPr>
        <w:pStyle w:val="TOC8"/>
        <w:rPr>
          <w:rFonts w:asciiTheme="minorHAnsi" w:eastAsiaTheme="minorEastAsia" w:hAnsiTheme="minorHAnsi" w:cstheme="minorBidi"/>
          <w:szCs w:val="22"/>
        </w:rPr>
      </w:pPr>
      <w:r>
        <w:t>1</w:t>
      </w:r>
      <w:r>
        <w:rPr>
          <w:snapToGrid w:val="0"/>
        </w:rPr>
        <w:t>.</w:t>
      </w:r>
      <w:r>
        <w:rPr>
          <w:snapToGrid w:val="0"/>
        </w:rPr>
        <w:tab/>
        <w:t>Objectives stated</w:t>
      </w:r>
      <w:r>
        <w:tab/>
      </w:r>
      <w:r>
        <w:fldChar w:fldCharType="begin"/>
      </w:r>
      <w:r>
        <w:instrText xml:space="preserve"> PAGEREF _Toc164842903 \h </w:instrText>
      </w:r>
      <w:r>
        <w:fldChar w:fldCharType="separate"/>
      </w:r>
      <w:r>
        <w:t>180</w:t>
      </w:r>
      <w:r>
        <w:fldChar w:fldCharType="end"/>
      </w:r>
    </w:p>
    <w:p>
      <w:pPr>
        <w:pStyle w:val="TOC2"/>
        <w:tabs>
          <w:tab w:val="right" w:leader="dot" w:pos="7077"/>
        </w:tabs>
        <w:rPr>
          <w:rFonts w:asciiTheme="minorHAnsi" w:eastAsiaTheme="minorEastAsia" w:hAnsiTheme="minorHAnsi" w:cstheme="minorBidi"/>
          <w:b w:val="0"/>
          <w:sz w:val="22"/>
          <w:szCs w:val="22"/>
        </w:rPr>
      </w:pPr>
      <w:r>
        <w:t>Schedule 3 — Transitional provisions</w:t>
      </w:r>
    </w:p>
    <w:p>
      <w:pPr>
        <w:pStyle w:val="TOC4"/>
        <w:tabs>
          <w:tab w:val="right" w:leader="dot" w:pos="7077"/>
        </w:tabs>
        <w:rPr>
          <w:rFonts w:asciiTheme="minorHAnsi" w:eastAsiaTheme="minorEastAsia" w:hAnsiTheme="minorHAnsi" w:cstheme="minorBidi"/>
          <w:b w:val="0"/>
          <w:szCs w:val="22"/>
        </w:rPr>
      </w:pPr>
      <w:r>
        <w:t>Division 1</w:t>
      </w:r>
      <w:r>
        <w:rPr>
          <w:b w:val="0"/>
        </w:rPr>
        <w:t> — </w:t>
      </w:r>
      <w:r>
        <w:t>Initial customer service code of conduct</w:t>
      </w:r>
    </w:p>
    <w:p>
      <w:pPr>
        <w:pStyle w:val="TOC8"/>
        <w:rPr>
          <w:rFonts w:asciiTheme="minorHAnsi" w:eastAsiaTheme="minorEastAsia" w:hAnsiTheme="minorHAnsi" w:cstheme="minorBidi"/>
          <w:szCs w:val="22"/>
        </w:rPr>
      </w:pPr>
      <w:r>
        <w:t>1.</w:t>
      </w:r>
      <w:r>
        <w:tab/>
        <w:t>Approval of initial customer service code of conduct</w:t>
      </w:r>
      <w:r>
        <w:tab/>
      </w:r>
      <w:r>
        <w:fldChar w:fldCharType="begin"/>
      </w:r>
      <w:r>
        <w:instrText xml:space="preserve"> PAGEREF _Toc164842906 \h </w:instrText>
      </w:r>
      <w:r>
        <w:fldChar w:fldCharType="separate"/>
      </w:r>
      <w:r>
        <w:t>182</w:t>
      </w:r>
      <w:r>
        <w:fldChar w:fldCharType="end"/>
      </w:r>
    </w:p>
    <w:p>
      <w:pPr>
        <w:pStyle w:val="TOC8"/>
        <w:rPr>
          <w:rFonts w:asciiTheme="minorHAnsi" w:eastAsiaTheme="minorEastAsia" w:hAnsiTheme="minorHAnsi" w:cstheme="minorBidi"/>
          <w:szCs w:val="22"/>
        </w:rPr>
      </w:pPr>
      <w:r>
        <w:t>2.</w:t>
      </w:r>
      <w:r>
        <w:tab/>
        <w:t>Appointment of initial committee</w:t>
      </w:r>
      <w:r>
        <w:tab/>
      </w:r>
      <w:r>
        <w:fldChar w:fldCharType="begin"/>
      </w:r>
      <w:r>
        <w:instrText xml:space="preserve"> PAGEREF _Toc164842907 \h </w:instrText>
      </w:r>
      <w:r>
        <w:fldChar w:fldCharType="separate"/>
      </w:r>
      <w:r>
        <w:t>182</w:t>
      </w:r>
      <w:r>
        <w:fldChar w:fldCharType="end"/>
      </w:r>
    </w:p>
    <w:p>
      <w:pPr>
        <w:pStyle w:val="TOC8"/>
        <w:rPr>
          <w:rFonts w:asciiTheme="minorHAnsi" w:eastAsiaTheme="minorEastAsia" w:hAnsiTheme="minorHAnsi" w:cstheme="minorBidi"/>
          <w:szCs w:val="22"/>
        </w:rPr>
      </w:pPr>
      <w:r>
        <w:t>3.</w:t>
      </w:r>
      <w:r>
        <w:tab/>
        <w:t>Regulations for transitional matters</w:t>
      </w:r>
      <w:r>
        <w:tab/>
      </w:r>
      <w:r>
        <w:fldChar w:fldCharType="begin"/>
      </w:r>
      <w:r>
        <w:instrText xml:space="preserve"> PAGEREF _Toc164842908 \h </w:instrText>
      </w:r>
      <w:r>
        <w:fldChar w:fldCharType="separate"/>
      </w:r>
      <w:r>
        <w:t>183</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Initial electricity ombudsman scheme</w:t>
      </w:r>
    </w:p>
    <w:p>
      <w:pPr>
        <w:pStyle w:val="TOC8"/>
        <w:rPr>
          <w:rFonts w:asciiTheme="minorHAnsi" w:eastAsiaTheme="minorEastAsia" w:hAnsiTheme="minorHAnsi" w:cstheme="minorBidi"/>
          <w:szCs w:val="22"/>
        </w:rPr>
      </w:pPr>
      <w:r>
        <w:t>4.</w:t>
      </w:r>
      <w:r>
        <w:tab/>
        <w:t>Approval of initial electricity ombudsman scheme</w:t>
      </w:r>
      <w:r>
        <w:tab/>
      </w:r>
      <w:r>
        <w:fldChar w:fldCharType="begin"/>
      </w:r>
      <w:r>
        <w:instrText xml:space="preserve"> PAGEREF _Toc164842910 \h </w:instrText>
      </w:r>
      <w:r>
        <w:fldChar w:fldCharType="separate"/>
      </w:r>
      <w:r>
        <w:t>183</w:t>
      </w:r>
      <w:r>
        <w:fldChar w:fldCharType="end"/>
      </w:r>
    </w:p>
    <w:p>
      <w:pPr>
        <w:pStyle w:val="TOC8"/>
        <w:rPr>
          <w:rFonts w:asciiTheme="minorHAnsi" w:eastAsiaTheme="minorEastAsia" w:hAnsiTheme="minorHAnsi" w:cstheme="minorBidi"/>
          <w:szCs w:val="22"/>
        </w:rPr>
      </w:pPr>
      <w:r>
        <w:t>5.</w:t>
      </w:r>
      <w:r>
        <w:tab/>
        <w:t>Regulations for transitional matters</w:t>
      </w:r>
      <w:r>
        <w:tab/>
      </w:r>
      <w:r>
        <w:fldChar w:fldCharType="begin"/>
      </w:r>
      <w:r>
        <w:instrText xml:space="preserve"> PAGEREF _Toc164842911 \h </w:instrText>
      </w:r>
      <w:r>
        <w:fldChar w:fldCharType="separate"/>
      </w:r>
      <w:r>
        <w:t>184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_Toc164842913 \h </w:instrText>
      </w:r>
      <w:r>
        <w:fldChar w:fldCharType="separate"/>
      </w:r>
      <w:r>
        <w:t>185</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_Toc164842914 \h </w:instrText>
      </w:r>
      <w:r>
        <w:fldChar w:fldCharType="separate"/>
      </w:r>
      <w:r>
        <w:t>186</w:t>
      </w:r>
      <w:r>
        <w:fldChar w:fldCharType="end"/>
      </w:r>
    </w:p>
    <w:p>
      <w:pPr>
        <w:pStyle w:val="TOC8"/>
        <w:rPr>
          <w:rFonts w:asciiTheme="minorHAnsi" w:eastAsiaTheme="minorEastAsia" w:hAnsiTheme="minorHAnsi" w:cstheme="minorBidi"/>
          <w:szCs w:val="22"/>
        </w:rPr>
      </w:pPr>
      <w:r>
        <w:lastRenderedPageBreak/>
        <w:tab/>
        <w:t>Other notes</w:t>
      </w:r>
      <w:r>
        <w:tab/>
      </w:r>
      <w:r>
        <w:fldChar w:fldCharType="begin"/>
      </w:r>
      <w:r>
        <w:instrText xml:space="preserve"> PAGEREF _Toc164842915 \h </w:instrText>
      </w:r>
      <w:r>
        <w:fldChar w:fldCharType="separate"/>
      </w:r>
      <w:r>
        <w:t>187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960"/>
      </w:pPr>
      <w:r>
        <w:t>Electricity Industry Act 2004</w:t>
      </w:r>
    </w:p>
    <w:p>
      <w:pPr>
        <w:pStyle w:val="LongTitle"/>
        <w:spacing w:before="240"/>
      </w:pPr>
      <w:r>
        <w:t>An Act to govern the operation and regulation of the Western Australian electricity industry and for related purposes.</w:t>
      </w:r>
    </w:p>
    <w:p>
      <w:pPr>
        <w:pStyle w:val="Heading2"/>
      </w:pPr>
      <w:bookmarkStart w:id="2" w:name="_Toc164424593"/>
      <w:bookmarkStart w:id="3" w:name="_Toc164435321"/>
      <w:bookmarkStart w:id="4" w:name="_Toc164435632"/>
      <w:bookmarkStart w:id="5" w:name="_Toc164679446"/>
      <w:bookmarkStart w:id="6" w:name="_Toc164842606"/>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p>
    <w:p>
      <w:pPr>
        <w:pStyle w:val="Heading5"/>
        <w:rPr>
          <w:snapToGrid w:val="0"/>
        </w:rPr>
      </w:pPr>
      <w:bookmarkStart w:id="7" w:name="_Toc164842607"/>
      <w:r>
        <w:rPr>
          <w:rStyle w:val="CharSectno"/>
        </w:rPr>
        <w:t>1</w:t>
      </w:r>
      <w:r>
        <w:rPr>
          <w:snapToGrid w:val="0"/>
        </w:rPr>
        <w:t>.</w:t>
      </w:r>
      <w:r>
        <w:rPr>
          <w:snapToGrid w:val="0"/>
        </w:rPr>
        <w:tab/>
        <w:t>Short title</w:t>
      </w:r>
      <w:bookmarkEnd w:id="7"/>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rPr>
        <w:t xml:space="preserve">. </w:t>
      </w:r>
    </w:p>
    <w:p>
      <w:pPr>
        <w:pStyle w:val="Heading5"/>
        <w:rPr>
          <w:snapToGrid w:val="0"/>
        </w:rPr>
      </w:pPr>
      <w:bookmarkStart w:id="8" w:name="_Toc164842608"/>
      <w:r>
        <w:rPr>
          <w:rStyle w:val="CharSectno"/>
        </w:rPr>
        <w:t>2</w:t>
      </w:r>
      <w:r>
        <w:rPr>
          <w:snapToGrid w:val="0"/>
        </w:rPr>
        <w:t>.</w:t>
      </w:r>
      <w:r>
        <w:rPr>
          <w:snapToGrid w:val="0"/>
        </w:rPr>
        <w:tab/>
        <w:t>Commencement</w:t>
      </w:r>
      <w:bookmarkEnd w:id="8"/>
    </w:p>
    <w:p>
      <w:pPr>
        <w:pStyle w:val="Subsection"/>
      </w:pPr>
      <w:r>
        <w:tab/>
        <w:t>(1)</w:t>
      </w:r>
      <w:r>
        <w:tab/>
        <w:t xml:space="preserve">This </w:t>
      </w:r>
      <w:r>
        <w:rPr>
          <w:snapToGrid w:val="0"/>
        </w:rPr>
        <w:t>Act</w:t>
      </w:r>
      <w:r>
        <w:t xml:space="preserve"> comes into operation on a day fixed by proclamation.</w:t>
      </w:r>
    </w:p>
    <w:p>
      <w:pPr>
        <w:pStyle w:val="Subsection"/>
      </w:pPr>
      <w:r>
        <w:tab/>
        <w:t>(2)</w:t>
      </w:r>
      <w:r>
        <w:tab/>
        <w:t>Different days may be fixed under subsection (1) for different provisions.</w:t>
      </w:r>
    </w:p>
    <w:p>
      <w:pPr>
        <w:pStyle w:val="Heading5"/>
      </w:pPr>
      <w:bookmarkStart w:id="9" w:name="_Toc164842609"/>
      <w:r>
        <w:rPr>
          <w:rStyle w:val="CharSectno"/>
        </w:rPr>
        <w:t>3</w:t>
      </w:r>
      <w:r>
        <w:t>.</w:t>
      </w:r>
      <w:r>
        <w:tab/>
        <w:t>Terms used</w:t>
      </w:r>
      <w:bookmarkEnd w:id="9"/>
    </w:p>
    <w:p>
      <w:pPr>
        <w:pStyle w:val="Subsection"/>
      </w:pPr>
      <w:r>
        <w:tab/>
        <w:t>(1)</w:t>
      </w:r>
      <w:r>
        <w:tab/>
        <w:t xml:space="preserve">In this Act, unless the contrary intention appears — </w:t>
      </w:r>
    </w:p>
    <w:p>
      <w:pPr>
        <w:pStyle w:val="Defstart"/>
      </w:pPr>
      <w:r>
        <w:tab/>
      </w:r>
      <w:r>
        <w:rPr>
          <w:rStyle w:val="CharDefText"/>
        </w:rPr>
        <w:t>access</w:t>
      </w:r>
      <w:r>
        <w:t xml:space="preserve">, in relation to services, has the same meaning that it has when used in that context in the </w:t>
      </w:r>
      <w:r>
        <w:rPr>
          <w:i/>
        </w:rPr>
        <w:t>Competition and Consumer Act 2010</w:t>
      </w:r>
      <w:r>
        <w:t xml:space="preserve"> (Commonwealth);</w:t>
      </w:r>
    </w:p>
    <w:p>
      <w:pPr>
        <w:pStyle w:val="Defstart"/>
      </w:pPr>
      <w:r>
        <w:tab/>
      </w:r>
      <w:r>
        <w:rPr>
          <w:rStyle w:val="CharDefText"/>
        </w:rPr>
        <w:t>AES code of practice</w:t>
      </w:r>
      <w:r>
        <w:t xml:space="preserve"> means the code of practice for the time being in force under section 59X;</w:t>
      </w:r>
    </w:p>
    <w:p>
      <w:pPr>
        <w:pStyle w:val="Defstart"/>
      </w:pPr>
      <w:r>
        <w:tab/>
      </w:r>
      <w:r>
        <w:rPr>
          <w:rStyle w:val="CharDefText"/>
        </w:rPr>
        <w:t>AES customer contract</w:t>
      </w:r>
      <w:r>
        <w:t xml:space="preserve"> means a contract entered into between a registration holder and a small use customer, or a class of small use customers, for the provision of an alternative electricity service;</w:t>
      </w:r>
    </w:p>
    <w:p>
      <w:pPr>
        <w:pStyle w:val="Defstart"/>
      </w:pPr>
      <w:r>
        <w:tab/>
      </w:r>
      <w:r>
        <w:rPr>
          <w:rStyle w:val="CharDefText"/>
        </w:rPr>
        <w:t>alternative electricity service</w:t>
      </w:r>
      <w:r>
        <w:t xml:space="preserve"> means an activity prescribed by the regulations as an alternative electricity service;</w:t>
      </w:r>
    </w:p>
    <w:p>
      <w:pPr>
        <w:pStyle w:val="Defstart"/>
      </w:pPr>
      <w:r>
        <w:rPr>
          <w:b/>
        </w:rPr>
        <w:tab/>
      </w:r>
      <w:r>
        <w:rPr>
          <w:rStyle w:val="CharDefText"/>
        </w:rPr>
        <w:t>arbitrator</w:t>
      </w:r>
      <w:r>
        <w:t xml:space="preserve"> has the meaning given to that term in the</w:t>
      </w:r>
      <w:r>
        <w:rPr>
          <w:i/>
        </w:rPr>
        <w:t xml:space="preserve"> </w:t>
      </w:r>
      <w:r>
        <w:rPr>
          <w:i/>
          <w:iCs/>
        </w:rPr>
        <w:t>Energy Arbitration and Review Act 1998</w:t>
      </w:r>
      <w:r>
        <w:t xml:space="preserve"> section 61;</w:t>
      </w:r>
    </w:p>
    <w:p>
      <w:pPr>
        <w:pStyle w:val="Defstart"/>
      </w:pPr>
      <w:r>
        <w:rPr>
          <w:b/>
        </w:rPr>
        <w:tab/>
      </w:r>
      <w:r>
        <w:rPr>
          <w:rStyle w:val="CharDefText"/>
        </w:rPr>
        <w:t>Authority</w:t>
      </w:r>
      <w:r>
        <w:t xml:space="preserve"> means the Economic Regulation Authority established by the </w:t>
      </w:r>
      <w:r>
        <w:rPr>
          <w:i/>
        </w:rPr>
        <w:t>Economic Regulation Authority Act 2003</w:t>
      </w:r>
      <w:r>
        <w:t>;</w:t>
      </w:r>
    </w:p>
    <w:p>
      <w:pPr>
        <w:pStyle w:val="Defstart"/>
      </w:pPr>
      <w:r>
        <w:rPr>
          <w:b/>
        </w:rPr>
        <w:tab/>
      </w:r>
      <w:r>
        <w:rPr>
          <w:rStyle w:val="CharDefText"/>
        </w:rPr>
        <w:t>Board</w:t>
      </w:r>
      <w:r>
        <w:t xml:space="preserve"> has the meaning given to that term in the</w:t>
      </w:r>
      <w:r>
        <w:rPr>
          <w:i/>
        </w:rPr>
        <w:t xml:space="preserve"> </w:t>
      </w:r>
      <w:r>
        <w:rPr>
          <w:i/>
          <w:iCs/>
        </w:rPr>
        <w:t>Energy Arbitration and Review Act 1998</w:t>
      </w:r>
      <w:r>
        <w:t xml:space="preserve"> section 49;</w:t>
      </w:r>
    </w:p>
    <w:p>
      <w:pPr>
        <w:pStyle w:val="Defstart"/>
      </w:pPr>
      <w:r>
        <w:rPr>
          <w:b/>
        </w:rPr>
        <w:tab/>
      </w:r>
      <w:r>
        <w:rPr>
          <w:rStyle w:val="CharDefText"/>
        </w:rPr>
        <w:t>Code</w:t>
      </w:r>
      <w:r>
        <w:t xml:space="preserve"> means the Code for the time being in force under section 104;</w:t>
      </w:r>
    </w:p>
    <w:p>
      <w:pPr>
        <w:pStyle w:val="Defstart"/>
      </w:pPr>
      <w:r>
        <w:rPr>
          <w:b/>
        </w:rPr>
        <w:lastRenderedPageBreak/>
        <w:tab/>
      </w:r>
      <w:r>
        <w:rPr>
          <w:rStyle w:val="CharDefText"/>
        </w:rPr>
        <w:t>Competition Principles Agreement</w:t>
      </w:r>
      <w:r>
        <w:t xml:space="preserve"> means the Competition Principles Agreement made on 11 April 1995 by the Commonwealth, the States and the Territories, as in force for the time being;</w:t>
      </w:r>
    </w:p>
    <w:p>
      <w:pPr>
        <w:pStyle w:val="Defstart"/>
      </w:pPr>
      <w:r>
        <w:tab/>
      </w:r>
      <w:r>
        <w:rPr>
          <w:rStyle w:val="CharDefText"/>
        </w:rPr>
        <w:t>Coordinator</w:t>
      </w:r>
      <w:r>
        <w:t xml:space="preserve"> means the Coordinator of Energy referred to in the </w:t>
      </w:r>
      <w:r>
        <w:rPr>
          <w:i/>
        </w:rPr>
        <w:t xml:space="preserve">Energy Coordination Act 1994 </w:t>
      </w:r>
      <w:r>
        <w:t>section 4;</w:t>
      </w:r>
    </w:p>
    <w:p>
      <w:pPr>
        <w:pStyle w:val="Defstart"/>
      </w:pPr>
      <w:r>
        <w:rPr>
          <w:b/>
        </w:rPr>
        <w:tab/>
      </w:r>
      <w:r>
        <w:rPr>
          <w:rStyle w:val="CharDefText"/>
        </w:rPr>
        <w:t>covered network</w:t>
      </w:r>
      <w:r>
        <w:t xml:space="preserve"> means network infrastructure facilities that — </w:t>
      </w:r>
    </w:p>
    <w:p>
      <w:pPr>
        <w:pStyle w:val="Defpara"/>
      </w:pPr>
      <w:r>
        <w:tab/>
        <w:t>(a)</w:t>
      </w:r>
      <w:r>
        <w:tab/>
        <w:t xml:space="preserve">were covered by the Code immediately before the day on which the </w:t>
      </w:r>
      <w:r>
        <w:rPr>
          <w:i/>
        </w:rPr>
        <w:t>Electricity Industry Amendment Act 2020</w:t>
      </w:r>
      <w:r>
        <w:t xml:space="preserve"> section 4(3) comes into operation and that have not ceased to be a covered network; or</w:t>
      </w:r>
    </w:p>
    <w:p>
      <w:pPr>
        <w:pStyle w:val="Defpara"/>
      </w:pPr>
      <w:r>
        <w:tab/>
        <w:t>(b)</w:t>
      </w:r>
      <w:r>
        <w:tab/>
        <w:t>the Minister has decided under the Code are to be a covered network and that have not ceased to be a covered network; or</w:t>
      </w:r>
    </w:p>
    <w:p>
      <w:pPr>
        <w:pStyle w:val="Defpara"/>
      </w:pPr>
      <w:r>
        <w:tab/>
        <w:t>(c)</w:t>
      </w:r>
      <w:r>
        <w:tab/>
        <w:t>are prescribed in the Pilbara Networks Access Code under section 120B(a) to be a covered Pilbara network and that have not ceased to be so prescribed; or</w:t>
      </w:r>
    </w:p>
    <w:p>
      <w:pPr>
        <w:pStyle w:val="Defpara"/>
      </w:pPr>
      <w:r>
        <w:tab/>
        <w:t>(d)</w:t>
      </w:r>
      <w:r>
        <w:tab/>
        <w:t xml:space="preserve">a network service provider has opted, under the Pilbara Networks Access Code, to be regulated under Part 8A and that — </w:t>
      </w:r>
    </w:p>
    <w:p>
      <w:pPr>
        <w:pStyle w:val="Defsubpara"/>
      </w:pPr>
      <w:r>
        <w:tab/>
        <w:t>(i)</w:t>
      </w:r>
      <w:r>
        <w:tab/>
        <w:t>have not ceased to be so regulated under that code as a consequence of an option by the network service provider for the facilities to cease to be so regulated; or</w:t>
      </w:r>
    </w:p>
    <w:p>
      <w:pPr>
        <w:pStyle w:val="Defsubpara"/>
      </w:pPr>
      <w:r>
        <w:tab/>
        <w:t>(ii)</w:t>
      </w:r>
      <w:r>
        <w:tab/>
        <w:t>have not otherwise ceased to be a covered network;</w:t>
      </w:r>
    </w:p>
    <w:p>
      <w:pPr>
        <w:pStyle w:val="Defstart"/>
      </w:pPr>
      <w:r>
        <w:rPr>
          <w:b/>
        </w:rPr>
        <w:tab/>
      </w:r>
      <w:r>
        <w:rPr>
          <w:rStyle w:val="CharDefText"/>
        </w:rPr>
        <w:t>covered Pilbara network</w:t>
      </w:r>
      <w:r>
        <w:t xml:space="preserve"> means a covered network that is located wholly or partly in the Pilbara region;</w:t>
      </w:r>
    </w:p>
    <w:p>
      <w:pPr>
        <w:pStyle w:val="Defstart"/>
      </w:pPr>
      <w:r>
        <w:rPr>
          <w:b/>
        </w:rPr>
        <w:tab/>
      </w:r>
      <w:r>
        <w:rPr>
          <w:rStyle w:val="CharDefText"/>
        </w:rPr>
        <w:t>customer</w:t>
      </w:r>
      <w:r>
        <w:t xml:space="preserve"> means a person to whom electricity is sold for the purpose of consumption;</w:t>
      </w:r>
    </w:p>
    <w:p>
      <w:pPr>
        <w:pStyle w:val="Defstart"/>
      </w:pPr>
      <w:r>
        <w:rPr>
          <w:b/>
        </w:rPr>
        <w:tab/>
      </w:r>
      <w:r>
        <w:rPr>
          <w:rStyle w:val="CharDefText"/>
        </w:rPr>
        <w:t>distribution licence</w:t>
      </w:r>
      <w:r>
        <w:t xml:space="preserve"> means a licence with the classification described in section 4(1)(c);</w:t>
      </w:r>
    </w:p>
    <w:p>
      <w:pPr>
        <w:pStyle w:val="Defstart"/>
      </w:pPr>
      <w:r>
        <w:lastRenderedPageBreak/>
        <w:tab/>
      </w:r>
      <w:r>
        <w:rPr>
          <w:rStyle w:val="CharDefText"/>
        </w:rPr>
        <w:t>distribution system</w:t>
      </w:r>
      <w:r>
        <w:t xml:space="preserve"> means electricity infrastructure used, or to be used, for, or in connection with, or to control, the transportation of electricity at nominal voltages of less than 66 kV;</w:t>
      </w:r>
    </w:p>
    <w:p>
      <w:pPr>
        <w:pStyle w:val="Defstart"/>
      </w:pPr>
      <w:r>
        <w:rPr>
          <w:b/>
        </w:rPr>
        <w:tab/>
      </w:r>
      <w:r>
        <w:rPr>
          <w:rStyle w:val="CharDefText"/>
        </w:rPr>
        <w:t>electricity</w:t>
      </w:r>
      <w:r>
        <w:t xml:space="preserve"> includes electrical energy of any kind however produced, stored, transported or consumed;</w:t>
      </w:r>
    </w:p>
    <w:p>
      <w:pPr>
        <w:pStyle w:val="Defstart"/>
      </w:pPr>
      <w:r>
        <w:tab/>
      </w:r>
      <w:r>
        <w:rPr>
          <w:rStyle w:val="CharDefText"/>
        </w:rPr>
        <w:t>electricity corporation</w:t>
      </w:r>
      <w:r>
        <w:t xml:space="preserve"> means — </w:t>
      </w:r>
    </w:p>
    <w:p>
      <w:pPr>
        <w:pStyle w:val="Defpara"/>
      </w:pPr>
      <w:r>
        <w:tab/>
        <w:t>(a)</w:t>
      </w:r>
      <w:r>
        <w:tab/>
        <w:t>the Electricity Generation and Retail Corporation; or</w:t>
      </w:r>
    </w:p>
    <w:p>
      <w:pPr>
        <w:pStyle w:val="Defpara"/>
      </w:pPr>
      <w:r>
        <w:tab/>
        <w:t>(b)</w:t>
      </w:r>
      <w:r>
        <w:tab/>
        <w:t>the Electricity Networks Corporation; or</w:t>
      </w:r>
    </w:p>
    <w:p>
      <w:pPr>
        <w:pStyle w:val="Defpara"/>
      </w:pPr>
      <w:r>
        <w:tab/>
        <w:t>(c)</w:t>
      </w:r>
      <w:r>
        <w:tab/>
        <w:t>the Regional Power Corporation;</w:t>
      </w:r>
    </w:p>
    <w:p>
      <w:pPr>
        <w:pStyle w:val="Defstart"/>
      </w:pPr>
      <w:r>
        <w:tab/>
      </w:r>
      <w:r>
        <w:rPr>
          <w:rStyle w:val="CharDefText"/>
        </w:rPr>
        <w:t>Electricity Generation and Retail Corporation</w:t>
      </w:r>
      <w:r>
        <w:t xml:space="preserve"> has the meaning given in the </w:t>
      </w:r>
      <w:r>
        <w:rPr>
          <w:i/>
        </w:rPr>
        <w:t>Electricity Corporations Act 2005</w:t>
      </w:r>
      <w:r>
        <w:t xml:space="preserve"> section 3(1);</w:t>
      </w:r>
    </w:p>
    <w:p>
      <w:pPr>
        <w:pStyle w:val="Defstart"/>
      </w:pPr>
      <w:r>
        <w:tab/>
      </w:r>
      <w:r>
        <w:rPr>
          <w:rStyle w:val="CharDefText"/>
        </w:rPr>
        <w:t>electricity infrastructure</w:t>
      </w:r>
      <w:r>
        <w:t xml:space="preserve"> — </w:t>
      </w:r>
    </w:p>
    <w:p>
      <w:pPr>
        <w:pStyle w:val="Defpara"/>
      </w:pPr>
      <w:r>
        <w:tab/>
        <w:t>(a)</w:t>
      </w:r>
      <w:r>
        <w:tab/>
        <w:t>means wires, apparatus, equipment, plant or buildings used, or to be used, for, or in connection with, or to control, the transportation of electricity; and</w:t>
      </w:r>
    </w:p>
    <w:p>
      <w:pPr>
        <w:pStyle w:val="Defpara"/>
      </w:pPr>
      <w:r>
        <w:tab/>
        <w:t>(b)</w:t>
      </w:r>
      <w:r>
        <w:tab/>
        <w:t>includes electrical equipment used, or to be used, to transfer electricity to or from an electricity network at the relevant point of connection including any transformers or switchgear at the relevant point or that is installed to support, or to provide backup to, that electrical equipment as is necessary for that transfer;</w:t>
      </w:r>
    </w:p>
    <w:p>
      <w:pPr>
        <w:pStyle w:val="Defstart"/>
      </w:pPr>
      <w:r>
        <w:rPr>
          <w:b/>
        </w:rPr>
        <w:tab/>
      </w:r>
      <w:r>
        <w:rPr>
          <w:rStyle w:val="CharDefText"/>
        </w:rPr>
        <w:t>electricity network</w:t>
      </w:r>
      <w:r>
        <w:t xml:space="preserve"> means a distribution system or a transmission system;</w:t>
      </w:r>
    </w:p>
    <w:p>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pPr>
        <w:pStyle w:val="Defstart"/>
      </w:pPr>
      <w:r>
        <w:tab/>
      </w:r>
      <w:r>
        <w:rPr>
          <w:rStyle w:val="CharDefText"/>
        </w:rPr>
        <w:t>generating works</w:t>
      </w:r>
      <w:r>
        <w:t xml:space="preserve"> means any wires, apparatus, equipment, plant or buildings used, or to be used, for, or in connection with, or to control, the generation of electricity;</w:t>
      </w:r>
    </w:p>
    <w:p>
      <w:pPr>
        <w:pStyle w:val="Defstart"/>
      </w:pPr>
      <w:r>
        <w:rPr>
          <w:b/>
        </w:rPr>
        <w:tab/>
      </w:r>
      <w:r>
        <w:rPr>
          <w:rStyle w:val="CharDefText"/>
        </w:rPr>
        <w:t>generation licence</w:t>
      </w:r>
      <w:r>
        <w:t xml:space="preserve"> means a licence with the classification described in section 4(1)(a);</w:t>
      </w:r>
    </w:p>
    <w:p>
      <w:pPr>
        <w:pStyle w:val="Defstart"/>
      </w:pPr>
      <w:r>
        <w:rPr>
          <w:b/>
        </w:rPr>
        <w:tab/>
      </w:r>
      <w:r>
        <w:rPr>
          <w:rStyle w:val="CharDefText"/>
        </w:rPr>
        <w:t>integrated regional licence</w:t>
      </w:r>
      <w:r>
        <w:t xml:space="preserve"> means a licence with the classification described in section 4(1)(e);</w:t>
      </w:r>
    </w:p>
    <w:p>
      <w:pPr>
        <w:pStyle w:val="Defstart"/>
        <w:keepNext/>
      </w:pPr>
      <w:r>
        <w:rPr>
          <w:b/>
        </w:rPr>
        <w:lastRenderedPageBreak/>
        <w:tab/>
      </w:r>
      <w:r>
        <w:rPr>
          <w:rStyle w:val="CharDefText"/>
        </w:rPr>
        <w:t>licence</w:t>
      </w:r>
      <w:r>
        <w:t xml:space="preserve"> means — </w:t>
      </w:r>
    </w:p>
    <w:p>
      <w:pPr>
        <w:pStyle w:val="Defpara"/>
      </w:pPr>
      <w:r>
        <w:tab/>
        <w:t>(a)</w:t>
      </w:r>
      <w:r>
        <w:tab/>
        <w:t>a generation licence; or</w:t>
      </w:r>
    </w:p>
    <w:p>
      <w:pPr>
        <w:pStyle w:val="Defpara"/>
      </w:pPr>
      <w:r>
        <w:tab/>
        <w:t>(b)</w:t>
      </w:r>
      <w:r>
        <w:tab/>
        <w:t>a transmission licence; or</w:t>
      </w:r>
    </w:p>
    <w:p>
      <w:pPr>
        <w:pStyle w:val="Defpara"/>
      </w:pPr>
      <w:r>
        <w:tab/>
        <w:t>(c)</w:t>
      </w:r>
      <w:r>
        <w:tab/>
        <w:t>a distribution licence; or</w:t>
      </w:r>
    </w:p>
    <w:p>
      <w:pPr>
        <w:pStyle w:val="Defpara"/>
      </w:pPr>
      <w:r>
        <w:tab/>
        <w:t>(d)</w:t>
      </w:r>
      <w:r>
        <w:tab/>
        <w:t>a retail licence; or</w:t>
      </w:r>
    </w:p>
    <w:p>
      <w:pPr>
        <w:pStyle w:val="Defpara"/>
      </w:pPr>
      <w:r>
        <w:tab/>
        <w:t>(e)</w:t>
      </w:r>
      <w:r>
        <w:tab/>
        <w:t>an integrated regional licence;</w:t>
      </w:r>
    </w:p>
    <w:p>
      <w:pPr>
        <w:pStyle w:val="Defstart"/>
      </w:pPr>
      <w:r>
        <w:rPr>
          <w:b/>
        </w:rPr>
        <w:tab/>
      </w:r>
      <w:r>
        <w:rPr>
          <w:rStyle w:val="CharDefText"/>
        </w:rPr>
        <w:t>licence area</w:t>
      </w:r>
      <w:r>
        <w:rPr>
          <w:b/>
        </w:rPr>
        <w:t xml:space="preserve"> </w:t>
      </w:r>
      <w:r>
        <w:t>means the area or areas designated in a licence under section 5;</w:t>
      </w:r>
    </w:p>
    <w:p>
      <w:pPr>
        <w:pStyle w:val="Defstart"/>
      </w:pPr>
      <w:r>
        <w:rPr>
          <w:b/>
        </w:rPr>
        <w:tab/>
      </w:r>
      <w:r>
        <w:rPr>
          <w:rStyle w:val="CharDefText"/>
        </w:rPr>
        <w:t>licensee</w:t>
      </w:r>
      <w:r>
        <w:t xml:space="preserve"> means the holder of a licence and includes any transferee of a licence under section 18;</w:t>
      </w:r>
    </w:p>
    <w:p>
      <w:pPr>
        <w:pStyle w:val="Defstart"/>
        <w:keepNext/>
      </w:pPr>
      <w:r>
        <w:rPr>
          <w:b/>
        </w:rPr>
        <w:tab/>
      </w:r>
      <w:r>
        <w:rPr>
          <w:rStyle w:val="CharDefText"/>
        </w:rPr>
        <w:t>network infrastructure facilities</w:t>
      </w:r>
      <w:r>
        <w:t xml:space="preserve"> — </w:t>
      </w:r>
    </w:p>
    <w:p>
      <w:pPr>
        <w:pStyle w:val="Defpara"/>
      </w:pPr>
      <w:r>
        <w:tab/>
        <w:t>(a)</w:t>
      </w:r>
      <w:r>
        <w:tab/>
        <w:t>means electricity infrastructure used, or to be used, for the purpose of transporting electricity from generators of electricity to other electricity infrastructure or to end users of electricity; and</w:t>
      </w:r>
    </w:p>
    <w:p>
      <w:pPr>
        <w:pStyle w:val="Defpara"/>
      </w:pPr>
      <w:r>
        <w:tab/>
        <w:t>(b)</w:t>
      </w:r>
      <w:r>
        <w:tab/>
        <w:t>includes stand</w:t>
      </w:r>
      <w:r>
        <w:noBreakHyphen/>
        <w:t>alone power systems, or storage works, used, or to be used, as an adjunct to electricity infrastructure;</w:t>
      </w:r>
    </w:p>
    <w:p>
      <w:pPr>
        <w:pStyle w:val="Defstart"/>
      </w:pPr>
      <w:r>
        <w:tab/>
      </w:r>
      <w:r>
        <w:rPr>
          <w:rStyle w:val="CharDefText"/>
        </w:rPr>
        <w:t>non</w:t>
      </w:r>
      <w:r>
        <w:rPr>
          <w:rStyle w:val="CharDefText"/>
        </w:rPr>
        <w:noBreakHyphen/>
        <w:t>standard contract</w:t>
      </w:r>
      <w:r>
        <w:t xml:space="preserve"> means a contract entered into between a licensee and a small use customer, or a class of small use customers, that is not a standard form contract;</w:t>
      </w:r>
    </w:p>
    <w:p>
      <w:pPr>
        <w:pStyle w:val="Defstart"/>
      </w:pPr>
      <w:r>
        <w:rPr>
          <w:b/>
        </w:rPr>
        <w:tab/>
      </w:r>
      <w:r>
        <w:rPr>
          <w:rStyle w:val="CharDefText"/>
        </w:rPr>
        <w:t>operate</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tab/>
      </w:r>
      <w:r>
        <w:rPr>
          <w:rStyle w:val="CharDefText"/>
        </w:rPr>
        <w:t>Pilbara network</w:t>
      </w:r>
      <w:r>
        <w:t xml:space="preserve"> means network infrastructure facilities that are located wholly or partly in the Pilbara region;</w:t>
      </w:r>
    </w:p>
    <w:p>
      <w:pPr>
        <w:pStyle w:val="Defstart"/>
      </w:pPr>
      <w:r>
        <w:tab/>
      </w:r>
      <w:r>
        <w:rPr>
          <w:rStyle w:val="CharDefText"/>
        </w:rPr>
        <w:t>Pilbara Networks Access Code</w:t>
      </w:r>
      <w:r>
        <w:t xml:space="preserve"> means the Pilbara Networks Access Code for the time being in force under Part 8A Division 2;</w:t>
      </w:r>
    </w:p>
    <w:p>
      <w:pPr>
        <w:pStyle w:val="Defstart"/>
      </w:pPr>
      <w:r>
        <w:rPr>
          <w:b/>
          <w:i/>
        </w:rPr>
        <w:lastRenderedPageBreak/>
        <w:tab/>
      </w:r>
      <w:r>
        <w:rPr>
          <w:rStyle w:val="CharDefText"/>
        </w:rPr>
        <w:t>Pilbara networks rules</w:t>
      </w:r>
      <w:r>
        <w:t xml:space="preserve"> means the Pilbara networks rules for the time being in force under Part 8A Division 3;</w:t>
      </w:r>
    </w:p>
    <w:p>
      <w:pPr>
        <w:pStyle w:val="Defstart"/>
      </w:pPr>
      <w:r>
        <w:tab/>
      </w:r>
      <w:r>
        <w:rPr>
          <w:rStyle w:val="CharDefText"/>
        </w:rPr>
        <w:t>Pilbara region</w:t>
      </w:r>
      <w:r>
        <w:t xml:space="preserve"> means the Pilbara region defined in the </w:t>
      </w:r>
      <w:r>
        <w:rPr>
          <w:i/>
        </w:rPr>
        <w:t>Regional Development Commissions Act 1993</w:t>
      </w:r>
      <w:r>
        <w:t xml:space="preserve"> Schedule 1;</w:t>
      </w:r>
    </w:p>
    <w:p>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pPr>
        <w:pStyle w:val="Defstart"/>
      </w:pPr>
      <w:r>
        <w:tab/>
      </w:r>
      <w:r>
        <w:rPr>
          <w:rStyle w:val="CharDefText"/>
        </w:rPr>
        <w:t>registration</w:t>
      </w:r>
      <w:r>
        <w:t xml:space="preserve"> means a registration under Part 3A;</w:t>
      </w:r>
    </w:p>
    <w:p>
      <w:pPr>
        <w:pStyle w:val="Defstart"/>
      </w:pPr>
      <w:r>
        <w:tab/>
      </w:r>
      <w:r>
        <w:rPr>
          <w:rStyle w:val="CharDefText"/>
        </w:rPr>
        <w:t>registration holder</w:t>
      </w:r>
      <w:r>
        <w:t xml:space="preserve"> — </w:t>
      </w:r>
    </w:p>
    <w:p>
      <w:pPr>
        <w:pStyle w:val="Defpara"/>
      </w:pPr>
      <w:r>
        <w:tab/>
        <w:t>(a)</w:t>
      </w:r>
      <w:r>
        <w:tab/>
        <w:t>means the holder of a registration; and</w:t>
      </w:r>
    </w:p>
    <w:p>
      <w:pPr>
        <w:pStyle w:val="Defpara"/>
      </w:pPr>
      <w:r>
        <w:tab/>
        <w:t>(b)</w:t>
      </w:r>
      <w:r>
        <w:tab/>
        <w:t>includes a transferee of a registration;</w:t>
      </w:r>
    </w:p>
    <w:p>
      <w:pPr>
        <w:pStyle w:val="Defstart"/>
      </w:pPr>
      <w:r>
        <w:rPr>
          <w:b/>
        </w:rPr>
        <w:tab/>
      </w:r>
      <w:r>
        <w:rPr>
          <w:rStyle w:val="CharDefText"/>
        </w:rPr>
        <w:t>retail licence</w:t>
      </w:r>
      <w:r>
        <w:t xml:space="preserve"> means a licence with the classification described in section 4(1)(d);</w:t>
      </w:r>
    </w:p>
    <w:p>
      <w:pPr>
        <w:pStyle w:val="Defstart"/>
      </w:pPr>
      <w:r>
        <w:rPr>
          <w:b/>
        </w:rPr>
        <w:tab/>
      </w:r>
      <w:r>
        <w:rPr>
          <w:rStyle w:val="CharDefText"/>
        </w:rPr>
        <w:t>services</w:t>
      </w:r>
      <w:r>
        <w:t xml:space="preserve"> means — </w:t>
      </w:r>
    </w:p>
    <w:p>
      <w:pPr>
        <w:pStyle w:val="Defpara"/>
      </w:pPr>
      <w:r>
        <w:tab/>
        <w:t>(a)</w:t>
      </w:r>
      <w:r>
        <w:tab/>
        <w:t>the transport of electricity, and other services, provided by means of network</w:t>
      </w:r>
      <w:r>
        <w:rPr>
          <w:b/>
        </w:rPr>
        <w:t xml:space="preserve"> </w:t>
      </w:r>
      <w:r>
        <w:t>infrastructure facilities; and</w:t>
      </w:r>
    </w:p>
    <w:p>
      <w:pPr>
        <w:pStyle w:val="Defpara"/>
      </w:pPr>
      <w:r>
        <w:tab/>
        <w:t>(b)</w:t>
      </w:r>
      <w:r>
        <w:tab/>
        <w:t>services ancillary to those services;</w:t>
      </w:r>
    </w:p>
    <w:p>
      <w:pPr>
        <w:pStyle w:val="Defstart"/>
        <w:keepNext/>
      </w:pPr>
      <w:r>
        <w:rPr>
          <w:b/>
        </w:rPr>
        <w:tab/>
      </w:r>
      <w:r>
        <w:rPr>
          <w:rStyle w:val="CharDefText"/>
        </w:rPr>
        <w:t>South West interconnected system</w:t>
      </w:r>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pPr>
      <w:r>
        <w:tab/>
        <w:t>(ii)</w:t>
      </w:r>
      <w:r>
        <w:tab/>
        <w:t xml:space="preserve">any prescribed electricity generation plant; </w:t>
      </w:r>
    </w:p>
    <w:p>
      <w:pPr>
        <w:pStyle w:val="Defstart"/>
      </w:pPr>
      <w:r>
        <w:tab/>
      </w:r>
      <w:r>
        <w:rPr>
          <w:rStyle w:val="CharDefText"/>
        </w:rPr>
        <w:t>small use customer</w:t>
      </w:r>
      <w:r>
        <w:t xml:space="preserve"> means a customer who consumes not more than 160 MWh of electricity per annum;</w:t>
      </w:r>
    </w:p>
    <w:p>
      <w:pPr>
        <w:pStyle w:val="Defstart"/>
        <w:keepNext/>
      </w:pPr>
      <w:r>
        <w:lastRenderedPageBreak/>
        <w:tab/>
      </w:r>
      <w:r>
        <w:rPr>
          <w:rStyle w:val="CharDefText"/>
        </w:rPr>
        <w:t>stand</w:t>
      </w:r>
      <w:r>
        <w:rPr>
          <w:rStyle w:val="CharDefText"/>
        </w:rPr>
        <w:noBreakHyphen/>
        <w:t>alone power system</w:t>
      </w:r>
      <w:r>
        <w:t xml:space="preserve"> means wires, apparatus, equipment, plant or buildings (including generating works, a distribution system and any storage works) — </w:t>
      </w:r>
    </w:p>
    <w:p>
      <w:pPr>
        <w:pStyle w:val="Defpara"/>
      </w:pPr>
      <w:r>
        <w:tab/>
        <w:t>(a)</w:t>
      </w:r>
      <w:r>
        <w:tab/>
        <w:t>which together are used, or to be used, for, or in connection with, or to control, the supply of electricity to a single customer or not more than a prescribed number of customers; and</w:t>
      </w:r>
    </w:p>
    <w:p>
      <w:pPr>
        <w:pStyle w:val="Defpara"/>
      </w:pPr>
      <w:r>
        <w:tab/>
        <w:t>(b)</w:t>
      </w:r>
      <w:r>
        <w:tab/>
        <w:t>which are not connected to another electricity network (other than that of the customer or customers);</w:t>
      </w:r>
    </w:p>
    <w:p>
      <w:pPr>
        <w:pStyle w:val="Defstart"/>
      </w:pPr>
      <w:r>
        <w:tab/>
      </w:r>
      <w:r>
        <w:rPr>
          <w:rStyle w:val="CharDefText"/>
        </w:rPr>
        <w:t>standard form contract</w:t>
      </w:r>
      <w:r>
        <w:t xml:space="preserve"> means a contract that is approved under section 51;</w:t>
      </w:r>
    </w:p>
    <w:p>
      <w:pPr>
        <w:pStyle w:val="Defstart"/>
      </w:pPr>
      <w:r>
        <w:tab/>
      </w:r>
      <w:r>
        <w:rPr>
          <w:rStyle w:val="CharDefText"/>
        </w:rPr>
        <w:t>storage activity</w:t>
      </w:r>
      <w:r>
        <w:t xml:space="preserve"> means an activity comprising all of the following — </w:t>
      </w:r>
    </w:p>
    <w:p>
      <w:pPr>
        <w:pStyle w:val="Defpara"/>
      </w:pPr>
      <w:r>
        <w:tab/>
        <w:t>(a)</w:t>
      </w:r>
      <w:r>
        <w:tab/>
        <w:t>receiving energy in the form of electricity;</w:t>
      </w:r>
    </w:p>
    <w:p>
      <w:pPr>
        <w:pStyle w:val="Defpara"/>
      </w:pPr>
      <w:r>
        <w:tab/>
        <w:t>(b)</w:t>
      </w:r>
      <w:r>
        <w:tab/>
        <w:t>storing the received energy in any form;</w:t>
      </w:r>
    </w:p>
    <w:p>
      <w:pPr>
        <w:pStyle w:val="Defpara"/>
      </w:pPr>
      <w:r>
        <w:tab/>
        <w:t>(c)</w:t>
      </w:r>
      <w:r>
        <w:tab/>
        <w:t>discharging the stored energy in the form of electricity;</w:t>
      </w:r>
    </w:p>
    <w:p>
      <w:pPr>
        <w:pStyle w:val="Defstart"/>
      </w:pPr>
      <w:r>
        <w:tab/>
      </w:r>
      <w:r>
        <w:rPr>
          <w:rStyle w:val="CharDefText"/>
        </w:rPr>
        <w:t>storage works</w:t>
      </w:r>
      <w:r>
        <w:t xml:space="preserve"> means any wires, apparatus, equipment, plant or buildings used, or to be used, for, or in connection with, or to control, a storage activity;</w:t>
      </w:r>
    </w:p>
    <w:p>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r>
        <w:rPr>
          <w:rStyle w:val="CharDefText"/>
        </w:rPr>
        <w:t>supply</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r>
      <w:r>
        <w:rPr>
          <w:rStyle w:val="CharDefText"/>
        </w:rPr>
        <w:t>transmission licence</w:t>
      </w:r>
      <w:r>
        <w:t xml:space="preserve"> means a licence with the classification described in section 4(1)(b);</w:t>
      </w:r>
    </w:p>
    <w:p>
      <w:pPr>
        <w:pStyle w:val="Defstart"/>
        <w:keepLines/>
      </w:pPr>
      <w:r>
        <w:lastRenderedPageBreak/>
        <w:tab/>
      </w:r>
      <w:r>
        <w:rPr>
          <w:rStyle w:val="CharDefText"/>
        </w:rPr>
        <w:t>transmission system</w:t>
      </w:r>
      <w:r>
        <w:t xml:space="preserve"> means electricity infrastructure used, or to be used, for, or in connection with, or to control, the transportation of electricity at nominal voltages of 66 kV or higher.</w:t>
      </w:r>
    </w:p>
    <w:p>
      <w:pPr>
        <w:pStyle w:val="Subsection"/>
      </w:pPr>
      <w:r>
        <w:tab/>
        <w:t>(2)</w:t>
      </w:r>
      <w:r>
        <w:tab/>
        <w:t>In this Act, a reference to the regulation of a covered network under Part 8 or 8A, or of a covered Pilbara network under Part 8A, is a reference to access to the services of that network being regulated under that Part.</w:t>
      </w:r>
    </w:p>
    <w:p>
      <w:pPr>
        <w:pStyle w:val="Footnotesection"/>
      </w:pPr>
      <w:r>
        <w:tab/>
        <w:t>[Section 3 amended: No. 18 of 2005 s. 139; No. 16 of 2009 s. 57; No. 25 of 2013 s. 39(2) and (3); No. 9 of 2020 s. 4; No. 10 of 2024 s. 4.]</w:t>
      </w:r>
    </w:p>
    <w:p>
      <w:pPr>
        <w:pStyle w:val="Heading2"/>
      </w:pPr>
      <w:bookmarkStart w:id="10" w:name="_Toc164424597"/>
      <w:bookmarkStart w:id="11" w:name="_Toc164435325"/>
      <w:bookmarkStart w:id="12" w:name="_Toc164435636"/>
      <w:bookmarkStart w:id="13" w:name="_Toc164679450"/>
      <w:bookmarkStart w:id="14" w:name="_Toc164842610"/>
      <w:r>
        <w:rPr>
          <w:rStyle w:val="CharPartNo"/>
        </w:rPr>
        <w:lastRenderedPageBreak/>
        <w:t>Part 2</w:t>
      </w:r>
      <w:r>
        <w:t> — </w:t>
      </w:r>
      <w:r>
        <w:rPr>
          <w:rStyle w:val="CharPartText"/>
        </w:rPr>
        <w:t>Licensing of electricity supply</w:t>
      </w:r>
      <w:bookmarkEnd w:id="10"/>
      <w:bookmarkEnd w:id="11"/>
      <w:bookmarkEnd w:id="12"/>
      <w:bookmarkEnd w:id="13"/>
      <w:bookmarkEnd w:id="14"/>
    </w:p>
    <w:p>
      <w:pPr>
        <w:pStyle w:val="Heading3"/>
      </w:pPr>
      <w:bookmarkStart w:id="15" w:name="_Toc164424598"/>
      <w:bookmarkStart w:id="16" w:name="_Toc164435326"/>
      <w:bookmarkStart w:id="17" w:name="_Toc164435637"/>
      <w:bookmarkStart w:id="18" w:name="_Toc164679451"/>
      <w:bookmarkStart w:id="19" w:name="_Toc164842611"/>
      <w:r>
        <w:rPr>
          <w:rStyle w:val="CharDivNo"/>
        </w:rPr>
        <w:t>Division 1</w:t>
      </w:r>
      <w:r>
        <w:t> — </w:t>
      </w:r>
      <w:r>
        <w:rPr>
          <w:rStyle w:val="CharDivText"/>
        </w:rPr>
        <w:t>Licence classification and area</w:t>
      </w:r>
      <w:bookmarkEnd w:id="15"/>
      <w:bookmarkEnd w:id="16"/>
      <w:bookmarkEnd w:id="17"/>
      <w:bookmarkEnd w:id="18"/>
      <w:bookmarkEnd w:id="19"/>
    </w:p>
    <w:p>
      <w:pPr>
        <w:pStyle w:val="Heading5"/>
      </w:pPr>
      <w:bookmarkStart w:id="20" w:name="_Toc164842612"/>
      <w:r>
        <w:rPr>
          <w:rStyle w:val="CharSectno"/>
        </w:rPr>
        <w:t>4</w:t>
      </w:r>
      <w:r>
        <w:t>.</w:t>
      </w:r>
      <w:r>
        <w:tab/>
        <w:t>Classification of licences</w:t>
      </w:r>
      <w:bookmarkEnd w:id="20"/>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Subsection"/>
      </w:pPr>
      <w:r>
        <w:tab/>
        <w:t>(3)</w:t>
      </w:r>
      <w:r>
        <w:tab/>
        <w:t xml:space="preserve">Despite subsection (1), a licence does not authorise the provision of an alternative electricity service unless the holder </w:t>
      </w:r>
      <w:r>
        <w:lastRenderedPageBreak/>
        <w:t>of the licence is exempted under the regulations under section 59D(2)(a) from the requirement to be registered to provide the alternative electricity service.</w:t>
      </w:r>
    </w:p>
    <w:p>
      <w:pPr>
        <w:pStyle w:val="Footnotesection"/>
      </w:pPr>
      <w:r>
        <w:tab/>
        <w:t>[Section 4 amended: No. 10 of 2024 s. 5.]</w:t>
      </w:r>
    </w:p>
    <w:p>
      <w:pPr>
        <w:pStyle w:val="Heading5"/>
        <w:keepLines w:val="0"/>
        <w:spacing w:before="240"/>
      </w:pPr>
      <w:bookmarkStart w:id="21" w:name="_Toc164842613"/>
      <w:r>
        <w:rPr>
          <w:rStyle w:val="CharSectno"/>
        </w:rPr>
        <w:t>5</w:t>
      </w:r>
      <w:r>
        <w:t>.</w:t>
      </w:r>
      <w:r>
        <w:tab/>
        <w:t>Licence area</w:t>
      </w:r>
      <w:bookmarkEnd w:id="21"/>
    </w:p>
    <w:p>
      <w:pPr>
        <w:pStyle w:val="Subsection"/>
        <w:spacing w:before="180"/>
      </w:pPr>
      <w:r>
        <w:tab/>
        <w:t>(1)</w:t>
      </w:r>
      <w:r>
        <w:tab/>
        <w:t>A licence must be designated to apply to one or more areas of the State specified in the licence.</w:t>
      </w:r>
    </w:p>
    <w:p>
      <w:pPr>
        <w:pStyle w:val="Subsection"/>
        <w:spacing w:before="180"/>
      </w:pPr>
      <w:r>
        <w:tab/>
        <w:t>(2)</w:t>
      </w:r>
      <w:r>
        <w:tab/>
        <w:t>If 2 or more areas are specified in a licence those areas need not be contiguous.</w:t>
      </w:r>
    </w:p>
    <w:p>
      <w:pPr>
        <w:pStyle w:val="Heading3"/>
        <w:spacing w:before="260"/>
      </w:pPr>
      <w:bookmarkStart w:id="22" w:name="_Toc164424601"/>
      <w:bookmarkStart w:id="23" w:name="_Toc164435329"/>
      <w:bookmarkStart w:id="24" w:name="_Toc164435640"/>
      <w:bookmarkStart w:id="25" w:name="_Toc164679454"/>
      <w:bookmarkStart w:id="26" w:name="_Toc164842614"/>
      <w:r>
        <w:rPr>
          <w:rStyle w:val="CharDivNo"/>
        </w:rPr>
        <w:t>Division 2</w:t>
      </w:r>
      <w:r>
        <w:t> — </w:t>
      </w:r>
      <w:r>
        <w:rPr>
          <w:rStyle w:val="CharDivText"/>
        </w:rPr>
        <w:t>Licensing requirements</w:t>
      </w:r>
      <w:bookmarkEnd w:id="22"/>
      <w:bookmarkEnd w:id="23"/>
      <w:bookmarkEnd w:id="24"/>
      <w:bookmarkEnd w:id="25"/>
      <w:bookmarkEnd w:id="26"/>
    </w:p>
    <w:p>
      <w:pPr>
        <w:pStyle w:val="Heading5"/>
        <w:spacing w:before="240"/>
      </w:pPr>
      <w:bookmarkStart w:id="27" w:name="_Toc164842615"/>
      <w:r>
        <w:rPr>
          <w:rStyle w:val="CharSectno"/>
        </w:rPr>
        <w:t>6</w:t>
      </w:r>
      <w:r>
        <w:t>.</w:t>
      </w:r>
      <w:r>
        <w:tab/>
        <w:t>Licensing extends to statutory providers</w:t>
      </w:r>
      <w:bookmarkEnd w:id="27"/>
    </w:p>
    <w:p>
      <w:pPr>
        <w:pStyle w:val="Subsection"/>
        <w:spacing w:before="180"/>
      </w:pPr>
      <w:r>
        <w:tab/>
      </w:r>
      <w:r>
        <w:tab/>
        <w:t xml:space="preserve">The requirements of this Division apply to a person despite the fact that the person, in supplying electricity, is performing a function that — </w:t>
      </w:r>
    </w:p>
    <w:p>
      <w:pPr>
        <w:pStyle w:val="Indenta"/>
        <w:spacing w:before="100"/>
      </w:pPr>
      <w:r>
        <w:tab/>
        <w:t>(a)</w:t>
      </w:r>
      <w:r>
        <w:tab/>
        <w:t>is authorised or provided for by or under a written law; or</w:t>
      </w:r>
    </w:p>
    <w:p>
      <w:pPr>
        <w:pStyle w:val="Indenta"/>
        <w:spacing w:before="100"/>
      </w:pPr>
      <w:r>
        <w:tab/>
        <w:t>(b)</w:t>
      </w:r>
      <w:r>
        <w:tab/>
        <w:t>has been approved under a written law.</w:t>
      </w:r>
    </w:p>
    <w:p>
      <w:pPr>
        <w:pStyle w:val="Heading5"/>
        <w:spacing w:before="240"/>
      </w:pPr>
      <w:bookmarkStart w:id="28" w:name="_Toc164842616"/>
      <w:r>
        <w:rPr>
          <w:rStyle w:val="CharSectno"/>
        </w:rPr>
        <w:t>7</w:t>
      </w:r>
      <w:r>
        <w:t>.</w:t>
      </w:r>
      <w:r>
        <w:tab/>
        <w:t>Requirement for licence</w:t>
      </w:r>
      <w:bookmarkEnd w:id="28"/>
    </w:p>
    <w:p>
      <w:pPr>
        <w:pStyle w:val="Subsection"/>
        <w:spacing w:before="180"/>
      </w:pPr>
      <w:r>
        <w:tab/>
        <w:t>(1)</w:t>
      </w:r>
      <w:r>
        <w:tab/>
        <w:t>A person must not construct or operate generating works except under the authority of a generation licence or an integrated regional licence.</w:t>
      </w:r>
    </w:p>
    <w:p>
      <w:pPr>
        <w:pStyle w:val="Penstart"/>
      </w:pPr>
      <w:r>
        <w:tab/>
        <w:t>Penalty for this subsection:</w:t>
      </w:r>
    </w:p>
    <w:p>
      <w:pPr>
        <w:pStyle w:val="Penpara"/>
      </w:pPr>
      <w:r>
        <w:tab/>
        <w:t>(a)</w:t>
      </w:r>
      <w:r>
        <w:tab/>
        <w:t>a fine of $100 000;</w:t>
      </w:r>
    </w:p>
    <w:p>
      <w:pPr>
        <w:pStyle w:val="Penpara"/>
      </w:pPr>
      <w:r>
        <w:tab/>
        <w:t>(b)</w:t>
      </w:r>
      <w:r>
        <w:tab/>
        <w:t>a daily penalty of a fine of $5 000 for each day or part of a day during which the offence continues.</w:t>
      </w:r>
    </w:p>
    <w:p>
      <w:pPr>
        <w:pStyle w:val="Subsection"/>
        <w:keepNext/>
        <w:spacing w:before="180"/>
      </w:pPr>
      <w:r>
        <w:lastRenderedPageBreak/>
        <w:tab/>
        <w:t>(2)</w:t>
      </w:r>
      <w:r>
        <w:tab/>
        <w:t>A person must not construct or operate a transmission system except under the authority of a transmission licence or an integrated regional licence.</w:t>
      </w:r>
    </w:p>
    <w:p>
      <w:pPr>
        <w:pStyle w:val="Penstart"/>
      </w:pPr>
      <w:r>
        <w:tab/>
        <w:t>Penalty for this subsection:</w:t>
      </w:r>
    </w:p>
    <w:p>
      <w:pPr>
        <w:pStyle w:val="Penpara"/>
      </w:pPr>
      <w:r>
        <w:tab/>
        <w:t>(a)</w:t>
      </w:r>
      <w:r>
        <w:tab/>
        <w:t>a fine of $100 000;</w:t>
      </w:r>
    </w:p>
    <w:p>
      <w:pPr>
        <w:pStyle w:val="Penpara"/>
      </w:pPr>
      <w:r>
        <w:tab/>
        <w:t>(b)</w:t>
      </w:r>
      <w:r>
        <w:tab/>
        <w:t>a daily penalty of a fine of $5 000 for each day or part of a day during which the offence continues.</w:t>
      </w:r>
    </w:p>
    <w:p>
      <w:pPr>
        <w:pStyle w:val="Subsection"/>
        <w:spacing w:before="180"/>
      </w:pPr>
      <w:r>
        <w:tab/>
        <w:t>(3)</w:t>
      </w:r>
      <w:r>
        <w:tab/>
        <w:t>A person must not construct or operate a distribution system except under the authority of a distribution licence or an integrated regional licence.</w:t>
      </w:r>
    </w:p>
    <w:p>
      <w:pPr>
        <w:pStyle w:val="Penstart"/>
      </w:pPr>
      <w:r>
        <w:tab/>
        <w:t>Penalty for this subsection:</w:t>
      </w:r>
    </w:p>
    <w:p>
      <w:pPr>
        <w:pStyle w:val="Penpara"/>
      </w:pPr>
      <w:r>
        <w:tab/>
        <w:t>(a)</w:t>
      </w:r>
      <w:r>
        <w:tab/>
        <w:t>a fine of $100 000;</w:t>
      </w:r>
    </w:p>
    <w:p>
      <w:pPr>
        <w:pStyle w:val="Penpara"/>
      </w:pPr>
      <w:r>
        <w:tab/>
        <w:t>(b)</w:t>
      </w:r>
      <w:r>
        <w:tab/>
        <w:t>a daily penalty of a fine of $5 000 for each day or part of a day during which the offence continues.</w:t>
      </w:r>
    </w:p>
    <w:p>
      <w:pPr>
        <w:pStyle w:val="Subsection"/>
        <w:spacing w:before="180"/>
      </w:pPr>
      <w:r>
        <w:tab/>
        <w:t>(4)</w:t>
      </w:r>
      <w:r>
        <w:tab/>
        <w:t>A person must not sell electricity to customers except under the authority of a retail licence or an integrated regional licence.</w:t>
      </w:r>
    </w:p>
    <w:p>
      <w:pPr>
        <w:pStyle w:val="Penstart"/>
      </w:pPr>
      <w:r>
        <w:tab/>
        <w:t>Penalty for this subsection:</w:t>
      </w:r>
    </w:p>
    <w:p>
      <w:pPr>
        <w:pStyle w:val="Penpara"/>
      </w:pPr>
      <w:r>
        <w:tab/>
        <w:t>(a)</w:t>
      </w:r>
      <w:r>
        <w:tab/>
        <w:t>a fine of $100 000;</w:t>
      </w:r>
    </w:p>
    <w:p>
      <w:pPr>
        <w:pStyle w:val="Penpara"/>
      </w:pPr>
      <w:r>
        <w:tab/>
        <w:t>(b)</w:t>
      </w:r>
      <w:r>
        <w:tab/>
        <w:t>a daily penalty of a fine of $5 000 for each day or part of a day during which the offence continues.</w:t>
      </w:r>
    </w:p>
    <w:p>
      <w:pPr>
        <w:pStyle w:val="Subsection"/>
        <w:keepNext/>
        <w:spacing w:before="180"/>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 or</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lastRenderedPageBreak/>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Subsection"/>
      </w:pPr>
      <w:r>
        <w:tab/>
        <w:t>(7)</w:t>
      </w:r>
      <w:r>
        <w:tab/>
        <w:t xml:space="preserve">A person does not commit an offence under subsection (1), (2), (3) or (4) if the person is — </w:t>
      </w:r>
    </w:p>
    <w:p>
      <w:pPr>
        <w:pStyle w:val="Indenta"/>
      </w:pPr>
      <w:r>
        <w:tab/>
        <w:t>(a)</w:t>
      </w:r>
      <w:r>
        <w:tab/>
        <w:t>a registration holder and the conduct to which the offence applies is authorised by that registration; or</w:t>
      </w:r>
    </w:p>
    <w:p>
      <w:pPr>
        <w:pStyle w:val="Indenta"/>
      </w:pPr>
      <w:r>
        <w:tab/>
        <w:t>(b)</w:t>
      </w:r>
      <w:r>
        <w:tab/>
        <w:t>exempted under the regulations under section 59D(2)(c) from the requirement to be registered in relation to the conduct to which the offence applies.</w:t>
      </w:r>
    </w:p>
    <w:p>
      <w:pPr>
        <w:pStyle w:val="Footnotesection"/>
      </w:pPr>
      <w:r>
        <w:tab/>
        <w:t>[Section 7 amended: No. 10 of 2024 s. 6.]</w:t>
      </w:r>
    </w:p>
    <w:p>
      <w:pPr>
        <w:pStyle w:val="Heading5"/>
      </w:pPr>
      <w:bookmarkStart w:id="29" w:name="_Toc164842617"/>
      <w:r>
        <w:rPr>
          <w:rStyle w:val="CharSectno"/>
        </w:rPr>
        <w:t>8</w:t>
      </w:r>
      <w:r>
        <w:t>.</w:t>
      </w:r>
      <w:r>
        <w:tab/>
        <w:t>Power to exempt</w:t>
      </w:r>
      <w:bookmarkEnd w:id="29"/>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the Governor is satisfied that it would not be contrary to the public interest to do so.</w:t>
      </w:r>
    </w:p>
    <w:p>
      <w:pPr>
        <w:pStyle w:val="Subsection"/>
        <w:keepNext/>
        <w:spacing w:before="120"/>
      </w:pPr>
      <w:r>
        <w:tab/>
        <w:t>(5)</w:t>
      </w:r>
      <w:r>
        <w:tab/>
        <w:t xml:space="preserve">Without limiting the other matters that may be taken into account, matters that are to be taken into account by the </w:t>
      </w:r>
      <w:r>
        <w:lastRenderedPageBreak/>
        <w:t xml:space="preserve">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Footnotesection"/>
      </w:pPr>
      <w:r>
        <w:tab/>
        <w:t>[Section 8 amended: No. 10 of 2024 s. 7.]</w:t>
      </w:r>
    </w:p>
    <w:p>
      <w:pPr>
        <w:pStyle w:val="Heading3"/>
      </w:pPr>
      <w:bookmarkStart w:id="30" w:name="_Toc164424605"/>
      <w:bookmarkStart w:id="31" w:name="_Toc164435333"/>
      <w:bookmarkStart w:id="32" w:name="_Toc164435644"/>
      <w:bookmarkStart w:id="33" w:name="_Toc164679458"/>
      <w:bookmarkStart w:id="34" w:name="_Toc164842618"/>
      <w:r>
        <w:rPr>
          <w:rStyle w:val="CharDivNo"/>
        </w:rPr>
        <w:t>Division 3</w:t>
      </w:r>
      <w:r>
        <w:t> — </w:t>
      </w:r>
      <w:r>
        <w:rPr>
          <w:rStyle w:val="CharDivText"/>
        </w:rPr>
        <w:t>General licensing provisions</w:t>
      </w:r>
      <w:bookmarkEnd w:id="30"/>
      <w:bookmarkEnd w:id="31"/>
      <w:bookmarkEnd w:id="32"/>
      <w:bookmarkEnd w:id="33"/>
      <w:bookmarkEnd w:id="34"/>
    </w:p>
    <w:p>
      <w:pPr>
        <w:pStyle w:val="Heading5"/>
      </w:pPr>
      <w:bookmarkStart w:id="35" w:name="_Toc164842619"/>
      <w:r>
        <w:rPr>
          <w:rStyle w:val="CharSectno"/>
        </w:rPr>
        <w:t>9</w:t>
      </w:r>
      <w:r>
        <w:t>.</w:t>
      </w:r>
      <w:r>
        <w:tab/>
        <w:t>Authority to consider public interest</w:t>
      </w:r>
      <w:bookmarkEnd w:id="35"/>
    </w:p>
    <w:p>
      <w:pPr>
        <w:pStyle w:val="Subsection"/>
      </w:pPr>
      <w:r>
        <w:tab/>
        <w:t>(1)</w:t>
      </w:r>
      <w:r>
        <w:tab/>
        <w:t>The Authority must not exercise a power conferred by this Division unless the Authority is satisfied that it would not be contrary to the public interest to do so.</w:t>
      </w:r>
    </w:p>
    <w:p>
      <w:pPr>
        <w:pStyle w:val="Subsection"/>
      </w:pPr>
      <w:r>
        <w:tab/>
        <w:t>(2)</w:t>
      </w:r>
      <w:r>
        <w:tab/>
        <w:t xml:space="preserve">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w:t>
      </w:r>
      <w:r>
        <w:lastRenderedPageBreak/>
        <w:t>to which the licence in respect of which the power is exercised applies.</w:t>
      </w:r>
    </w:p>
    <w:p>
      <w:pPr>
        <w:pStyle w:val="Heading5"/>
      </w:pPr>
      <w:bookmarkStart w:id="36" w:name="_Toc164842620"/>
      <w:r>
        <w:rPr>
          <w:rStyle w:val="CharSectno"/>
        </w:rPr>
        <w:t>10</w:t>
      </w:r>
      <w:r>
        <w:t>.</w:t>
      </w:r>
      <w:r>
        <w:tab/>
        <w:t>Application for licence</w:t>
      </w:r>
      <w:bookmarkEnd w:id="36"/>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37" w:name="_Toc164842621"/>
      <w:r>
        <w:rPr>
          <w:rStyle w:val="CharSectno"/>
        </w:rPr>
        <w:t>11</w:t>
      </w:r>
      <w:r>
        <w:t>.</w:t>
      </w:r>
      <w:r>
        <w:tab/>
        <w:t>Authority may determine licence terms and conditions</w:t>
      </w:r>
      <w:bookmarkEnd w:id="37"/>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 or</w:t>
      </w:r>
    </w:p>
    <w:p>
      <w:pPr>
        <w:pStyle w:val="Indenta"/>
      </w:pPr>
      <w:r>
        <w:lastRenderedPageBreak/>
        <w:tab/>
        <w:t>(b)</w:t>
      </w:r>
      <w:r>
        <w:tab/>
        <w:t>the Code; or</w:t>
      </w:r>
    </w:p>
    <w:p>
      <w:pPr>
        <w:pStyle w:val="Indenta"/>
      </w:pPr>
      <w:r>
        <w:tab/>
        <w:t>(ba)</w:t>
      </w:r>
      <w:r>
        <w:tab/>
        <w:t xml:space="preserve">in the case of a licence that relates to a Pilbara network — </w:t>
      </w:r>
    </w:p>
    <w:p>
      <w:pPr>
        <w:pStyle w:val="Indenti"/>
      </w:pPr>
      <w:r>
        <w:tab/>
        <w:t>(i)</w:t>
      </w:r>
      <w:r>
        <w:tab/>
        <w:t>the Pilbara Networks Access Code, if the network is regulated under Part 8A; and</w:t>
      </w:r>
    </w:p>
    <w:p>
      <w:pPr>
        <w:pStyle w:val="Indenti"/>
      </w:pPr>
      <w:r>
        <w:tab/>
        <w:t>(ii)</w:t>
      </w:r>
      <w:r>
        <w:tab/>
        <w:t>the Pilbara networks rules, if they apply to the network;</w:t>
      </w:r>
    </w:p>
    <w:p>
      <w:pPr>
        <w:pStyle w:val="Indenta"/>
      </w:pPr>
      <w:r>
        <w:tab/>
      </w:r>
      <w:r>
        <w:tab/>
        <w:t>or</w:t>
      </w:r>
    </w:p>
    <w:p>
      <w:pPr>
        <w:pStyle w:val="Indenta"/>
      </w:pPr>
      <w:r>
        <w:tab/>
        <w:t>(c)</w:t>
      </w:r>
      <w:r>
        <w:tab/>
        <w:t xml:space="preserve">regulations made under the </w:t>
      </w:r>
      <w:r>
        <w:rPr>
          <w:i/>
        </w:rPr>
        <w:t xml:space="preserve">Electricity Act 1945 </w:t>
      </w:r>
      <w:r>
        <w:t>section 32.</w:t>
      </w:r>
    </w:p>
    <w:p>
      <w:pPr>
        <w:pStyle w:val="Footnotesection"/>
      </w:pPr>
      <w:r>
        <w:tab/>
        <w:t>[Section 11 amended: No. 9 of 2020 s. 5.]</w:t>
      </w:r>
    </w:p>
    <w:p>
      <w:pPr>
        <w:pStyle w:val="Heading5"/>
      </w:pPr>
      <w:bookmarkStart w:id="38" w:name="_Toc164842622"/>
      <w:r>
        <w:rPr>
          <w:rStyle w:val="CharSectno"/>
        </w:rPr>
        <w:t>12</w:t>
      </w:r>
      <w:r>
        <w:t>.</w:t>
      </w:r>
      <w:r>
        <w:tab/>
        <w:t>Regulations as to licence terms and conditions</w:t>
      </w:r>
      <w:bookmarkEnd w:id="38"/>
    </w:p>
    <w:p>
      <w:pPr>
        <w:pStyle w:val="Subsection"/>
      </w:pPr>
      <w:r>
        <w:tab/>
      </w:r>
      <w:r>
        <w:tab/>
        <w:t xml:space="preserve">The regulations may prescribe terms and conditions that are to be taken to be included in — </w:t>
      </w:r>
    </w:p>
    <w:p>
      <w:pPr>
        <w:pStyle w:val="Indenta"/>
      </w:pPr>
      <w:r>
        <w:tab/>
        <w:t>(a)</w:t>
      </w:r>
      <w:r>
        <w:tab/>
        <w:t>every licence; or</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No. 18 of 2005 s. 139.]</w:t>
      </w:r>
    </w:p>
    <w:p>
      <w:pPr>
        <w:pStyle w:val="Heading5"/>
      </w:pPr>
      <w:bookmarkStart w:id="39" w:name="_Toc164842623"/>
      <w:r>
        <w:rPr>
          <w:rStyle w:val="CharSectno"/>
        </w:rPr>
        <w:t>13</w:t>
      </w:r>
      <w:r>
        <w:t>.</w:t>
      </w:r>
      <w:r>
        <w:tab/>
        <w:t>Licence condition: performance audit</w:t>
      </w:r>
      <w:bookmarkEnd w:id="39"/>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40" w:name="_Toc164842624"/>
      <w:r>
        <w:rPr>
          <w:rStyle w:val="CharSectno"/>
        </w:rPr>
        <w:lastRenderedPageBreak/>
        <w:t>14</w:t>
      </w:r>
      <w:r>
        <w:t>.</w:t>
      </w:r>
      <w:r>
        <w:tab/>
        <w:t>Licence condition: asset management system</w:t>
      </w:r>
      <w:bookmarkEnd w:id="40"/>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 and</w:t>
      </w:r>
    </w:p>
    <w:p>
      <w:pPr>
        <w:pStyle w:val="Indenta"/>
      </w:pPr>
      <w:r>
        <w:tab/>
        <w:t>(b)</w:t>
      </w:r>
      <w:r>
        <w:tab/>
        <w:t>notify details of the system and any substantial changes to it to the Authority; and</w:t>
      </w:r>
    </w:p>
    <w:p>
      <w:pPr>
        <w:pStyle w:val="Indenta"/>
        <w:keepLines/>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41" w:name="_Toc164842625"/>
      <w:r>
        <w:rPr>
          <w:rStyle w:val="CharSectno"/>
        </w:rPr>
        <w:t>15</w:t>
      </w:r>
      <w:r>
        <w:t>.</w:t>
      </w:r>
      <w:r>
        <w:tab/>
        <w:t>Duration of licence</w:t>
      </w:r>
      <w:bookmarkEnd w:id="41"/>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42" w:name="_Toc164842626"/>
      <w:r>
        <w:rPr>
          <w:rStyle w:val="CharSectno"/>
        </w:rPr>
        <w:t>16</w:t>
      </w:r>
      <w:r>
        <w:t>.</w:t>
      </w:r>
      <w:r>
        <w:tab/>
        <w:t>Renewal of licence</w:t>
      </w:r>
      <w:bookmarkEnd w:id="42"/>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spacing w:before="220"/>
      </w:pPr>
      <w:r>
        <w:tab/>
        <w:t>(2)</w:t>
      </w:r>
      <w:r>
        <w:tab/>
        <w:t>An applicant must provide any additional information that the Authority may require for the proper consideration of the application.</w:t>
      </w:r>
    </w:p>
    <w:p>
      <w:pPr>
        <w:pStyle w:val="Heading5"/>
      </w:pPr>
      <w:bookmarkStart w:id="43" w:name="_Toc164842627"/>
      <w:r>
        <w:rPr>
          <w:rStyle w:val="CharSectno"/>
        </w:rPr>
        <w:lastRenderedPageBreak/>
        <w:t>17</w:t>
      </w:r>
      <w:r>
        <w:t>.</w:t>
      </w:r>
      <w:r>
        <w:tab/>
        <w:t>Licence fees</w:t>
      </w:r>
      <w:bookmarkEnd w:id="43"/>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44" w:name="_Toc164842628"/>
      <w:r>
        <w:rPr>
          <w:rStyle w:val="CharSectno"/>
        </w:rPr>
        <w:t>18</w:t>
      </w:r>
      <w:r>
        <w:t>.</w:t>
      </w:r>
      <w:r>
        <w:tab/>
        <w:t>Transfer of licence</w:t>
      </w:r>
      <w:bookmarkEnd w:id="44"/>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45" w:name="_Toc164842629"/>
      <w:r>
        <w:rPr>
          <w:rStyle w:val="CharSectno"/>
        </w:rPr>
        <w:t>19</w:t>
      </w:r>
      <w:r>
        <w:t>.</w:t>
      </w:r>
      <w:r>
        <w:tab/>
        <w:t>Decisions as to grant, renewal or transfer of licence</w:t>
      </w:r>
      <w:bookmarkEnd w:id="45"/>
    </w:p>
    <w:p>
      <w:pPr>
        <w:pStyle w:val="Subsection"/>
        <w:spacing w:before="120"/>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keepNext/>
      </w:pPr>
      <w:r>
        <w:lastRenderedPageBreak/>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spacing w:before="120"/>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an application has been made in accordance with section 10, 16 or 18, as the case may be; and</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spacing w:before="180"/>
      </w:pPr>
      <w:bookmarkStart w:id="46" w:name="_Toc164842630"/>
      <w:r>
        <w:rPr>
          <w:rStyle w:val="CharSectno"/>
        </w:rPr>
        <w:t>20</w:t>
      </w:r>
      <w:r>
        <w:t>.</w:t>
      </w:r>
      <w:r>
        <w:tab/>
        <w:t>Other laws not affected</w:t>
      </w:r>
      <w:bookmarkEnd w:id="46"/>
    </w:p>
    <w:p>
      <w:pPr>
        <w:pStyle w:val="Subsection"/>
      </w:pPr>
      <w:r>
        <w:tab/>
      </w:r>
      <w:r>
        <w:tab/>
        <w:t>The grant, renewal or transfer of a licence does not affect the licensee’s obligations to comply with any other written law in relation to the matters covered by the licence.</w:t>
      </w:r>
    </w:p>
    <w:p>
      <w:pPr>
        <w:pStyle w:val="Heading5"/>
        <w:spacing w:before="180"/>
      </w:pPr>
      <w:bookmarkStart w:id="47" w:name="_Toc164842631"/>
      <w:r>
        <w:rPr>
          <w:rStyle w:val="CharSectno"/>
        </w:rPr>
        <w:t>21</w:t>
      </w:r>
      <w:r>
        <w:t>.</w:t>
      </w:r>
      <w:r>
        <w:tab/>
        <w:t>Amendment of licence on application of licensee</w:t>
      </w:r>
      <w:bookmarkEnd w:id="47"/>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lastRenderedPageBreak/>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keepNext w:val="0"/>
        <w:keepLines w:val="0"/>
        <w:spacing w:before="180"/>
      </w:pPr>
      <w:bookmarkStart w:id="48" w:name="_Toc164842632"/>
      <w:r>
        <w:rPr>
          <w:rStyle w:val="CharSectno"/>
        </w:rPr>
        <w:t>22</w:t>
      </w:r>
      <w:r>
        <w:t>.</w:t>
      </w:r>
      <w:r>
        <w:tab/>
        <w:t>Amendment of licence on initiative of Authority</w:t>
      </w:r>
      <w:bookmarkEnd w:id="48"/>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49" w:name="_Toc164842633"/>
      <w:r>
        <w:rPr>
          <w:rStyle w:val="CharSectno"/>
        </w:rPr>
        <w:t>23</w:t>
      </w:r>
      <w:r>
        <w:t>.</w:t>
      </w:r>
      <w:r>
        <w:tab/>
        <w:t>Notice of decisions</w:t>
      </w:r>
      <w:bookmarkEnd w:id="49"/>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 and</w:t>
      </w:r>
    </w:p>
    <w:p>
      <w:pPr>
        <w:pStyle w:val="Indenta"/>
      </w:pPr>
      <w:r>
        <w:lastRenderedPageBreak/>
        <w:tab/>
        <w:t>(b)</w:t>
      </w:r>
      <w:r>
        <w:tab/>
        <w:t>the name and business address of the licensee; and</w:t>
      </w:r>
    </w:p>
    <w:p>
      <w:pPr>
        <w:pStyle w:val="Indenta"/>
      </w:pPr>
      <w:r>
        <w:tab/>
        <w:t>(c)</w:t>
      </w:r>
      <w:r>
        <w:tab/>
        <w:t>the term of the licence; and</w:t>
      </w:r>
    </w:p>
    <w:p>
      <w:pPr>
        <w:pStyle w:val="Indenta"/>
      </w:pPr>
      <w:r>
        <w:tab/>
        <w:t>(d)</w:t>
      </w:r>
      <w:r>
        <w:tab/>
        <w:t>a description of the licence area; and</w:t>
      </w:r>
    </w:p>
    <w:p>
      <w:pPr>
        <w:pStyle w:val="Indenta"/>
      </w:pPr>
      <w:r>
        <w:tab/>
        <w:t>(e)</w:t>
      </w:r>
      <w:r>
        <w:tab/>
        <w:t>in the case of an amendment, details of the amendment; and</w:t>
      </w:r>
    </w:p>
    <w:p>
      <w:pPr>
        <w:pStyle w:val="Indenta"/>
      </w:pPr>
      <w:r>
        <w:tab/>
        <w:t>(f)</w:t>
      </w:r>
      <w:r>
        <w:tab/>
        <w:t>the place where a copy of the licence and any plan may be inspected under section 24; and</w:t>
      </w:r>
    </w:p>
    <w:p>
      <w:pPr>
        <w:pStyle w:val="Indenta"/>
      </w:pPr>
      <w:r>
        <w:tab/>
        <w:t>(g)</w:t>
      </w:r>
      <w:r>
        <w:tab/>
        <w:t>the Authority’s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Footnotesection"/>
      </w:pPr>
      <w:r>
        <w:tab/>
        <w:t>[Section 23 amended: No. 9 of 2020 s. 6.]</w:t>
      </w:r>
    </w:p>
    <w:p>
      <w:pPr>
        <w:pStyle w:val="Heading5"/>
        <w:spacing w:before="0"/>
      </w:pPr>
      <w:bookmarkStart w:id="50" w:name="_Toc164842634"/>
      <w:r>
        <w:rPr>
          <w:rStyle w:val="CharSectno"/>
        </w:rPr>
        <w:t>24</w:t>
      </w:r>
      <w:r>
        <w:t>.</w:t>
      </w:r>
      <w:r>
        <w:tab/>
        <w:t>Licences to be available for inspection</w:t>
      </w:r>
      <w:bookmarkEnd w:id="50"/>
    </w:p>
    <w:p>
      <w:pPr>
        <w:pStyle w:val="Subsection"/>
        <w:keepNext/>
        <w:spacing w:before="120"/>
      </w:pPr>
      <w:r>
        <w:tab/>
      </w:r>
      <w:r>
        <w:tab/>
        <w:t xml:space="preserve">The Authority must make available for public inspection at the Authority’s office during normal office hours and on the Authority’s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Footnotesection"/>
      </w:pPr>
      <w:r>
        <w:tab/>
        <w:t>[Section 24 amended: No. 9 of 2020 s. 6.]</w:t>
      </w:r>
    </w:p>
    <w:p>
      <w:pPr>
        <w:pStyle w:val="Heading5"/>
      </w:pPr>
      <w:bookmarkStart w:id="51" w:name="_Toc164842635"/>
      <w:r>
        <w:rPr>
          <w:rStyle w:val="CharSectno"/>
        </w:rPr>
        <w:t>25</w:t>
      </w:r>
      <w:r>
        <w:t>.</w:t>
      </w:r>
      <w:r>
        <w:tab/>
        <w:t>Regulations about public consultation</w:t>
      </w:r>
      <w:bookmarkEnd w:id="51"/>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52" w:name="_Toc164424623"/>
      <w:bookmarkStart w:id="53" w:name="_Toc164435351"/>
      <w:bookmarkStart w:id="54" w:name="_Toc164435662"/>
      <w:bookmarkStart w:id="55" w:name="_Toc164679476"/>
      <w:bookmarkStart w:id="56" w:name="_Toc164842636"/>
      <w:r>
        <w:rPr>
          <w:rStyle w:val="CharDivNo"/>
        </w:rPr>
        <w:lastRenderedPageBreak/>
        <w:t>Division 4</w:t>
      </w:r>
      <w:r>
        <w:t> — </w:t>
      </w:r>
      <w:r>
        <w:rPr>
          <w:rStyle w:val="CharDivText"/>
        </w:rPr>
        <w:t>Exclusive licences</w:t>
      </w:r>
      <w:bookmarkEnd w:id="52"/>
      <w:bookmarkEnd w:id="53"/>
      <w:bookmarkEnd w:id="54"/>
      <w:bookmarkEnd w:id="55"/>
      <w:bookmarkEnd w:id="56"/>
    </w:p>
    <w:p>
      <w:pPr>
        <w:pStyle w:val="Heading5"/>
      </w:pPr>
      <w:bookmarkStart w:id="57" w:name="_Toc164842637"/>
      <w:r>
        <w:rPr>
          <w:rStyle w:val="CharSectno"/>
        </w:rPr>
        <w:t>26</w:t>
      </w:r>
      <w:r>
        <w:t>.</w:t>
      </w:r>
      <w:r>
        <w:tab/>
        <w:t>Regulations may authorise an exclusive licence</w:t>
      </w:r>
      <w:bookmarkEnd w:id="57"/>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rStyle w:val="CharDefText"/>
        </w:rPr>
        <w:t>period of exclusivity</w:t>
      </w:r>
      <w:r>
        <w:t>) is not to exceed 10 years.</w:t>
      </w:r>
    </w:p>
    <w:p>
      <w:pPr>
        <w:pStyle w:val="Heading5"/>
      </w:pPr>
      <w:bookmarkStart w:id="58" w:name="_Toc164842638"/>
      <w:r>
        <w:rPr>
          <w:rStyle w:val="CharSectno"/>
        </w:rPr>
        <w:t>27</w:t>
      </w:r>
      <w:r>
        <w:t>.</w:t>
      </w:r>
      <w:r>
        <w:tab/>
        <w:t>Requirements for regulations</w:t>
      </w:r>
      <w:bookmarkEnd w:id="58"/>
    </w:p>
    <w:p>
      <w:pPr>
        <w:pStyle w:val="Subsection"/>
        <w:keepNext/>
        <w:spacing w:before="120"/>
      </w:pPr>
      <w:r>
        <w:tab/>
        <w:t>(1)</w:t>
      </w:r>
      <w:r>
        <w:tab/>
        <w:t xml:space="preserve">The Minister may, under section 26, recommend the making of regulations only if the Minister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 and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keepNext/>
      </w:pPr>
      <w:r>
        <w:lastRenderedPageBreak/>
        <w:tab/>
        <w:t>(3)</w:t>
      </w:r>
      <w:r>
        <w:tab/>
        <w:t xml:space="preserve">Regulations made under section 26 — </w:t>
      </w:r>
    </w:p>
    <w:p>
      <w:pPr>
        <w:pStyle w:val="Indenta"/>
      </w:pPr>
      <w:r>
        <w:tab/>
        <w:t>(a)</w:t>
      </w:r>
      <w:r>
        <w:tab/>
        <w:t>are to set out the requirements to be observed before an application for an exclusive licence may be made; and</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Footnotesection"/>
      </w:pPr>
      <w:r>
        <w:tab/>
        <w:t>[Section 27 amended: No. 10 of 2024 s. 8.]</w:t>
      </w:r>
    </w:p>
    <w:p>
      <w:pPr>
        <w:pStyle w:val="Heading5"/>
      </w:pPr>
      <w:bookmarkStart w:id="59" w:name="_Toc164842639"/>
      <w:r>
        <w:rPr>
          <w:rStyle w:val="CharSectno"/>
        </w:rPr>
        <w:t>28</w:t>
      </w:r>
      <w:r>
        <w:t>.</w:t>
      </w:r>
      <w:r>
        <w:tab/>
        <w:t>Application for and grant of licence</w:t>
      </w:r>
      <w:bookmarkEnd w:id="59"/>
    </w:p>
    <w:p>
      <w:pPr>
        <w:pStyle w:val="Subsection"/>
      </w:pPr>
      <w:r>
        <w:tab/>
        <w:t>(1)</w:t>
      </w:r>
      <w:r>
        <w:tab/>
        <w:t>An application for an exclusive licence may only be made if the Minister has determined that the Minister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the Minister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Footnotesection"/>
      </w:pPr>
      <w:r>
        <w:tab/>
        <w:t>[Section 28 amended: No. 10 of 2024 s. 9.]</w:t>
      </w:r>
    </w:p>
    <w:p>
      <w:pPr>
        <w:pStyle w:val="Heading5"/>
        <w:spacing w:before="240"/>
      </w:pPr>
      <w:bookmarkStart w:id="60" w:name="_Toc164842640"/>
      <w:r>
        <w:rPr>
          <w:rStyle w:val="CharSectno"/>
        </w:rPr>
        <w:t>29</w:t>
      </w:r>
      <w:r>
        <w:t>.</w:t>
      </w:r>
      <w:r>
        <w:tab/>
        <w:t>Prohibition of further licences</w:t>
      </w:r>
      <w:bookmarkEnd w:id="60"/>
    </w:p>
    <w:p>
      <w:pPr>
        <w:pStyle w:val="Subsection"/>
        <w:spacing w:before="180"/>
      </w:pPr>
      <w:r>
        <w:tab/>
      </w:r>
      <w:r>
        <w:tab/>
        <w:t xml:space="preserve">If — </w:t>
      </w:r>
    </w:p>
    <w:p>
      <w:pPr>
        <w:pStyle w:val="Indenta"/>
      </w:pPr>
      <w:r>
        <w:tab/>
        <w:t>(a)</w:t>
      </w:r>
      <w:r>
        <w:tab/>
        <w:t>an exclusive licence is granted in respect of an area in accordance with regulations made under section 26; and</w:t>
      </w:r>
    </w:p>
    <w:p>
      <w:pPr>
        <w:pStyle w:val="Indenta"/>
        <w:keepNext/>
      </w:pPr>
      <w:r>
        <w:lastRenderedPageBreak/>
        <w:tab/>
        <w:t>(b)</w:t>
      </w:r>
      <w:r>
        <w:tab/>
        <w:t>the licence is not cancelled under section 35 or surrendered,</w:t>
      </w:r>
    </w:p>
    <w:p>
      <w:pPr>
        <w:pStyle w:val="Subsection"/>
        <w:spacing w:before="180"/>
      </w:pPr>
      <w:r>
        <w:tab/>
      </w:r>
      <w:r>
        <w:tab/>
        <w:t>no other person is to be granted a licence of the same kind to have effect in respect of that area during the period of exclusivity.</w:t>
      </w:r>
    </w:p>
    <w:p>
      <w:pPr>
        <w:pStyle w:val="Heading5"/>
        <w:spacing w:before="240"/>
      </w:pPr>
      <w:bookmarkStart w:id="61" w:name="_Toc164842641"/>
      <w:r>
        <w:rPr>
          <w:rStyle w:val="CharSectno"/>
        </w:rPr>
        <w:t>30</w:t>
      </w:r>
      <w:r>
        <w:t>.</w:t>
      </w:r>
      <w:r>
        <w:tab/>
        <w:t>Trade practices authorisation</w:t>
      </w:r>
      <w:bookmarkEnd w:id="61"/>
    </w:p>
    <w:p>
      <w:pPr>
        <w:pStyle w:val="Subsection"/>
        <w:keepNext/>
        <w:spacing w:before="180"/>
      </w:pPr>
      <w:r>
        <w:tab/>
      </w:r>
      <w:r>
        <w:tab/>
        <w:t xml:space="preserve">For the purposes of the </w:t>
      </w:r>
      <w:r>
        <w:rPr>
          <w:i/>
        </w:rPr>
        <w:t>Competition and Consumer Act 2010</w:t>
      </w:r>
      <w:r>
        <w:t xml:space="preserv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keepNext/>
        <w:spacing w:before="180"/>
      </w:pPr>
      <w:r>
        <w:tab/>
      </w:r>
      <w:r>
        <w:tab/>
        <w:t>are specifically authorised to the extent that the grant or conduct would otherwise contravene that Act or that Code.</w:t>
      </w:r>
    </w:p>
    <w:p>
      <w:pPr>
        <w:pStyle w:val="Footnotesection"/>
      </w:pPr>
      <w:r>
        <w:tab/>
        <w:t>[Section 30 amended: No. 9 of 2020 s. 7.]</w:t>
      </w:r>
    </w:p>
    <w:p>
      <w:pPr>
        <w:pStyle w:val="Heading3"/>
        <w:spacing w:before="260"/>
      </w:pPr>
      <w:bookmarkStart w:id="62" w:name="_Toc164424629"/>
      <w:bookmarkStart w:id="63" w:name="_Toc164435357"/>
      <w:bookmarkStart w:id="64" w:name="_Toc164435668"/>
      <w:bookmarkStart w:id="65" w:name="_Toc164679482"/>
      <w:bookmarkStart w:id="66" w:name="_Toc164842642"/>
      <w:r>
        <w:rPr>
          <w:rStyle w:val="CharDivNo"/>
        </w:rPr>
        <w:t>Division 5</w:t>
      </w:r>
      <w:r>
        <w:t> — </w:t>
      </w:r>
      <w:r>
        <w:rPr>
          <w:rStyle w:val="CharDivText"/>
        </w:rPr>
        <w:t>Interruption of supply</w:t>
      </w:r>
      <w:bookmarkEnd w:id="62"/>
      <w:bookmarkEnd w:id="63"/>
      <w:bookmarkEnd w:id="64"/>
      <w:bookmarkEnd w:id="65"/>
      <w:bookmarkEnd w:id="66"/>
    </w:p>
    <w:p>
      <w:pPr>
        <w:pStyle w:val="Heading5"/>
        <w:spacing w:before="240"/>
      </w:pPr>
      <w:bookmarkStart w:id="67" w:name="_Toc164842643"/>
      <w:r>
        <w:rPr>
          <w:rStyle w:val="CharSectno"/>
        </w:rPr>
        <w:t>31</w:t>
      </w:r>
      <w:r>
        <w:t>.</w:t>
      </w:r>
      <w:r>
        <w:tab/>
        <w:t>Interruption of supply</w:t>
      </w:r>
      <w:bookmarkEnd w:id="67"/>
    </w:p>
    <w:p>
      <w:pPr>
        <w:pStyle w:val="Subsection"/>
        <w:spacing w:before="180"/>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keepNext/>
        <w:spacing w:before="180"/>
      </w:pPr>
      <w:r>
        <w:tab/>
        <w:t>(2)</w:t>
      </w:r>
      <w:r>
        <w:tab/>
        <w:t xml:space="preserve">A licensee is not liable for any loss or damage that arises from an interruption, suspension or restriction under subsection (1) except to the extent that — </w:t>
      </w:r>
    </w:p>
    <w:p>
      <w:pPr>
        <w:pStyle w:val="Indenta"/>
        <w:keepNext/>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lastRenderedPageBreak/>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 and</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No. 18 of 2005 s. 139.]</w:t>
      </w:r>
    </w:p>
    <w:p>
      <w:pPr>
        <w:pStyle w:val="Heading3"/>
        <w:spacing w:before="260"/>
      </w:pPr>
      <w:bookmarkStart w:id="68" w:name="_Toc164424631"/>
      <w:bookmarkStart w:id="69" w:name="_Toc164435359"/>
      <w:bookmarkStart w:id="70" w:name="_Toc164435670"/>
      <w:bookmarkStart w:id="71" w:name="_Toc164679484"/>
      <w:bookmarkStart w:id="72" w:name="_Toc164842644"/>
      <w:r>
        <w:rPr>
          <w:rStyle w:val="CharDivNo"/>
        </w:rPr>
        <w:t>Division 6</w:t>
      </w:r>
      <w:r>
        <w:t> — </w:t>
      </w:r>
      <w:r>
        <w:rPr>
          <w:rStyle w:val="CharDivText"/>
        </w:rPr>
        <w:t>Enforcement</w:t>
      </w:r>
      <w:bookmarkEnd w:id="68"/>
      <w:bookmarkEnd w:id="69"/>
      <w:bookmarkEnd w:id="70"/>
      <w:bookmarkEnd w:id="71"/>
      <w:bookmarkEnd w:id="72"/>
    </w:p>
    <w:p>
      <w:pPr>
        <w:pStyle w:val="Heading5"/>
      </w:pPr>
      <w:bookmarkStart w:id="73" w:name="_Toc164842645"/>
      <w:r>
        <w:rPr>
          <w:rStyle w:val="CharSectno"/>
        </w:rPr>
        <w:t>32</w:t>
      </w:r>
      <w:r>
        <w:t>.</w:t>
      </w:r>
      <w:r>
        <w:tab/>
        <w:t>Failure to comply with licence</w:t>
      </w:r>
      <w:bookmarkEnd w:id="73"/>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lastRenderedPageBreak/>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74" w:name="_Toc164842646"/>
      <w:r>
        <w:rPr>
          <w:rStyle w:val="CharSectno"/>
        </w:rPr>
        <w:t>33</w:t>
      </w:r>
      <w:r>
        <w:t>.</w:t>
      </w:r>
      <w:r>
        <w:tab/>
        <w:t>Right of licensee to make submissions</w:t>
      </w:r>
      <w:bookmarkEnd w:id="74"/>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keepNext w:val="0"/>
      </w:pPr>
      <w:bookmarkStart w:id="75" w:name="_Toc164842647"/>
      <w:r>
        <w:rPr>
          <w:rStyle w:val="CharSectno"/>
        </w:rPr>
        <w:t>34</w:t>
      </w:r>
      <w:r>
        <w:t>.</w:t>
      </w:r>
      <w:r>
        <w:tab/>
        <w:t>Exception where public health endangered</w:t>
      </w:r>
      <w:bookmarkEnd w:id="75"/>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lastRenderedPageBreak/>
        <w:tab/>
        <w:t>(b)</w:t>
      </w:r>
      <w:r>
        <w:tab/>
        <w:t>complying with section 33.</w:t>
      </w:r>
    </w:p>
    <w:p>
      <w:pPr>
        <w:pStyle w:val="Heading5"/>
        <w:keepNext w:val="0"/>
      </w:pPr>
      <w:bookmarkStart w:id="76" w:name="_Toc164842648"/>
      <w:r>
        <w:rPr>
          <w:rStyle w:val="CharSectno"/>
        </w:rPr>
        <w:t>35</w:t>
      </w:r>
      <w:r>
        <w:t>.</w:t>
      </w:r>
      <w:r>
        <w:tab/>
        <w:t>Cancellation of licence</w:t>
      </w:r>
      <w:bookmarkEnd w:id="76"/>
    </w:p>
    <w:p>
      <w:pPr>
        <w:pStyle w:val="Subsection"/>
      </w:pPr>
      <w:r>
        <w:tab/>
        <w:t>(1)</w:t>
      </w:r>
      <w:r>
        <w:tab/>
        <w:t xml:space="preserve">The Governor may cancel a licence if the Governor is satisfied that the licensee — </w:t>
      </w:r>
    </w:p>
    <w:p>
      <w:pPr>
        <w:pStyle w:val="Indenta"/>
      </w:pPr>
      <w:r>
        <w:tab/>
        <w:t>(a)</w:t>
      </w:r>
      <w:r>
        <w:tab/>
        <w:t>is in default as defined in subsection (2); or</w:t>
      </w:r>
    </w:p>
    <w:p>
      <w:pPr>
        <w:pStyle w:val="Indenta"/>
      </w:pPr>
      <w:r>
        <w:tab/>
        <w:t>(b)</w:t>
      </w:r>
      <w:r>
        <w:tab/>
        <w:t>has failed to pay a licence fee as required under section 17; or</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 and</w:t>
      </w:r>
    </w:p>
    <w:p>
      <w:pPr>
        <w:pStyle w:val="Indenta"/>
      </w:pPr>
      <w:r>
        <w:tab/>
        <w:t>(b)</w:t>
      </w:r>
      <w:r>
        <w:tab/>
        <w:t>the failure is material in terms of the operation of the licence as a whole; and</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keepNext/>
      </w:pPr>
      <w:r>
        <w:lastRenderedPageBreak/>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 and</w:t>
      </w:r>
    </w:p>
    <w:p>
      <w:pPr>
        <w:pStyle w:val="Indenta"/>
      </w:pPr>
      <w:r>
        <w:tab/>
        <w:t>(b)</w:t>
      </w:r>
      <w:r>
        <w:tab/>
        <w:t>the conferral of powers and duties for that purpose; and</w:t>
      </w:r>
    </w:p>
    <w:p>
      <w:pPr>
        <w:pStyle w:val="Indenta"/>
      </w:pPr>
      <w:r>
        <w:tab/>
        <w:t>(c)</w:t>
      </w:r>
      <w:r>
        <w:tab/>
        <w:t>the discharge or assignment of liabilities; and</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Footnotesection"/>
      </w:pPr>
      <w:r>
        <w:tab/>
        <w:t>[Section 35 amended: No. 10 of 2024 s. 10.]</w:t>
      </w:r>
    </w:p>
    <w:p>
      <w:pPr>
        <w:pStyle w:val="Heading5"/>
      </w:pPr>
      <w:bookmarkStart w:id="77" w:name="_Toc164842649"/>
      <w:r>
        <w:rPr>
          <w:rStyle w:val="CharSectno"/>
        </w:rPr>
        <w:t>36</w:t>
      </w:r>
      <w:r>
        <w:t>.</w:t>
      </w:r>
      <w:r>
        <w:tab/>
        <w:t>Duty to leave system in safe condition</w:t>
      </w:r>
      <w:bookmarkEnd w:id="77"/>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lastRenderedPageBreak/>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78" w:name="_Toc164424637"/>
      <w:bookmarkStart w:id="79" w:name="_Toc164435365"/>
      <w:bookmarkStart w:id="80" w:name="_Toc164435676"/>
      <w:bookmarkStart w:id="81" w:name="_Toc164679490"/>
      <w:bookmarkStart w:id="82" w:name="_Toc164842650"/>
      <w:r>
        <w:rPr>
          <w:rStyle w:val="CharDivNo"/>
        </w:rPr>
        <w:t>Division 7</w:t>
      </w:r>
      <w:r>
        <w:t> — </w:t>
      </w:r>
      <w:r>
        <w:rPr>
          <w:rStyle w:val="CharDivText"/>
        </w:rPr>
        <w:t>Administration and monitoring of licensing scheme and issue of codes</w:t>
      </w:r>
      <w:bookmarkEnd w:id="78"/>
      <w:bookmarkEnd w:id="79"/>
      <w:bookmarkEnd w:id="80"/>
      <w:bookmarkEnd w:id="81"/>
      <w:bookmarkEnd w:id="82"/>
    </w:p>
    <w:p>
      <w:pPr>
        <w:pStyle w:val="Footnoteheading"/>
        <w:tabs>
          <w:tab w:val="left" w:pos="840"/>
        </w:tabs>
      </w:pPr>
      <w:r>
        <w:tab/>
        <w:t>[Heading amended: No. 33 of 2004 s. 28.]</w:t>
      </w:r>
    </w:p>
    <w:p>
      <w:pPr>
        <w:pStyle w:val="Heading5"/>
      </w:pPr>
      <w:bookmarkStart w:id="83" w:name="_Toc164842651"/>
      <w:r>
        <w:rPr>
          <w:rStyle w:val="CharSectno"/>
        </w:rPr>
        <w:t>37</w:t>
      </w:r>
      <w:r>
        <w:t>.</w:t>
      </w:r>
      <w:r>
        <w:tab/>
        <w:t>Authority to administer licensing scheme</w:t>
      </w:r>
      <w:bookmarkEnd w:id="83"/>
    </w:p>
    <w:p>
      <w:pPr>
        <w:pStyle w:val="Subsection"/>
      </w:pPr>
      <w:r>
        <w:tab/>
      </w:r>
      <w:r>
        <w:tab/>
        <w:t>It is a function of the Authority to administer the licensing scheme provided for in this Part.</w:t>
      </w:r>
    </w:p>
    <w:p>
      <w:pPr>
        <w:pStyle w:val="Heading5"/>
      </w:pPr>
      <w:bookmarkStart w:id="84" w:name="_Toc164842652"/>
      <w:r>
        <w:rPr>
          <w:rStyle w:val="CharSectno"/>
        </w:rPr>
        <w:t>38</w:t>
      </w:r>
      <w:r>
        <w:t>.</w:t>
      </w:r>
      <w:r>
        <w:tab/>
        <w:t>Authority to monitor licensing scheme and licence compliance</w:t>
      </w:r>
      <w:bookmarkEnd w:id="84"/>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85" w:name="_Toc164842653"/>
      <w:r>
        <w:rPr>
          <w:rStyle w:val="CharSectno"/>
        </w:rPr>
        <w:t>39</w:t>
      </w:r>
      <w:r>
        <w:t>.</w:t>
      </w:r>
      <w:r>
        <w:tab/>
        <w:t>Authority may issue codes</w:t>
      </w:r>
      <w:bookmarkEnd w:id="85"/>
    </w:p>
    <w:p>
      <w:pPr>
        <w:pStyle w:val="Subsection"/>
      </w:pPr>
      <w:r>
        <w:tab/>
        <w:t>(1)</w:t>
      </w:r>
      <w:r>
        <w:tab/>
        <w:t>Subject to subsection (2b), the Authority may prepare and issue a code or codes in respect of the matters referred to in subsection (2).</w:t>
      </w:r>
    </w:p>
    <w:p>
      <w:pPr>
        <w:pStyle w:val="Subsection"/>
        <w:keepNext/>
      </w:pPr>
      <w:r>
        <w:lastRenderedPageBreak/>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lastRenderedPageBreak/>
        <w:tab/>
        <w:t>(2c)</w:t>
      </w:r>
      <w:r>
        <w:tab/>
        <w:t>In subsections (2a) and (2b) —</w:t>
      </w:r>
    </w:p>
    <w:p>
      <w:pPr>
        <w:pStyle w:val="Defstart"/>
      </w:pPr>
      <w:r>
        <w:tab/>
      </w:r>
      <w:r>
        <w:rPr>
          <w:rStyle w:val="CharDefText"/>
        </w:rPr>
        <w:t>code matter</w:t>
      </w:r>
      <w:r>
        <w:rPr>
          <w:b/>
          <w:bCs/>
        </w:rPr>
        <w:t xml:space="preserve"> </w:t>
      </w:r>
      <w:r>
        <w:t>means —</w:t>
      </w:r>
    </w:p>
    <w:p>
      <w:pPr>
        <w:pStyle w:val="Defpara"/>
      </w:pPr>
      <w:r>
        <w:tab/>
        <w:t>(a)</w:t>
      </w:r>
      <w:r>
        <w:tab/>
        <w:t>the matter mentioned in subsection (2)(a); or</w:t>
      </w:r>
    </w:p>
    <w:p>
      <w:pPr>
        <w:pStyle w:val="Defpara"/>
      </w:pPr>
      <w:r>
        <w:tab/>
        <w:t>(b)</w:t>
      </w:r>
      <w:r>
        <w:tab/>
        <w:t>the matter mentioned in subsection (2)(b); or</w:t>
      </w:r>
    </w:p>
    <w:p>
      <w:pPr>
        <w:pStyle w:val="Defpara"/>
      </w:pPr>
      <w:r>
        <w:tab/>
        <w:t>(c)</w:t>
      </w:r>
      <w:r>
        <w:tab/>
        <w:t>the matter mentioned in subsection (2)(d); or</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No. 33 of 2004 s. 29; No. 18 of 2005 s. 139.]</w:t>
      </w:r>
    </w:p>
    <w:p>
      <w:pPr>
        <w:pStyle w:val="Heading5"/>
      </w:pPr>
      <w:bookmarkStart w:id="86" w:name="_Toc164842654"/>
      <w:r>
        <w:rPr>
          <w:rStyle w:val="CharSectno"/>
        </w:rPr>
        <w:t>39A</w:t>
      </w:r>
      <w:r>
        <w:t>.</w:t>
      </w:r>
      <w:r>
        <w:tab/>
        <w:t>Review of code standards applying to Regional Power Corporation</w:t>
      </w:r>
      <w:bookmarkEnd w:id="86"/>
    </w:p>
    <w:p>
      <w:pPr>
        <w:pStyle w:val="Subsection"/>
      </w:pPr>
      <w:r>
        <w:tab/>
        <w:t>(1)</w:t>
      </w:r>
      <w:r>
        <w:tab/>
        <w:t>In this section —</w:t>
      </w:r>
    </w:p>
    <w:p>
      <w:pPr>
        <w:pStyle w:val="Defstart"/>
      </w:pPr>
      <w:r>
        <w:tab/>
      </w:r>
      <w:r>
        <w:rPr>
          <w:rStyle w:val="CharDefText"/>
        </w:rPr>
        <w:t>access arrangement</w:t>
      </w:r>
      <w:r>
        <w:rPr>
          <w:b/>
        </w:rPr>
        <w:t xml:space="preserve"> </w:t>
      </w:r>
      <w:r>
        <w:t>has the meaning given to that term in section 103;</w:t>
      </w:r>
    </w:p>
    <w:p>
      <w:pPr>
        <w:pStyle w:val="Defstart"/>
      </w:pPr>
      <w:r>
        <w:rPr>
          <w:b/>
        </w:rPr>
        <w:tab/>
      </w:r>
      <w:r>
        <w:rPr>
          <w:rStyle w:val="CharDefText"/>
        </w:rPr>
        <w:t>relevant day</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r>
      <w:r>
        <w:rPr>
          <w:rStyle w:val="CharDefText"/>
        </w:rPr>
        <w:t>RPC standards</w:t>
      </w:r>
      <w:r>
        <w:t xml:space="preserve"> means standards referred to in section 39(2)(d) that —</w:t>
      </w:r>
    </w:p>
    <w:p>
      <w:pPr>
        <w:pStyle w:val="Defpara"/>
      </w:pPr>
      <w:r>
        <w:tab/>
        <w:t>(a)</w:t>
      </w:r>
      <w:r>
        <w:tab/>
        <w:t>are to be observed by the Regional Power Corporation; and</w:t>
      </w:r>
    </w:p>
    <w:p>
      <w:pPr>
        <w:pStyle w:val="Defpara"/>
      </w:pPr>
      <w:r>
        <w:lastRenderedPageBreak/>
        <w:tab/>
        <w:t>(b)</w:t>
      </w:r>
      <w:r>
        <w:tab/>
        <w:t>are provided for in a code prepared and issued by the Minister under section 39;</w:t>
      </w:r>
    </w:p>
    <w:p>
      <w:pPr>
        <w:pStyle w:val="Defstart"/>
      </w:pPr>
      <w:r>
        <w:rPr>
          <w:b/>
        </w:rPr>
        <w:tab/>
      </w:r>
      <w:r>
        <w:rPr>
          <w:rStyle w:val="CharDefText"/>
        </w:rPr>
        <w:t>service standards</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lastRenderedPageBreak/>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No. 18 of 2005 s. 139; amended: No. 9 of 2020 s. 8.]</w:t>
      </w:r>
    </w:p>
    <w:p>
      <w:pPr>
        <w:pStyle w:val="Heading3"/>
      </w:pPr>
      <w:bookmarkStart w:id="87" w:name="_Toc164424642"/>
      <w:bookmarkStart w:id="88" w:name="_Toc164435370"/>
      <w:bookmarkStart w:id="89" w:name="_Toc164435681"/>
      <w:bookmarkStart w:id="90" w:name="_Toc164679495"/>
      <w:bookmarkStart w:id="91" w:name="_Toc164842655"/>
      <w:r>
        <w:rPr>
          <w:rStyle w:val="CharDivNo"/>
        </w:rPr>
        <w:t>Division 8</w:t>
      </w:r>
      <w:r>
        <w:t> — </w:t>
      </w:r>
      <w:r>
        <w:rPr>
          <w:rStyle w:val="CharDivText"/>
        </w:rPr>
        <w:t>Powers in relation to land</w:t>
      </w:r>
      <w:bookmarkEnd w:id="87"/>
      <w:bookmarkEnd w:id="88"/>
      <w:bookmarkEnd w:id="89"/>
      <w:bookmarkEnd w:id="90"/>
      <w:bookmarkEnd w:id="91"/>
    </w:p>
    <w:p>
      <w:pPr>
        <w:pStyle w:val="Heading5"/>
      </w:pPr>
      <w:bookmarkStart w:id="92" w:name="_Toc164842656"/>
      <w:r>
        <w:rPr>
          <w:rStyle w:val="CharSectno"/>
        </w:rPr>
        <w:t>40</w:t>
      </w:r>
      <w:r>
        <w:t>.</w:t>
      </w:r>
      <w:r>
        <w:tab/>
        <w:t>Power of public authority to grant certain interests</w:t>
      </w:r>
      <w:bookmarkEnd w:id="92"/>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Minister of the Crown; or</w:t>
      </w:r>
    </w:p>
    <w:p>
      <w:pPr>
        <w:pStyle w:val="Defpara"/>
      </w:pPr>
      <w:r>
        <w:tab/>
        <w:t>(b)</w:t>
      </w:r>
      <w:r>
        <w:tab/>
        <w:t>an agency, authority or instrumentality of the Crown in right of the State or a local government; or</w:t>
      </w:r>
    </w:p>
    <w:p>
      <w:pPr>
        <w:pStyle w:val="Defpara"/>
      </w:pPr>
      <w:r>
        <w:lastRenderedPageBreak/>
        <w:tab/>
        <w:t>(c)</w:t>
      </w:r>
      <w:r>
        <w:tab/>
        <w:t>a body, whether corporate or unincorporate, that is established or continued for a public purpose by or under a written law and prescribed for the purposes of this definition;</w:t>
      </w:r>
    </w:p>
    <w:p>
      <w:pPr>
        <w:pStyle w:val="Defstart"/>
      </w:pPr>
      <w:r>
        <w:rPr>
          <w:b/>
        </w:rPr>
        <w:tab/>
      </w:r>
      <w:r>
        <w:rPr>
          <w:rStyle w:val="CharDefText"/>
        </w:rPr>
        <w:t>relevant interest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93" w:name="_Toc164842657"/>
      <w:r>
        <w:rPr>
          <w:rStyle w:val="CharSectno"/>
        </w:rPr>
        <w:t>41</w:t>
      </w:r>
      <w:r>
        <w:t>.</w:t>
      </w:r>
      <w:r>
        <w:tab/>
        <w:t>Taking of interest or easement for purposes of licence</w:t>
      </w:r>
      <w:bookmarkEnd w:id="93"/>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 or</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lastRenderedPageBreak/>
        <w:tab/>
        <w:t>(4)</w:t>
      </w:r>
      <w:r>
        <w:tab/>
        <w:t xml:space="preserve">The requirement imposed by </w:t>
      </w:r>
      <w:r>
        <w:rPr>
          <w:snapToGrid w:val="0"/>
        </w:rPr>
        <w:t xml:space="preserve">subsection (3) applies to a licensee even if the provisions of sections 28(3)(c) and 46 of the </w:t>
      </w:r>
      <w:r>
        <w:rPr>
          <w:i/>
          <w:snapToGrid w:val="0"/>
        </w:rPr>
        <w:t>Energy Operators (Powers) Act 1979</w:t>
      </w:r>
      <w:r>
        <w:rPr>
          <w:snapToGrid w:val="0"/>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pPr>
      <w:bookmarkStart w:id="94" w:name="_Toc164842658"/>
      <w:r>
        <w:rPr>
          <w:rStyle w:val="CharSectno"/>
        </w:rPr>
        <w:t>42</w:t>
      </w:r>
      <w:r>
        <w:t>.</w:t>
      </w:r>
      <w:r>
        <w:tab/>
        <w:t>Vesting of interest or easement</w:t>
      </w:r>
      <w:bookmarkEnd w:id="94"/>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pPr>
      <w:bookmarkStart w:id="95" w:name="_Toc164842659"/>
      <w:r>
        <w:rPr>
          <w:rStyle w:val="CharSectno"/>
        </w:rPr>
        <w:t>43</w:t>
      </w:r>
      <w:r>
        <w:t>.</w:t>
      </w:r>
      <w:r>
        <w:tab/>
        <w:t>Proceedings and liability</w:t>
      </w:r>
      <w:bookmarkEnd w:id="95"/>
    </w:p>
    <w:p>
      <w:pPr>
        <w:pStyle w:val="Subsection"/>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t>
      </w:r>
      <w:r>
        <w:lastRenderedPageBreak/>
        <w:t>would have been liable if the taking had been for the purpose of a public work.</w:t>
      </w:r>
    </w:p>
    <w:p>
      <w:pPr>
        <w:pStyle w:val="Heading5"/>
      </w:pPr>
      <w:bookmarkStart w:id="96" w:name="_Toc164842660"/>
      <w:r>
        <w:rPr>
          <w:rStyle w:val="CharSectno"/>
        </w:rPr>
        <w:t>44</w:t>
      </w:r>
      <w:r>
        <w:t>.</w:t>
      </w:r>
      <w:r>
        <w:tab/>
        <w:t>Easements in gross</w:t>
      </w:r>
      <w:bookmarkEnd w:id="96"/>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97" w:name="_Toc164424648"/>
      <w:bookmarkStart w:id="98" w:name="_Toc164435376"/>
      <w:bookmarkStart w:id="99" w:name="_Toc164435687"/>
      <w:bookmarkStart w:id="100" w:name="_Toc164679501"/>
      <w:bookmarkStart w:id="101" w:name="_Toc164842661"/>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97"/>
      <w:bookmarkEnd w:id="98"/>
      <w:bookmarkEnd w:id="99"/>
      <w:bookmarkEnd w:id="100"/>
      <w:bookmarkEnd w:id="101"/>
    </w:p>
    <w:p>
      <w:pPr>
        <w:pStyle w:val="Heading5"/>
        <w:rPr>
          <w:rStyle w:val="CharDivText"/>
          <w:i/>
        </w:rPr>
      </w:pPr>
      <w:bookmarkStart w:id="102" w:name="_Toc164842662"/>
      <w:r>
        <w:rPr>
          <w:rStyle w:val="CharSectno"/>
        </w:rPr>
        <w:t>45</w:t>
      </w:r>
      <w:r>
        <w:t>.</w:t>
      </w:r>
      <w:r>
        <w:tab/>
        <w:t xml:space="preserve">Extension of certain provisions of </w:t>
      </w:r>
      <w:r>
        <w:rPr>
          <w:rStyle w:val="CharDivText"/>
          <w:i/>
        </w:rPr>
        <w:t>Energy Operators (Powers) Act 1979</w:t>
      </w:r>
      <w:bookmarkEnd w:id="102"/>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 or</w:t>
      </w:r>
    </w:p>
    <w:p>
      <w:pPr>
        <w:pStyle w:val="Indenta"/>
      </w:pPr>
      <w:r>
        <w:tab/>
        <w:t>(b)</w:t>
      </w:r>
      <w:r>
        <w:tab/>
        <w:t>impose conditions or restrictions on the doing of any thing authorised by a prescribed provision by a licensee or a member of a class of licensees; or</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w:t>
      </w:r>
      <w:r>
        <w:lastRenderedPageBreak/>
        <w:t>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r>
      <w:r>
        <w:rPr>
          <w:rStyle w:val="CharDefText"/>
        </w:rPr>
        <w:t>licensee</w:t>
      </w:r>
      <w:r>
        <w:t xml:space="preserve"> includes any person in whom the assets, rights and interests of a former licensee are vested under regulations referred to in section 35(4);</w:t>
      </w:r>
    </w:p>
    <w:p>
      <w:pPr>
        <w:pStyle w:val="Defstart"/>
      </w:pPr>
      <w:r>
        <w:rPr>
          <w:b/>
        </w:rPr>
        <w:tab/>
      </w:r>
      <w:r>
        <w:rPr>
          <w:rStyle w:val="CharDefText"/>
          <w:bCs/>
          <w:snapToGrid/>
        </w:rPr>
        <w:t>relevant corporation</w:t>
      </w:r>
      <w:r>
        <w:t xml:space="preserve"> means — </w:t>
      </w:r>
    </w:p>
    <w:p>
      <w:pPr>
        <w:pStyle w:val="Defpara"/>
      </w:pPr>
      <w:r>
        <w:tab/>
        <w:t>(a)</w:t>
      </w:r>
      <w:r>
        <w:tab/>
        <w:t>the Electricity Networks Corporation; or</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No. 18 of 2005 s. 139.]</w:t>
      </w:r>
    </w:p>
    <w:p>
      <w:pPr>
        <w:pStyle w:val="Heading3"/>
      </w:pPr>
      <w:bookmarkStart w:id="103" w:name="_Toc164424650"/>
      <w:bookmarkStart w:id="104" w:name="_Toc164435378"/>
      <w:bookmarkStart w:id="105" w:name="_Toc164435689"/>
      <w:bookmarkStart w:id="106" w:name="_Toc164679503"/>
      <w:bookmarkStart w:id="107" w:name="_Toc164842663"/>
      <w:r>
        <w:rPr>
          <w:rStyle w:val="CharDivNo"/>
        </w:rPr>
        <w:t>Division 10</w:t>
      </w:r>
      <w:r>
        <w:t> — </w:t>
      </w:r>
      <w:r>
        <w:rPr>
          <w:rStyle w:val="CharDivText"/>
        </w:rPr>
        <w:t>Transitional provision</w:t>
      </w:r>
      <w:bookmarkEnd w:id="103"/>
      <w:bookmarkEnd w:id="104"/>
      <w:bookmarkEnd w:id="105"/>
      <w:bookmarkEnd w:id="106"/>
      <w:bookmarkEnd w:id="107"/>
    </w:p>
    <w:p>
      <w:pPr>
        <w:pStyle w:val="Heading5"/>
      </w:pPr>
      <w:bookmarkStart w:id="108" w:name="_Toc164842664"/>
      <w:r>
        <w:rPr>
          <w:rStyle w:val="CharSectno"/>
        </w:rPr>
        <w:t>46</w:t>
      </w:r>
      <w:r>
        <w:t>.</w:t>
      </w:r>
      <w:r>
        <w:tab/>
        <w:t>Transitional provision for existing operators</w:t>
      </w:r>
      <w:bookmarkEnd w:id="108"/>
    </w:p>
    <w:p>
      <w:pPr>
        <w:pStyle w:val="Subsection"/>
        <w:keepNext/>
      </w:pPr>
      <w:r>
        <w:tab/>
        <w:t>(1)</w:t>
      </w:r>
      <w:r>
        <w:tab/>
        <w:t xml:space="preserve">In this section — </w:t>
      </w:r>
    </w:p>
    <w:p>
      <w:pPr>
        <w:pStyle w:val="Defstart"/>
        <w:keepNext/>
      </w:pPr>
      <w:r>
        <w:rPr>
          <w:b/>
        </w:rPr>
        <w:tab/>
      </w:r>
      <w:r>
        <w:rPr>
          <w:rStyle w:val="CharDefText"/>
        </w:rPr>
        <w:t>commencement day</w:t>
      </w:r>
      <w:r>
        <w:t xml:space="preserve"> means the day on which this Part comes into operation;</w:t>
      </w:r>
    </w:p>
    <w:p>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r>
        <w:t> </w:t>
      </w:r>
      <w:r>
        <w:rPr>
          <w:vertAlign w:val="superscript"/>
        </w:rPr>
        <w:t>1</w:t>
      </w:r>
      <w:r>
        <w:t xml:space="preserve"> section 4 before that section was repealed by the </w:t>
      </w:r>
      <w:r>
        <w:rPr>
          <w:i/>
        </w:rPr>
        <w:t>Electricity Corporations Act 2005</w:t>
      </w:r>
      <w:r>
        <w:t xml:space="preserve"> Schedule 5 clause 11 </w:t>
      </w:r>
      <w:r>
        <w:rPr>
          <w:vertAlign w:val="superscript"/>
        </w:rPr>
        <w:t>3</w:t>
      </w:r>
      <w:r>
        <w:t>.</w:t>
      </w:r>
    </w:p>
    <w:p>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pPr>
        <w:pStyle w:val="Subsection"/>
      </w:pPr>
      <w:r>
        <w:lastRenderedPageBreak/>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keepNext/>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r>
        <w:tab/>
        <w:t>(6)</w:t>
      </w:r>
      <w:r>
        <w:tab/>
        <w:t xml:space="preserve">Where after the day on which the </w:t>
      </w:r>
      <w:r>
        <w:rPr>
          <w:i/>
        </w:rPr>
        <w:t>Electricity Corporations Act 2005</w:t>
      </w:r>
      <w:r>
        <w:t xml:space="preserve"> Schedule 5 clause 30 comes into operation</w:t>
      </w:r>
      <w:r>
        <w:rPr>
          <w:vertAlign w:val="superscript"/>
        </w:rPr>
        <w:t> 2</w:t>
      </w:r>
      <w:r>
        <w:t xml:space="preserve">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No. 18 of 2005 s. 139.]</w:t>
      </w:r>
    </w:p>
    <w:p>
      <w:pPr>
        <w:pStyle w:val="Heading2"/>
      </w:pPr>
      <w:bookmarkStart w:id="109" w:name="_Toc164424652"/>
      <w:bookmarkStart w:id="110" w:name="_Toc164435380"/>
      <w:bookmarkStart w:id="111" w:name="_Toc164435691"/>
      <w:bookmarkStart w:id="112" w:name="_Toc164679505"/>
      <w:bookmarkStart w:id="113" w:name="_Toc164842665"/>
      <w:r>
        <w:rPr>
          <w:rStyle w:val="CharPartNo"/>
        </w:rPr>
        <w:lastRenderedPageBreak/>
        <w:t>Part 3</w:t>
      </w:r>
      <w:r>
        <w:t> — </w:t>
      </w:r>
      <w:r>
        <w:rPr>
          <w:rStyle w:val="CharPartText"/>
        </w:rPr>
        <w:t>Supply of electricity to small use customers</w:t>
      </w:r>
      <w:bookmarkEnd w:id="109"/>
      <w:bookmarkEnd w:id="110"/>
      <w:bookmarkEnd w:id="111"/>
      <w:bookmarkEnd w:id="112"/>
      <w:bookmarkEnd w:id="113"/>
    </w:p>
    <w:p>
      <w:pPr>
        <w:pStyle w:val="Footnoteheading"/>
        <w:tabs>
          <w:tab w:val="left" w:pos="840"/>
        </w:tabs>
      </w:pPr>
      <w:r>
        <w:tab/>
        <w:t>[Heading amended: No. 10 of 2024 s. 11.]</w:t>
      </w:r>
    </w:p>
    <w:p>
      <w:pPr>
        <w:pStyle w:val="Heading3"/>
      </w:pPr>
      <w:bookmarkStart w:id="114" w:name="_Toc164424653"/>
      <w:bookmarkStart w:id="115" w:name="_Toc164435381"/>
      <w:bookmarkStart w:id="116" w:name="_Toc164435692"/>
      <w:bookmarkStart w:id="117" w:name="_Toc164679506"/>
      <w:bookmarkStart w:id="118" w:name="_Toc164842666"/>
      <w:r>
        <w:rPr>
          <w:rStyle w:val="CharDivNo"/>
        </w:rPr>
        <w:t>Division 1</w:t>
      </w:r>
      <w:r>
        <w:t> — </w:t>
      </w:r>
      <w:r>
        <w:rPr>
          <w:rStyle w:val="CharDivText"/>
        </w:rPr>
        <w:t>Preliminary</w:t>
      </w:r>
      <w:bookmarkEnd w:id="114"/>
      <w:bookmarkEnd w:id="115"/>
      <w:bookmarkEnd w:id="116"/>
      <w:bookmarkEnd w:id="117"/>
      <w:bookmarkEnd w:id="118"/>
    </w:p>
    <w:p>
      <w:pPr>
        <w:pStyle w:val="Heading5"/>
      </w:pPr>
      <w:bookmarkStart w:id="119" w:name="_Toc164842667"/>
      <w:r>
        <w:rPr>
          <w:rStyle w:val="CharSectno"/>
        </w:rPr>
        <w:t>47</w:t>
      </w:r>
      <w:r>
        <w:t>.</w:t>
      </w:r>
      <w:r>
        <w:tab/>
        <w:t>Term used: retail licensee</w:t>
      </w:r>
      <w:bookmarkEnd w:id="119"/>
    </w:p>
    <w:p>
      <w:pPr>
        <w:pStyle w:val="Subsection"/>
      </w:pPr>
      <w:r>
        <w:tab/>
      </w:r>
      <w:r>
        <w:tab/>
        <w:t xml:space="preserve">In this Part, unless the contrary intention appears — </w:t>
      </w:r>
    </w:p>
    <w:p>
      <w:pPr>
        <w:pStyle w:val="Defstart"/>
      </w:pPr>
      <w:r>
        <w:rPr>
          <w:b/>
        </w:rPr>
        <w:tab/>
      </w:r>
      <w:r>
        <w:rPr>
          <w:rStyle w:val="CharDefText"/>
        </w:rPr>
        <w:t>retail licensee</w:t>
      </w:r>
      <w:r>
        <w:t xml:space="preserve"> means the holder of a retail licence or an integrated regional licence.</w:t>
      </w:r>
    </w:p>
    <w:p>
      <w:pPr>
        <w:pStyle w:val="Footnotesection"/>
      </w:pPr>
      <w:r>
        <w:tab/>
        <w:t>[Section 47 amended: No. 10 of 2024 s. 12.]</w:t>
      </w:r>
    </w:p>
    <w:p>
      <w:pPr>
        <w:pStyle w:val="Heading3"/>
      </w:pPr>
      <w:bookmarkStart w:id="120" w:name="_Toc164424655"/>
      <w:bookmarkStart w:id="121" w:name="_Toc164435383"/>
      <w:bookmarkStart w:id="122" w:name="_Toc164435694"/>
      <w:bookmarkStart w:id="123" w:name="_Toc164679508"/>
      <w:bookmarkStart w:id="124" w:name="_Toc164842668"/>
      <w:r>
        <w:rPr>
          <w:rStyle w:val="CharDivNo"/>
        </w:rPr>
        <w:t>Division 2</w:t>
      </w:r>
      <w:r>
        <w:t> — </w:t>
      </w:r>
      <w:r>
        <w:rPr>
          <w:rStyle w:val="CharDivText"/>
        </w:rPr>
        <w:t>Supply contracts</w:t>
      </w:r>
      <w:bookmarkEnd w:id="120"/>
      <w:bookmarkEnd w:id="121"/>
      <w:bookmarkEnd w:id="122"/>
      <w:bookmarkEnd w:id="123"/>
      <w:bookmarkEnd w:id="124"/>
    </w:p>
    <w:p>
      <w:pPr>
        <w:pStyle w:val="Heading5"/>
      </w:pPr>
      <w:bookmarkStart w:id="125" w:name="_Toc164842669"/>
      <w:r>
        <w:rPr>
          <w:rStyle w:val="CharSectno"/>
        </w:rPr>
        <w:t>48</w:t>
      </w:r>
      <w:r>
        <w:t>.</w:t>
      </w:r>
      <w:r>
        <w:tab/>
        <w:t>Regulations as to supply contracts</w:t>
      </w:r>
      <w:bookmarkEnd w:id="125"/>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small use customers; and</w:t>
      </w:r>
    </w:p>
    <w:p>
      <w:pPr>
        <w:pStyle w:val="Indenta"/>
      </w:pPr>
      <w:r>
        <w:tab/>
        <w:t>(b)</w:t>
      </w:r>
      <w:r>
        <w:tab/>
        <w:t xml:space="preserve">the right of a small use customer at the customer’s discretion to rescind a contract during a specified period after it is entered into (a </w:t>
      </w:r>
      <w:r>
        <w:rPr>
          <w:rStyle w:val="CharDefText"/>
        </w:rPr>
        <w:t>cooling</w:t>
      </w:r>
      <w:r>
        <w:rPr>
          <w:rStyle w:val="CharDefText"/>
        </w:rPr>
        <w:noBreakHyphen/>
        <w:t>off period</w:t>
      </w:r>
      <w:r>
        <w:t>); and</w:t>
      </w:r>
    </w:p>
    <w:p>
      <w:pPr>
        <w:pStyle w:val="Indenta"/>
      </w:pPr>
      <w:r>
        <w:tab/>
        <w:t>(c)</w:t>
      </w:r>
      <w:r>
        <w:tab/>
        <w:t>the supply of electricity, and payment for electricity supplied, during a cooling</w:t>
      </w:r>
      <w:r>
        <w:noBreakHyphen/>
        <w:t>off period; and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small use customers.</w:t>
      </w:r>
    </w:p>
    <w:p>
      <w:pPr>
        <w:pStyle w:val="Subsection"/>
        <w:keepNext/>
      </w:pPr>
      <w:r>
        <w:lastRenderedPageBreak/>
        <w:tab/>
        <w:t>(2)</w:t>
      </w:r>
      <w:r>
        <w:tab/>
        <w:t xml:space="preserve">The regulations may — </w:t>
      </w:r>
    </w:p>
    <w:p>
      <w:pPr>
        <w:pStyle w:val="Indenta"/>
      </w:pPr>
      <w:r>
        <w:tab/>
        <w:t>(a)</w:t>
      </w:r>
      <w:r>
        <w:tab/>
        <w:t>require a retail licensee to offer to supply electricity to small use customers under a standard form contract; and</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small use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Footnotesection"/>
      </w:pPr>
      <w:r>
        <w:tab/>
        <w:t>[Section 48 amended: No. 10 of 2024 s. 13.]</w:t>
      </w:r>
    </w:p>
    <w:p>
      <w:pPr>
        <w:pStyle w:val="Heading5"/>
      </w:pPr>
      <w:bookmarkStart w:id="126" w:name="_Toc164842670"/>
      <w:r>
        <w:rPr>
          <w:rStyle w:val="CharSectno"/>
        </w:rPr>
        <w:t>49</w:t>
      </w:r>
      <w:r>
        <w:t>.</w:t>
      </w:r>
      <w:r>
        <w:tab/>
        <w:t>Form of contract to be submitted with application for grant, renewal or transfer</w:t>
      </w:r>
      <w:bookmarkEnd w:id="126"/>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small use customers pursuant to the licence.</w:t>
      </w:r>
    </w:p>
    <w:p>
      <w:pPr>
        <w:pStyle w:val="Subsection"/>
      </w:pPr>
      <w:r>
        <w:lastRenderedPageBreak/>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small use customers pursuant to the licence if the transfer is approved.</w:t>
      </w:r>
    </w:p>
    <w:p>
      <w:pPr>
        <w:pStyle w:val="Subsection"/>
      </w:pPr>
      <w:r>
        <w:tab/>
        <w:t>(3)</w:t>
      </w:r>
      <w:r>
        <w:tab/>
        <w:t>The requirement in subsection (1) and (2) only applies if the applicant or proposed transferee intends to supply electricity to small use customers pursuant to the licence.</w:t>
      </w:r>
    </w:p>
    <w:p>
      <w:pPr>
        <w:pStyle w:val="Footnotesection"/>
      </w:pPr>
      <w:r>
        <w:tab/>
        <w:t>[Section 49 amended: No. 10 of 2024 s. 23.]</w:t>
      </w:r>
    </w:p>
    <w:p>
      <w:pPr>
        <w:pStyle w:val="Heading5"/>
      </w:pPr>
      <w:bookmarkStart w:id="127" w:name="_Toc164842671"/>
      <w:r>
        <w:rPr>
          <w:rStyle w:val="CharSectno"/>
        </w:rPr>
        <w:t>50</w:t>
      </w:r>
      <w:r>
        <w:t>.</w:t>
      </w:r>
      <w:r>
        <w:tab/>
        <w:t>Licence application not to be granted unless standard form contract approved</w:t>
      </w:r>
      <w:bookmarkEnd w:id="127"/>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small use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small use customers pursuant to the licence if the standard form contract is approved by the Authority.</w:t>
      </w:r>
    </w:p>
    <w:p>
      <w:pPr>
        <w:pStyle w:val="Footnotesection"/>
      </w:pPr>
      <w:r>
        <w:tab/>
        <w:t>[Section 50 amended: No. 10 of 2024 s. 23.]</w:t>
      </w:r>
    </w:p>
    <w:p>
      <w:pPr>
        <w:pStyle w:val="Heading5"/>
      </w:pPr>
      <w:bookmarkStart w:id="128" w:name="_Toc164842672"/>
      <w:r>
        <w:rPr>
          <w:rStyle w:val="CharSectno"/>
        </w:rPr>
        <w:lastRenderedPageBreak/>
        <w:t>51</w:t>
      </w:r>
      <w:r>
        <w:t>.</w:t>
      </w:r>
      <w:r>
        <w:tab/>
        <w:t>Approval of standard form contract</w:t>
      </w:r>
      <w:bookmarkEnd w:id="128"/>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129" w:name="_Toc164842673"/>
      <w:r>
        <w:rPr>
          <w:rStyle w:val="CharSectno"/>
        </w:rPr>
        <w:t>52</w:t>
      </w:r>
      <w:r>
        <w:t>.</w:t>
      </w:r>
      <w:r>
        <w:tab/>
        <w:t>Amendment or replacement of standard form contract</w:t>
      </w:r>
      <w:bookmarkEnd w:id="129"/>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130" w:name="_Toc164842674"/>
      <w:r>
        <w:rPr>
          <w:rStyle w:val="CharSectno"/>
        </w:rPr>
        <w:t>53</w:t>
      </w:r>
      <w:r>
        <w:t>.</w:t>
      </w:r>
      <w:r>
        <w:tab/>
        <w:t>Authority may direct that amendment be made</w:t>
      </w:r>
      <w:bookmarkEnd w:id="130"/>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lastRenderedPageBreak/>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131" w:name="_Toc164842675"/>
      <w:r>
        <w:rPr>
          <w:rStyle w:val="CharSectno"/>
        </w:rPr>
        <w:t>54</w:t>
      </w:r>
      <w:r>
        <w:t>.</w:t>
      </w:r>
      <w:r>
        <w:tab/>
        <w:t>Licence condition: contracts</w:t>
      </w:r>
      <w:bookmarkEnd w:id="131"/>
    </w:p>
    <w:p>
      <w:pPr>
        <w:pStyle w:val="Subsection"/>
      </w:pPr>
      <w:r>
        <w:tab/>
        <w:t>(1)</w:t>
      </w:r>
      <w:r>
        <w:tab/>
        <w:t xml:space="preserve">It is a condition of every retail licence and integrated regional licence that, subject to any exception provided for in the regulations, the licensee must not supply electricity to a small use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keepNext/>
      </w:pPr>
      <w:r>
        <w:lastRenderedPageBreak/>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Footnotesection"/>
      </w:pPr>
      <w:r>
        <w:tab/>
        <w:t>[Section 54 amended: No. 10 of 2024 s. 23.]</w:t>
      </w:r>
    </w:p>
    <w:p>
      <w:pPr>
        <w:pStyle w:val="Heading5"/>
        <w:spacing w:before="240"/>
      </w:pPr>
      <w:bookmarkStart w:id="132" w:name="_Toc164842676"/>
      <w:r>
        <w:rPr>
          <w:rStyle w:val="CharSectno"/>
        </w:rPr>
        <w:t>54A</w:t>
      </w:r>
      <w:r>
        <w:t>.</w:t>
      </w:r>
      <w:r>
        <w:tab/>
        <w:t>Electricity corporations required to offer to supply electricity under prescribed form of contract</w:t>
      </w:r>
      <w:bookmarkEnd w:id="132"/>
    </w:p>
    <w:p>
      <w:pPr>
        <w:pStyle w:val="Subsection"/>
      </w:pPr>
      <w:r>
        <w:tab/>
        <w:t>(1)</w:t>
      </w:r>
      <w:r>
        <w:tab/>
        <w:t xml:space="preserve">In this section — </w:t>
      </w:r>
    </w:p>
    <w:p>
      <w:pPr>
        <w:pStyle w:val="Defstart"/>
      </w:pPr>
      <w:r>
        <w:rPr>
          <w:b/>
        </w:rPr>
        <w:tab/>
      </w:r>
      <w:r>
        <w:rPr>
          <w:rStyle w:val="CharDefText"/>
        </w:rPr>
        <w:t>corporation</w:t>
      </w:r>
      <w:r>
        <w:t xml:space="preserve"> means the Electricity Generation and Retail Corporation or the Regional Power Corporation;</w:t>
      </w:r>
    </w:p>
    <w:p>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pPr>
        <w:pStyle w:val="Defstart"/>
      </w:pPr>
      <w:r>
        <w:rPr>
          <w:b/>
        </w:rPr>
        <w:tab/>
      </w:r>
      <w:r>
        <w:rPr>
          <w:rStyle w:val="CharDefText"/>
          <w:bCs/>
        </w:rPr>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small use customer; or</w:t>
      </w:r>
    </w:p>
    <w:p>
      <w:pPr>
        <w:pStyle w:val="Indenta"/>
      </w:pPr>
      <w:r>
        <w:tab/>
        <w:t>(b)</w:t>
      </w:r>
      <w:r>
        <w:tab/>
        <w:t>a contract in the form of a prescribed form of contract entered into by a corporation and a small use customer other than a contract referred to in paragraph (a);</w:t>
      </w:r>
    </w:p>
    <w:p>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r>
        <w:rPr>
          <w:vertAlign w:val="superscript"/>
        </w:rPr>
        <w:t> 2</w:t>
      </w:r>
      <w:r>
        <w:t>.</w:t>
      </w:r>
    </w:p>
    <w:p>
      <w:pPr>
        <w:pStyle w:val="Subsection"/>
      </w:pPr>
      <w:r>
        <w:tab/>
        <w:t>(2)</w:t>
      </w:r>
      <w:r>
        <w:tab/>
        <w:t>A corporation is required to offer to supply electricity under a prescribed form of contract to small use customers who request supply on or after the relevant day.</w:t>
      </w:r>
    </w:p>
    <w:p>
      <w:pPr>
        <w:pStyle w:val="Subsection"/>
        <w:keepNext/>
      </w:pPr>
      <w:r>
        <w:tab/>
        <w:t>(3)</w:t>
      </w:r>
      <w:r>
        <w:tab/>
        <w:t xml:space="preserve">If, following the grant of a retail licence or an integrated regional licence to a corporation, the corporation is required by regulations referred to in section 48(2) to offer to supply electricity to small use customers under a standard form </w:t>
      </w:r>
      <w:r>
        <w:lastRenderedPageBreak/>
        <w:t xml:space="preserve">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small use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No. 18 of 2005 s. 139; amended: No. 25 of 2013 s. 39(4); No. 10 of 2024 s. 23.]</w:t>
      </w:r>
    </w:p>
    <w:p>
      <w:pPr>
        <w:pStyle w:val="Heading5"/>
      </w:pPr>
      <w:bookmarkStart w:id="133" w:name="_Toc164842677"/>
      <w:r>
        <w:rPr>
          <w:rStyle w:val="CharSectno"/>
        </w:rPr>
        <w:t>54B</w:t>
      </w:r>
      <w:r>
        <w:t>.</w:t>
      </w:r>
      <w:r>
        <w:rPr>
          <w:rStyle w:val="CharSectno"/>
        </w:rPr>
        <w:tab/>
      </w:r>
      <w:r>
        <w:t>Enforcement of obligation in section 54A(2)</w:t>
      </w:r>
      <w:bookmarkEnd w:id="133"/>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keepNext/>
      </w:pPr>
      <w:r>
        <w:lastRenderedPageBreak/>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No. 18 of 2005 s. 139.]</w:t>
      </w:r>
    </w:p>
    <w:p>
      <w:pPr>
        <w:pStyle w:val="Ednotesection"/>
      </w:pPr>
      <w:r>
        <w:t>[</w:t>
      </w:r>
      <w:r>
        <w:rPr>
          <w:b/>
        </w:rPr>
        <w:t>55, 56.</w:t>
      </w:r>
      <w:r>
        <w:tab/>
        <w:t>Deleted: No. 18 of 2005 s. 139.]</w:t>
      </w:r>
    </w:p>
    <w:p>
      <w:pPr>
        <w:pStyle w:val="Heading3"/>
        <w:spacing w:before="180"/>
      </w:pPr>
      <w:bookmarkStart w:id="134" w:name="_Toc164424665"/>
      <w:bookmarkStart w:id="135" w:name="_Toc164435393"/>
      <w:bookmarkStart w:id="136" w:name="_Toc164435704"/>
      <w:bookmarkStart w:id="137" w:name="_Toc164679518"/>
      <w:bookmarkStart w:id="138" w:name="_Toc164842678"/>
      <w:r>
        <w:rPr>
          <w:rStyle w:val="CharDivNo"/>
        </w:rPr>
        <w:t>Division 3</w:t>
      </w:r>
      <w:r>
        <w:t> — </w:t>
      </w:r>
      <w:r>
        <w:rPr>
          <w:rStyle w:val="CharDivText"/>
        </w:rPr>
        <w:t>Connection to distribution system</w:t>
      </w:r>
      <w:bookmarkEnd w:id="134"/>
      <w:bookmarkEnd w:id="135"/>
      <w:bookmarkEnd w:id="136"/>
      <w:bookmarkEnd w:id="137"/>
      <w:bookmarkEnd w:id="138"/>
    </w:p>
    <w:p>
      <w:pPr>
        <w:pStyle w:val="Heading5"/>
      </w:pPr>
      <w:bookmarkStart w:id="139" w:name="_Toc164842679"/>
      <w:r>
        <w:rPr>
          <w:rStyle w:val="CharSectno"/>
        </w:rPr>
        <w:t>57</w:t>
      </w:r>
      <w:r>
        <w:t>.</w:t>
      </w:r>
      <w:r>
        <w:tab/>
        <w:t>Terms used</w:t>
      </w:r>
      <w:bookmarkEnd w:id="139"/>
    </w:p>
    <w:p>
      <w:pPr>
        <w:pStyle w:val="Subsection"/>
      </w:pPr>
      <w:r>
        <w:tab/>
      </w:r>
      <w:r>
        <w:tab/>
        <w:t xml:space="preserve">In this Division, unless the contrary intention appears — </w:t>
      </w:r>
    </w:p>
    <w:p>
      <w:pPr>
        <w:pStyle w:val="Defstart"/>
      </w:pPr>
      <w:r>
        <w:rPr>
          <w:b/>
        </w:rPr>
        <w:tab/>
      </w:r>
      <w:r>
        <w:rPr>
          <w:rStyle w:val="CharDefText"/>
        </w:rPr>
        <w:t>connect</w:t>
      </w:r>
      <w:r>
        <w:t xml:space="preserve"> means to connect to a distribution system;</w:t>
      </w:r>
    </w:p>
    <w:p>
      <w:pPr>
        <w:pStyle w:val="Defstart"/>
      </w:pPr>
      <w:r>
        <w:rPr>
          <w:b/>
        </w:rPr>
        <w:tab/>
      </w:r>
      <w:r>
        <w:rPr>
          <w:rStyle w:val="CharDefText"/>
        </w:rPr>
        <w:t>premises</w:t>
      </w:r>
      <w:r>
        <w:t xml:space="preserve"> means premises owned or occupied by a new or existing small use customer.</w:t>
      </w:r>
    </w:p>
    <w:p>
      <w:pPr>
        <w:pStyle w:val="Footnotesection"/>
      </w:pPr>
      <w:r>
        <w:tab/>
        <w:t>[Section 57 amended: No. 10 of 2024 s. 23.]</w:t>
      </w:r>
    </w:p>
    <w:p>
      <w:pPr>
        <w:pStyle w:val="Heading5"/>
      </w:pPr>
      <w:bookmarkStart w:id="140" w:name="_Toc164842680"/>
      <w:r>
        <w:rPr>
          <w:rStyle w:val="CharSectno"/>
        </w:rPr>
        <w:t>58</w:t>
      </w:r>
      <w:r>
        <w:t>.</w:t>
      </w:r>
      <w:r>
        <w:tab/>
        <w:t>Regulations as to connection</w:t>
      </w:r>
      <w:bookmarkEnd w:id="140"/>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 and</w:t>
      </w:r>
    </w:p>
    <w:p>
      <w:pPr>
        <w:pStyle w:val="Indenta"/>
      </w:pPr>
      <w:r>
        <w:tab/>
        <w:t>(b)</w:t>
      </w:r>
      <w:r>
        <w:tab/>
        <w:t>require the holder of a distribution licence or an integrated regional licence to connect premises of a prescribed class to the holder’s distribution system; and</w:t>
      </w:r>
    </w:p>
    <w:p>
      <w:pPr>
        <w:pStyle w:val="Indenta"/>
      </w:pPr>
      <w:r>
        <w:lastRenderedPageBreak/>
        <w:tab/>
        <w:t>(c)</w:t>
      </w:r>
      <w:r>
        <w:tab/>
        <w:t>prescribe the circumstances in which an obligation referred to in paragraph (a) or (b) arises; and</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141" w:name="_Toc164424668"/>
      <w:bookmarkStart w:id="142" w:name="_Toc164435396"/>
      <w:bookmarkStart w:id="143" w:name="_Toc164435707"/>
      <w:bookmarkStart w:id="144" w:name="_Toc164679521"/>
      <w:bookmarkStart w:id="145" w:name="_Toc164842681"/>
      <w:r>
        <w:rPr>
          <w:rStyle w:val="CharDivNo"/>
        </w:rPr>
        <w:t>Division 4</w:t>
      </w:r>
      <w:r>
        <w:t> — </w:t>
      </w:r>
      <w:r>
        <w:rPr>
          <w:rStyle w:val="CharDivText"/>
        </w:rPr>
        <w:t>Default supplier</w:t>
      </w:r>
      <w:bookmarkEnd w:id="141"/>
      <w:bookmarkEnd w:id="142"/>
      <w:bookmarkEnd w:id="143"/>
      <w:bookmarkEnd w:id="144"/>
      <w:bookmarkEnd w:id="145"/>
    </w:p>
    <w:p>
      <w:pPr>
        <w:pStyle w:val="Heading5"/>
      </w:pPr>
      <w:bookmarkStart w:id="146" w:name="_Toc164842682"/>
      <w:r>
        <w:rPr>
          <w:rStyle w:val="CharSectno"/>
        </w:rPr>
        <w:t>59</w:t>
      </w:r>
      <w:r>
        <w:t>.</w:t>
      </w:r>
      <w:r>
        <w:tab/>
        <w:t>Regulations as to default supplier</w:t>
      </w:r>
      <w:bookmarkEnd w:id="146"/>
    </w:p>
    <w:p>
      <w:pPr>
        <w:pStyle w:val="Subsection"/>
        <w:spacing w:before="120"/>
      </w:pPr>
      <w:r>
        <w:tab/>
      </w:r>
      <w:r>
        <w:tab/>
        <w:t xml:space="preserve">The regulations may — </w:t>
      </w:r>
    </w:p>
    <w:p>
      <w:pPr>
        <w:pStyle w:val="Indenta"/>
      </w:pPr>
      <w:r>
        <w:tab/>
        <w:t>(a)</w:t>
      </w:r>
      <w:r>
        <w:tab/>
        <w:t>require that a default supplier be determined, in accordance with the regulations, for each connection point as defined in the regulations; and</w:t>
      </w:r>
    </w:p>
    <w:p>
      <w:pPr>
        <w:pStyle w:val="Indenta"/>
      </w:pPr>
      <w:r>
        <w:tab/>
        <w:t>(b)</w:t>
      </w:r>
      <w:r>
        <w:tab/>
        <w:t>require that the default supplier so determined be a retail licensee that supplies electricity at the relevant connection point; and</w:t>
      </w:r>
    </w:p>
    <w:p>
      <w:pPr>
        <w:pStyle w:val="Indenta"/>
      </w:pPr>
      <w:r>
        <w:tab/>
        <w:t>(c)</w:t>
      </w:r>
      <w:r>
        <w:tab/>
        <w:t>require that a register be established and maintained, in accordance with the regulations, showing the name of the default supplier for the time being determined for each connection point; and</w:t>
      </w:r>
    </w:p>
    <w:p>
      <w:pPr>
        <w:pStyle w:val="Indenta"/>
      </w:pPr>
      <w:r>
        <w:tab/>
        <w:t>(d)</w:t>
      </w:r>
      <w:r>
        <w:tab/>
        <w:t xml:space="preserve">provide that if a small use customer commences to take a supply of electricity at premises without entering into a </w:t>
      </w:r>
      <w:r>
        <w:lastRenderedPageBreak/>
        <w:t>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Footnotesection"/>
      </w:pPr>
      <w:r>
        <w:tab/>
        <w:t>[Section 59 amended: No. 10 of 2024 s. 23.]</w:t>
      </w:r>
    </w:p>
    <w:p>
      <w:pPr>
        <w:pStyle w:val="Heading2"/>
      </w:pPr>
      <w:bookmarkStart w:id="147" w:name="_Toc142317752"/>
      <w:bookmarkStart w:id="148" w:name="_Toc142318022"/>
      <w:bookmarkStart w:id="149" w:name="_Toc142318830"/>
      <w:bookmarkStart w:id="150" w:name="_Toc142557933"/>
      <w:bookmarkStart w:id="151" w:name="_Toc142912478"/>
      <w:bookmarkStart w:id="152" w:name="_Toc161904711"/>
      <w:bookmarkStart w:id="153" w:name="_Toc161906766"/>
      <w:bookmarkStart w:id="154" w:name="_Toc164173936"/>
      <w:bookmarkStart w:id="155" w:name="_Toc164435398"/>
      <w:bookmarkStart w:id="156" w:name="_Toc164435709"/>
      <w:bookmarkStart w:id="157" w:name="_Toc164679523"/>
      <w:bookmarkStart w:id="158" w:name="_Toc164842683"/>
      <w:r>
        <w:rPr>
          <w:rStyle w:val="CharPartNo"/>
        </w:rPr>
        <w:lastRenderedPageBreak/>
        <w:t>Part 3A</w:t>
      </w:r>
      <w:r>
        <w:t> — </w:t>
      </w:r>
      <w:r>
        <w:rPr>
          <w:rStyle w:val="CharPartText"/>
        </w:rPr>
        <w:t>Registration framework for alternative electricity services</w:t>
      </w:r>
      <w:bookmarkEnd w:id="147"/>
      <w:bookmarkEnd w:id="148"/>
      <w:bookmarkEnd w:id="149"/>
      <w:bookmarkEnd w:id="150"/>
      <w:bookmarkEnd w:id="151"/>
      <w:bookmarkEnd w:id="152"/>
      <w:bookmarkEnd w:id="153"/>
      <w:bookmarkEnd w:id="154"/>
      <w:bookmarkEnd w:id="155"/>
      <w:bookmarkEnd w:id="156"/>
      <w:bookmarkEnd w:id="157"/>
      <w:bookmarkEnd w:id="158"/>
    </w:p>
    <w:p>
      <w:pPr>
        <w:pStyle w:val="Footnoteheading"/>
        <w:tabs>
          <w:tab w:val="left" w:pos="840"/>
        </w:tabs>
      </w:pPr>
      <w:r>
        <w:tab/>
        <w:t>[Heading inserted: No. 10 of 2024 s. 14.]</w:t>
      </w:r>
    </w:p>
    <w:p>
      <w:pPr>
        <w:pStyle w:val="Heading3"/>
      </w:pPr>
      <w:bookmarkStart w:id="159" w:name="_Toc142317753"/>
      <w:bookmarkStart w:id="160" w:name="_Toc142318023"/>
      <w:bookmarkStart w:id="161" w:name="_Toc142318831"/>
      <w:bookmarkStart w:id="162" w:name="_Toc142557934"/>
      <w:bookmarkStart w:id="163" w:name="_Toc142912479"/>
      <w:bookmarkStart w:id="164" w:name="_Toc161904712"/>
      <w:bookmarkStart w:id="165" w:name="_Toc161906767"/>
      <w:bookmarkStart w:id="166" w:name="_Toc164173937"/>
      <w:bookmarkStart w:id="167" w:name="_Toc164435399"/>
      <w:bookmarkStart w:id="168" w:name="_Toc164435710"/>
      <w:bookmarkStart w:id="169" w:name="_Toc164679524"/>
      <w:bookmarkStart w:id="170" w:name="_Toc164842684"/>
      <w:r>
        <w:rPr>
          <w:rStyle w:val="CharDivNo"/>
        </w:rPr>
        <w:t>Division 1</w:t>
      </w:r>
      <w:r>
        <w:t> — </w:t>
      </w:r>
      <w:r>
        <w:rPr>
          <w:rStyle w:val="CharDivText"/>
        </w:rPr>
        <w:t>Preliminary</w:t>
      </w:r>
      <w:bookmarkEnd w:id="159"/>
      <w:bookmarkEnd w:id="160"/>
      <w:bookmarkEnd w:id="161"/>
      <w:bookmarkEnd w:id="162"/>
      <w:bookmarkEnd w:id="163"/>
      <w:bookmarkEnd w:id="164"/>
      <w:bookmarkEnd w:id="165"/>
      <w:bookmarkEnd w:id="166"/>
      <w:bookmarkEnd w:id="167"/>
      <w:bookmarkEnd w:id="168"/>
      <w:bookmarkEnd w:id="169"/>
      <w:bookmarkEnd w:id="170"/>
    </w:p>
    <w:p>
      <w:pPr>
        <w:pStyle w:val="Footnoteheading"/>
        <w:tabs>
          <w:tab w:val="left" w:pos="840"/>
        </w:tabs>
      </w:pPr>
      <w:r>
        <w:tab/>
        <w:t>[Heading inserted: No. 10 of 2024 s. 14.]</w:t>
      </w:r>
    </w:p>
    <w:p>
      <w:pPr>
        <w:pStyle w:val="Heading5"/>
      </w:pPr>
      <w:bookmarkStart w:id="171" w:name="_Toc164173938"/>
      <w:bookmarkStart w:id="172" w:name="_Toc164842685"/>
      <w:r>
        <w:rPr>
          <w:rStyle w:val="CharSectno"/>
        </w:rPr>
        <w:t>59A</w:t>
      </w:r>
      <w:r>
        <w:t>.</w:t>
      </w:r>
      <w:r>
        <w:tab/>
        <w:t>Purpose of Part</w:t>
      </w:r>
      <w:bookmarkEnd w:id="171"/>
      <w:bookmarkEnd w:id="172"/>
    </w:p>
    <w:p>
      <w:pPr>
        <w:pStyle w:val="Subsection"/>
      </w:pPr>
      <w:r>
        <w:tab/>
      </w:r>
      <w:r>
        <w:tab/>
        <w:t>The purpose of this Part is to provide a registration framework —</w:t>
      </w:r>
    </w:p>
    <w:p>
      <w:pPr>
        <w:pStyle w:val="Indenta"/>
      </w:pPr>
      <w:r>
        <w:tab/>
        <w:t>(a)</w:t>
      </w:r>
      <w:r>
        <w:tab/>
        <w:t>to regulate the registration of providers of alternative electricity services; and</w:t>
      </w:r>
    </w:p>
    <w:p>
      <w:pPr>
        <w:pStyle w:val="Indenta"/>
      </w:pPr>
      <w:r>
        <w:tab/>
        <w:t>(b)</w:t>
      </w:r>
      <w:r>
        <w:tab/>
        <w:t>to regulate the provision of alternative electricity services to customers; and</w:t>
      </w:r>
    </w:p>
    <w:p>
      <w:pPr>
        <w:pStyle w:val="Indenta"/>
      </w:pPr>
      <w:r>
        <w:tab/>
        <w:t>(c)</w:t>
      </w:r>
      <w:r>
        <w:tab/>
        <w:t>to provide for customer protections that are relevant to the provision of alternative electricity services; and</w:t>
      </w:r>
    </w:p>
    <w:p>
      <w:pPr>
        <w:pStyle w:val="Indenta"/>
      </w:pPr>
      <w:r>
        <w:tab/>
        <w:t>(d)</w:t>
      </w:r>
      <w:r>
        <w:tab/>
        <w:t>to enable access to dispute resolution for customers of providers of alternative electricity services.</w:t>
      </w:r>
    </w:p>
    <w:p>
      <w:pPr>
        <w:pStyle w:val="Footnotesection"/>
      </w:pPr>
      <w:r>
        <w:tab/>
        <w:t>[Section 59A inserted: No. 10 of 2024 s. 14.]</w:t>
      </w:r>
    </w:p>
    <w:p>
      <w:pPr>
        <w:pStyle w:val="Heading5"/>
      </w:pPr>
      <w:bookmarkStart w:id="173" w:name="_Toc164173939"/>
      <w:bookmarkStart w:id="174" w:name="_Toc164842686"/>
      <w:r>
        <w:rPr>
          <w:rStyle w:val="CharSectno"/>
        </w:rPr>
        <w:t>59B</w:t>
      </w:r>
      <w:r>
        <w:t>.</w:t>
      </w:r>
      <w:r>
        <w:tab/>
        <w:t>Terms used</w:t>
      </w:r>
      <w:bookmarkEnd w:id="173"/>
      <w:bookmarkEnd w:id="174"/>
    </w:p>
    <w:p>
      <w:pPr>
        <w:pStyle w:val="Subsection"/>
      </w:pPr>
      <w:r>
        <w:tab/>
      </w:r>
      <w:r>
        <w:tab/>
        <w:t>In this Part —</w:t>
      </w:r>
    </w:p>
    <w:p>
      <w:pPr>
        <w:pStyle w:val="Defstart"/>
      </w:pPr>
      <w:r>
        <w:rPr>
          <w:b/>
        </w:rPr>
        <w:tab/>
      </w:r>
      <w:r>
        <w:rPr>
          <w:rStyle w:val="CharDefText"/>
        </w:rPr>
        <w:t>affected person</w:t>
      </w:r>
      <w:r>
        <w:t xml:space="preserve">, in relation to a reviewable decision, has the meaning given in section 59U(1)(b); </w:t>
      </w:r>
    </w:p>
    <w:p>
      <w:pPr>
        <w:pStyle w:val="Defstart"/>
      </w:pPr>
      <w:r>
        <w:rPr>
          <w:b/>
        </w:rPr>
        <w:tab/>
      </w:r>
      <w:r>
        <w:rPr>
          <w:rStyle w:val="CharDefText"/>
        </w:rPr>
        <w:t>class</w:t>
      </w:r>
      <w:r>
        <w:t>, in relation to an alternative electricity service, includes sub</w:t>
      </w:r>
      <w:r>
        <w:noBreakHyphen/>
        <w:t>class;</w:t>
      </w:r>
    </w:p>
    <w:p>
      <w:pPr>
        <w:pStyle w:val="Defstart"/>
      </w:pPr>
      <w:r>
        <w:tab/>
      </w:r>
      <w:r>
        <w:rPr>
          <w:rStyle w:val="CharDefText"/>
        </w:rPr>
        <w:t>registration framework</w:t>
      </w:r>
      <w:r>
        <w:t xml:space="preserve"> means — </w:t>
      </w:r>
    </w:p>
    <w:p>
      <w:pPr>
        <w:pStyle w:val="Defpara"/>
      </w:pPr>
      <w:r>
        <w:tab/>
        <w:t>(a)</w:t>
      </w:r>
      <w:r>
        <w:tab/>
        <w:t>this Part; and</w:t>
      </w:r>
    </w:p>
    <w:p>
      <w:pPr>
        <w:pStyle w:val="Defpara"/>
      </w:pPr>
      <w:r>
        <w:tab/>
        <w:t>(b)</w:t>
      </w:r>
      <w:r>
        <w:tab/>
        <w:t>the regulations; and</w:t>
      </w:r>
    </w:p>
    <w:p>
      <w:pPr>
        <w:pStyle w:val="Defpara"/>
      </w:pPr>
      <w:r>
        <w:tab/>
        <w:t>(c)</w:t>
      </w:r>
      <w:r>
        <w:tab/>
        <w:t>the AES code of practice;</w:t>
      </w:r>
    </w:p>
    <w:p>
      <w:pPr>
        <w:pStyle w:val="Defstart"/>
        <w:keepNext/>
      </w:pPr>
      <w:r>
        <w:lastRenderedPageBreak/>
        <w:tab/>
      </w:r>
      <w:r>
        <w:rPr>
          <w:rStyle w:val="CharDefText"/>
        </w:rPr>
        <w:t>reviewable decision</w:t>
      </w:r>
      <w:r>
        <w:t xml:space="preserve"> has the meaning given in section 59U(1)(a).</w:t>
      </w:r>
    </w:p>
    <w:p>
      <w:pPr>
        <w:pStyle w:val="Footnotesection"/>
        <w:keepNext/>
      </w:pPr>
      <w:r>
        <w:tab/>
        <w:t>[Section 59B inserted: No. 10 of 2024 s. 14.]</w:t>
      </w:r>
    </w:p>
    <w:p>
      <w:pPr>
        <w:pStyle w:val="Heading5"/>
      </w:pPr>
      <w:bookmarkStart w:id="175" w:name="_Toc164173940"/>
      <w:bookmarkStart w:id="176" w:name="_Toc164842687"/>
      <w:r>
        <w:rPr>
          <w:rStyle w:val="CharSectno"/>
        </w:rPr>
        <w:t>59C</w:t>
      </w:r>
      <w:r>
        <w:t>.</w:t>
      </w:r>
      <w:r>
        <w:tab/>
        <w:t>Alternative electricity services</w:t>
      </w:r>
      <w:bookmarkEnd w:id="175"/>
      <w:bookmarkEnd w:id="176"/>
    </w:p>
    <w:p>
      <w:pPr>
        <w:pStyle w:val="Subsection"/>
      </w:pPr>
      <w:r>
        <w:tab/>
        <w:t>(1)</w:t>
      </w:r>
      <w:r>
        <w:tab/>
        <w:t xml:space="preserve">The regulations may prescribe — </w:t>
      </w:r>
    </w:p>
    <w:p>
      <w:pPr>
        <w:pStyle w:val="Indenta"/>
      </w:pPr>
      <w:r>
        <w:tab/>
        <w:t>(a)</w:t>
      </w:r>
      <w:r>
        <w:tab/>
        <w:t>an activity as an alternative electricity service; or</w:t>
      </w:r>
    </w:p>
    <w:p>
      <w:pPr>
        <w:pStyle w:val="Indenta"/>
      </w:pPr>
      <w:r>
        <w:tab/>
        <w:t>(b)</w:t>
      </w:r>
      <w:r>
        <w:tab/>
        <w:t>a class of activities as a class of alternative electricity service.</w:t>
      </w:r>
    </w:p>
    <w:p>
      <w:pPr>
        <w:pStyle w:val="Subsection"/>
      </w:pPr>
      <w:r>
        <w:tab/>
        <w:t>(2)</w:t>
      </w:r>
      <w:r>
        <w:tab/>
        <w:t>The regulations may regulate the provision of an alternative electricity service or a class of alternative electricity service to any of the following —</w:t>
      </w:r>
    </w:p>
    <w:p>
      <w:pPr>
        <w:pStyle w:val="Indenta"/>
      </w:pPr>
      <w:r>
        <w:tab/>
        <w:t>(a)</w:t>
      </w:r>
      <w:r>
        <w:tab/>
        <w:t>small use customers or a class of small use customers;</w:t>
      </w:r>
    </w:p>
    <w:p>
      <w:pPr>
        <w:pStyle w:val="Indenta"/>
      </w:pPr>
      <w:r>
        <w:tab/>
        <w:t>(b)</w:t>
      </w:r>
      <w:r>
        <w:tab/>
        <w:t>customers or a class of customers other than small use customers;</w:t>
      </w:r>
    </w:p>
    <w:p>
      <w:pPr>
        <w:pStyle w:val="Indenta"/>
      </w:pPr>
      <w:r>
        <w:tab/>
        <w:t>(c)</w:t>
      </w:r>
      <w:r>
        <w:tab/>
        <w:t>all customers.</w:t>
      </w:r>
    </w:p>
    <w:p>
      <w:pPr>
        <w:pStyle w:val="Subsection"/>
      </w:pPr>
      <w:r>
        <w:tab/>
        <w:t>(3)</w:t>
      </w:r>
      <w:r>
        <w:tab/>
        <w:t>The regulations may prescribe requirements to be complied with in the provision of an alternative electricity service or a class of alternative electricity service.</w:t>
      </w:r>
    </w:p>
    <w:p>
      <w:pPr>
        <w:pStyle w:val="Subsection"/>
      </w:pPr>
      <w:r>
        <w:tab/>
        <w:t>(4)</w:t>
      </w:r>
      <w:r>
        <w:tab/>
        <w:t>The regulations may regulate the eligibility of a person or a class of persons to be granted a registration for an alternative electricity service or a class of alternative electricity service.</w:t>
      </w:r>
    </w:p>
    <w:p>
      <w:pPr>
        <w:pStyle w:val="Subsection"/>
      </w:pPr>
      <w:r>
        <w:tab/>
        <w:t>(5)</w:t>
      </w:r>
      <w:r>
        <w:tab/>
        <w:t>Without limiting subsection (1), an activity may include any of the following —</w:t>
      </w:r>
    </w:p>
    <w:p>
      <w:pPr>
        <w:pStyle w:val="Indenta"/>
      </w:pPr>
      <w:r>
        <w:tab/>
        <w:t>(a)</w:t>
      </w:r>
      <w:r>
        <w:tab/>
        <w:t>an activity that, in the absence of an exemption under section 8(1), would be required to be licensed under section 7;</w:t>
      </w:r>
    </w:p>
    <w:p>
      <w:pPr>
        <w:pStyle w:val="Indenta"/>
      </w:pPr>
      <w:r>
        <w:tab/>
        <w:t>(b)</w:t>
      </w:r>
      <w:r>
        <w:tab/>
        <w:t>an activity that relates to storage works;</w:t>
      </w:r>
    </w:p>
    <w:p>
      <w:pPr>
        <w:pStyle w:val="Indenta"/>
      </w:pPr>
      <w:r>
        <w:tab/>
        <w:t>(c)</w:t>
      </w:r>
      <w:r>
        <w:tab/>
        <w:t>an activity that relates to trading in, or monitoring or managing, the production, storage, consumption or use of electricity, whether directly or on behalf of another person;</w:t>
      </w:r>
    </w:p>
    <w:p>
      <w:pPr>
        <w:pStyle w:val="Indenta"/>
      </w:pPr>
      <w:r>
        <w:lastRenderedPageBreak/>
        <w:tab/>
        <w:t>(d)</w:t>
      </w:r>
      <w:r>
        <w:tab/>
        <w:t>an activity that relates to the collection, retention or use of data relating to the production, storage, consumption or use of electricity, whether directly or on behalf of another person;</w:t>
      </w:r>
    </w:p>
    <w:p>
      <w:pPr>
        <w:pStyle w:val="Indenta"/>
      </w:pPr>
      <w:r>
        <w:tab/>
        <w:t>(e)</w:t>
      </w:r>
      <w:r>
        <w:tab/>
        <w:t xml:space="preserve">any other activity that relates to the production, storage, transport, supply, consumption or use of electricity, including — </w:t>
      </w:r>
    </w:p>
    <w:p>
      <w:pPr>
        <w:pStyle w:val="Indenti"/>
      </w:pPr>
      <w:r>
        <w:tab/>
        <w:t>(i)</w:t>
      </w:r>
      <w:r>
        <w:tab/>
        <w:t>an activity provided on a metered or unmetered basis; or</w:t>
      </w:r>
    </w:p>
    <w:p>
      <w:pPr>
        <w:pStyle w:val="Indenti"/>
      </w:pPr>
      <w:r>
        <w:tab/>
        <w:t>(ii)</w:t>
      </w:r>
      <w:r>
        <w:tab/>
        <w:t>an activity relating to electricity acquired or aggregated from 1 or more sites for the purpose of trading, sale or participation in the wholesale electricity market; or</w:t>
      </w:r>
    </w:p>
    <w:p>
      <w:pPr>
        <w:pStyle w:val="Indenti"/>
      </w:pPr>
      <w:r>
        <w:tab/>
        <w:t>(iii)</w:t>
      </w:r>
      <w:r>
        <w:tab/>
        <w:t>an activity relating to the measurement, analysis, manipulation or use of data for commercial purposes; or</w:t>
      </w:r>
    </w:p>
    <w:p>
      <w:pPr>
        <w:pStyle w:val="Indenti"/>
      </w:pPr>
      <w:r>
        <w:tab/>
        <w:t>(iv)</w:t>
      </w:r>
      <w:r>
        <w:tab/>
        <w:t>an activity involving electricity generated or stored on a site or sites owned or occupied by the person providing the service or otherwise; or</w:t>
      </w:r>
    </w:p>
    <w:p>
      <w:pPr>
        <w:pStyle w:val="Indenti"/>
      </w:pPr>
      <w:r>
        <w:tab/>
        <w:t>(v)</w:t>
      </w:r>
      <w:r>
        <w:tab/>
        <w:t>an activity relating to electricity provided through an embedded network or an unlicensed distribution system or by way of a stand</w:t>
      </w:r>
      <w:r>
        <w:noBreakHyphen/>
        <w:t>alone power system.</w:t>
      </w:r>
    </w:p>
    <w:p>
      <w:pPr>
        <w:pStyle w:val="Subsection"/>
      </w:pPr>
      <w:r>
        <w:tab/>
        <w:t>(6)</w:t>
      </w:r>
      <w:r>
        <w:tab/>
        <w:t xml:space="preserve">For the purposes of subsection (5), an activity that relates to the consumption or use of electricity may include the consumption or use of electricity under an arrangement that is — </w:t>
      </w:r>
    </w:p>
    <w:p>
      <w:pPr>
        <w:pStyle w:val="Indenta"/>
      </w:pPr>
      <w:r>
        <w:tab/>
        <w:t>(a)</w:t>
      </w:r>
      <w:r>
        <w:tab/>
        <w:t>a membership scheme under which services are provided to the members of the scheme on payment of a membership fee and regular subscriptions; or</w:t>
      </w:r>
    </w:p>
    <w:p>
      <w:pPr>
        <w:pStyle w:val="Indenta"/>
      </w:pPr>
      <w:r>
        <w:tab/>
        <w:t>(b)</w:t>
      </w:r>
      <w:r>
        <w:tab/>
        <w:t>a financing, leasing, licensing or hire arrangement.</w:t>
      </w:r>
    </w:p>
    <w:p>
      <w:pPr>
        <w:pStyle w:val="Subsection"/>
      </w:pPr>
      <w:r>
        <w:tab/>
        <w:t>(7)</w:t>
      </w:r>
      <w:r>
        <w:tab/>
        <w:t>The regulations may provide that a class of activity is not an alternative electricity service for the purposes of this Act.</w:t>
      </w:r>
    </w:p>
    <w:p>
      <w:pPr>
        <w:pStyle w:val="Footnotesection"/>
      </w:pPr>
      <w:r>
        <w:tab/>
        <w:t>[Section 59C inserted: No. 10 of 2024 s. 14.]</w:t>
      </w:r>
    </w:p>
    <w:p>
      <w:pPr>
        <w:pStyle w:val="Heading3"/>
      </w:pPr>
      <w:bookmarkStart w:id="177" w:name="_Toc142317757"/>
      <w:bookmarkStart w:id="178" w:name="_Toc142318027"/>
      <w:bookmarkStart w:id="179" w:name="_Toc142318835"/>
      <w:bookmarkStart w:id="180" w:name="_Toc142557938"/>
      <w:bookmarkStart w:id="181" w:name="_Toc142912483"/>
      <w:bookmarkStart w:id="182" w:name="_Toc161904716"/>
      <w:bookmarkStart w:id="183" w:name="_Toc161906771"/>
      <w:bookmarkStart w:id="184" w:name="_Toc164173941"/>
      <w:bookmarkStart w:id="185" w:name="_Toc164435403"/>
      <w:bookmarkStart w:id="186" w:name="_Toc164435714"/>
      <w:bookmarkStart w:id="187" w:name="_Toc164679528"/>
      <w:bookmarkStart w:id="188" w:name="_Toc164842688"/>
      <w:r>
        <w:rPr>
          <w:rStyle w:val="CharDivNo"/>
        </w:rPr>
        <w:lastRenderedPageBreak/>
        <w:t>Division 2</w:t>
      </w:r>
      <w:r>
        <w:t> — </w:t>
      </w:r>
      <w:r>
        <w:rPr>
          <w:rStyle w:val="CharDivText"/>
        </w:rPr>
        <w:t>Registration requirements</w:t>
      </w:r>
      <w:bookmarkEnd w:id="177"/>
      <w:bookmarkEnd w:id="178"/>
      <w:bookmarkEnd w:id="179"/>
      <w:bookmarkEnd w:id="180"/>
      <w:bookmarkEnd w:id="181"/>
      <w:bookmarkEnd w:id="182"/>
      <w:bookmarkEnd w:id="183"/>
      <w:bookmarkEnd w:id="184"/>
      <w:bookmarkEnd w:id="185"/>
      <w:bookmarkEnd w:id="186"/>
      <w:bookmarkEnd w:id="187"/>
      <w:bookmarkEnd w:id="188"/>
    </w:p>
    <w:p>
      <w:pPr>
        <w:pStyle w:val="Footnoteheading"/>
        <w:keepNext/>
        <w:tabs>
          <w:tab w:val="left" w:pos="840"/>
        </w:tabs>
      </w:pPr>
      <w:r>
        <w:tab/>
        <w:t>[Heading inserted: No. 10 of 2024 s. 14.]</w:t>
      </w:r>
    </w:p>
    <w:p>
      <w:pPr>
        <w:pStyle w:val="Heading5"/>
      </w:pPr>
      <w:bookmarkStart w:id="189" w:name="_Toc164173942"/>
      <w:bookmarkStart w:id="190" w:name="_Toc164842689"/>
      <w:r>
        <w:rPr>
          <w:rStyle w:val="CharSectno"/>
        </w:rPr>
        <w:t>59D</w:t>
      </w:r>
      <w:r>
        <w:t>.</w:t>
      </w:r>
      <w:r>
        <w:tab/>
        <w:t>Requirement for registration</w:t>
      </w:r>
      <w:bookmarkEnd w:id="189"/>
      <w:bookmarkEnd w:id="190"/>
    </w:p>
    <w:p>
      <w:pPr>
        <w:pStyle w:val="Subsection"/>
        <w:keepNext/>
      </w:pPr>
      <w:r>
        <w:tab/>
        <w:t>(1)</w:t>
      </w:r>
      <w:r>
        <w:tab/>
        <w:t>A person must not provide an alternative electricity service to a customer unless the person is registered under this Part to provide that alternative electricity service.</w:t>
      </w:r>
    </w:p>
    <w:p>
      <w:pPr>
        <w:pStyle w:val="Penstart"/>
        <w:keepNext/>
      </w:pPr>
      <w:r>
        <w:tab/>
        <w:t xml:space="preserve">Penalty for this subsection: </w:t>
      </w:r>
    </w:p>
    <w:p>
      <w:pPr>
        <w:pStyle w:val="Penpara"/>
      </w:pPr>
      <w:r>
        <w:tab/>
        <w:t>(a)</w:t>
      </w:r>
      <w:r>
        <w:tab/>
        <w:t>a fine of $100 000;</w:t>
      </w:r>
    </w:p>
    <w:p>
      <w:pPr>
        <w:pStyle w:val="Penpara"/>
      </w:pPr>
      <w:r>
        <w:tab/>
        <w:t>(b)</w:t>
      </w:r>
      <w:r>
        <w:tab/>
        <w:t>a daily penalty of a fine of $5 000 for each day or part of a day during which the offence continues.</w:t>
      </w:r>
    </w:p>
    <w:p>
      <w:pPr>
        <w:pStyle w:val="Subsection"/>
      </w:pPr>
      <w:r>
        <w:tab/>
        <w:t>(2)</w:t>
      </w:r>
      <w:r>
        <w:tab/>
        <w:t xml:space="preserve">The regulations may exempt the following from the requirement under subsection (1) to be registered to provide an alternative electricity service — </w:t>
      </w:r>
    </w:p>
    <w:p>
      <w:pPr>
        <w:pStyle w:val="Indenta"/>
      </w:pPr>
      <w:r>
        <w:tab/>
        <w:t>(a)</w:t>
      </w:r>
      <w:r>
        <w:tab/>
        <w:t>the holder of a specified class of licence under Part 2;</w:t>
      </w:r>
    </w:p>
    <w:p>
      <w:pPr>
        <w:pStyle w:val="Indenta"/>
      </w:pPr>
      <w:r>
        <w:tab/>
        <w:t>(b)</w:t>
      </w:r>
      <w:r>
        <w:tab/>
        <w:t>the holder of an existing registration for another specified alternative electricity service;</w:t>
      </w:r>
    </w:p>
    <w:p>
      <w:pPr>
        <w:pStyle w:val="Indenta"/>
      </w:pPr>
      <w:r>
        <w:tab/>
        <w:t>(c)</w:t>
      </w:r>
      <w:r>
        <w:tab/>
        <w:t>any other person prescribed by the regulations.</w:t>
      </w:r>
    </w:p>
    <w:p>
      <w:pPr>
        <w:pStyle w:val="Subsection"/>
      </w:pPr>
      <w:r>
        <w:tab/>
        <w:t>(3)</w:t>
      </w:r>
      <w:r>
        <w:tab/>
        <w:t>A regulation under subsection (2) may provide for circumstances in which, and conditions subject to which, an exemption is to apply.</w:t>
      </w:r>
    </w:p>
    <w:p>
      <w:pPr>
        <w:pStyle w:val="Subsection"/>
      </w:pPr>
      <w:r>
        <w:tab/>
        <w:t>(4)</w:t>
      </w:r>
      <w:r>
        <w:tab/>
        <w:t>If the holder of a licence is exempted under the regulations under subsection (2)(a) from the requirement to be registered to provide an alternative electricity service, the Authority may determine terms and conditions under section 11(1) to apply to the licence in relation to the provision of the alternative electricity service to which the exemption applies.</w:t>
      </w:r>
    </w:p>
    <w:p>
      <w:pPr>
        <w:pStyle w:val="Subsection"/>
      </w:pPr>
      <w:r>
        <w:tab/>
        <w:t>(5)</w:t>
      </w:r>
      <w:r>
        <w:tab/>
        <w:t xml:space="preserve">If the holder of a registration for an alternative electricity service is exempted under the regulations under subsection (2)(b) from the requirement to be registered to provide another alternative electricity service, the Authority may determine terms and conditions under section 59O(3) to </w:t>
      </w:r>
      <w:r>
        <w:lastRenderedPageBreak/>
        <w:t>apply to the registration in relation to the provision of the alternative electricity service to which the exemption applies.</w:t>
      </w:r>
    </w:p>
    <w:p>
      <w:pPr>
        <w:pStyle w:val="Footnotesection"/>
      </w:pPr>
      <w:r>
        <w:tab/>
        <w:t>[Section 59D inserted: No. 10 of 2024 s. 14.]</w:t>
      </w:r>
    </w:p>
    <w:p>
      <w:pPr>
        <w:pStyle w:val="Heading5"/>
      </w:pPr>
      <w:bookmarkStart w:id="191" w:name="_Toc164173943"/>
      <w:bookmarkStart w:id="192" w:name="_Toc164842690"/>
      <w:r>
        <w:rPr>
          <w:rStyle w:val="CharSectno"/>
        </w:rPr>
        <w:t>59E</w:t>
      </w:r>
      <w:r>
        <w:t>.</w:t>
      </w:r>
      <w:r>
        <w:tab/>
        <w:t>Registration holder to comply with terms and conditions of registration</w:t>
      </w:r>
      <w:bookmarkEnd w:id="191"/>
      <w:bookmarkEnd w:id="192"/>
    </w:p>
    <w:p>
      <w:pPr>
        <w:pStyle w:val="Subsection"/>
      </w:pPr>
      <w:r>
        <w:tab/>
      </w:r>
      <w:r>
        <w:tab/>
        <w:t>A registration holder must comply with the terms and conditions applying to the registration.</w:t>
      </w:r>
    </w:p>
    <w:p>
      <w:pPr>
        <w:pStyle w:val="Penstart"/>
      </w:pPr>
      <w:r>
        <w:tab/>
        <w:t>Penalty:</w:t>
      </w:r>
    </w:p>
    <w:p>
      <w:pPr>
        <w:pStyle w:val="Penpara"/>
      </w:pPr>
      <w:r>
        <w:tab/>
        <w:t>(a)</w:t>
      </w:r>
      <w:r>
        <w:tab/>
        <w:t>a fine of $100 000;</w:t>
      </w:r>
    </w:p>
    <w:p>
      <w:pPr>
        <w:pStyle w:val="Penpara"/>
      </w:pPr>
      <w:r>
        <w:tab/>
        <w:t>(b)</w:t>
      </w:r>
      <w:r>
        <w:tab/>
        <w:t>daily penalty of a fine of $5 000 for each day or part of a day during which the offence continues.</w:t>
      </w:r>
    </w:p>
    <w:p>
      <w:pPr>
        <w:pStyle w:val="Footnotesection"/>
      </w:pPr>
      <w:r>
        <w:tab/>
        <w:t>[Section 59E inserted: No. 10 of 2024 s. 14.]</w:t>
      </w:r>
    </w:p>
    <w:p>
      <w:pPr>
        <w:pStyle w:val="Heading3"/>
      </w:pPr>
      <w:bookmarkStart w:id="193" w:name="_Toc142317760"/>
      <w:bookmarkStart w:id="194" w:name="_Toc142318030"/>
      <w:bookmarkStart w:id="195" w:name="_Toc142318838"/>
      <w:bookmarkStart w:id="196" w:name="_Toc142557941"/>
      <w:bookmarkStart w:id="197" w:name="_Toc142912486"/>
      <w:bookmarkStart w:id="198" w:name="_Toc161904719"/>
      <w:bookmarkStart w:id="199" w:name="_Toc161906774"/>
      <w:bookmarkStart w:id="200" w:name="_Toc164173944"/>
      <w:bookmarkStart w:id="201" w:name="_Toc164435406"/>
      <w:bookmarkStart w:id="202" w:name="_Toc164435717"/>
      <w:bookmarkStart w:id="203" w:name="_Toc164679531"/>
      <w:bookmarkStart w:id="204" w:name="_Toc164842691"/>
      <w:r>
        <w:rPr>
          <w:rStyle w:val="CharDivNo"/>
        </w:rPr>
        <w:t>Division 3</w:t>
      </w:r>
      <w:r>
        <w:t> — </w:t>
      </w:r>
      <w:r>
        <w:rPr>
          <w:rStyle w:val="CharDivText"/>
        </w:rPr>
        <w:t>General registration provisions</w:t>
      </w:r>
      <w:bookmarkEnd w:id="193"/>
      <w:bookmarkEnd w:id="194"/>
      <w:bookmarkEnd w:id="195"/>
      <w:bookmarkEnd w:id="196"/>
      <w:bookmarkEnd w:id="197"/>
      <w:bookmarkEnd w:id="198"/>
      <w:bookmarkEnd w:id="199"/>
      <w:bookmarkEnd w:id="200"/>
      <w:bookmarkEnd w:id="201"/>
      <w:bookmarkEnd w:id="202"/>
      <w:bookmarkEnd w:id="203"/>
      <w:bookmarkEnd w:id="204"/>
    </w:p>
    <w:p>
      <w:pPr>
        <w:pStyle w:val="Footnoteheading"/>
        <w:tabs>
          <w:tab w:val="left" w:pos="840"/>
        </w:tabs>
      </w:pPr>
      <w:r>
        <w:tab/>
        <w:t>[Heading inserted: No. 10 of 2024 s. 14.]</w:t>
      </w:r>
    </w:p>
    <w:p>
      <w:pPr>
        <w:pStyle w:val="Heading5"/>
      </w:pPr>
      <w:bookmarkStart w:id="205" w:name="_Toc164173945"/>
      <w:bookmarkStart w:id="206" w:name="_Toc164842692"/>
      <w:r>
        <w:rPr>
          <w:rStyle w:val="CharSectno"/>
        </w:rPr>
        <w:t>59F</w:t>
      </w:r>
      <w:r>
        <w:t>.</w:t>
      </w:r>
      <w:r>
        <w:tab/>
        <w:t>Authority to consider public interest</w:t>
      </w:r>
      <w:bookmarkEnd w:id="205"/>
      <w:bookmarkEnd w:id="206"/>
    </w:p>
    <w:p>
      <w:pPr>
        <w:pStyle w:val="Subsection"/>
      </w:pPr>
      <w:r>
        <w:tab/>
        <w:t>(1)</w:t>
      </w:r>
      <w:r>
        <w:tab/>
        <w:t>The Authority must not exercise a power conferred by this Division or Division 2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must take into account the following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lastRenderedPageBreak/>
        <w:tab/>
        <w:t>(e)</w:t>
      </w:r>
      <w:r>
        <w:tab/>
        <w:t>the interests of any registration holder or applicant for registration who may be affected by the exercise of the power;</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(3)</w:t>
      </w:r>
      <w:r>
        <w:tab/>
        <w:t xml:space="preserve">The Authority is not required to comply with subsection (1) and the </w:t>
      </w:r>
      <w:r>
        <w:rPr>
          <w:i/>
          <w:iCs/>
        </w:rPr>
        <w:t xml:space="preserve">Economic Regulation Authority Act 2003 </w:t>
      </w:r>
      <w:r>
        <w:t>section 26(1)(a) in the circumstances prescribed in the regulations.</w:t>
      </w:r>
    </w:p>
    <w:p>
      <w:pPr>
        <w:pStyle w:val="Footnotesection"/>
      </w:pPr>
      <w:r>
        <w:tab/>
        <w:t>[Section 59F inserted: No. 10 of 2024 s. 14.]</w:t>
      </w:r>
    </w:p>
    <w:p>
      <w:pPr>
        <w:pStyle w:val="Heading5"/>
      </w:pPr>
      <w:bookmarkStart w:id="207" w:name="_Toc164173946"/>
      <w:bookmarkStart w:id="208" w:name="_Toc164842693"/>
      <w:r>
        <w:rPr>
          <w:rStyle w:val="CharSectno"/>
        </w:rPr>
        <w:t>59G</w:t>
      </w:r>
      <w:r>
        <w:t>.</w:t>
      </w:r>
      <w:r>
        <w:tab/>
        <w:t>Application for registration</w:t>
      </w:r>
      <w:bookmarkEnd w:id="207"/>
      <w:bookmarkEnd w:id="208"/>
    </w:p>
    <w:p>
      <w:pPr>
        <w:pStyle w:val="Subsection"/>
      </w:pPr>
      <w:r>
        <w:tab/>
      </w:r>
      <w:r>
        <w:tab/>
        <w:t xml:space="preserve">An application for registration must be — </w:t>
      </w:r>
    </w:p>
    <w:p>
      <w:pPr>
        <w:pStyle w:val="Indenta"/>
      </w:pPr>
      <w:r>
        <w:tab/>
        <w:t>(a)</w:t>
      </w:r>
      <w:r>
        <w:tab/>
        <w:t>made in a form approved by the Authority; and</w:t>
      </w:r>
    </w:p>
    <w:p>
      <w:pPr>
        <w:pStyle w:val="Indenta"/>
      </w:pPr>
      <w:r>
        <w:tab/>
        <w:t>(b)</w:t>
      </w:r>
      <w:r>
        <w:tab/>
        <w:t>accompanied by the prescribed application fee.</w:t>
      </w:r>
    </w:p>
    <w:p>
      <w:pPr>
        <w:pStyle w:val="Footnotesection"/>
      </w:pPr>
      <w:r>
        <w:tab/>
        <w:t>[Section 59G inserted: No. 10 of 2024 s. 14.]</w:t>
      </w:r>
    </w:p>
    <w:p>
      <w:pPr>
        <w:pStyle w:val="Heading5"/>
      </w:pPr>
      <w:bookmarkStart w:id="209" w:name="_Toc164173947"/>
      <w:bookmarkStart w:id="210" w:name="_Toc164842694"/>
      <w:r>
        <w:rPr>
          <w:rStyle w:val="CharSectno"/>
        </w:rPr>
        <w:t>59H</w:t>
      </w:r>
      <w:r>
        <w:t>.</w:t>
      </w:r>
      <w:r>
        <w:tab/>
        <w:t>Renewal of registration</w:t>
      </w:r>
      <w:bookmarkEnd w:id="209"/>
      <w:bookmarkEnd w:id="210"/>
    </w:p>
    <w:p>
      <w:pPr>
        <w:pStyle w:val="Subsection"/>
      </w:pPr>
      <w:r>
        <w:tab/>
      </w:r>
      <w:r>
        <w:tab/>
        <w:t xml:space="preserve">An application for the renewal of a registration must be — </w:t>
      </w:r>
    </w:p>
    <w:p>
      <w:pPr>
        <w:pStyle w:val="Indenta"/>
      </w:pPr>
      <w:r>
        <w:tab/>
        <w:t>(a)</w:t>
      </w:r>
      <w:r>
        <w:tab/>
        <w:t>made in a form approved by the Authority; and</w:t>
      </w:r>
    </w:p>
    <w:p>
      <w:pPr>
        <w:pStyle w:val="Indenta"/>
      </w:pPr>
      <w:r>
        <w:tab/>
        <w:t>(b)</w:t>
      </w:r>
      <w:r>
        <w:tab/>
        <w:t>accompanied by the prescribed application fee.</w:t>
      </w:r>
    </w:p>
    <w:p>
      <w:pPr>
        <w:pStyle w:val="Footnotesection"/>
      </w:pPr>
      <w:r>
        <w:tab/>
        <w:t>[Section 59H inserted: No. 10 of 2024 s. 14.]</w:t>
      </w:r>
    </w:p>
    <w:p>
      <w:pPr>
        <w:pStyle w:val="Heading5"/>
      </w:pPr>
      <w:bookmarkStart w:id="211" w:name="_Toc164173948"/>
      <w:bookmarkStart w:id="212" w:name="_Toc164842695"/>
      <w:r>
        <w:rPr>
          <w:rStyle w:val="CharSectno"/>
        </w:rPr>
        <w:t>59I</w:t>
      </w:r>
      <w:r>
        <w:t>.</w:t>
      </w:r>
      <w:r>
        <w:tab/>
        <w:t>Amendment of registration</w:t>
      </w:r>
      <w:bookmarkEnd w:id="211"/>
      <w:bookmarkEnd w:id="212"/>
    </w:p>
    <w:p>
      <w:pPr>
        <w:pStyle w:val="Subsection"/>
      </w:pPr>
      <w:r>
        <w:tab/>
      </w:r>
      <w:r>
        <w:tab/>
        <w:t xml:space="preserve">An application for an amendment to a registration must be — </w:t>
      </w:r>
    </w:p>
    <w:p>
      <w:pPr>
        <w:pStyle w:val="Indenta"/>
      </w:pPr>
      <w:r>
        <w:tab/>
        <w:t>(a)</w:t>
      </w:r>
      <w:r>
        <w:tab/>
        <w:t>made in a form approved by the Authority; and</w:t>
      </w:r>
    </w:p>
    <w:p>
      <w:pPr>
        <w:pStyle w:val="Indenta"/>
      </w:pPr>
      <w:r>
        <w:tab/>
        <w:t>(b)</w:t>
      </w:r>
      <w:r>
        <w:tab/>
        <w:t>accompanied by the prescribed application fee.</w:t>
      </w:r>
    </w:p>
    <w:p>
      <w:pPr>
        <w:pStyle w:val="Footnotesection"/>
      </w:pPr>
      <w:r>
        <w:tab/>
        <w:t>[Section 59I inserted: No. 10 of 2024 s. 14.]</w:t>
      </w:r>
    </w:p>
    <w:p>
      <w:pPr>
        <w:pStyle w:val="Heading5"/>
      </w:pPr>
      <w:bookmarkStart w:id="213" w:name="_Toc164173949"/>
      <w:bookmarkStart w:id="214" w:name="_Toc164842696"/>
      <w:r>
        <w:rPr>
          <w:rStyle w:val="CharSectno"/>
        </w:rPr>
        <w:lastRenderedPageBreak/>
        <w:t>59J</w:t>
      </w:r>
      <w:r>
        <w:t>.</w:t>
      </w:r>
      <w:r>
        <w:tab/>
        <w:t>Transfer of registration</w:t>
      </w:r>
      <w:bookmarkEnd w:id="213"/>
      <w:bookmarkEnd w:id="214"/>
    </w:p>
    <w:p>
      <w:pPr>
        <w:pStyle w:val="Subsection"/>
      </w:pPr>
      <w:r>
        <w:tab/>
        <w:t>(1)</w:t>
      </w:r>
      <w:r>
        <w:tab/>
        <w:t>A registration cannot be transferred except with the approval of the Authority.</w:t>
      </w:r>
    </w:p>
    <w:p>
      <w:pPr>
        <w:pStyle w:val="Subsection"/>
      </w:pPr>
      <w:r>
        <w:tab/>
        <w:t>(2)</w:t>
      </w:r>
      <w:r>
        <w:tab/>
        <w:t>An approval may be given on the terms and conditions determined by the Authority.</w:t>
      </w:r>
    </w:p>
    <w:p>
      <w:pPr>
        <w:pStyle w:val="Subsection"/>
      </w:pPr>
      <w:r>
        <w:tab/>
        <w:t>(3)</w:t>
      </w:r>
      <w:r>
        <w:tab/>
        <w:t xml:space="preserve">An application for approval to transfer a registration must be — </w:t>
      </w:r>
    </w:p>
    <w:p>
      <w:pPr>
        <w:pStyle w:val="Indenta"/>
      </w:pPr>
      <w:r>
        <w:tab/>
        <w:t>(a)</w:t>
      </w:r>
      <w:r>
        <w:tab/>
        <w:t>made in a form approved by the Authority; and</w:t>
      </w:r>
    </w:p>
    <w:p>
      <w:pPr>
        <w:pStyle w:val="Indenta"/>
      </w:pPr>
      <w:r>
        <w:tab/>
        <w:t>(b)</w:t>
      </w:r>
      <w:r>
        <w:tab/>
        <w:t>accompanied by the prescribed application fee.</w:t>
      </w:r>
    </w:p>
    <w:p>
      <w:pPr>
        <w:pStyle w:val="Footnotesection"/>
      </w:pPr>
      <w:r>
        <w:tab/>
        <w:t>[Section 59J inserted: No. 10 of 2024 s. 14.]</w:t>
      </w:r>
    </w:p>
    <w:p>
      <w:pPr>
        <w:pStyle w:val="Heading5"/>
      </w:pPr>
      <w:bookmarkStart w:id="215" w:name="_Toc164173950"/>
      <w:bookmarkStart w:id="216" w:name="_Toc164842697"/>
      <w:r>
        <w:rPr>
          <w:rStyle w:val="CharSectno"/>
        </w:rPr>
        <w:t>59K</w:t>
      </w:r>
      <w:r>
        <w:t>.</w:t>
      </w:r>
      <w:r>
        <w:tab/>
        <w:t>Further information</w:t>
      </w:r>
      <w:bookmarkEnd w:id="215"/>
      <w:bookmarkEnd w:id="216"/>
    </w:p>
    <w:p>
      <w:pPr>
        <w:pStyle w:val="Subsection"/>
      </w:pPr>
      <w:r>
        <w:tab/>
      </w:r>
      <w:r>
        <w:tab/>
        <w:t>An applicant for registration, renewal or amendment of registration or approval of the transfer or surrender of registration must provide any additional information that the Authority may reasonably require for the proper consideration of the application.</w:t>
      </w:r>
    </w:p>
    <w:p>
      <w:pPr>
        <w:pStyle w:val="Footnotesection"/>
      </w:pPr>
      <w:r>
        <w:tab/>
        <w:t>[Section 59K inserted: No. 10 of 2024 s. 14.]</w:t>
      </w:r>
    </w:p>
    <w:p>
      <w:pPr>
        <w:pStyle w:val="Heading5"/>
      </w:pPr>
      <w:bookmarkStart w:id="217" w:name="_Toc164173951"/>
      <w:bookmarkStart w:id="218" w:name="_Toc164842698"/>
      <w:r>
        <w:rPr>
          <w:rStyle w:val="CharSectno"/>
        </w:rPr>
        <w:t>59L</w:t>
      </w:r>
      <w:r>
        <w:t>.</w:t>
      </w:r>
      <w:r>
        <w:tab/>
        <w:t>Public consultation on grant, renewal, amendment or transfer of registration</w:t>
      </w:r>
      <w:bookmarkEnd w:id="217"/>
      <w:bookmarkEnd w:id="218"/>
    </w:p>
    <w:p>
      <w:pPr>
        <w:pStyle w:val="Subsection"/>
      </w:pPr>
      <w:r>
        <w:tab/>
        <w:t>(1)</w:t>
      </w:r>
      <w:r>
        <w:tab/>
        <w:t>The Authority must ensure that public consultation is carried out in accordance with the regulations before the Authority —</w:t>
      </w:r>
    </w:p>
    <w:p>
      <w:pPr>
        <w:pStyle w:val="Indenta"/>
      </w:pPr>
      <w:r>
        <w:tab/>
        <w:t>(a)</w:t>
      </w:r>
      <w:r>
        <w:tab/>
        <w:t>grants a registration; or</w:t>
      </w:r>
    </w:p>
    <w:p>
      <w:pPr>
        <w:pStyle w:val="Indenta"/>
      </w:pPr>
      <w:r>
        <w:tab/>
        <w:t>(b)</w:t>
      </w:r>
      <w:r>
        <w:tab/>
        <w:t xml:space="preserve">renews a registration; or </w:t>
      </w:r>
    </w:p>
    <w:p>
      <w:pPr>
        <w:pStyle w:val="Indenta"/>
      </w:pPr>
      <w:r>
        <w:tab/>
        <w:t>(c)</w:t>
      </w:r>
      <w:r>
        <w:tab/>
        <w:t xml:space="preserve">amends a registration; or </w:t>
      </w:r>
    </w:p>
    <w:p>
      <w:pPr>
        <w:pStyle w:val="Indenta"/>
      </w:pPr>
      <w:r>
        <w:tab/>
        <w:t>(d)</w:t>
      </w:r>
      <w:r>
        <w:tab/>
        <w:t xml:space="preserve">approves the transfer of a registration. </w:t>
      </w:r>
    </w:p>
    <w:p>
      <w:pPr>
        <w:pStyle w:val="Subsection"/>
      </w:pPr>
      <w:r>
        <w:tab/>
        <w:t>(2)</w:t>
      </w:r>
      <w:r>
        <w:tab/>
        <w:t>The regulations may exempt an alternative electricity service or a class of alternative electricity service from the requirements of subsection (1).</w:t>
      </w:r>
    </w:p>
    <w:p>
      <w:pPr>
        <w:pStyle w:val="Subsection"/>
      </w:pPr>
      <w:r>
        <w:lastRenderedPageBreak/>
        <w:tab/>
        <w:t>(3)</w:t>
      </w:r>
      <w:r>
        <w:tab/>
        <w:t>Subsection (1)(c) does not apply if the amendment is of a minor or administrative nature.</w:t>
      </w:r>
    </w:p>
    <w:p>
      <w:pPr>
        <w:pStyle w:val="Footnotesection"/>
      </w:pPr>
      <w:bookmarkStart w:id="219" w:name="_Toc164173952"/>
      <w:r>
        <w:tab/>
        <w:t>[Section 59L inserted: No. 10 of 2024 s. 14.]</w:t>
      </w:r>
    </w:p>
    <w:p>
      <w:pPr>
        <w:pStyle w:val="Heading5"/>
      </w:pPr>
      <w:bookmarkStart w:id="220" w:name="_Toc164842699"/>
      <w:r>
        <w:rPr>
          <w:rStyle w:val="CharSectno"/>
        </w:rPr>
        <w:t>59M</w:t>
      </w:r>
      <w:r>
        <w:t>.</w:t>
      </w:r>
      <w:r>
        <w:tab/>
        <w:t>Decision to grant, renew, amend or approve transfer of registration</w:t>
      </w:r>
      <w:bookmarkEnd w:id="219"/>
      <w:bookmarkEnd w:id="220"/>
    </w:p>
    <w:p>
      <w:pPr>
        <w:pStyle w:val="Subsection"/>
      </w:pPr>
      <w:r>
        <w:tab/>
        <w:t>(1)</w:t>
      </w:r>
      <w:r>
        <w:tab/>
        <w:t xml:space="preserve">The Authority must take all reasonable steps to decide an application for the following within 90 days after the application is made — </w:t>
      </w:r>
    </w:p>
    <w:p>
      <w:pPr>
        <w:pStyle w:val="Indenta"/>
      </w:pPr>
      <w:r>
        <w:tab/>
        <w:t>(a)</w:t>
      </w:r>
      <w:r>
        <w:tab/>
        <w:t>the grant, renewal or amendment of a registration;</w:t>
      </w:r>
    </w:p>
    <w:p>
      <w:pPr>
        <w:pStyle w:val="Indenta"/>
      </w:pPr>
      <w:r>
        <w:tab/>
        <w:t>(b)</w:t>
      </w:r>
      <w:r>
        <w:tab/>
        <w:t>approval to transfer a registration.</w:t>
      </w:r>
    </w:p>
    <w:p>
      <w:pPr>
        <w:pStyle w:val="Subsection"/>
      </w:pPr>
      <w:r>
        <w:tab/>
        <w:t>(2)</w:t>
      </w:r>
      <w:r>
        <w:tab/>
        <w:t xml:space="preserve">The duties imposed on the Authority by subsection (1) apply only if — </w:t>
      </w:r>
    </w:p>
    <w:p>
      <w:pPr>
        <w:pStyle w:val="Indenta"/>
      </w:pPr>
      <w:r>
        <w:tab/>
        <w:t>(a)</w:t>
      </w:r>
      <w:r>
        <w:tab/>
        <w:t>the application has been made in accordance with section 59G, 59H, 59I or 59J, as the case may be; and</w:t>
      </w:r>
    </w:p>
    <w:p>
      <w:pPr>
        <w:pStyle w:val="Indenta"/>
      </w:pPr>
      <w:r>
        <w:tab/>
        <w:t>(b)</w:t>
      </w:r>
      <w:r>
        <w:tab/>
        <w:t>section 101B does not prohibit the grant, renewal or amendment of the registration or the approval of the transfer; and</w:t>
      </w:r>
    </w:p>
    <w:p>
      <w:pPr>
        <w:pStyle w:val="Indenta"/>
      </w:pPr>
      <w:r>
        <w:tab/>
        <w:t>(c)</w:t>
      </w:r>
      <w:r>
        <w:tab/>
        <w:t>if a requirement has been made under section 59K, the relevant information has been provided to the Authority.</w:t>
      </w:r>
    </w:p>
    <w:p>
      <w:pPr>
        <w:pStyle w:val="Footnotesection"/>
      </w:pPr>
      <w:r>
        <w:tab/>
        <w:t>[Section 59M inserted: No. 10 of 2024 s. 14.]</w:t>
      </w:r>
    </w:p>
    <w:p>
      <w:pPr>
        <w:pStyle w:val="Heading5"/>
      </w:pPr>
      <w:bookmarkStart w:id="221" w:name="_Toc164173953"/>
      <w:bookmarkStart w:id="222" w:name="_Toc164842700"/>
      <w:r>
        <w:rPr>
          <w:rStyle w:val="CharSectno"/>
        </w:rPr>
        <w:t>59N</w:t>
      </w:r>
      <w:r>
        <w:t>.</w:t>
      </w:r>
      <w:r>
        <w:tab/>
        <w:t>Registration area</w:t>
      </w:r>
      <w:bookmarkEnd w:id="221"/>
      <w:bookmarkEnd w:id="222"/>
    </w:p>
    <w:p>
      <w:pPr>
        <w:pStyle w:val="Subsection"/>
      </w:pPr>
      <w:r>
        <w:tab/>
        <w:t>(1)</w:t>
      </w:r>
      <w:r>
        <w:tab/>
        <w:t>A registration must be designated to apply to 1 or more areas of the State specified in the registration.</w:t>
      </w:r>
    </w:p>
    <w:p>
      <w:pPr>
        <w:pStyle w:val="Subsection"/>
      </w:pPr>
      <w:r>
        <w:tab/>
        <w:t>(2)</w:t>
      </w:r>
      <w:r>
        <w:tab/>
        <w:t>If 2 or more areas are specified in a registration those areas need not be contiguous.</w:t>
      </w:r>
    </w:p>
    <w:p>
      <w:pPr>
        <w:pStyle w:val="Footnotesection"/>
      </w:pPr>
      <w:r>
        <w:tab/>
        <w:t>[Section 59N inserted: No. 10 of 2024 s. 14.]</w:t>
      </w:r>
    </w:p>
    <w:p>
      <w:pPr>
        <w:pStyle w:val="Heading5"/>
      </w:pPr>
      <w:bookmarkStart w:id="223" w:name="_Toc164173954"/>
      <w:bookmarkStart w:id="224" w:name="_Toc164842701"/>
      <w:r>
        <w:rPr>
          <w:rStyle w:val="CharSectno"/>
        </w:rPr>
        <w:t>59O</w:t>
      </w:r>
      <w:r>
        <w:t>.</w:t>
      </w:r>
      <w:r>
        <w:tab/>
        <w:t>Registration is subject to terms and conditions</w:t>
      </w:r>
      <w:bookmarkEnd w:id="223"/>
      <w:bookmarkEnd w:id="224"/>
    </w:p>
    <w:p>
      <w:pPr>
        <w:pStyle w:val="Subsection"/>
      </w:pPr>
      <w:r>
        <w:tab/>
        <w:t>(1)</w:t>
      </w:r>
      <w:r>
        <w:tab/>
        <w:t xml:space="preserve">A registration is subject to a condition that the registration holder must comply with the provisions of the AES code of </w:t>
      </w:r>
      <w:r>
        <w:lastRenderedPageBreak/>
        <w:t>practice that are prescribed by the regulations to apply to the alternative electricity service or class of alternative electricity service to which the registration applies.</w:t>
      </w:r>
    </w:p>
    <w:p>
      <w:pPr>
        <w:pStyle w:val="Subsection"/>
      </w:pPr>
      <w:r>
        <w:tab/>
        <w:t>(2)</w:t>
      </w:r>
      <w:r>
        <w:tab/>
        <w:t>A registration is subject to a condition that the registration holder must notify the Authority of any change of circumstances that may materially affect the registration holder’s ability to meet their obligations under this Act.</w:t>
      </w:r>
    </w:p>
    <w:p>
      <w:pPr>
        <w:pStyle w:val="Subsection"/>
      </w:pPr>
      <w:r>
        <w:tab/>
        <w:t>(3)</w:t>
      </w:r>
      <w:r>
        <w:tab/>
        <w:t>A registration is subject to any other terms and conditions that are determined by the Authority or prescribed by this Act or the regulations.</w:t>
      </w:r>
    </w:p>
    <w:p>
      <w:pPr>
        <w:pStyle w:val="Subsection"/>
      </w:pPr>
      <w:r>
        <w:tab/>
        <w:t>(4)</w:t>
      </w:r>
      <w:r>
        <w:tab/>
        <w:t>The Authority may at any time amend the terms and conditions of a registration determined by the Authority.</w:t>
      </w:r>
    </w:p>
    <w:p>
      <w:pPr>
        <w:pStyle w:val="Subsection"/>
      </w:pPr>
      <w:r>
        <w:tab/>
        <w:t>(5)</w:t>
      </w:r>
      <w:r>
        <w:tab/>
        <w:t xml:space="preserve">The regulations may prescribe terms and conditions of registration for — </w:t>
      </w:r>
    </w:p>
    <w:p>
      <w:pPr>
        <w:pStyle w:val="Indenta"/>
      </w:pPr>
      <w:r>
        <w:tab/>
        <w:t>(a)</w:t>
      </w:r>
      <w:r>
        <w:tab/>
        <w:t>an alternative electricity service; or</w:t>
      </w:r>
    </w:p>
    <w:p>
      <w:pPr>
        <w:pStyle w:val="Indenta"/>
      </w:pPr>
      <w:r>
        <w:tab/>
        <w:t>(b)</w:t>
      </w:r>
      <w:r>
        <w:tab/>
        <w:t>a class of alternative electricity service.</w:t>
      </w:r>
    </w:p>
    <w:p>
      <w:pPr>
        <w:pStyle w:val="Footnotesection"/>
      </w:pPr>
      <w:r>
        <w:tab/>
        <w:t>[Section 59O inserted: No. 10 of 2024 s. 14.]</w:t>
      </w:r>
    </w:p>
    <w:p>
      <w:pPr>
        <w:pStyle w:val="Heading5"/>
      </w:pPr>
      <w:bookmarkStart w:id="225" w:name="_Toc164173955"/>
      <w:bookmarkStart w:id="226" w:name="_Toc164842702"/>
      <w:r>
        <w:rPr>
          <w:rStyle w:val="CharSectno"/>
        </w:rPr>
        <w:t>59P</w:t>
      </w:r>
      <w:r>
        <w:t>.</w:t>
      </w:r>
      <w:r>
        <w:tab/>
        <w:t>Duration of registration</w:t>
      </w:r>
      <w:bookmarkEnd w:id="225"/>
      <w:bookmarkEnd w:id="226"/>
    </w:p>
    <w:p>
      <w:pPr>
        <w:pStyle w:val="Subsection"/>
      </w:pPr>
      <w:r>
        <w:tab/>
      </w:r>
      <w:r>
        <w:tab/>
        <w:t>The Authority may grant or renew a registration for any period not exceeding 15 years that the Authority considers appropriate.</w:t>
      </w:r>
    </w:p>
    <w:p>
      <w:pPr>
        <w:pStyle w:val="Footnotesection"/>
      </w:pPr>
      <w:r>
        <w:tab/>
        <w:t>[Section 59P inserted: No. 10 of 2024 s. 14.]</w:t>
      </w:r>
    </w:p>
    <w:p>
      <w:pPr>
        <w:pStyle w:val="Heading5"/>
      </w:pPr>
      <w:bookmarkStart w:id="227" w:name="_Toc164173956"/>
      <w:bookmarkStart w:id="228" w:name="_Toc164842703"/>
      <w:r>
        <w:rPr>
          <w:rStyle w:val="CharSectno"/>
        </w:rPr>
        <w:t>59Q</w:t>
      </w:r>
      <w:r>
        <w:t>.</w:t>
      </w:r>
      <w:r>
        <w:tab/>
        <w:t>Annual fees</w:t>
      </w:r>
      <w:bookmarkEnd w:id="227"/>
      <w:bookmarkEnd w:id="228"/>
    </w:p>
    <w:p>
      <w:pPr>
        <w:pStyle w:val="Subsection"/>
      </w:pPr>
      <w:r>
        <w:tab/>
        <w:t>(1)</w:t>
      </w:r>
      <w:r>
        <w:tab/>
        <w:t>A registration holder must pay the prescribed annual fee to the Authority within a period determined by the Authority.</w:t>
      </w:r>
    </w:p>
    <w:p>
      <w:pPr>
        <w:pStyle w:val="Subsection"/>
      </w:pPr>
      <w:r>
        <w:tab/>
        <w:t>(2)</w:t>
      </w:r>
      <w:r>
        <w:tab/>
        <w:t>The Authority may recover any outstanding annual fee in a court of competent jurisdiction as a debt due by the registration holder to the State.</w:t>
      </w:r>
    </w:p>
    <w:p>
      <w:pPr>
        <w:pStyle w:val="Footnotesection"/>
      </w:pPr>
      <w:r>
        <w:tab/>
        <w:t>[Section 59Q inserted: No. 10 of 2024 s. 14.]</w:t>
      </w:r>
    </w:p>
    <w:p>
      <w:pPr>
        <w:pStyle w:val="Heading5"/>
      </w:pPr>
      <w:bookmarkStart w:id="229" w:name="_Toc164173957"/>
      <w:bookmarkStart w:id="230" w:name="_Toc164842704"/>
      <w:r>
        <w:rPr>
          <w:rStyle w:val="CharSectno"/>
        </w:rPr>
        <w:lastRenderedPageBreak/>
        <w:t>59R</w:t>
      </w:r>
      <w:r>
        <w:t>.</w:t>
      </w:r>
      <w:r>
        <w:tab/>
        <w:t>Surrender of registration</w:t>
      </w:r>
      <w:bookmarkEnd w:id="229"/>
      <w:bookmarkEnd w:id="230"/>
    </w:p>
    <w:p>
      <w:pPr>
        <w:pStyle w:val="Subsection"/>
      </w:pPr>
      <w:r>
        <w:tab/>
        <w:t>(1)</w:t>
      </w:r>
      <w:r>
        <w:tab/>
        <w:t>A registration holder must not surrender a registration unless the Authority on the application of the registration holder has approved the surrender.</w:t>
      </w:r>
    </w:p>
    <w:p>
      <w:pPr>
        <w:pStyle w:val="Subsection"/>
      </w:pPr>
      <w:r>
        <w:tab/>
        <w:t>(2)</w:t>
      </w:r>
      <w:r>
        <w:tab/>
        <w:t xml:space="preserve">An application for approval to surrender a registration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The Authority must not approve a surrender of a registration unless the Authority is satisfied that it would not be contrary to the public interest to do so.</w:t>
      </w:r>
    </w:p>
    <w:p>
      <w:pPr>
        <w:pStyle w:val="Footnotesection"/>
      </w:pPr>
      <w:r>
        <w:tab/>
        <w:t>[Section 59R inserted: No. 10 of 2024 s. 14.]</w:t>
      </w:r>
    </w:p>
    <w:p>
      <w:pPr>
        <w:pStyle w:val="Heading5"/>
      </w:pPr>
      <w:bookmarkStart w:id="231" w:name="_Toc164173958"/>
      <w:bookmarkStart w:id="232" w:name="_Toc164842705"/>
      <w:r>
        <w:rPr>
          <w:rStyle w:val="CharSectno"/>
        </w:rPr>
        <w:t>59S</w:t>
      </w:r>
      <w:r>
        <w:t>.</w:t>
      </w:r>
      <w:r>
        <w:tab/>
        <w:t>Other laws not affected</w:t>
      </w:r>
      <w:bookmarkEnd w:id="231"/>
      <w:bookmarkEnd w:id="232"/>
    </w:p>
    <w:p>
      <w:pPr>
        <w:pStyle w:val="Subsection"/>
      </w:pPr>
      <w:r>
        <w:tab/>
      </w:r>
      <w:r>
        <w:tab/>
        <w:t>The grant, renewal or amendment of a registration or the approval of the transfer or surrender of a registration does not affect the registration holder’s obligations to comply with any other written law in relation to the matters covered by the registration.</w:t>
      </w:r>
    </w:p>
    <w:p>
      <w:pPr>
        <w:pStyle w:val="Footnotesection"/>
      </w:pPr>
      <w:r>
        <w:tab/>
        <w:t>[Section 59S inserted: No. 10 of 2024 s. 14.]</w:t>
      </w:r>
    </w:p>
    <w:p>
      <w:pPr>
        <w:pStyle w:val="Heading5"/>
      </w:pPr>
      <w:bookmarkStart w:id="233" w:name="_Toc164173959"/>
      <w:bookmarkStart w:id="234" w:name="_Toc164842706"/>
      <w:r>
        <w:rPr>
          <w:rStyle w:val="CharSectno"/>
        </w:rPr>
        <w:t>59T</w:t>
      </w:r>
      <w:r>
        <w:t>.</w:t>
      </w:r>
      <w:r>
        <w:tab/>
        <w:t>Notice of decision</w:t>
      </w:r>
      <w:bookmarkEnd w:id="233"/>
      <w:bookmarkEnd w:id="234"/>
      <w:r>
        <w:t xml:space="preserve"> </w:t>
      </w:r>
    </w:p>
    <w:p>
      <w:pPr>
        <w:pStyle w:val="Subsection"/>
      </w:pPr>
      <w:r>
        <w:tab/>
        <w:t>(1)</w:t>
      </w:r>
      <w:r>
        <w:tab/>
        <w:t xml:space="preserve">The Authority must ensure that written notice of each of the following decisions is given to the applicant within 14 days after the decision is made — </w:t>
      </w:r>
    </w:p>
    <w:p>
      <w:pPr>
        <w:pStyle w:val="Indenta"/>
      </w:pPr>
      <w:r>
        <w:tab/>
        <w:t>(a)</w:t>
      </w:r>
      <w:r>
        <w:tab/>
        <w:t>a decision to grant a registration;</w:t>
      </w:r>
    </w:p>
    <w:p>
      <w:pPr>
        <w:pStyle w:val="Indenta"/>
      </w:pPr>
      <w:r>
        <w:tab/>
        <w:t>(b)</w:t>
      </w:r>
      <w:r>
        <w:tab/>
        <w:t>a decision to renew a registration;</w:t>
      </w:r>
    </w:p>
    <w:p>
      <w:pPr>
        <w:pStyle w:val="Indenta"/>
      </w:pPr>
      <w:r>
        <w:tab/>
        <w:t>(c)</w:t>
      </w:r>
      <w:r>
        <w:tab/>
        <w:t>a decision to amend a registration;</w:t>
      </w:r>
    </w:p>
    <w:p>
      <w:pPr>
        <w:pStyle w:val="Indenta"/>
      </w:pPr>
      <w:r>
        <w:tab/>
        <w:t>(d)</w:t>
      </w:r>
      <w:r>
        <w:tab/>
        <w:t>a decision to approve the transfer of a registration;</w:t>
      </w:r>
    </w:p>
    <w:p>
      <w:pPr>
        <w:pStyle w:val="Indenta"/>
      </w:pPr>
      <w:r>
        <w:tab/>
        <w:t>(e)</w:t>
      </w:r>
      <w:r>
        <w:tab/>
        <w:t>a decision to approve the surrender of a registration.</w:t>
      </w:r>
    </w:p>
    <w:p>
      <w:pPr>
        <w:pStyle w:val="Subsection"/>
      </w:pPr>
      <w:r>
        <w:lastRenderedPageBreak/>
        <w:tab/>
        <w:t>(2)</w:t>
      </w:r>
      <w:r>
        <w:tab/>
        <w:t xml:space="preserve">The Authority must ensure that written notice of each of the following decisions and a statement of the reasons for the decision is given to the applicant within 14 days after the decision is made — </w:t>
      </w:r>
    </w:p>
    <w:p>
      <w:pPr>
        <w:pStyle w:val="Indenta"/>
      </w:pPr>
      <w:r>
        <w:tab/>
        <w:t>(a)</w:t>
      </w:r>
      <w:r>
        <w:tab/>
        <w:t>a decision to refuse to grant a registration;</w:t>
      </w:r>
    </w:p>
    <w:p>
      <w:pPr>
        <w:pStyle w:val="Indenta"/>
      </w:pPr>
      <w:r>
        <w:tab/>
        <w:t>(b)</w:t>
      </w:r>
      <w:r>
        <w:tab/>
        <w:t>a decision to refuse to renew a registration;</w:t>
      </w:r>
    </w:p>
    <w:p>
      <w:pPr>
        <w:pStyle w:val="Indenta"/>
      </w:pPr>
      <w:r>
        <w:tab/>
        <w:t>(c)</w:t>
      </w:r>
      <w:r>
        <w:tab/>
        <w:t>a decision to refuse to amend a registration;</w:t>
      </w:r>
    </w:p>
    <w:p>
      <w:pPr>
        <w:pStyle w:val="Indenta"/>
      </w:pPr>
      <w:r>
        <w:tab/>
        <w:t>(d)</w:t>
      </w:r>
      <w:r>
        <w:tab/>
        <w:t>a decision to refuse to approve the transfer of a registration;</w:t>
      </w:r>
    </w:p>
    <w:p>
      <w:pPr>
        <w:pStyle w:val="Indenta"/>
      </w:pPr>
      <w:r>
        <w:tab/>
        <w:t>(e)</w:t>
      </w:r>
      <w:r>
        <w:tab/>
        <w:t>a decision to refuse to approve the surrender of a registration.</w:t>
      </w:r>
    </w:p>
    <w:p>
      <w:pPr>
        <w:pStyle w:val="Footnotesection"/>
      </w:pPr>
      <w:r>
        <w:tab/>
        <w:t>[Section 59T inserted: No. 10 of 2024 s. 14.]</w:t>
      </w:r>
    </w:p>
    <w:p>
      <w:pPr>
        <w:pStyle w:val="Heading5"/>
      </w:pPr>
      <w:bookmarkStart w:id="235" w:name="_Toc164173960"/>
      <w:bookmarkStart w:id="236" w:name="_Toc164842707"/>
      <w:r>
        <w:rPr>
          <w:rStyle w:val="CharSectno"/>
        </w:rPr>
        <w:t>59U</w:t>
      </w:r>
      <w:r>
        <w:t>.</w:t>
      </w:r>
      <w:r>
        <w:tab/>
        <w:t>Review of certain decisions</w:t>
      </w:r>
      <w:bookmarkEnd w:id="235"/>
      <w:bookmarkEnd w:id="236"/>
    </w:p>
    <w:p>
      <w:pPr>
        <w:pStyle w:val="Subsection"/>
      </w:pPr>
      <w:r>
        <w:tab/>
        <w:t>(1)</w:t>
      </w:r>
      <w:r>
        <w:tab/>
        <w:t xml:space="preserve">The Table sets out — </w:t>
      </w:r>
    </w:p>
    <w:p>
      <w:pPr>
        <w:pStyle w:val="Indenta"/>
      </w:pPr>
      <w:r>
        <w:tab/>
        <w:t>(a)</w:t>
      </w:r>
      <w:r>
        <w:tab/>
        <w:t xml:space="preserve">decisions made under this Part that are reviewable in accordance with this section (each a </w:t>
      </w:r>
      <w:r>
        <w:rPr>
          <w:rStyle w:val="CharDefText"/>
        </w:rPr>
        <w:t>reviewable decision</w:t>
      </w:r>
      <w:r>
        <w:t>); and</w:t>
      </w:r>
    </w:p>
    <w:p>
      <w:pPr>
        <w:pStyle w:val="Indenta"/>
      </w:pPr>
      <w:r>
        <w:tab/>
        <w:t>(b)</w:t>
      </w:r>
      <w:r>
        <w:tab/>
        <w:t xml:space="preserve">who is eligible to apply for a review of a reviewable decision (the </w:t>
      </w:r>
      <w:r>
        <w:rPr>
          <w:rStyle w:val="CharDefText"/>
        </w:rPr>
        <w:t>affected person</w:t>
      </w:r>
      <w:r>
        <w:t>).</w:t>
      </w:r>
    </w:p>
    <w:p>
      <w:pPr>
        <w:pStyle w:val="THeadingNAm"/>
      </w:pPr>
      <w:r>
        <w:t>Table</w:t>
      </w:r>
    </w:p>
    <w:tbl>
      <w:tblPr>
        <w:tblW w:w="6237"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3260"/>
        <w:gridCol w:w="2268"/>
      </w:tblGrid>
      <w:tr>
        <w:trPr>
          <w:cantSplit/>
          <w:tblHeader/>
        </w:trPr>
        <w:tc>
          <w:tcPr>
            <w:tcW w:w="709" w:type="dxa"/>
            <w:noWrap/>
          </w:tcPr>
          <w:p>
            <w:pPr>
              <w:pStyle w:val="TableNAm"/>
              <w:jc w:val="center"/>
              <w:rPr>
                <w:b/>
              </w:rPr>
            </w:pPr>
            <w:r>
              <w:rPr>
                <w:b/>
              </w:rPr>
              <w:t>Item</w:t>
            </w:r>
          </w:p>
        </w:tc>
        <w:tc>
          <w:tcPr>
            <w:tcW w:w="3260" w:type="dxa"/>
            <w:noWrap/>
          </w:tcPr>
          <w:p>
            <w:pPr>
              <w:pStyle w:val="TableNAm"/>
              <w:jc w:val="center"/>
              <w:rPr>
                <w:b/>
              </w:rPr>
            </w:pPr>
            <w:r>
              <w:rPr>
                <w:b/>
              </w:rPr>
              <w:t>Reviewable decision</w:t>
            </w:r>
          </w:p>
        </w:tc>
        <w:tc>
          <w:tcPr>
            <w:tcW w:w="2268" w:type="dxa"/>
            <w:noWrap/>
          </w:tcPr>
          <w:p>
            <w:pPr>
              <w:pStyle w:val="TableNAm"/>
              <w:jc w:val="center"/>
              <w:rPr>
                <w:b/>
              </w:rPr>
            </w:pPr>
            <w:r>
              <w:rPr>
                <w:b/>
              </w:rPr>
              <w:t>Affected person</w:t>
            </w:r>
          </w:p>
        </w:tc>
      </w:tr>
      <w:tr>
        <w:trPr>
          <w:cantSplit/>
        </w:trPr>
        <w:tc>
          <w:tcPr>
            <w:tcW w:w="709" w:type="dxa"/>
            <w:noWrap/>
          </w:tcPr>
          <w:p>
            <w:pPr>
              <w:pStyle w:val="TableNAm"/>
            </w:pPr>
            <w:r>
              <w:t>1.</w:t>
            </w:r>
          </w:p>
        </w:tc>
        <w:tc>
          <w:tcPr>
            <w:tcW w:w="3260" w:type="dxa"/>
            <w:noWrap/>
          </w:tcPr>
          <w:p>
            <w:pPr>
              <w:pStyle w:val="TableNAm"/>
            </w:pPr>
            <w:r>
              <w:t>A decision of the Authority under section 59M to refuse to grant a registration</w:t>
            </w:r>
          </w:p>
        </w:tc>
        <w:tc>
          <w:tcPr>
            <w:tcW w:w="2268" w:type="dxa"/>
            <w:noWrap/>
          </w:tcPr>
          <w:p>
            <w:pPr>
              <w:pStyle w:val="TableNAm"/>
            </w:pPr>
            <w:r>
              <w:t>The applicant for registration</w:t>
            </w:r>
          </w:p>
        </w:tc>
      </w:tr>
      <w:tr>
        <w:trPr>
          <w:cantSplit/>
        </w:trPr>
        <w:tc>
          <w:tcPr>
            <w:tcW w:w="709" w:type="dxa"/>
            <w:noWrap/>
          </w:tcPr>
          <w:p>
            <w:pPr>
              <w:pStyle w:val="TableNAm"/>
            </w:pPr>
            <w:r>
              <w:t>2.</w:t>
            </w:r>
          </w:p>
        </w:tc>
        <w:tc>
          <w:tcPr>
            <w:tcW w:w="3260" w:type="dxa"/>
            <w:noWrap/>
          </w:tcPr>
          <w:p>
            <w:pPr>
              <w:pStyle w:val="TableNAm"/>
            </w:pPr>
            <w:r>
              <w:t>A decision of the Authority under section 59M to refuse to renew a registration</w:t>
            </w:r>
          </w:p>
        </w:tc>
        <w:tc>
          <w:tcPr>
            <w:tcW w:w="2268" w:type="dxa"/>
            <w:noWrap/>
          </w:tcPr>
          <w:p>
            <w:pPr>
              <w:pStyle w:val="TableNAm"/>
            </w:pPr>
            <w:r>
              <w:t>The registration holder</w:t>
            </w:r>
          </w:p>
        </w:tc>
      </w:tr>
      <w:tr>
        <w:trPr>
          <w:cantSplit/>
        </w:trPr>
        <w:tc>
          <w:tcPr>
            <w:tcW w:w="709" w:type="dxa"/>
            <w:noWrap/>
          </w:tcPr>
          <w:p>
            <w:pPr>
              <w:pStyle w:val="TableNAm"/>
            </w:pPr>
            <w:r>
              <w:lastRenderedPageBreak/>
              <w:t>3.</w:t>
            </w:r>
          </w:p>
        </w:tc>
        <w:tc>
          <w:tcPr>
            <w:tcW w:w="3260" w:type="dxa"/>
            <w:noWrap/>
          </w:tcPr>
          <w:p>
            <w:pPr>
              <w:pStyle w:val="TableNAm"/>
            </w:pPr>
            <w:r>
              <w:t>A decision of the Authority under section 59M to refuse to approve the transfer of a registration</w:t>
            </w:r>
          </w:p>
        </w:tc>
        <w:tc>
          <w:tcPr>
            <w:tcW w:w="2268" w:type="dxa"/>
            <w:noWrap/>
          </w:tcPr>
          <w:p>
            <w:pPr>
              <w:pStyle w:val="TableNAm"/>
            </w:pPr>
            <w:r>
              <w:t>The applicant for approval</w:t>
            </w:r>
          </w:p>
        </w:tc>
      </w:tr>
      <w:tr>
        <w:trPr>
          <w:cantSplit/>
        </w:trPr>
        <w:tc>
          <w:tcPr>
            <w:tcW w:w="709" w:type="dxa"/>
            <w:noWrap/>
          </w:tcPr>
          <w:p>
            <w:pPr>
              <w:pStyle w:val="TableNAm"/>
            </w:pPr>
            <w:r>
              <w:t>4.</w:t>
            </w:r>
          </w:p>
        </w:tc>
        <w:tc>
          <w:tcPr>
            <w:tcW w:w="3260" w:type="dxa"/>
            <w:noWrap/>
          </w:tcPr>
          <w:p>
            <w:pPr>
              <w:pStyle w:val="TableNAm"/>
            </w:pPr>
            <w:r>
              <w:t>A decision of the Authority to impose a term or condition on a registration under section 59O(3)</w:t>
            </w:r>
          </w:p>
        </w:tc>
        <w:tc>
          <w:tcPr>
            <w:tcW w:w="2268" w:type="dxa"/>
            <w:noWrap/>
          </w:tcPr>
          <w:p>
            <w:pPr>
              <w:pStyle w:val="TableNAm"/>
            </w:pPr>
            <w:r>
              <w:t xml:space="preserve">The registration holder </w:t>
            </w:r>
          </w:p>
        </w:tc>
      </w:tr>
      <w:tr>
        <w:trPr>
          <w:cantSplit/>
        </w:trPr>
        <w:tc>
          <w:tcPr>
            <w:tcW w:w="709" w:type="dxa"/>
            <w:noWrap/>
          </w:tcPr>
          <w:p>
            <w:pPr>
              <w:pStyle w:val="TableNAm"/>
            </w:pPr>
            <w:r>
              <w:t>5.</w:t>
            </w:r>
          </w:p>
        </w:tc>
        <w:tc>
          <w:tcPr>
            <w:tcW w:w="3260" w:type="dxa"/>
            <w:noWrap/>
          </w:tcPr>
          <w:p>
            <w:pPr>
              <w:pStyle w:val="TableNAm"/>
            </w:pPr>
            <w:r>
              <w:t>A decision of the Authority to amend a term or condition of a registration under section 59O(4)</w:t>
            </w:r>
          </w:p>
        </w:tc>
        <w:tc>
          <w:tcPr>
            <w:tcW w:w="2268" w:type="dxa"/>
            <w:noWrap/>
          </w:tcPr>
          <w:p>
            <w:pPr>
              <w:pStyle w:val="TableNAm"/>
            </w:pPr>
            <w:r>
              <w:t xml:space="preserve">The registration holder </w:t>
            </w:r>
          </w:p>
        </w:tc>
      </w:tr>
      <w:tr>
        <w:trPr>
          <w:cantSplit/>
        </w:trPr>
        <w:tc>
          <w:tcPr>
            <w:tcW w:w="709" w:type="dxa"/>
            <w:noWrap/>
          </w:tcPr>
          <w:p>
            <w:pPr>
              <w:pStyle w:val="TableNAm"/>
            </w:pPr>
            <w:r>
              <w:t>6.</w:t>
            </w:r>
          </w:p>
        </w:tc>
        <w:tc>
          <w:tcPr>
            <w:tcW w:w="3260" w:type="dxa"/>
            <w:noWrap/>
          </w:tcPr>
          <w:p>
            <w:pPr>
              <w:pStyle w:val="TableNAm"/>
            </w:pPr>
            <w:r>
              <w:t>A decision by the Authority as to the period of registration or renewal of registration under section 59P</w:t>
            </w:r>
          </w:p>
        </w:tc>
        <w:tc>
          <w:tcPr>
            <w:tcW w:w="2268" w:type="dxa"/>
            <w:noWrap/>
          </w:tcPr>
          <w:p>
            <w:pPr>
              <w:pStyle w:val="TableNAm"/>
            </w:pPr>
            <w:r>
              <w:t>The registration holder</w:t>
            </w:r>
          </w:p>
        </w:tc>
      </w:tr>
      <w:tr>
        <w:trPr>
          <w:cantSplit/>
        </w:trPr>
        <w:tc>
          <w:tcPr>
            <w:tcW w:w="709" w:type="dxa"/>
            <w:noWrap/>
          </w:tcPr>
          <w:p>
            <w:pPr>
              <w:pStyle w:val="TableNAm"/>
            </w:pPr>
            <w:r>
              <w:t>7.</w:t>
            </w:r>
          </w:p>
        </w:tc>
        <w:tc>
          <w:tcPr>
            <w:tcW w:w="3260" w:type="dxa"/>
            <w:noWrap/>
          </w:tcPr>
          <w:p>
            <w:pPr>
              <w:pStyle w:val="TableNAm"/>
            </w:pPr>
            <w:r>
              <w:t>A decision of the Authority under section 59R to refuse to approve the surrender of a registration</w:t>
            </w:r>
          </w:p>
        </w:tc>
        <w:tc>
          <w:tcPr>
            <w:tcW w:w="2268" w:type="dxa"/>
            <w:noWrap/>
          </w:tcPr>
          <w:p>
            <w:pPr>
              <w:pStyle w:val="TableNAm"/>
            </w:pPr>
            <w:r>
              <w:t>The applicant for approval</w:t>
            </w:r>
          </w:p>
        </w:tc>
      </w:tr>
    </w:tbl>
    <w:p>
      <w:pPr>
        <w:pStyle w:val="Subsection"/>
      </w:pPr>
      <w:r>
        <w:tab/>
        <w:t>(2)</w:t>
      </w:r>
      <w:r>
        <w:tab/>
        <w:t>An affected person who is aggrieved by a reviewable decision may apply to the State Administrative Tribunal for a review of the decision.</w:t>
      </w:r>
    </w:p>
    <w:p>
      <w:pPr>
        <w:pStyle w:val="Subsection"/>
      </w:pPr>
      <w:r>
        <w:tab/>
        <w:t>(3)</w:t>
      </w:r>
      <w:r>
        <w:tab/>
        <w:t>The application must be made within 28 days after the day on which notice of the reviewable decision is given.</w:t>
      </w:r>
    </w:p>
    <w:p>
      <w:pPr>
        <w:pStyle w:val="Footnotesection"/>
      </w:pPr>
      <w:r>
        <w:tab/>
        <w:t>[Section 59U inserted: No. 10 of 2024 s. 14.]</w:t>
      </w:r>
    </w:p>
    <w:p>
      <w:pPr>
        <w:pStyle w:val="Heading5"/>
      </w:pPr>
      <w:bookmarkStart w:id="237" w:name="_Toc164173961"/>
      <w:bookmarkStart w:id="238" w:name="_Toc164842708"/>
      <w:r>
        <w:rPr>
          <w:rStyle w:val="CharSectno"/>
        </w:rPr>
        <w:lastRenderedPageBreak/>
        <w:t>59V</w:t>
      </w:r>
      <w:r>
        <w:t>.</w:t>
      </w:r>
      <w:r>
        <w:tab/>
        <w:t>Register</w:t>
      </w:r>
      <w:bookmarkEnd w:id="237"/>
      <w:bookmarkEnd w:id="238"/>
    </w:p>
    <w:p>
      <w:pPr>
        <w:pStyle w:val="Subsection"/>
      </w:pPr>
      <w:r>
        <w:tab/>
        <w:t>(1)</w:t>
      </w:r>
      <w:r>
        <w:tab/>
        <w:t xml:space="preserve">The Authority must publish a register in accordance with this section of any of the following — </w:t>
      </w:r>
    </w:p>
    <w:p>
      <w:pPr>
        <w:pStyle w:val="Indenta"/>
      </w:pPr>
      <w:r>
        <w:tab/>
        <w:t>(a)</w:t>
      </w:r>
      <w:r>
        <w:tab/>
        <w:t>an application for registration;</w:t>
      </w:r>
    </w:p>
    <w:p>
      <w:pPr>
        <w:pStyle w:val="Indenta"/>
      </w:pPr>
      <w:r>
        <w:tab/>
        <w:t>(b)</w:t>
      </w:r>
      <w:r>
        <w:tab/>
        <w:t>a grant or renewal of registration;</w:t>
      </w:r>
    </w:p>
    <w:p>
      <w:pPr>
        <w:pStyle w:val="Indenta"/>
      </w:pPr>
      <w:r>
        <w:tab/>
        <w:t>(c)</w:t>
      </w:r>
      <w:r>
        <w:tab/>
        <w:t>an amendment of registration;</w:t>
      </w:r>
    </w:p>
    <w:p>
      <w:pPr>
        <w:pStyle w:val="Indenta"/>
      </w:pPr>
      <w:r>
        <w:tab/>
        <w:t>(d)</w:t>
      </w:r>
      <w:r>
        <w:tab/>
        <w:t>an approval of a transfer of registration;</w:t>
      </w:r>
    </w:p>
    <w:p>
      <w:pPr>
        <w:pStyle w:val="Indenta"/>
      </w:pPr>
      <w:r>
        <w:tab/>
        <w:t>(e)</w:t>
      </w:r>
      <w:r>
        <w:tab/>
        <w:t>a refusal of an application for registration or a renewal or amendment of registration;</w:t>
      </w:r>
    </w:p>
    <w:p>
      <w:pPr>
        <w:pStyle w:val="Indenta"/>
      </w:pPr>
      <w:r>
        <w:tab/>
        <w:t>(f)</w:t>
      </w:r>
      <w:r>
        <w:tab/>
        <w:t>a surrender of registration;</w:t>
      </w:r>
    </w:p>
    <w:p>
      <w:pPr>
        <w:pStyle w:val="Indenta"/>
      </w:pPr>
      <w:r>
        <w:tab/>
        <w:t>(g)</w:t>
      </w:r>
      <w:r>
        <w:tab/>
        <w:t>a suspension or revocation of registration.</w:t>
      </w:r>
    </w:p>
    <w:p>
      <w:pPr>
        <w:pStyle w:val="Subsection"/>
      </w:pPr>
      <w:r>
        <w:tab/>
        <w:t>(2)</w:t>
      </w:r>
      <w:r>
        <w:tab/>
        <w:t>The register must be published on the Authority’s website and made available for members of the public to inspect free of charge.</w:t>
      </w:r>
    </w:p>
    <w:p>
      <w:pPr>
        <w:pStyle w:val="Subsection"/>
      </w:pPr>
      <w:r>
        <w:tab/>
        <w:t>(3)</w:t>
      </w:r>
      <w:r>
        <w:tab/>
        <w:t>If an application for registration is refused, the Authority may include in the register any details relating to that refusal that the Authority thinks fit.</w:t>
      </w:r>
    </w:p>
    <w:p>
      <w:pPr>
        <w:pStyle w:val="Subsection"/>
      </w:pPr>
      <w:r>
        <w:tab/>
        <w:t>(4)</w:t>
      </w:r>
      <w:r>
        <w:tab/>
        <w:t>The Authority must publish each of the following decisions on the register within 14 days after the decision is made —</w:t>
      </w:r>
    </w:p>
    <w:p>
      <w:pPr>
        <w:pStyle w:val="Indenta"/>
      </w:pPr>
      <w:r>
        <w:tab/>
        <w:t>(a)</w:t>
      </w:r>
      <w:r>
        <w:tab/>
        <w:t>a decision to grant a registration;</w:t>
      </w:r>
    </w:p>
    <w:p>
      <w:pPr>
        <w:pStyle w:val="Indenta"/>
      </w:pPr>
      <w:r>
        <w:tab/>
        <w:t>(b)</w:t>
      </w:r>
      <w:r>
        <w:tab/>
        <w:t>a decision to refuse to grant a registration;</w:t>
      </w:r>
    </w:p>
    <w:p>
      <w:pPr>
        <w:pStyle w:val="Indenta"/>
      </w:pPr>
      <w:r>
        <w:tab/>
        <w:t>(c)</w:t>
      </w:r>
      <w:r>
        <w:tab/>
        <w:t>a decision to renew a registration;</w:t>
      </w:r>
    </w:p>
    <w:p>
      <w:pPr>
        <w:pStyle w:val="Indenta"/>
      </w:pPr>
      <w:r>
        <w:tab/>
        <w:t>(d)</w:t>
      </w:r>
      <w:r>
        <w:tab/>
        <w:t>a decision to refuse to renew a registration;</w:t>
      </w:r>
    </w:p>
    <w:p>
      <w:pPr>
        <w:pStyle w:val="Indenta"/>
      </w:pPr>
      <w:r>
        <w:tab/>
        <w:t>(e)</w:t>
      </w:r>
      <w:r>
        <w:tab/>
        <w:t>a decision to amend a registration;</w:t>
      </w:r>
    </w:p>
    <w:p>
      <w:pPr>
        <w:pStyle w:val="Indenta"/>
      </w:pPr>
      <w:r>
        <w:tab/>
        <w:t>(f)</w:t>
      </w:r>
      <w:r>
        <w:tab/>
        <w:t>a decision to refuse to amend a registration;</w:t>
      </w:r>
    </w:p>
    <w:p>
      <w:pPr>
        <w:pStyle w:val="Indenta"/>
      </w:pPr>
      <w:r>
        <w:tab/>
        <w:t>(g)</w:t>
      </w:r>
      <w:r>
        <w:tab/>
        <w:t>a decision to approve a transfer of registration;</w:t>
      </w:r>
    </w:p>
    <w:p>
      <w:pPr>
        <w:pStyle w:val="Indenta"/>
      </w:pPr>
      <w:r>
        <w:tab/>
        <w:t>(h)</w:t>
      </w:r>
      <w:r>
        <w:tab/>
        <w:t>a decision to refuse to approve a transfer of registration;</w:t>
      </w:r>
    </w:p>
    <w:p>
      <w:pPr>
        <w:pStyle w:val="Indenta"/>
      </w:pPr>
      <w:r>
        <w:tab/>
        <w:t>(i)</w:t>
      </w:r>
      <w:r>
        <w:tab/>
        <w:t>a decision to approve a surrender of registration;</w:t>
      </w:r>
    </w:p>
    <w:p>
      <w:pPr>
        <w:pStyle w:val="Indenta"/>
      </w:pPr>
      <w:r>
        <w:lastRenderedPageBreak/>
        <w:tab/>
        <w:t>(j)</w:t>
      </w:r>
      <w:r>
        <w:tab/>
        <w:t>a decision to refuse to approve a surrender of registration.</w:t>
      </w:r>
    </w:p>
    <w:p>
      <w:pPr>
        <w:pStyle w:val="Subsection"/>
      </w:pPr>
      <w:r>
        <w:tab/>
        <w:t>(5)</w:t>
      </w:r>
      <w:r>
        <w:tab/>
        <w:t>If a registration is granted, the register must include —</w:t>
      </w:r>
    </w:p>
    <w:p>
      <w:pPr>
        <w:pStyle w:val="Indenta"/>
      </w:pPr>
      <w:r>
        <w:tab/>
        <w:t>(a)</w:t>
      </w:r>
      <w:r>
        <w:tab/>
        <w:t>the name and street address of the registration holder; and</w:t>
      </w:r>
    </w:p>
    <w:p>
      <w:pPr>
        <w:pStyle w:val="Indenta"/>
      </w:pPr>
      <w:r>
        <w:tab/>
        <w:t>(b)</w:t>
      </w:r>
      <w:r>
        <w:tab/>
        <w:t>the name and contact details of the person who will handle customer requests for information and complaints; and</w:t>
      </w:r>
    </w:p>
    <w:p>
      <w:pPr>
        <w:pStyle w:val="Indenta"/>
      </w:pPr>
      <w:r>
        <w:tab/>
        <w:t>(c)</w:t>
      </w:r>
      <w:r>
        <w:tab/>
        <w:t>the alternative electricity service for which the registration is granted; and</w:t>
      </w:r>
    </w:p>
    <w:p>
      <w:pPr>
        <w:pStyle w:val="Indenta"/>
      </w:pPr>
      <w:r>
        <w:tab/>
        <w:t>(d)</w:t>
      </w:r>
      <w:r>
        <w:tab/>
        <w:t>the dates of the grant or renewal, or approval of the transfer, of the registration; and</w:t>
      </w:r>
    </w:p>
    <w:p>
      <w:pPr>
        <w:pStyle w:val="Indenta"/>
      </w:pPr>
      <w:r>
        <w:tab/>
        <w:t>(e)</w:t>
      </w:r>
      <w:r>
        <w:tab/>
        <w:t>the term of the registration; and</w:t>
      </w:r>
    </w:p>
    <w:p>
      <w:pPr>
        <w:pStyle w:val="Indenta"/>
      </w:pPr>
      <w:r>
        <w:tab/>
        <w:t>(f)</w:t>
      </w:r>
      <w:r>
        <w:tab/>
        <w:t>a description of the registration area; and</w:t>
      </w:r>
    </w:p>
    <w:p>
      <w:pPr>
        <w:pStyle w:val="Indenta"/>
      </w:pPr>
      <w:r>
        <w:tab/>
        <w:t>(g)</w:t>
      </w:r>
      <w:r>
        <w:tab/>
        <w:t>the date of any surrender of the registration; and</w:t>
      </w:r>
    </w:p>
    <w:p>
      <w:pPr>
        <w:pStyle w:val="Indenta"/>
      </w:pPr>
      <w:r>
        <w:tab/>
        <w:t>(h)</w:t>
      </w:r>
      <w:r>
        <w:tab/>
        <w:t>the date, if any, of the suspension or revocation of the registration; and</w:t>
      </w:r>
    </w:p>
    <w:p>
      <w:pPr>
        <w:pStyle w:val="Indenta"/>
      </w:pPr>
      <w:r>
        <w:tab/>
        <w:t>(i)</w:t>
      </w:r>
      <w:r>
        <w:tab/>
        <w:t>any other matter prescribed in the regulations in relation to an alternative electricity service or a class of alternative electricity service.</w:t>
      </w:r>
    </w:p>
    <w:p>
      <w:pPr>
        <w:pStyle w:val="Footnotesection"/>
      </w:pPr>
      <w:r>
        <w:tab/>
        <w:t>[Section 59V inserted: No. 10 of 2024 s. 14.]</w:t>
      </w:r>
    </w:p>
    <w:p>
      <w:pPr>
        <w:pStyle w:val="Heading5"/>
      </w:pPr>
      <w:bookmarkStart w:id="239" w:name="_Toc164173962"/>
      <w:bookmarkStart w:id="240" w:name="_Toc164842709"/>
      <w:r>
        <w:rPr>
          <w:rStyle w:val="CharSectno"/>
        </w:rPr>
        <w:t>59W</w:t>
      </w:r>
      <w:r>
        <w:t>.</w:t>
      </w:r>
      <w:r>
        <w:tab/>
        <w:t>Fee regulations</w:t>
      </w:r>
      <w:bookmarkEnd w:id="239"/>
      <w:bookmarkEnd w:id="240"/>
    </w:p>
    <w:p>
      <w:pPr>
        <w:pStyle w:val="Subsection"/>
      </w:pPr>
      <w:r>
        <w:tab/>
      </w:r>
      <w:r>
        <w:tab/>
        <w:t>The regulations may do all or any of the following —</w:t>
      </w:r>
    </w:p>
    <w:p>
      <w:pPr>
        <w:pStyle w:val="Indenta"/>
      </w:pPr>
      <w:r>
        <w:tab/>
        <w:t>(a)</w:t>
      </w:r>
      <w:r>
        <w:tab/>
        <w:t>prescribe different application fees and annual fees for different alternative electricity services or different classes of alternative electricity service;</w:t>
      </w:r>
    </w:p>
    <w:p>
      <w:pPr>
        <w:pStyle w:val="Indenta"/>
      </w:pPr>
      <w:r>
        <w:tab/>
        <w:t>(b)</w:t>
      </w:r>
      <w:r>
        <w:tab/>
        <w:t>specify the amount of a fee or provide for a fee to be calculated in accordance with a specified method or formula;</w:t>
      </w:r>
    </w:p>
    <w:p>
      <w:pPr>
        <w:pStyle w:val="Indenta"/>
        <w:keepNext/>
      </w:pPr>
      <w:r>
        <w:lastRenderedPageBreak/>
        <w:tab/>
        <w:t>(c)</w:t>
      </w:r>
      <w:r>
        <w:tab/>
        <w:t>specify circumstances in which the payment of some or all of a fee may be waived.</w:t>
      </w:r>
    </w:p>
    <w:p>
      <w:pPr>
        <w:pStyle w:val="Footnotesection"/>
        <w:keepNext/>
      </w:pPr>
      <w:r>
        <w:tab/>
        <w:t>[Section 59W inserted: No. 10 of 2024 s. 14.]</w:t>
      </w:r>
    </w:p>
    <w:p>
      <w:pPr>
        <w:pStyle w:val="Heading3"/>
      </w:pPr>
      <w:bookmarkStart w:id="241" w:name="_Toc142317779"/>
      <w:bookmarkStart w:id="242" w:name="_Toc142318049"/>
      <w:bookmarkStart w:id="243" w:name="_Toc142318857"/>
      <w:bookmarkStart w:id="244" w:name="_Toc142557960"/>
      <w:bookmarkStart w:id="245" w:name="_Toc142912505"/>
      <w:bookmarkStart w:id="246" w:name="_Toc161904738"/>
      <w:bookmarkStart w:id="247" w:name="_Toc161906793"/>
      <w:bookmarkStart w:id="248" w:name="_Toc164173963"/>
      <w:bookmarkStart w:id="249" w:name="_Toc164435425"/>
      <w:bookmarkStart w:id="250" w:name="_Toc164435736"/>
      <w:bookmarkStart w:id="251" w:name="_Toc164679550"/>
      <w:bookmarkStart w:id="252" w:name="_Toc164842710"/>
      <w:r>
        <w:rPr>
          <w:rStyle w:val="CharDivNo"/>
        </w:rPr>
        <w:t>Division 4</w:t>
      </w:r>
      <w:r>
        <w:t> — </w:t>
      </w:r>
      <w:r>
        <w:rPr>
          <w:rStyle w:val="CharDivText"/>
        </w:rPr>
        <w:t>AES code of practice</w:t>
      </w:r>
      <w:bookmarkEnd w:id="241"/>
      <w:bookmarkEnd w:id="242"/>
      <w:bookmarkEnd w:id="243"/>
      <w:bookmarkEnd w:id="244"/>
      <w:bookmarkEnd w:id="245"/>
      <w:bookmarkEnd w:id="246"/>
      <w:bookmarkEnd w:id="247"/>
      <w:bookmarkEnd w:id="248"/>
      <w:bookmarkEnd w:id="249"/>
      <w:bookmarkEnd w:id="250"/>
      <w:bookmarkEnd w:id="251"/>
      <w:bookmarkEnd w:id="252"/>
    </w:p>
    <w:p>
      <w:pPr>
        <w:pStyle w:val="Footnoteheading"/>
        <w:tabs>
          <w:tab w:val="left" w:pos="840"/>
        </w:tabs>
      </w:pPr>
      <w:r>
        <w:tab/>
        <w:t>[Heading inserted: No. 10 of 2024 s. 14.]</w:t>
      </w:r>
    </w:p>
    <w:p>
      <w:pPr>
        <w:pStyle w:val="Heading5"/>
      </w:pPr>
      <w:bookmarkStart w:id="253" w:name="_Toc164173964"/>
      <w:bookmarkStart w:id="254" w:name="_Toc164842711"/>
      <w:r>
        <w:rPr>
          <w:rStyle w:val="CharSectno"/>
        </w:rPr>
        <w:t>59X</w:t>
      </w:r>
      <w:r>
        <w:t>.</w:t>
      </w:r>
      <w:r>
        <w:tab/>
        <w:t>AES code of practice</w:t>
      </w:r>
      <w:bookmarkEnd w:id="253"/>
      <w:bookmarkEnd w:id="254"/>
    </w:p>
    <w:p>
      <w:pPr>
        <w:pStyle w:val="Subsection"/>
      </w:pPr>
      <w:r>
        <w:tab/>
        <w:t>(1)</w:t>
      </w:r>
      <w:r>
        <w:tab/>
        <w:t>The Minister may prepare and issue a code of practice for alternative electricity services.</w:t>
      </w:r>
    </w:p>
    <w:p>
      <w:pPr>
        <w:pStyle w:val="Subsection"/>
      </w:pPr>
      <w:r>
        <w:tab/>
        <w:t>(2)</w:t>
      </w:r>
      <w:r>
        <w:tab/>
        <w:t>The AES code of practice must set out customer protection requirements to be complied with by registration holders.</w:t>
      </w:r>
    </w:p>
    <w:p>
      <w:pPr>
        <w:pStyle w:val="Subsection"/>
      </w:pPr>
      <w:r>
        <w:tab/>
        <w:t>(3)</w:t>
      </w:r>
      <w:r>
        <w:tab/>
        <w:t>Without limiting subsection (2), the AES code of practice may include requirements relating to any 1 or more of the following —</w:t>
      </w:r>
    </w:p>
    <w:p>
      <w:pPr>
        <w:pStyle w:val="Indenta"/>
      </w:pPr>
      <w:r>
        <w:tab/>
        <w:t>(a)</w:t>
      </w:r>
      <w:r>
        <w:tab/>
        <w:t>standards of conduct in the supply and marketing of electricity or electricity services to small use customers, including in relation to the following —</w:t>
      </w:r>
    </w:p>
    <w:p>
      <w:pPr>
        <w:pStyle w:val="Indenti"/>
      </w:pPr>
      <w:r>
        <w:tab/>
        <w:t>(i)</w:t>
      </w:r>
      <w:r>
        <w:tab/>
        <w:t>the information to be contained in AES customer contracts;</w:t>
      </w:r>
    </w:p>
    <w:p>
      <w:pPr>
        <w:pStyle w:val="Indenti"/>
      </w:pPr>
      <w:r>
        <w:tab/>
        <w:t>(ii)</w:t>
      </w:r>
      <w:r>
        <w:tab/>
        <w:t>the ongoing provision of information to small use customers;</w:t>
      </w:r>
    </w:p>
    <w:p>
      <w:pPr>
        <w:pStyle w:val="Indenti"/>
      </w:pPr>
      <w:r>
        <w:tab/>
        <w:t>(iii)</w:t>
      </w:r>
      <w:r>
        <w:tab/>
        <w:t>the obtaining of the consent of a small use customer before entering into an AES customer contract or amending an AES customer contract (other than an amendment required to comply with a written law);</w:t>
      </w:r>
    </w:p>
    <w:p>
      <w:pPr>
        <w:pStyle w:val="Indenti"/>
      </w:pPr>
      <w:r>
        <w:tab/>
        <w:t>(iv)</w:t>
      </w:r>
      <w:r>
        <w:tab/>
        <w:t>the methods or principles to be applied by registration holders in the preparation of accounts for small use customers;</w:t>
      </w:r>
    </w:p>
    <w:p>
      <w:pPr>
        <w:pStyle w:val="Indenti"/>
      </w:pPr>
      <w:r>
        <w:tab/>
        <w:t>(v)</w:t>
      </w:r>
      <w:r>
        <w:tab/>
        <w:t xml:space="preserve">matters relating to bills for small use customers, including matters relating to the information to be provided on bills, how payments are to be </w:t>
      </w:r>
      <w:r>
        <w:lastRenderedPageBreak/>
        <w:t>made, the frequency of bills and the arrangements to be made for small use customers experiencing payment difficulties or financial hardship;</w:t>
      </w:r>
    </w:p>
    <w:p>
      <w:pPr>
        <w:pStyle w:val="Indenti"/>
      </w:pPr>
      <w:r>
        <w:tab/>
        <w:t>(vi)</w:t>
      </w:r>
      <w:r>
        <w:tab/>
        <w:t>the use of and access to electricity for life support equipment;</w:t>
      </w:r>
    </w:p>
    <w:p>
      <w:pPr>
        <w:pStyle w:val="Indenti"/>
      </w:pPr>
      <w:r>
        <w:tab/>
        <w:t>(vii)</w:t>
      </w:r>
      <w:r>
        <w:tab/>
        <w:t>customer protection for persons experiencing family violence;</w:t>
      </w:r>
    </w:p>
    <w:p>
      <w:pPr>
        <w:pStyle w:val="Indenta"/>
      </w:pPr>
      <w:r>
        <w:tab/>
        <w:t>(b)</w:t>
      </w:r>
      <w:r>
        <w:tab/>
        <w:t xml:space="preserve">the regulation of pricing and price controls for the sale or supply of electricity or electricity services by registration holders to small use customers or the supply of electricity by a small use customer to a registration holder; </w:t>
      </w:r>
    </w:p>
    <w:p>
      <w:pPr>
        <w:pStyle w:val="Indenta"/>
      </w:pPr>
      <w:r>
        <w:tab/>
        <w:t>(c)</w:t>
      </w:r>
      <w:r>
        <w:tab/>
        <w:t>the facilitation of access, at reasonable associated cost to the customer, to electricity or electricity services provided by other providers;</w:t>
      </w:r>
    </w:p>
    <w:p>
      <w:pPr>
        <w:pStyle w:val="Indenta"/>
      </w:pPr>
      <w:r>
        <w:tab/>
        <w:t>(d)</w:t>
      </w:r>
      <w:r>
        <w:tab/>
        <w:t>the facilitation of access to electricity sources with low or zero greenhouse gas emissions;</w:t>
      </w:r>
    </w:p>
    <w:p>
      <w:pPr>
        <w:pStyle w:val="Indenta"/>
      </w:pPr>
      <w:r>
        <w:tab/>
        <w:t>(e)</w:t>
      </w:r>
      <w:r>
        <w:tab/>
        <w:t>the metering of the supply of electricity, including —</w:t>
      </w:r>
    </w:p>
    <w:p>
      <w:pPr>
        <w:pStyle w:val="Indenti"/>
      </w:pPr>
      <w:r>
        <w:tab/>
        <w:t>(i)</w:t>
      </w:r>
      <w:r>
        <w:tab/>
        <w:t>the provision, operation and maintenance of metering equipment; and</w:t>
      </w:r>
    </w:p>
    <w:p>
      <w:pPr>
        <w:pStyle w:val="Indenti"/>
      </w:pPr>
      <w:r>
        <w:tab/>
        <w:t>(ii)</w:t>
      </w:r>
      <w:r>
        <w:tab/>
        <w:t>the ownership of and access to meters and metering data;</w:t>
      </w:r>
    </w:p>
    <w:p>
      <w:pPr>
        <w:pStyle w:val="Indenta"/>
      </w:pPr>
      <w:r>
        <w:tab/>
        <w:t>(f)</w:t>
      </w:r>
      <w:r>
        <w:tab/>
        <w:t>technical requirements, including quality and reliability standards;</w:t>
      </w:r>
    </w:p>
    <w:p>
      <w:pPr>
        <w:pStyle w:val="Indenta"/>
      </w:pPr>
      <w:r>
        <w:tab/>
        <w:t>(g)</w:t>
      </w:r>
      <w:r>
        <w:tab/>
        <w:t>requirements for asset management systems;</w:t>
      </w:r>
    </w:p>
    <w:p>
      <w:pPr>
        <w:pStyle w:val="Indenta"/>
      </w:pPr>
      <w:r>
        <w:tab/>
        <w:t>(h)</w:t>
      </w:r>
      <w:r>
        <w:tab/>
        <w:t>internal and external complaints handling and dispute resolution processes for small use customers;</w:t>
      </w:r>
    </w:p>
    <w:p>
      <w:pPr>
        <w:pStyle w:val="Indenta"/>
      </w:pPr>
      <w:r>
        <w:tab/>
        <w:t>(i)</w:t>
      </w:r>
      <w:r>
        <w:tab/>
        <w:t>the continuity of supply of electricity to small use customers of a registration holder that ceases to provide an alternative electricity service for which it is registered;</w:t>
      </w:r>
    </w:p>
    <w:p>
      <w:pPr>
        <w:pStyle w:val="Indenta"/>
      </w:pPr>
      <w:r>
        <w:lastRenderedPageBreak/>
        <w:tab/>
        <w:t>(j)</w:t>
      </w:r>
      <w:r>
        <w:tab/>
        <w:t>the disconnection, suspension and interruption and restoration of an alternative electricity service in relation to a small use customer.</w:t>
      </w:r>
    </w:p>
    <w:p>
      <w:pPr>
        <w:pStyle w:val="Subsection"/>
      </w:pPr>
      <w:r>
        <w:tab/>
        <w:t>(4)</w:t>
      </w:r>
      <w:r>
        <w:tab/>
        <w:t>The AES code of practice may incorporate or apply with or without changes any provision of a code or standard issued and in force from time to time under section 39.</w:t>
      </w:r>
    </w:p>
    <w:p>
      <w:pPr>
        <w:pStyle w:val="Footnotesection"/>
      </w:pPr>
      <w:r>
        <w:tab/>
        <w:t>[Section 59X inserted: No. 10 of 2024 s. 14.]</w:t>
      </w:r>
    </w:p>
    <w:p>
      <w:pPr>
        <w:pStyle w:val="Heading5"/>
      </w:pPr>
      <w:bookmarkStart w:id="255" w:name="_Toc164173965"/>
      <w:bookmarkStart w:id="256" w:name="_Toc164842712"/>
      <w:r>
        <w:rPr>
          <w:rStyle w:val="CharSectno"/>
        </w:rPr>
        <w:t>59Y</w:t>
      </w:r>
      <w:r>
        <w:t>.</w:t>
      </w:r>
      <w:r>
        <w:tab/>
        <w:t>AES code of practice is subsidiary legislation</w:t>
      </w:r>
      <w:bookmarkEnd w:id="255"/>
      <w:bookmarkEnd w:id="256"/>
    </w:p>
    <w:p>
      <w:pPr>
        <w:pStyle w:val="Subsection"/>
      </w:pPr>
      <w:r>
        <w:tab/>
        <w:t>(1)</w:t>
      </w:r>
      <w:r>
        <w:tab/>
        <w:t xml:space="preserve">The AES code of practice is subsidiary legislation for the purposes of the </w:t>
      </w:r>
      <w:r>
        <w:rPr>
          <w:i/>
        </w:rPr>
        <w:t>Interpretation Act 1984</w:t>
      </w:r>
      <w:r>
        <w:t>.</w:t>
      </w:r>
    </w:p>
    <w:p>
      <w:pPr>
        <w:pStyle w:val="Subsection"/>
      </w:pPr>
      <w:r>
        <w:tab/>
        <w:t>(2)</w:t>
      </w:r>
      <w:r>
        <w:tab/>
        <w:t>A provision of the AES code of practice is of no effect to the extent that it is inconsistent with a provision of this Act or another written law.</w:t>
      </w:r>
    </w:p>
    <w:p>
      <w:pPr>
        <w:pStyle w:val="Footnotesection"/>
      </w:pPr>
      <w:r>
        <w:tab/>
        <w:t>[Section 59Y inserted: No. 10 of 2024 s. 14.]</w:t>
      </w:r>
    </w:p>
    <w:p>
      <w:pPr>
        <w:pStyle w:val="Heading5"/>
      </w:pPr>
      <w:bookmarkStart w:id="257" w:name="_Toc164173966"/>
      <w:bookmarkStart w:id="258" w:name="_Toc164842713"/>
      <w:r>
        <w:rPr>
          <w:rStyle w:val="CharSectno"/>
        </w:rPr>
        <w:t>59Z</w:t>
      </w:r>
      <w:r>
        <w:t>.</w:t>
      </w:r>
      <w:r>
        <w:tab/>
        <w:t>Public consultation on issue, amendment or replacement of AES code of practice</w:t>
      </w:r>
      <w:bookmarkEnd w:id="257"/>
      <w:bookmarkEnd w:id="258"/>
    </w:p>
    <w:p>
      <w:pPr>
        <w:pStyle w:val="Subsection"/>
      </w:pPr>
      <w:r>
        <w:tab/>
        <w:t>(1)</w:t>
      </w:r>
      <w:r>
        <w:tab/>
        <w:t xml:space="preserve">The Minister must ensure that public consultation is carried out in accordance with the regulations before the Minister exercises the power to — </w:t>
      </w:r>
    </w:p>
    <w:p>
      <w:pPr>
        <w:pStyle w:val="Indenta"/>
      </w:pPr>
      <w:r>
        <w:tab/>
        <w:t>(a)</w:t>
      </w:r>
      <w:r>
        <w:tab/>
        <w:t xml:space="preserve">issue the AES code of practice; or </w:t>
      </w:r>
    </w:p>
    <w:p>
      <w:pPr>
        <w:pStyle w:val="Indenta"/>
      </w:pPr>
      <w:r>
        <w:tab/>
        <w:t>(b)</w:t>
      </w:r>
      <w:r>
        <w:tab/>
        <w:t xml:space="preserve">amend the AES code of practice; or </w:t>
      </w:r>
    </w:p>
    <w:p>
      <w:pPr>
        <w:pStyle w:val="Indenta"/>
      </w:pPr>
      <w:r>
        <w:tab/>
        <w:t>(c)</w:t>
      </w:r>
      <w:r>
        <w:tab/>
        <w:t xml:space="preserve">repeal and replace the AES code of practice. </w:t>
      </w:r>
    </w:p>
    <w:p>
      <w:pPr>
        <w:pStyle w:val="Subsection"/>
      </w:pPr>
      <w:r>
        <w:tab/>
        <w:t>(2)</w:t>
      </w:r>
      <w:r>
        <w:tab/>
        <w:t>Subsection (1) does not apply to an amendment to the AES code of practice if the Minister is satisfied that the amendment is of a minor nature.</w:t>
      </w:r>
    </w:p>
    <w:p>
      <w:pPr>
        <w:pStyle w:val="Subsection"/>
      </w:pPr>
      <w:r>
        <w:tab/>
        <w:t>(3)</w:t>
      </w:r>
      <w:r>
        <w:tab/>
        <w:t>Despite subsection (1), the public consultation before the issue of the initial AES code of practice may be carried out in the manner determined by the Minister.</w:t>
      </w:r>
    </w:p>
    <w:p>
      <w:pPr>
        <w:pStyle w:val="Footnotesection"/>
      </w:pPr>
      <w:r>
        <w:tab/>
        <w:t>[Section 59Z inserted: No. 10 of 2024 s. 14.]</w:t>
      </w:r>
    </w:p>
    <w:p>
      <w:pPr>
        <w:pStyle w:val="Heading5"/>
      </w:pPr>
      <w:bookmarkStart w:id="259" w:name="_Toc164173967"/>
      <w:bookmarkStart w:id="260" w:name="_Toc164842714"/>
      <w:r>
        <w:rPr>
          <w:rStyle w:val="CharSectno"/>
        </w:rPr>
        <w:lastRenderedPageBreak/>
        <w:t>59ZA</w:t>
      </w:r>
      <w:r>
        <w:t>.</w:t>
      </w:r>
      <w:r>
        <w:tab/>
        <w:t>Notice to registration holders of amendment or replacement of AES code of practice</w:t>
      </w:r>
      <w:bookmarkEnd w:id="259"/>
      <w:bookmarkEnd w:id="260"/>
    </w:p>
    <w:p>
      <w:pPr>
        <w:pStyle w:val="Subsection"/>
      </w:pPr>
      <w:r>
        <w:tab/>
      </w:r>
      <w:r>
        <w:tab/>
        <w:t>The Authority must notify all registration holders of the amendment or replacement of the AES code of practice.</w:t>
      </w:r>
    </w:p>
    <w:p>
      <w:pPr>
        <w:pStyle w:val="Footnotesection"/>
      </w:pPr>
      <w:r>
        <w:tab/>
        <w:t>[Section 59ZA inserted: No. 10 of 2024 s. 14.]</w:t>
      </w:r>
    </w:p>
    <w:p>
      <w:pPr>
        <w:pStyle w:val="Heading5"/>
      </w:pPr>
      <w:bookmarkStart w:id="261" w:name="_Toc164173968"/>
      <w:bookmarkStart w:id="262" w:name="_Toc164842715"/>
      <w:r>
        <w:rPr>
          <w:rStyle w:val="CharSectno"/>
        </w:rPr>
        <w:t>59ZB</w:t>
      </w:r>
      <w:r>
        <w:t>.</w:t>
      </w:r>
      <w:r>
        <w:tab/>
        <w:t>Review of AES code of practice</w:t>
      </w:r>
      <w:bookmarkEnd w:id="261"/>
      <w:bookmarkEnd w:id="262"/>
    </w:p>
    <w:p>
      <w:pPr>
        <w:pStyle w:val="Subsection"/>
      </w:pPr>
      <w:r>
        <w:tab/>
        <w:t>(1)</w:t>
      </w:r>
      <w:r>
        <w:tab/>
        <w:t xml:space="preserve">The Minister must cause a review of the AES code of practice to be carried out as soon as is practicable after — </w:t>
      </w:r>
    </w:p>
    <w:p>
      <w:pPr>
        <w:pStyle w:val="Indenta"/>
      </w:pPr>
      <w:r>
        <w:tab/>
        <w:t>(a)</w:t>
      </w:r>
      <w:r>
        <w:tab/>
        <w:t>the 5</w:t>
      </w:r>
      <w:r>
        <w:rPr>
          <w:vertAlign w:val="superscript"/>
        </w:rPr>
        <w:t>th</w:t>
      </w:r>
      <w:r>
        <w:t xml:space="preserve"> anniversary of its commencement; and</w:t>
      </w:r>
    </w:p>
    <w:p>
      <w:pPr>
        <w:pStyle w:val="Indenta"/>
      </w:pPr>
      <w:r>
        <w:tab/>
        <w:t>(b)</w:t>
      </w:r>
      <w:r>
        <w:tab/>
        <w:t>the expiry of each 5 yearly interval after that anniversary.</w:t>
      </w:r>
    </w:p>
    <w:p>
      <w:pPr>
        <w:pStyle w:val="Subsection"/>
      </w:pPr>
      <w:r>
        <w:tab/>
        <w:t>(2)</w:t>
      </w:r>
      <w:r>
        <w:tab/>
        <w:t xml:space="preserve">The Minister may cause an earlier review of the AES code of practice to be carried out if the Minister considers it necessary. </w:t>
      </w:r>
    </w:p>
    <w:p>
      <w:pPr>
        <w:pStyle w:val="Subsection"/>
      </w:pPr>
      <w:r>
        <w:tab/>
        <w:t>(3)</w:t>
      </w:r>
      <w:r>
        <w:tab/>
        <w:t>The purpose of a review is to assess the suitability of the provisions of the AES code of practice to achieve the purpose of this Part.</w:t>
      </w:r>
    </w:p>
    <w:p>
      <w:pPr>
        <w:pStyle w:val="Subsection"/>
      </w:pPr>
      <w:r>
        <w:tab/>
        <w:t>(4)</w:t>
      </w:r>
      <w:r>
        <w:tab/>
        <w:t>The Minister may, by instrument, delegate any power or function under this section or section 59ZC to the Authority.</w:t>
      </w:r>
    </w:p>
    <w:p>
      <w:pPr>
        <w:pStyle w:val="Footnotesection"/>
      </w:pPr>
      <w:r>
        <w:tab/>
        <w:t>[Section 59ZB inserted: No. 10 of 2024 s. 14.]</w:t>
      </w:r>
    </w:p>
    <w:p>
      <w:pPr>
        <w:pStyle w:val="Heading5"/>
      </w:pPr>
      <w:bookmarkStart w:id="263" w:name="_Toc164173969"/>
      <w:bookmarkStart w:id="264" w:name="_Toc164842716"/>
      <w:r>
        <w:rPr>
          <w:rStyle w:val="CharSectno"/>
        </w:rPr>
        <w:t>59ZC</w:t>
      </w:r>
      <w:r>
        <w:t>.</w:t>
      </w:r>
      <w:r>
        <w:tab/>
        <w:t>Public consultation on review</w:t>
      </w:r>
      <w:bookmarkEnd w:id="263"/>
      <w:bookmarkEnd w:id="264"/>
    </w:p>
    <w:p>
      <w:pPr>
        <w:pStyle w:val="Subsection"/>
      </w:pPr>
      <w:r>
        <w:tab/>
      </w:r>
      <w:r>
        <w:tab/>
        <w:t>The Minister must ensure that public consultation is carried out in accordance with the regulations when a review of the AES code of practice is carried out.</w:t>
      </w:r>
    </w:p>
    <w:p>
      <w:pPr>
        <w:pStyle w:val="Footnotesection"/>
      </w:pPr>
      <w:r>
        <w:tab/>
        <w:t>[Section 59ZC inserted: No. 10 of 2024 s. 14.]</w:t>
      </w:r>
    </w:p>
    <w:p>
      <w:pPr>
        <w:pStyle w:val="Heading3"/>
      </w:pPr>
      <w:bookmarkStart w:id="265" w:name="_Toc142317786"/>
      <w:bookmarkStart w:id="266" w:name="_Toc142318056"/>
      <w:bookmarkStart w:id="267" w:name="_Toc142318864"/>
      <w:bookmarkStart w:id="268" w:name="_Toc142557967"/>
      <w:bookmarkStart w:id="269" w:name="_Toc142912512"/>
      <w:bookmarkStart w:id="270" w:name="_Toc161904745"/>
      <w:bookmarkStart w:id="271" w:name="_Toc161906800"/>
      <w:bookmarkStart w:id="272" w:name="_Toc164173970"/>
      <w:bookmarkStart w:id="273" w:name="_Toc164435432"/>
      <w:bookmarkStart w:id="274" w:name="_Toc164435743"/>
      <w:bookmarkStart w:id="275" w:name="_Toc164679557"/>
      <w:bookmarkStart w:id="276" w:name="_Toc164842717"/>
      <w:r>
        <w:rPr>
          <w:rStyle w:val="CharDivNo"/>
        </w:rPr>
        <w:lastRenderedPageBreak/>
        <w:t>Division 5</w:t>
      </w:r>
      <w:r>
        <w:t> — </w:t>
      </w:r>
      <w:r>
        <w:rPr>
          <w:rStyle w:val="CharDivText"/>
        </w:rPr>
        <w:t>Functions of Authority</w:t>
      </w:r>
      <w:bookmarkEnd w:id="265"/>
      <w:bookmarkEnd w:id="266"/>
      <w:bookmarkEnd w:id="267"/>
      <w:bookmarkEnd w:id="268"/>
      <w:bookmarkEnd w:id="269"/>
      <w:bookmarkEnd w:id="270"/>
      <w:bookmarkEnd w:id="271"/>
      <w:bookmarkEnd w:id="272"/>
      <w:bookmarkEnd w:id="273"/>
      <w:bookmarkEnd w:id="274"/>
      <w:bookmarkEnd w:id="275"/>
      <w:bookmarkEnd w:id="276"/>
    </w:p>
    <w:p>
      <w:pPr>
        <w:pStyle w:val="Footnoteheading"/>
        <w:keepNext/>
        <w:tabs>
          <w:tab w:val="left" w:pos="840"/>
        </w:tabs>
      </w:pPr>
      <w:bookmarkStart w:id="277" w:name="_Toc164173971"/>
      <w:r>
        <w:tab/>
        <w:t>[Heading inserted: No. 10 of 2024 s. 14.]</w:t>
      </w:r>
    </w:p>
    <w:p>
      <w:pPr>
        <w:pStyle w:val="Heading5"/>
      </w:pPr>
      <w:bookmarkStart w:id="278" w:name="_Toc164842718"/>
      <w:r>
        <w:rPr>
          <w:rStyle w:val="CharSectno"/>
        </w:rPr>
        <w:t>59ZD</w:t>
      </w:r>
      <w:r>
        <w:t>.</w:t>
      </w:r>
      <w:r>
        <w:tab/>
        <w:t>Functions of Authority</w:t>
      </w:r>
      <w:bookmarkEnd w:id="277"/>
      <w:bookmarkEnd w:id="278"/>
    </w:p>
    <w:p>
      <w:pPr>
        <w:pStyle w:val="Subsection"/>
      </w:pPr>
      <w:r>
        <w:tab/>
        <w:t>(1)</w:t>
      </w:r>
      <w:r>
        <w:tab/>
        <w:t>The Authority is responsible for administering and enforcing the registration framework.</w:t>
      </w:r>
    </w:p>
    <w:p>
      <w:pPr>
        <w:pStyle w:val="Subsection"/>
        <w:keepNext/>
      </w:pPr>
      <w:r>
        <w:tab/>
        <w:t>(2)</w:t>
      </w:r>
      <w:r>
        <w:tab/>
        <w:t xml:space="preserve">Without limiting subsection (1), the Authority is responsible for — </w:t>
      </w:r>
    </w:p>
    <w:p>
      <w:pPr>
        <w:pStyle w:val="Indenta"/>
      </w:pPr>
      <w:r>
        <w:tab/>
        <w:t>(a)</w:t>
      </w:r>
      <w:r>
        <w:tab/>
        <w:t xml:space="preserve">monitoring and reporting to the Minister on request on — </w:t>
      </w:r>
    </w:p>
    <w:p>
      <w:pPr>
        <w:pStyle w:val="Indenti"/>
      </w:pPr>
      <w:r>
        <w:tab/>
        <w:t>(i)</w:t>
      </w:r>
      <w:r>
        <w:tab/>
        <w:t>the operation of the registration framework; and</w:t>
      </w:r>
    </w:p>
    <w:p>
      <w:pPr>
        <w:pStyle w:val="Indenti"/>
      </w:pPr>
      <w:r>
        <w:tab/>
        <w:t>(ii)</w:t>
      </w:r>
      <w:r>
        <w:tab/>
        <w:t xml:space="preserve">compliance by registration holders with the terms and conditions of registration; </w:t>
      </w:r>
    </w:p>
    <w:p>
      <w:pPr>
        <w:pStyle w:val="Indenta"/>
      </w:pPr>
      <w:r>
        <w:tab/>
      </w:r>
      <w:r>
        <w:tab/>
        <w:t>and</w:t>
      </w:r>
    </w:p>
    <w:p>
      <w:pPr>
        <w:pStyle w:val="Indenta"/>
      </w:pPr>
      <w:r>
        <w:tab/>
        <w:t>(b)</w:t>
      </w:r>
      <w:r>
        <w:tab/>
        <w:t>reporting to the Minister on request on the enforcement of the registration framework.</w:t>
      </w:r>
    </w:p>
    <w:p>
      <w:pPr>
        <w:pStyle w:val="Footnotesection"/>
      </w:pPr>
      <w:r>
        <w:tab/>
        <w:t>[Section 59ZD inserted: No. 10 of 2024 s. 14.]</w:t>
      </w:r>
    </w:p>
    <w:p>
      <w:pPr>
        <w:pStyle w:val="Heading5"/>
      </w:pPr>
      <w:bookmarkStart w:id="279" w:name="_Toc164173972"/>
      <w:bookmarkStart w:id="280" w:name="_Toc164842719"/>
      <w:r>
        <w:rPr>
          <w:rStyle w:val="CharSectno"/>
        </w:rPr>
        <w:t>59ZE</w:t>
      </w:r>
      <w:r>
        <w:t>.</w:t>
      </w:r>
      <w:r>
        <w:tab/>
        <w:t>Annual report</w:t>
      </w:r>
      <w:bookmarkEnd w:id="279"/>
      <w:bookmarkEnd w:id="280"/>
    </w:p>
    <w:p>
      <w:pPr>
        <w:pStyle w:val="Subsection"/>
      </w:pPr>
      <w:r>
        <w:tab/>
        <w:t>(1)</w:t>
      </w:r>
      <w:r>
        <w:tab/>
        <w:t>The Authority must prepare and provide to the Minister an annual report on the registration framework.</w:t>
      </w:r>
    </w:p>
    <w:p>
      <w:pPr>
        <w:pStyle w:val="Subsection"/>
      </w:pPr>
      <w:r>
        <w:tab/>
        <w:t>(2)</w:t>
      </w:r>
      <w:r>
        <w:tab/>
        <w:t xml:space="preserve">The annual report — </w:t>
      </w:r>
    </w:p>
    <w:p>
      <w:pPr>
        <w:pStyle w:val="Indenta"/>
      </w:pPr>
      <w:r>
        <w:tab/>
        <w:t>(a)</w:t>
      </w:r>
      <w:r>
        <w:tab/>
        <w:t>must detail the performance and compliance of registration holders with the registration framework; and</w:t>
      </w:r>
    </w:p>
    <w:p>
      <w:pPr>
        <w:pStyle w:val="Indenta"/>
      </w:pPr>
      <w:r>
        <w:tab/>
        <w:t>(b)</w:t>
      </w:r>
      <w:r>
        <w:tab/>
        <w:t>may identify improvements that may be made to the operation of the registration framework.</w:t>
      </w:r>
    </w:p>
    <w:p>
      <w:pPr>
        <w:pStyle w:val="Subsection"/>
      </w:pPr>
      <w:r>
        <w:tab/>
        <w:t>(3)</w:t>
      </w:r>
      <w:r>
        <w:tab/>
        <w:t>The Authority must publish each annual report on the Authority’s website.</w:t>
      </w:r>
    </w:p>
    <w:p>
      <w:pPr>
        <w:pStyle w:val="Footnotesection"/>
      </w:pPr>
      <w:r>
        <w:tab/>
        <w:t>[Section 59ZE inserted: No. 10 of 2024 s. 14.]</w:t>
      </w:r>
    </w:p>
    <w:p>
      <w:pPr>
        <w:pStyle w:val="Heading3"/>
      </w:pPr>
      <w:bookmarkStart w:id="281" w:name="_Toc142317789"/>
      <w:bookmarkStart w:id="282" w:name="_Toc142318059"/>
      <w:bookmarkStart w:id="283" w:name="_Toc142318867"/>
      <w:bookmarkStart w:id="284" w:name="_Toc142557970"/>
      <w:bookmarkStart w:id="285" w:name="_Toc142912515"/>
      <w:bookmarkStart w:id="286" w:name="_Toc161904748"/>
      <w:bookmarkStart w:id="287" w:name="_Toc161906803"/>
      <w:bookmarkStart w:id="288" w:name="_Toc164173973"/>
      <w:bookmarkStart w:id="289" w:name="_Toc164435435"/>
      <w:bookmarkStart w:id="290" w:name="_Toc164435746"/>
      <w:bookmarkStart w:id="291" w:name="_Toc164679560"/>
      <w:bookmarkStart w:id="292" w:name="_Toc164842720"/>
      <w:r>
        <w:rPr>
          <w:rStyle w:val="CharDivNo"/>
        </w:rPr>
        <w:lastRenderedPageBreak/>
        <w:t>Division 6</w:t>
      </w:r>
      <w:r>
        <w:t> — </w:t>
      </w:r>
      <w:r>
        <w:rPr>
          <w:rStyle w:val="CharDivText"/>
        </w:rPr>
        <w:t>Performance reporting and compliance monitoring</w:t>
      </w:r>
      <w:bookmarkEnd w:id="281"/>
      <w:bookmarkEnd w:id="282"/>
      <w:bookmarkEnd w:id="283"/>
      <w:bookmarkEnd w:id="284"/>
      <w:bookmarkEnd w:id="285"/>
      <w:bookmarkEnd w:id="286"/>
      <w:bookmarkEnd w:id="287"/>
      <w:bookmarkEnd w:id="288"/>
      <w:bookmarkEnd w:id="289"/>
      <w:bookmarkEnd w:id="290"/>
      <w:bookmarkEnd w:id="291"/>
      <w:bookmarkEnd w:id="292"/>
    </w:p>
    <w:p>
      <w:pPr>
        <w:pStyle w:val="Footnoteheading"/>
        <w:tabs>
          <w:tab w:val="left" w:pos="840"/>
        </w:tabs>
      </w:pPr>
      <w:bookmarkStart w:id="293" w:name="_Toc164173974"/>
      <w:r>
        <w:tab/>
        <w:t>[Heading inserted: No. 10 of 2024 s. 14.]</w:t>
      </w:r>
    </w:p>
    <w:p>
      <w:pPr>
        <w:pStyle w:val="Heading5"/>
      </w:pPr>
      <w:bookmarkStart w:id="294" w:name="_Toc164842721"/>
      <w:r>
        <w:rPr>
          <w:rStyle w:val="CharSectno"/>
        </w:rPr>
        <w:t>59ZF</w:t>
      </w:r>
      <w:r>
        <w:t>.</w:t>
      </w:r>
      <w:r>
        <w:tab/>
        <w:t>Requirement to provide information or report to Authority</w:t>
      </w:r>
      <w:bookmarkEnd w:id="293"/>
      <w:bookmarkEnd w:id="294"/>
    </w:p>
    <w:p>
      <w:pPr>
        <w:pStyle w:val="Subsection"/>
      </w:pPr>
      <w:r>
        <w:tab/>
        <w:t>(1)</w:t>
      </w:r>
      <w:r>
        <w:tab/>
        <w:t>A registration is subject to a condition that the registration holder must provide to the Authority any information or report that the Authority considers reasonable for the Authority to carry out its responsibility to administer and enforce the registration framework.</w:t>
      </w:r>
    </w:p>
    <w:p>
      <w:pPr>
        <w:pStyle w:val="Subsection"/>
      </w:pPr>
      <w:r>
        <w:tab/>
        <w:t>(2)</w:t>
      </w:r>
      <w:r>
        <w:tab/>
        <w:t>The information or report must be provided in a manner and form, and at a frequency, determined by the Authority.</w:t>
      </w:r>
    </w:p>
    <w:p>
      <w:pPr>
        <w:pStyle w:val="Footnotesection"/>
      </w:pPr>
      <w:r>
        <w:tab/>
        <w:t>[Section 59ZF inserted: No. 10 of 2024 s. 14.]</w:t>
      </w:r>
    </w:p>
    <w:p>
      <w:pPr>
        <w:pStyle w:val="Heading5"/>
      </w:pPr>
      <w:bookmarkStart w:id="295" w:name="_Toc164173975"/>
      <w:bookmarkStart w:id="296" w:name="_Toc164842722"/>
      <w:r>
        <w:rPr>
          <w:rStyle w:val="CharSectno"/>
        </w:rPr>
        <w:t>59ZG</w:t>
      </w:r>
      <w:r>
        <w:t>.</w:t>
      </w:r>
      <w:r>
        <w:tab/>
        <w:t>Compliance audit</w:t>
      </w:r>
      <w:bookmarkEnd w:id="295"/>
      <w:bookmarkEnd w:id="296"/>
    </w:p>
    <w:p>
      <w:pPr>
        <w:pStyle w:val="Subsection"/>
      </w:pPr>
      <w:r>
        <w:tab/>
        <w:t>(1)</w:t>
      </w:r>
      <w:r>
        <w:tab/>
        <w:t xml:space="preserve">The Authority may appoint a person to audit the compliance of a registration holder with the registration framework and the terms and conditions of registration. </w:t>
      </w:r>
    </w:p>
    <w:p>
      <w:pPr>
        <w:pStyle w:val="Subsection"/>
      </w:pPr>
      <w:r>
        <w:tab/>
        <w:t>(2)</w:t>
      </w:r>
      <w:r>
        <w:tab/>
        <w:t xml:space="preserve">The audit must be carried out in accordance with the process determined by the Authority. </w:t>
      </w:r>
    </w:p>
    <w:p>
      <w:pPr>
        <w:pStyle w:val="Subsection"/>
      </w:pPr>
      <w:r>
        <w:tab/>
        <w:t>(3)</w:t>
      </w:r>
      <w:r>
        <w:tab/>
        <w:t xml:space="preserve">The registration holder, at the request of the auditor, must provide the auditor with any information reasonably required for the audit. </w:t>
      </w:r>
    </w:p>
    <w:p>
      <w:pPr>
        <w:pStyle w:val="Subsection"/>
      </w:pPr>
      <w:r>
        <w:tab/>
        <w:t>(4)</w:t>
      </w:r>
      <w:r>
        <w:tab/>
        <w:t>The Authority —</w:t>
      </w:r>
    </w:p>
    <w:p>
      <w:pPr>
        <w:pStyle w:val="Indenta"/>
      </w:pPr>
      <w:r>
        <w:tab/>
        <w:t>(a)</w:t>
      </w:r>
      <w:r>
        <w:tab/>
        <w:t>may recover from the registration holder its reasonable costs and expenses arising from the appointment and remuneration of an auditor appointed under subsection (1); and</w:t>
      </w:r>
    </w:p>
    <w:p>
      <w:pPr>
        <w:pStyle w:val="Indenta"/>
      </w:pPr>
      <w:r>
        <w:tab/>
        <w:t>(b)</w:t>
      </w:r>
      <w:r>
        <w:tab/>
        <w:t>may seek an order for the recovery of those costs and expenses in a court of competent jurisdiction.</w:t>
      </w:r>
    </w:p>
    <w:p>
      <w:pPr>
        <w:pStyle w:val="Footnotesection"/>
      </w:pPr>
      <w:r>
        <w:tab/>
        <w:t>[Section 59ZG inserted: No. 10 of 2024 s. 14.]</w:t>
      </w:r>
    </w:p>
    <w:p>
      <w:pPr>
        <w:pStyle w:val="Heading5"/>
      </w:pPr>
      <w:bookmarkStart w:id="297" w:name="_Toc164173976"/>
      <w:bookmarkStart w:id="298" w:name="_Toc164842723"/>
      <w:r>
        <w:rPr>
          <w:rStyle w:val="CharSectno"/>
        </w:rPr>
        <w:lastRenderedPageBreak/>
        <w:t>59ZH</w:t>
      </w:r>
      <w:r>
        <w:t>.</w:t>
      </w:r>
      <w:r>
        <w:tab/>
        <w:t>Use and disclosure of information</w:t>
      </w:r>
      <w:bookmarkEnd w:id="297"/>
      <w:bookmarkEnd w:id="298"/>
    </w:p>
    <w:p>
      <w:pPr>
        <w:pStyle w:val="Subsection"/>
      </w:pPr>
      <w:r>
        <w:tab/>
        <w:t>(1)</w:t>
      </w:r>
      <w:r>
        <w:tab/>
        <w:t>The Authority may use and disclose any information or report provided to the Authority under this Part to carry out its responsibility to administer and enforce the registration framework.</w:t>
      </w:r>
    </w:p>
    <w:p>
      <w:pPr>
        <w:pStyle w:val="Subsection"/>
      </w:pPr>
      <w:r>
        <w:tab/>
        <w:t>(2)</w:t>
      </w:r>
      <w:r>
        <w:tab/>
        <w:t>The Authority may disclose information relating to the registration framework to the Coordinator, on request.</w:t>
      </w:r>
    </w:p>
    <w:p>
      <w:pPr>
        <w:pStyle w:val="Subsection"/>
      </w:pPr>
      <w:r>
        <w:tab/>
        <w:t>(3)</w:t>
      </w:r>
      <w:r>
        <w:tab/>
        <w:t>The regulations may provide for the use and disclosure of confidential information.</w:t>
      </w:r>
    </w:p>
    <w:p>
      <w:pPr>
        <w:pStyle w:val="Subsection"/>
      </w:pPr>
      <w:r>
        <w:tab/>
        <w:t>(4)</w:t>
      </w:r>
      <w:r>
        <w:tab/>
        <w:t>The Authority must comply with the regulations when using or disclosing confidential information.</w:t>
      </w:r>
    </w:p>
    <w:p>
      <w:pPr>
        <w:pStyle w:val="Footnotesection"/>
      </w:pPr>
      <w:r>
        <w:tab/>
        <w:t>[Section 59ZH inserted: No. 10 of 2024 s. 14.]</w:t>
      </w:r>
    </w:p>
    <w:p>
      <w:pPr>
        <w:pStyle w:val="Heading3"/>
      </w:pPr>
      <w:bookmarkStart w:id="299" w:name="_Toc142317793"/>
      <w:bookmarkStart w:id="300" w:name="_Toc142318063"/>
      <w:bookmarkStart w:id="301" w:name="_Toc142318871"/>
      <w:bookmarkStart w:id="302" w:name="_Toc142557974"/>
      <w:bookmarkStart w:id="303" w:name="_Toc142912519"/>
      <w:bookmarkStart w:id="304" w:name="_Toc161904752"/>
      <w:bookmarkStart w:id="305" w:name="_Toc161906807"/>
      <w:bookmarkStart w:id="306" w:name="_Toc164173977"/>
      <w:bookmarkStart w:id="307" w:name="_Toc164435439"/>
      <w:bookmarkStart w:id="308" w:name="_Toc164435750"/>
      <w:bookmarkStart w:id="309" w:name="_Toc164679564"/>
      <w:bookmarkStart w:id="310" w:name="_Toc164842724"/>
      <w:r>
        <w:rPr>
          <w:rStyle w:val="CharDivNo"/>
        </w:rPr>
        <w:t>Division 7</w:t>
      </w:r>
      <w:r>
        <w:t> — </w:t>
      </w:r>
      <w:r>
        <w:rPr>
          <w:rStyle w:val="CharDivText"/>
        </w:rPr>
        <w:t>Enforcement</w:t>
      </w:r>
      <w:bookmarkEnd w:id="299"/>
      <w:bookmarkEnd w:id="300"/>
      <w:bookmarkEnd w:id="301"/>
      <w:bookmarkEnd w:id="302"/>
      <w:bookmarkEnd w:id="303"/>
      <w:bookmarkEnd w:id="304"/>
      <w:bookmarkEnd w:id="305"/>
      <w:bookmarkEnd w:id="306"/>
      <w:bookmarkEnd w:id="307"/>
      <w:bookmarkEnd w:id="308"/>
      <w:bookmarkEnd w:id="309"/>
      <w:bookmarkEnd w:id="310"/>
    </w:p>
    <w:p>
      <w:pPr>
        <w:pStyle w:val="Footnoteheading"/>
        <w:keepNext/>
        <w:tabs>
          <w:tab w:val="left" w:pos="840"/>
        </w:tabs>
      </w:pPr>
      <w:r>
        <w:tab/>
        <w:t>[Heading inserted: No. 10 of 2024 s. 14.]</w:t>
      </w:r>
    </w:p>
    <w:p>
      <w:pPr>
        <w:pStyle w:val="Heading5"/>
      </w:pPr>
      <w:bookmarkStart w:id="311" w:name="_Toc164173978"/>
      <w:bookmarkStart w:id="312" w:name="_Toc164842725"/>
      <w:r>
        <w:rPr>
          <w:rStyle w:val="CharSectno"/>
        </w:rPr>
        <w:t>59ZI</w:t>
      </w:r>
      <w:r>
        <w:t>.</w:t>
      </w:r>
      <w:r>
        <w:tab/>
        <w:t>Failure to comply with registration</w:t>
      </w:r>
      <w:bookmarkEnd w:id="311"/>
      <w:bookmarkEnd w:id="312"/>
    </w:p>
    <w:p>
      <w:pPr>
        <w:pStyle w:val="Subsection"/>
        <w:keepNext/>
      </w:pPr>
      <w:r>
        <w:tab/>
        <w:t>(1)</w:t>
      </w:r>
      <w:r>
        <w:tab/>
        <w:t>If, in the opinion of the Authority, a registration holder contravenes a term or condition of registration, the Authority may cause a notice to be served on the registration holder requiring the registration holder to rectify the contravention within a specified period.</w:t>
      </w:r>
    </w:p>
    <w:p>
      <w:pPr>
        <w:pStyle w:val="Subsection"/>
      </w:pPr>
      <w:r>
        <w:tab/>
        <w:t>(2)</w:t>
      </w:r>
      <w:r>
        <w:tab/>
        <w:t xml:space="preserve">If, in the opinion of the Authority, a registration holder fails to comply with a notice under subsection (1), the Authority may, subject to section 59ZJ, do 1 or more of the following — </w:t>
      </w:r>
    </w:p>
    <w:p>
      <w:pPr>
        <w:pStyle w:val="Indenta"/>
      </w:pPr>
      <w:r>
        <w:tab/>
        <w:t>(a)</w:t>
      </w:r>
      <w:r>
        <w:tab/>
        <w:t>accept a written undertaking from the registration holder under which the registration holder undertakes to rectify the contravention;</w:t>
      </w:r>
    </w:p>
    <w:p>
      <w:pPr>
        <w:pStyle w:val="Indenta"/>
      </w:pPr>
      <w:r>
        <w:tab/>
        <w:t>(b)</w:t>
      </w:r>
      <w:r>
        <w:tab/>
        <w:t>require the registration holder to give public notice of the contravention in the manner determined by the Authority;</w:t>
      </w:r>
    </w:p>
    <w:p>
      <w:pPr>
        <w:pStyle w:val="Indenta"/>
      </w:pPr>
      <w:r>
        <w:lastRenderedPageBreak/>
        <w:tab/>
        <w:t>(c)</w:t>
      </w:r>
      <w:r>
        <w:tab/>
        <w:t>order the registration holder to pay a monetary penalty fixed by the Authority but not exceeding $100 000;</w:t>
      </w:r>
    </w:p>
    <w:p>
      <w:pPr>
        <w:pStyle w:val="Indenta"/>
      </w:pPr>
      <w:r>
        <w:tab/>
        <w:t>(d)</w:t>
      </w:r>
      <w:r>
        <w:tab/>
        <w:t>cause the contravention to be rectified to the satisfaction of the Authority;</w:t>
      </w:r>
    </w:p>
    <w:p>
      <w:pPr>
        <w:pStyle w:val="Indenta"/>
      </w:pPr>
      <w:r>
        <w:tab/>
        <w:t>(e)</w:t>
      </w:r>
      <w:r>
        <w:tab/>
        <w:t>revoke or suspend the registration of the registration holder.</w:t>
      </w:r>
    </w:p>
    <w:p>
      <w:pPr>
        <w:pStyle w:val="Subsection"/>
      </w:pPr>
      <w:r>
        <w:tab/>
        <w:t>(3)</w:t>
      </w:r>
      <w:r>
        <w:tab/>
        <w:t>The registration holder is liable to pay to the Authority the costs and expenses incurred in taking any action under subsection (2)(d).</w:t>
      </w:r>
    </w:p>
    <w:p>
      <w:pPr>
        <w:pStyle w:val="Footnotesection"/>
      </w:pPr>
      <w:r>
        <w:tab/>
        <w:t>[Section 59ZI inserted: No. 10 of 2024 s. 14.]</w:t>
      </w:r>
    </w:p>
    <w:p>
      <w:pPr>
        <w:pStyle w:val="Heading5"/>
      </w:pPr>
      <w:bookmarkStart w:id="313" w:name="_Toc164173979"/>
      <w:bookmarkStart w:id="314" w:name="_Toc164842726"/>
      <w:r>
        <w:rPr>
          <w:rStyle w:val="CharSectno"/>
        </w:rPr>
        <w:t>59ZJ</w:t>
      </w:r>
      <w:r>
        <w:t>.</w:t>
      </w:r>
      <w:r>
        <w:tab/>
        <w:t>Right of registration holder to make submissions</w:t>
      </w:r>
      <w:bookmarkEnd w:id="313"/>
      <w:bookmarkEnd w:id="314"/>
    </w:p>
    <w:p>
      <w:pPr>
        <w:pStyle w:val="Subsection"/>
      </w:pPr>
      <w:r>
        <w:tab/>
        <w:t>(1)</w:t>
      </w:r>
      <w:r>
        <w:tab/>
        <w:t xml:space="preserve">Subject to section 59ZP(3), the Authority must not take any action under section 59ZI(2)(b) to (e) unless the Authority has notified the registration holder — </w:t>
      </w:r>
    </w:p>
    <w:p>
      <w:pPr>
        <w:pStyle w:val="Indenta"/>
      </w:pPr>
      <w:r>
        <w:tab/>
        <w:t>(a)</w:t>
      </w:r>
      <w:r>
        <w:tab/>
        <w:t>of the proposed action and the reasons for it; and</w:t>
      </w:r>
    </w:p>
    <w:p>
      <w:pPr>
        <w:pStyle w:val="Indenta"/>
      </w:pPr>
      <w:r>
        <w:tab/>
        <w:t>(b)</w:t>
      </w:r>
      <w:r>
        <w:tab/>
        <w:t>that the registration holder may within the period specified in the notice show cause why the action should not be taken.</w:t>
      </w:r>
    </w:p>
    <w:p>
      <w:pPr>
        <w:pStyle w:val="Subsection"/>
      </w:pPr>
      <w:r>
        <w:tab/>
        <w:t>(2)</w:t>
      </w:r>
      <w:r>
        <w:tab/>
        <w:t>The Authority must consider any response of the registration holder given within the period specified in the notice.</w:t>
      </w:r>
    </w:p>
    <w:p>
      <w:pPr>
        <w:pStyle w:val="Subsection"/>
      </w:pPr>
      <w:r>
        <w:tab/>
        <w:t>(3)</w:t>
      </w:r>
      <w:r>
        <w:tab/>
        <w:t>The Authority must make its decision within 30 business days after the end of the period specified in the notice.</w:t>
      </w:r>
    </w:p>
    <w:p>
      <w:pPr>
        <w:pStyle w:val="Subsection"/>
      </w:pPr>
      <w:r>
        <w:tab/>
        <w:t>(4)</w:t>
      </w:r>
      <w:r>
        <w:tab/>
        <w:t xml:space="preserve">The Authority must notify the registration holder of its decision. </w:t>
      </w:r>
    </w:p>
    <w:p>
      <w:pPr>
        <w:pStyle w:val="Footnotesection"/>
      </w:pPr>
      <w:r>
        <w:tab/>
        <w:t>[Section 59ZJ inserted: No. 10 of 2024 s. 14.]</w:t>
      </w:r>
    </w:p>
    <w:p>
      <w:pPr>
        <w:pStyle w:val="Heading5"/>
      </w:pPr>
      <w:bookmarkStart w:id="315" w:name="_Toc164173980"/>
      <w:bookmarkStart w:id="316" w:name="_Toc164842727"/>
      <w:r>
        <w:rPr>
          <w:rStyle w:val="CharSectno"/>
        </w:rPr>
        <w:t>59ZK</w:t>
      </w:r>
      <w:r>
        <w:t>.</w:t>
      </w:r>
      <w:r>
        <w:tab/>
        <w:t>Power to enter premises to rectify contravention</w:t>
      </w:r>
      <w:bookmarkEnd w:id="315"/>
      <w:bookmarkEnd w:id="316"/>
    </w:p>
    <w:p>
      <w:pPr>
        <w:pStyle w:val="Subsection"/>
      </w:pPr>
      <w:r>
        <w:tab/>
      </w:r>
      <w:r>
        <w:tab/>
        <w:t>Persons authorised by the Authority in writing may enter any premises and do all things that are necessary for the purposes of section 59ZI(2)(d).</w:t>
      </w:r>
    </w:p>
    <w:p>
      <w:pPr>
        <w:pStyle w:val="Footnotesection"/>
      </w:pPr>
      <w:r>
        <w:tab/>
        <w:t>[Section 59ZK inserted: No. 10 of 2024 s. 14.]</w:t>
      </w:r>
    </w:p>
    <w:p>
      <w:pPr>
        <w:pStyle w:val="Heading5"/>
      </w:pPr>
      <w:bookmarkStart w:id="317" w:name="_Toc164173981"/>
      <w:bookmarkStart w:id="318" w:name="_Toc164842728"/>
      <w:r>
        <w:rPr>
          <w:rStyle w:val="CharSectno"/>
        </w:rPr>
        <w:lastRenderedPageBreak/>
        <w:t>59ZL</w:t>
      </w:r>
      <w:r>
        <w:t>.</w:t>
      </w:r>
      <w:r>
        <w:tab/>
        <w:t>Recovery of penalty, costs and expenses</w:t>
      </w:r>
      <w:bookmarkEnd w:id="317"/>
      <w:bookmarkEnd w:id="318"/>
    </w:p>
    <w:p>
      <w:pPr>
        <w:pStyle w:val="Subsection"/>
      </w:pPr>
      <w:r>
        <w:tab/>
      </w:r>
      <w:r>
        <w:tab/>
        <w:t xml:space="preserve">The Authority may recover the following in a court of competent jurisdiction as a debt due by the registration holder to the State — </w:t>
      </w:r>
    </w:p>
    <w:p>
      <w:pPr>
        <w:pStyle w:val="Indenta"/>
      </w:pPr>
      <w:r>
        <w:tab/>
        <w:t>(a)</w:t>
      </w:r>
      <w:r>
        <w:tab/>
        <w:t>a penalty imposed under section 59ZI(2)(c);</w:t>
      </w:r>
    </w:p>
    <w:p>
      <w:pPr>
        <w:pStyle w:val="Indenta"/>
      </w:pPr>
      <w:r>
        <w:tab/>
        <w:t>(b)</w:t>
      </w:r>
      <w:r>
        <w:tab/>
        <w:t>the costs and expenses of any action taken under section 59ZI(2)(d).</w:t>
      </w:r>
    </w:p>
    <w:p>
      <w:pPr>
        <w:pStyle w:val="Footnotesection"/>
      </w:pPr>
      <w:r>
        <w:tab/>
        <w:t>[Section 59ZL inserted: No. 10 of 2024 s. 14.]</w:t>
      </w:r>
    </w:p>
    <w:p>
      <w:pPr>
        <w:pStyle w:val="Heading5"/>
      </w:pPr>
      <w:bookmarkStart w:id="319" w:name="_Toc164173982"/>
      <w:bookmarkStart w:id="320" w:name="_Toc164842729"/>
      <w:r>
        <w:rPr>
          <w:rStyle w:val="CharSectno"/>
        </w:rPr>
        <w:t>59ZM</w:t>
      </w:r>
      <w:r>
        <w:t>.</w:t>
      </w:r>
      <w:r>
        <w:tab/>
        <w:t>Enforceable undertakings</w:t>
      </w:r>
      <w:bookmarkEnd w:id="319"/>
      <w:bookmarkEnd w:id="320"/>
    </w:p>
    <w:p>
      <w:pPr>
        <w:pStyle w:val="Subsection"/>
      </w:pPr>
      <w:r>
        <w:tab/>
        <w:t>(1)</w:t>
      </w:r>
      <w:r>
        <w:tab/>
        <w:t>This section applies if the Authority accepts an undertaking under section 59ZI(2)(a).</w:t>
      </w:r>
    </w:p>
    <w:p>
      <w:pPr>
        <w:pStyle w:val="Subsection"/>
      </w:pPr>
      <w:r>
        <w:tab/>
        <w:t>(2)</w:t>
      </w:r>
      <w:r>
        <w:tab/>
        <w:t>The registration holder may, with the consent of the Authority, withdraw or amend an undertaking.</w:t>
      </w:r>
    </w:p>
    <w:p>
      <w:pPr>
        <w:pStyle w:val="Subsection"/>
      </w:pPr>
      <w:r>
        <w:tab/>
        <w:t>(3)</w:t>
      </w:r>
      <w:r>
        <w:tab/>
        <w:t>The Authority may withdraw its acceptance of an undertaking at any time and the undertaking ceases to be in force on that withdrawal.</w:t>
      </w:r>
    </w:p>
    <w:p>
      <w:pPr>
        <w:pStyle w:val="Subsection"/>
      </w:pPr>
      <w:r>
        <w:tab/>
        <w:t>(4)</w:t>
      </w:r>
      <w:r>
        <w:tab/>
        <w:t>The Authority may publish on the Authority’s website an undertaking accepted under section 59ZI(2)(a).</w:t>
      </w:r>
    </w:p>
    <w:p>
      <w:pPr>
        <w:pStyle w:val="Footnotesection"/>
      </w:pPr>
      <w:r>
        <w:tab/>
        <w:t>[Section 59ZM inserted: No. 10 of 2024 s. 14.]</w:t>
      </w:r>
    </w:p>
    <w:p>
      <w:pPr>
        <w:pStyle w:val="Heading5"/>
      </w:pPr>
      <w:bookmarkStart w:id="321" w:name="_Toc164173983"/>
      <w:bookmarkStart w:id="322" w:name="_Toc164842730"/>
      <w:r>
        <w:rPr>
          <w:rStyle w:val="CharSectno"/>
        </w:rPr>
        <w:t>59ZN</w:t>
      </w:r>
      <w:r>
        <w:t>.</w:t>
      </w:r>
      <w:r>
        <w:tab/>
        <w:t>Certain actions prohibited while undertaking is in force</w:t>
      </w:r>
      <w:bookmarkEnd w:id="321"/>
      <w:bookmarkEnd w:id="322"/>
    </w:p>
    <w:p>
      <w:pPr>
        <w:pStyle w:val="Subsection"/>
      </w:pPr>
      <w:r>
        <w:tab/>
      </w:r>
      <w:r>
        <w:tab/>
        <w:t>While an undertaking is in force under section 59ZI(2)(a), the Authority must not take an action under section 59ZI(2)(b) to (e) in relation to a matter that is covered by the undertaking.</w:t>
      </w:r>
    </w:p>
    <w:p>
      <w:pPr>
        <w:pStyle w:val="Footnotesection"/>
      </w:pPr>
      <w:r>
        <w:tab/>
        <w:t>[Section 59ZN inserted: No. 10 of 2024 s. 14.]</w:t>
      </w:r>
    </w:p>
    <w:p>
      <w:pPr>
        <w:pStyle w:val="Heading5"/>
      </w:pPr>
      <w:bookmarkStart w:id="323" w:name="_Toc164173984"/>
      <w:bookmarkStart w:id="324" w:name="_Toc164842731"/>
      <w:r>
        <w:rPr>
          <w:rStyle w:val="CharSectno"/>
        </w:rPr>
        <w:t>59ZO</w:t>
      </w:r>
      <w:r>
        <w:t>.</w:t>
      </w:r>
      <w:r>
        <w:tab/>
        <w:t>Certain actions prohibited if undertaking is complied with</w:t>
      </w:r>
      <w:bookmarkEnd w:id="323"/>
      <w:bookmarkEnd w:id="324"/>
    </w:p>
    <w:p>
      <w:pPr>
        <w:pStyle w:val="Subsection"/>
      </w:pPr>
      <w:r>
        <w:tab/>
      </w:r>
      <w:r>
        <w:tab/>
        <w:t xml:space="preserve">If a registration holder complies with the requirements of an undertaking under section 59ZI(2)(a), the Authority must not </w:t>
      </w:r>
      <w:r>
        <w:lastRenderedPageBreak/>
        <w:t>take an action under section 59ZI(2)(b) to (e) in relation to a matter that is covered by the undertaking.</w:t>
      </w:r>
    </w:p>
    <w:p>
      <w:pPr>
        <w:pStyle w:val="Footnotesection"/>
      </w:pPr>
      <w:r>
        <w:tab/>
        <w:t>[Section 59ZO inserted: No. 10 of 2024 s. 14.]</w:t>
      </w:r>
    </w:p>
    <w:p>
      <w:pPr>
        <w:pStyle w:val="Heading5"/>
      </w:pPr>
      <w:bookmarkStart w:id="325" w:name="_Toc164173985"/>
      <w:bookmarkStart w:id="326" w:name="_Toc164842732"/>
      <w:r>
        <w:rPr>
          <w:rStyle w:val="CharSectno"/>
        </w:rPr>
        <w:t>59ZP</w:t>
      </w:r>
      <w:r>
        <w:t>.</w:t>
      </w:r>
      <w:r>
        <w:tab/>
        <w:t>Failure to comply with enforceable undertakings</w:t>
      </w:r>
      <w:bookmarkEnd w:id="325"/>
      <w:bookmarkEnd w:id="326"/>
    </w:p>
    <w:p>
      <w:pPr>
        <w:pStyle w:val="Subsection"/>
      </w:pPr>
      <w:r>
        <w:tab/>
        <w:t>(1)</w:t>
      </w:r>
      <w:r>
        <w:tab/>
        <w:t>If the Authority considers that a registration holder who gave an undertaking under section 59ZI(2)(a) has failed to comply with any of its terms, the Authority may apply to a court of competent jurisdiction for an order under subsection (2) to enforce the undertaking.</w:t>
      </w:r>
    </w:p>
    <w:p>
      <w:pPr>
        <w:pStyle w:val="Subsection"/>
      </w:pPr>
      <w:r>
        <w:tab/>
        <w:t>(2)</w:t>
      </w:r>
      <w:r>
        <w:tab/>
        <w:t xml:space="preserve">If the court is satisfied that the registration holder has failed to comply with a term of the undertaking, the court may make any of the following orders — </w:t>
      </w:r>
    </w:p>
    <w:p>
      <w:pPr>
        <w:pStyle w:val="Indenta"/>
      </w:pPr>
      <w:r>
        <w:tab/>
        <w:t>(a)</w:t>
      </w:r>
      <w:r>
        <w:tab/>
        <w:t>an order directing the registration holder to comply with the term of the undertaking;</w:t>
      </w:r>
    </w:p>
    <w:p>
      <w:pPr>
        <w:pStyle w:val="Indenta"/>
      </w:pPr>
      <w:r>
        <w:tab/>
        <w:t>(b)</w:t>
      </w:r>
      <w:r>
        <w:tab/>
        <w:t>an order that the registration holder take any specified action for the purpose of complying with the term of the undertaking;</w:t>
      </w:r>
    </w:p>
    <w:p>
      <w:pPr>
        <w:pStyle w:val="Indenta"/>
      </w:pPr>
      <w:r>
        <w:tab/>
        <w:t>(c)</w:t>
      </w:r>
      <w:r>
        <w:tab/>
        <w:t>any other order that the court considers appropriate in the circumstances.</w:t>
      </w:r>
    </w:p>
    <w:p>
      <w:pPr>
        <w:pStyle w:val="Subsection"/>
      </w:pPr>
      <w:r>
        <w:tab/>
        <w:t>(3)</w:t>
      </w:r>
      <w:r>
        <w:tab/>
        <w:t xml:space="preserve">If the court determines that a registration holder has failed to comply with a term of an undertaking under section 59ZI(2)(a), the Authority may without further notice take 1 or more actions under section 59ZI(2)(b) to (e) in relation to a matter that is covered by the term of the undertaking. </w:t>
      </w:r>
    </w:p>
    <w:p>
      <w:pPr>
        <w:pStyle w:val="Footnotesection"/>
      </w:pPr>
      <w:r>
        <w:tab/>
        <w:t>[Section 59ZP inserted: No. 10 of 2024 s. 14.]</w:t>
      </w:r>
    </w:p>
    <w:p>
      <w:pPr>
        <w:pStyle w:val="Heading2"/>
      </w:pPr>
      <w:bookmarkStart w:id="327" w:name="_Toc164424670"/>
      <w:bookmarkStart w:id="328" w:name="_Toc164435448"/>
      <w:bookmarkStart w:id="329" w:name="_Toc164435759"/>
      <w:bookmarkStart w:id="330" w:name="_Toc164679573"/>
      <w:bookmarkStart w:id="331" w:name="_Toc164842733"/>
      <w:r>
        <w:rPr>
          <w:rStyle w:val="CharPartNo"/>
        </w:rPr>
        <w:lastRenderedPageBreak/>
        <w:t>Part 4</w:t>
      </w:r>
      <w:r>
        <w:rPr>
          <w:rStyle w:val="CharDivNo"/>
        </w:rPr>
        <w:t> </w:t>
      </w:r>
      <w:r>
        <w:t>—</w:t>
      </w:r>
      <w:r>
        <w:rPr>
          <w:rStyle w:val="CharDivText"/>
        </w:rPr>
        <w:t> </w:t>
      </w:r>
      <w:r>
        <w:rPr>
          <w:rStyle w:val="CharPartText"/>
        </w:rPr>
        <w:t>Extension and expansion policies for certain corporations</w:t>
      </w:r>
      <w:bookmarkEnd w:id="327"/>
      <w:bookmarkEnd w:id="328"/>
      <w:bookmarkEnd w:id="329"/>
      <w:bookmarkEnd w:id="330"/>
      <w:bookmarkEnd w:id="331"/>
    </w:p>
    <w:p>
      <w:pPr>
        <w:pStyle w:val="Heading5"/>
      </w:pPr>
      <w:bookmarkStart w:id="332" w:name="_Toc164842734"/>
      <w:r>
        <w:rPr>
          <w:rStyle w:val="CharSectno"/>
        </w:rPr>
        <w:t>60</w:t>
      </w:r>
      <w:r>
        <w:t>.</w:t>
      </w:r>
      <w:r>
        <w:tab/>
        <w:t>Terms used</w:t>
      </w:r>
      <w:bookmarkEnd w:id="332"/>
    </w:p>
    <w:p>
      <w:pPr>
        <w:pStyle w:val="Subsection"/>
      </w:pPr>
      <w:r>
        <w:tab/>
      </w:r>
      <w:r>
        <w:tab/>
        <w:t xml:space="preserve">In this Part, unless the contrary intention appears — </w:t>
      </w:r>
    </w:p>
    <w:p>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pPr>
        <w:pStyle w:val="Defstart"/>
      </w:pPr>
      <w:r>
        <w:rPr>
          <w:b/>
        </w:rPr>
        <w:tab/>
      </w:r>
      <w:r>
        <w:rPr>
          <w:rStyle w:val="CharDefText"/>
        </w:rPr>
        <w:t>corporation</w:t>
      </w:r>
      <w:r>
        <w:t xml:space="preserve"> means — </w:t>
      </w:r>
    </w:p>
    <w:p>
      <w:pPr>
        <w:pStyle w:val="Defpara"/>
      </w:pPr>
      <w:r>
        <w:tab/>
        <w:t>(a)</w:t>
      </w:r>
      <w:r>
        <w:tab/>
        <w:t>the Electricity Networks Corporation; or</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r>
        <w:rPr>
          <w:rStyle w:val="CharDefText"/>
        </w:rPr>
        <w:t>extension and expansion policy</w:t>
      </w:r>
      <w:r>
        <w:t xml:space="preserve"> means documentation that sets out arrangements for and in relation to — </w:t>
      </w:r>
    </w:p>
    <w:p>
      <w:pPr>
        <w:pStyle w:val="Defpara"/>
      </w:pPr>
      <w:r>
        <w:tab/>
        <w:t>(a)</w:t>
      </w:r>
      <w:r>
        <w:tab/>
        <w:t>the geographic extension of a particular system; and</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r>
        <w:rPr>
          <w:rStyle w:val="CharDefText"/>
        </w:rPr>
        <w:t>licence</w:t>
      </w:r>
      <w:r>
        <w:t xml:space="preserve"> means a transmission licence, distribution licence or an integrated regional licence;</w:t>
      </w:r>
    </w:p>
    <w:p>
      <w:pPr>
        <w:pStyle w:val="Defstart"/>
      </w:pPr>
      <w:r>
        <w:rPr>
          <w:b/>
        </w:rPr>
        <w:tab/>
      </w:r>
      <w:r>
        <w:rPr>
          <w:rStyle w:val="CharDefText"/>
        </w:rPr>
        <w:t>system</w:t>
      </w:r>
      <w:r>
        <w:t xml:space="preserve"> means a transmission system or distribution system.</w:t>
      </w:r>
    </w:p>
    <w:p>
      <w:pPr>
        <w:pStyle w:val="Footnotesection"/>
      </w:pPr>
      <w:r>
        <w:tab/>
        <w:t>[Section 60 amended: No. 18 of 2005 s. 139; No. 10 of 2024 s. 15.]</w:t>
      </w:r>
    </w:p>
    <w:p>
      <w:pPr>
        <w:pStyle w:val="Heading5"/>
      </w:pPr>
      <w:bookmarkStart w:id="333" w:name="_Toc164842735"/>
      <w:r>
        <w:rPr>
          <w:rStyle w:val="CharSectno"/>
        </w:rPr>
        <w:t>61</w:t>
      </w:r>
      <w:r>
        <w:t>.</w:t>
      </w:r>
      <w:r>
        <w:tab/>
        <w:t>Draft policy to be submitted to Coordinator</w:t>
      </w:r>
      <w:bookmarkEnd w:id="333"/>
    </w:p>
    <w:p>
      <w:pPr>
        <w:pStyle w:val="Subsection"/>
      </w:pPr>
      <w:r>
        <w:tab/>
        <w:t>(1)</w:t>
      </w:r>
      <w:r>
        <w:tab/>
        <w:t xml:space="preserve">In subsection (2) — </w:t>
      </w:r>
    </w:p>
    <w:p>
      <w:pPr>
        <w:pStyle w:val="Defstart"/>
        <w:spacing w:before="60"/>
      </w:pPr>
      <w:r>
        <w:rPr>
          <w:b/>
        </w:rPr>
        <w:tab/>
      </w:r>
      <w:r>
        <w:rPr>
          <w:rStyle w:val="CharDefText"/>
        </w:rPr>
        <w:t>prescribed period</w:t>
      </w:r>
      <w:r>
        <w:t xml:space="preserve"> means — </w:t>
      </w:r>
    </w:p>
    <w:p>
      <w:pPr>
        <w:pStyle w:val="Defpara"/>
        <w:spacing w:before="60"/>
      </w:pPr>
      <w:r>
        <w:tab/>
        <w:t>(a)</w:t>
      </w:r>
      <w:r>
        <w:tab/>
        <w:t>3 months after a written request by the Coordinator; or</w:t>
      </w:r>
    </w:p>
    <w:p>
      <w:pPr>
        <w:pStyle w:val="Defpara"/>
      </w:pPr>
      <w:r>
        <w:lastRenderedPageBreak/>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334" w:name="_Toc164842736"/>
      <w:r>
        <w:rPr>
          <w:rStyle w:val="CharSectno"/>
        </w:rPr>
        <w:t>62</w:t>
      </w:r>
      <w:r>
        <w:t>.</w:t>
      </w:r>
      <w:r>
        <w:tab/>
        <w:t>Approval of policy</w:t>
      </w:r>
      <w:bookmarkEnd w:id="334"/>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335" w:name="_Toc164842737"/>
      <w:r>
        <w:rPr>
          <w:rStyle w:val="CharSectno"/>
        </w:rPr>
        <w:t>63</w:t>
      </w:r>
      <w:r>
        <w:t>.</w:t>
      </w:r>
      <w:r>
        <w:tab/>
        <w:t>Amendment or replacement of policy</w:t>
      </w:r>
      <w:bookmarkEnd w:id="335"/>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keepNext/>
      </w:pPr>
      <w:r>
        <w:lastRenderedPageBreak/>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336" w:name="_Toc164842738"/>
      <w:r>
        <w:rPr>
          <w:rStyle w:val="CharSectno"/>
        </w:rPr>
        <w:t>64</w:t>
      </w:r>
      <w:r>
        <w:t>.</w:t>
      </w:r>
      <w:r>
        <w:tab/>
        <w:t>Coordinator may direct that amendment be made</w:t>
      </w:r>
      <w:bookmarkEnd w:id="336"/>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337" w:name="_Toc164842739"/>
      <w:r>
        <w:rPr>
          <w:rStyle w:val="CharSectno"/>
        </w:rPr>
        <w:lastRenderedPageBreak/>
        <w:t>65</w:t>
      </w:r>
      <w:r>
        <w:t>.</w:t>
      </w:r>
      <w:r>
        <w:tab/>
        <w:t>Licence condition: extension and expansion</w:t>
      </w:r>
      <w:bookmarkEnd w:id="337"/>
    </w:p>
    <w:p>
      <w:pPr>
        <w:pStyle w:val="Subsection"/>
        <w:keepNext/>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 and</w:t>
      </w:r>
    </w:p>
    <w:p>
      <w:pPr>
        <w:pStyle w:val="Indenta"/>
      </w:pPr>
      <w:r>
        <w:tab/>
        <w:t>(b)</w:t>
      </w:r>
      <w:r>
        <w:tab/>
        <w:t>comply with a direction given to the corporation under section 62(1)(b) that relates to the extension and expansion policy for the system to which the licence applies; and</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338" w:name="_Toc164842740"/>
      <w:r>
        <w:rPr>
          <w:rStyle w:val="CharSectno"/>
        </w:rPr>
        <w:t>66</w:t>
      </w:r>
      <w:r>
        <w:t>.</w:t>
      </w:r>
      <w:r>
        <w:tab/>
        <w:t>Regulations as to content of policies</w:t>
      </w:r>
      <w:bookmarkEnd w:id="338"/>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r>
      <w:r>
        <w:tab/>
        <w:t>and</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r>
      <w:r>
        <w:tab/>
        <w:t>and</w:t>
      </w:r>
    </w:p>
    <w:p>
      <w:pPr>
        <w:pStyle w:val="Indenta"/>
        <w:keepLines/>
      </w:pPr>
      <w:r>
        <w:lastRenderedPageBreak/>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339" w:name="_Toc164424678"/>
      <w:bookmarkStart w:id="340" w:name="_Toc164435456"/>
      <w:bookmarkStart w:id="341" w:name="_Toc164435767"/>
      <w:bookmarkStart w:id="342" w:name="_Toc164679581"/>
      <w:bookmarkStart w:id="343" w:name="_Toc164842741"/>
      <w:r>
        <w:rPr>
          <w:rStyle w:val="CharPartNo"/>
        </w:rPr>
        <w:lastRenderedPageBreak/>
        <w:t>Part 5</w:t>
      </w:r>
      <w:r>
        <w:rPr>
          <w:rStyle w:val="CharDivNo"/>
        </w:rPr>
        <w:t> </w:t>
      </w:r>
      <w:r>
        <w:t>—</w:t>
      </w:r>
      <w:r>
        <w:rPr>
          <w:rStyle w:val="CharDivText"/>
        </w:rPr>
        <w:t> </w:t>
      </w:r>
      <w:r>
        <w:rPr>
          <w:rStyle w:val="CharPartText"/>
        </w:rPr>
        <w:t>Last resort supply arrangements</w:t>
      </w:r>
      <w:bookmarkEnd w:id="339"/>
      <w:bookmarkEnd w:id="340"/>
      <w:bookmarkEnd w:id="341"/>
      <w:bookmarkEnd w:id="342"/>
      <w:bookmarkEnd w:id="343"/>
    </w:p>
    <w:p>
      <w:pPr>
        <w:pStyle w:val="Heading5"/>
        <w:spacing w:before="120"/>
      </w:pPr>
      <w:bookmarkStart w:id="344" w:name="_Toc164842742"/>
      <w:r>
        <w:rPr>
          <w:rStyle w:val="CharSectno"/>
        </w:rPr>
        <w:t>67</w:t>
      </w:r>
      <w:r>
        <w:t>.</w:t>
      </w:r>
      <w:r>
        <w:tab/>
        <w:t>Terms used</w:t>
      </w:r>
      <w:bookmarkEnd w:id="344"/>
    </w:p>
    <w:p>
      <w:pPr>
        <w:pStyle w:val="Subsection"/>
      </w:pPr>
      <w:r>
        <w:tab/>
      </w:r>
      <w:r>
        <w:tab/>
        <w:t xml:space="preserve">In this Part, unless the contrary intention appears — </w:t>
      </w:r>
    </w:p>
    <w:p>
      <w:pPr>
        <w:pStyle w:val="Defstart"/>
      </w:pPr>
      <w:r>
        <w:tab/>
      </w:r>
      <w:r>
        <w:rPr>
          <w:rStyle w:val="CharDefText"/>
        </w:rPr>
        <w:t>designated area</w:t>
      </w:r>
      <w:r>
        <w:t xml:space="preserve"> means an area designated under section 68(1);</w:t>
      </w:r>
    </w:p>
    <w:p>
      <w:pPr>
        <w:pStyle w:val="Defstart"/>
      </w:pPr>
      <w:r>
        <w:rPr>
          <w:b/>
        </w:rPr>
        <w:tab/>
      </w:r>
      <w:r>
        <w:rPr>
          <w:rStyle w:val="CharDefText"/>
        </w:rPr>
        <w:t>last resort supply plan</w:t>
      </w:r>
      <w:r>
        <w:t xml:space="preserve"> means a plan that meets the requirements of section 69;</w:t>
      </w:r>
    </w:p>
    <w:p>
      <w:pPr>
        <w:pStyle w:val="Defstart"/>
      </w:pPr>
      <w:r>
        <w:rPr>
          <w:b/>
        </w:rPr>
        <w:tab/>
      </w:r>
      <w:r>
        <w:rPr>
          <w:rStyle w:val="CharDefText"/>
        </w:rPr>
        <w:t>retail licence</w:t>
      </w:r>
      <w:r>
        <w:t xml:space="preserve"> includes an integrated regional licence;</w:t>
      </w:r>
    </w:p>
    <w:p>
      <w:pPr>
        <w:pStyle w:val="Defstart"/>
      </w:pPr>
      <w:r>
        <w:tab/>
      </w:r>
      <w:r>
        <w:rPr>
          <w:rStyle w:val="CharDefText"/>
        </w:rPr>
        <w:t>supplier of last resort</w:t>
      </w:r>
      <w:r>
        <w:t xml:space="preserve"> has the meaning given to that term in section 69(1).</w:t>
      </w:r>
    </w:p>
    <w:p>
      <w:pPr>
        <w:pStyle w:val="Heading5"/>
      </w:pPr>
      <w:bookmarkStart w:id="345" w:name="_Toc164842743"/>
      <w:r>
        <w:rPr>
          <w:rStyle w:val="CharSectno"/>
        </w:rPr>
        <w:t>68</w:t>
      </w:r>
      <w:r>
        <w:t>.</w:t>
      </w:r>
      <w:r>
        <w:tab/>
        <w:t>Authority to ensure supply plan in place in designated areas</w:t>
      </w:r>
      <w:bookmarkEnd w:id="345"/>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346" w:name="_Toc164842744"/>
      <w:r>
        <w:rPr>
          <w:rStyle w:val="CharSectno"/>
        </w:rPr>
        <w:t>69</w:t>
      </w:r>
      <w:r>
        <w:t>.</w:t>
      </w:r>
      <w:r>
        <w:tab/>
        <w:t>Requirements for last resort supply plan</w:t>
      </w:r>
      <w:bookmarkEnd w:id="346"/>
    </w:p>
    <w:p>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keepNext/>
      </w:pPr>
      <w:r>
        <w:lastRenderedPageBreak/>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347" w:name="_Toc164842745"/>
      <w:r>
        <w:rPr>
          <w:rStyle w:val="CharSectno"/>
        </w:rPr>
        <w:t>70</w:t>
      </w:r>
      <w:r>
        <w:t>.</w:t>
      </w:r>
      <w:r>
        <w:tab/>
        <w:t>How plan brought into operation</w:t>
      </w:r>
      <w:bookmarkEnd w:id="347"/>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 or</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348" w:name="_Toc164842746"/>
      <w:r>
        <w:rPr>
          <w:rStyle w:val="CharSectno"/>
        </w:rPr>
        <w:t>71</w:t>
      </w:r>
      <w:r>
        <w:t>.</w:t>
      </w:r>
      <w:r>
        <w:tab/>
        <w:t>Supplier of last resort</w:t>
      </w:r>
      <w:bookmarkEnd w:id="348"/>
    </w:p>
    <w:p>
      <w:pPr>
        <w:pStyle w:val="Subsection"/>
      </w:pPr>
      <w:r>
        <w:tab/>
        <w:t>(1)</w:t>
      </w:r>
      <w:r>
        <w:tab/>
        <w:t xml:space="preserve">The Authority may, by notice in writing to the holder of a retail licence (the </w:t>
      </w:r>
      <w:r>
        <w:rPr>
          <w:rStyle w:val="CharDefText"/>
        </w:rPr>
        <w:t>licensee</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lastRenderedPageBreak/>
        <w:tab/>
        <w:t>(4)</w:t>
      </w:r>
      <w:r>
        <w:tab/>
        <w:t xml:space="preserve">Unless another supplier of last resort for a designated area is designated for the time being under subsection (1) — </w:t>
      </w:r>
    </w:p>
    <w:p>
      <w:pPr>
        <w:pStyle w:val="Indenta"/>
      </w:pPr>
      <w:r>
        <w:tab/>
        <w:t>(a)</w:t>
      </w:r>
      <w:r>
        <w:tab/>
        <w:t>the Electricity Generation and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No. 18 of 2005 s. 139; No. 25 of 2013 s. 39(5).]</w:t>
      </w:r>
    </w:p>
    <w:p>
      <w:pPr>
        <w:pStyle w:val="Heading5"/>
      </w:pPr>
      <w:bookmarkStart w:id="349" w:name="_Toc164842747"/>
      <w:r>
        <w:rPr>
          <w:rStyle w:val="CharSectno"/>
        </w:rPr>
        <w:t>72</w:t>
      </w:r>
      <w:r>
        <w:t>.</w:t>
      </w:r>
      <w:r>
        <w:tab/>
        <w:t>Functions of supplier of last resort</w:t>
      </w:r>
      <w:bookmarkEnd w:id="349"/>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 and</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350" w:name="_Toc164842748"/>
      <w:r>
        <w:rPr>
          <w:rStyle w:val="CharSectno"/>
        </w:rPr>
        <w:t>73</w:t>
      </w:r>
      <w:r>
        <w:t>.</w:t>
      </w:r>
      <w:r>
        <w:tab/>
        <w:t>Approval or determination of plan</w:t>
      </w:r>
      <w:bookmarkEnd w:id="350"/>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lastRenderedPageBreak/>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351" w:name="_Toc164842749"/>
      <w:r>
        <w:rPr>
          <w:rStyle w:val="CharSectno"/>
        </w:rPr>
        <w:t>74</w:t>
      </w:r>
      <w:r>
        <w:t>.</w:t>
      </w:r>
      <w:r>
        <w:tab/>
        <w:t>Amendment of plan by supplier</w:t>
      </w:r>
      <w:bookmarkEnd w:id="351"/>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approve it; or</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352" w:name="_Toc164842750"/>
      <w:r>
        <w:rPr>
          <w:rStyle w:val="CharSectno"/>
        </w:rPr>
        <w:t>75</w:t>
      </w:r>
      <w:r>
        <w:t>.</w:t>
      </w:r>
      <w:r>
        <w:tab/>
        <w:t>Authority may make amendment</w:t>
      </w:r>
      <w:bookmarkEnd w:id="352"/>
    </w:p>
    <w:p>
      <w:pPr>
        <w:pStyle w:val="Subsection"/>
      </w:pPr>
      <w:r>
        <w:tab/>
      </w:r>
      <w:r>
        <w:tab/>
        <w:t>The Authority may at any time, after consultation with the supplier of last resort for a designated area, amend the last resort supply plan for that area.</w:t>
      </w:r>
    </w:p>
    <w:p>
      <w:pPr>
        <w:pStyle w:val="Heading5"/>
      </w:pPr>
      <w:bookmarkStart w:id="353" w:name="_Toc164842751"/>
      <w:r>
        <w:rPr>
          <w:rStyle w:val="CharSectno"/>
        </w:rPr>
        <w:t>76</w:t>
      </w:r>
      <w:r>
        <w:t>.</w:t>
      </w:r>
      <w:r>
        <w:tab/>
        <w:t>Licence condition: last resort supply</w:t>
      </w:r>
      <w:bookmarkEnd w:id="353"/>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ageBreakBefore/>
        <w:spacing w:before="0"/>
      </w:pPr>
      <w:bookmarkStart w:id="354" w:name="_Toc164842752"/>
      <w:r>
        <w:rPr>
          <w:rStyle w:val="CharSectno"/>
        </w:rPr>
        <w:lastRenderedPageBreak/>
        <w:t>77</w:t>
      </w:r>
      <w:r>
        <w:t>.</w:t>
      </w:r>
      <w:r>
        <w:tab/>
        <w:t>Provision may be made by regulation</w:t>
      </w:r>
      <w:bookmarkEnd w:id="354"/>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 and</w:t>
      </w:r>
    </w:p>
    <w:p>
      <w:pPr>
        <w:pStyle w:val="Indenti"/>
      </w:pPr>
      <w:r>
        <w:tab/>
        <w:t>(ii)</w:t>
      </w:r>
      <w:r>
        <w:tab/>
        <w:t>the extent to which particular arrangements are to apply to a particular class of customers; and</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 and</w:t>
      </w:r>
    </w:p>
    <w:p>
      <w:pPr>
        <w:pStyle w:val="IndentI0"/>
      </w:pPr>
      <w:r>
        <w:tab/>
        <w:t>(II)</w:t>
      </w:r>
      <w:r>
        <w:tab/>
        <w:t>the effect of the arrangements and steps that will or may be taken; and</w:t>
      </w:r>
    </w:p>
    <w:p>
      <w:pPr>
        <w:pStyle w:val="IndentI0"/>
      </w:pPr>
      <w:r>
        <w:tab/>
        <w:t>(III)</w:t>
      </w:r>
      <w:r>
        <w:tab/>
        <w:t xml:space="preserve">rights, powers, duties and procedures that apply under the arrangements; </w:t>
      </w:r>
    </w:p>
    <w:p>
      <w:pPr>
        <w:pStyle w:val="Indenti"/>
      </w:pPr>
      <w:r>
        <w:tab/>
      </w:r>
      <w:r>
        <w:tab/>
        <w:t>and</w:t>
      </w:r>
    </w:p>
    <w:p>
      <w:pPr>
        <w:pStyle w:val="Indenti"/>
      </w:pPr>
      <w:r>
        <w:tab/>
        <w:t>(iv)</w:t>
      </w:r>
      <w:r>
        <w:tab/>
        <w:t>the identification of the customers affected by the commencement of arrangements and the provision of identifying information to the supplier of last resort; and</w:t>
      </w:r>
    </w:p>
    <w:p>
      <w:pPr>
        <w:pStyle w:val="Indenti"/>
      </w:pPr>
      <w:r>
        <w:tab/>
        <w:t>(v)</w:t>
      </w:r>
      <w:r>
        <w:tab/>
        <w:t>the transfer of customers to the supplier of last resort and the nature of the relationship between them; and</w:t>
      </w:r>
    </w:p>
    <w:p>
      <w:pPr>
        <w:pStyle w:val="Indenti"/>
      </w:pPr>
      <w:r>
        <w:tab/>
        <w:t>(vi)</w:t>
      </w:r>
      <w:r>
        <w:tab/>
        <w:t>the terms and conditions of supply of electricity under the arrangements, including those relating to pricing and the imposition of charges; and</w:t>
      </w:r>
    </w:p>
    <w:p>
      <w:pPr>
        <w:pStyle w:val="Indenti"/>
      </w:pPr>
      <w:r>
        <w:tab/>
        <w:t>(vii)</w:t>
      </w:r>
      <w:r>
        <w:tab/>
        <w:t>the recovery of costs by the supplier of last resort; and</w:t>
      </w:r>
    </w:p>
    <w:p>
      <w:pPr>
        <w:pStyle w:val="Indenti"/>
      </w:pPr>
      <w:r>
        <w:lastRenderedPageBreak/>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 and</w:t>
      </w:r>
    </w:p>
    <w:p>
      <w:pPr>
        <w:pStyle w:val="IndentI0"/>
      </w:pPr>
      <w:r>
        <w:tab/>
        <w:t>(II)</w:t>
      </w:r>
      <w:r>
        <w:tab/>
        <w:t>the supplier of last resort; and</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355" w:name="_Toc164424690"/>
      <w:bookmarkStart w:id="356" w:name="_Toc164435468"/>
      <w:bookmarkStart w:id="357" w:name="_Toc164435779"/>
      <w:bookmarkStart w:id="358" w:name="_Toc164679593"/>
      <w:bookmarkStart w:id="359" w:name="_Toc164842753"/>
      <w:r>
        <w:rPr>
          <w:rStyle w:val="CharPartNo"/>
        </w:rPr>
        <w:lastRenderedPageBreak/>
        <w:t>Part 6</w:t>
      </w:r>
      <w:r>
        <w:rPr>
          <w:rStyle w:val="CharDivNo"/>
        </w:rPr>
        <w:t> </w:t>
      </w:r>
      <w:r>
        <w:t>—</w:t>
      </w:r>
      <w:r>
        <w:rPr>
          <w:rStyle w:val="CharDivText"/>
        </w:rPr>
        <w:t> </w:t>
      </w:r>
      <w:r>
        <w:rPr>
          <w:rStyle w:val="CharPartText"/>
        </w:rPr>
        <w:t>Code of conduct for supply of electricity to small use customers</w:t>
      </w:r>
      <w:bookmarkEnd w:id="355"/>
      <w:bookmarkEnd w:id="356"/>
      <w:bookmarkEnd w:id="357"/>
      <w:bookmarkEnd w:id="358"/>
      <w:bookmarkEnd w:id="359"/>
    </w:p>
    <w:p>
      <w:pPr>
        <w:pStyle w:val="Heading5"/>
        <w:spacing w:before="240"/>
      </w:pPr>
      <w:bookmarkStart w:id="360" w:name="_Toc164842754"/>
      <w:r>
        <w:rPr>
          <w:rStyle w:val="CharSectno"/>
        </w:rPr>
        <w:t>78</w:t>
      </w:r>
      <w:r>
        <w:t>.</w:t>
      </w:r>
      <w:r>
        <w:tab/>
        <w:t>Terms used</w:t>
      </w:r>
      <w:bookmarkEnd w:id="360"/>
    </w:p>
    <w:p>
      <w:pPr>
        <w:pStyle w:val="Subsection"/>
        <w:spacing w:before="180"/>
      </w:pPr>
      <w:r>
        <w:tab/>
      </w:r>
      <w:r>
        <w:tab/>
        <w:t xml:space="preserve">In this Part, unless the contrary intention appears — </w:t>
      </w:r>
    </w:p>
    <w:p>
      <w:pPr>
        <w:pStyle w:val="Defstart"/>
      </w:pPr>
      <w:r>
        <w:rPr>
          <w:b/>
        </w:rPr>
        <w:tab/>
      </w:r>
      <w:r>
        <w:rPr>
          <w:rStyle w:val="CharDefText"/>
        </w:rPr>
        <w:t>code of conduct</w:t>
      </w:r>
      <w:r>
        <w:t xml:space="preserve"> means the code of conduct approved under section 79;</w:t>
      </w:r>
    </w:p>
    <w:p>
      <w:pPr>
        <w:pStyle w:val="Defstart"/>
      </w:pPr>
      <w:r>
        <w:rPr>
          <w:b/>
        </w:rPr>
        <w:tab/>
      </w:r>
      <w:r>
        <w:rPr>
          <w:rStyle w:val="CharDefText"/>
        </w:rPr>
        <w:t>committee</w:t>
      </w:r>
      <w:r>
        <w:t xml:space="preserve"> means the committee established under section 81;</w:t>
      </w:r>
    </w:p>
    <w:p>
      <w:pPr>
        <w:pStyle w:val="Defstart"/>
      </w:pPr>
      <w:r>
        <w:tab/>
      </w:r>
      <w:r>
        <w:rPr>
          <w:rStyle w:val="CharDefText"/>
        </w:rPr>
        <w:t>electricity marketing agent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small use customers for the licensee; or </w:t>
      </w:r>
    </w:p>
    <w:p>
      <w:pPr>
        <w:pStyle w:val="Defsubpara"/>
      </w:pPr>
      <w:r>
        <w:tab/>
        <w:t>(ii)</w:t>
      </w:r>
      <w:r>
        <w:tab/>
        <w:t>in dealings with existing small use customers in relation to contracts for the supply of electricity by the licensee;</w:t>
      </w:r>
    </w:p>
    <w:p>
      <w:pPr>
        <w:pStyle w:val="Defpara"/>
      </w:pPr>
      <w:r>
        <w:tab/>
      </w:r>
      <w:r>
        <w:tab/>
        <w:t>and</w:t>
      </w:r>
    </w:p>
    <w:p>
      <w:pPr>
        <w:pStyle w:val="Defpara"/>
      </w:pPr>
      <w:r>
        <w:tab/>
        <w:t>(b)</w:t>
      </w:r>
      <w:r>
        <w:tab/>
        <w:t xml:space="preserve">a person who acts — </w:t>
      </w:r>
    </w:p>
    <w:p>
      <w:pPr>
        <w:pStyle w:val="Defsubpara"/>
      </w:pPr>
      <w:r>
        <w:tab/>
        <w:t>(i)</w:t>
      </w:r>
      <w:r>
        <w:tab/>
        <w:t xml:space="preserve">on behalf of one or more </w:t>
      </w:r>
      <w:bookmarkStart w:id="361" w:name="_Hlk164433393"/>
      <w:r>
        <w:t>small use customers</w:t>
      </w:r>
      <w:bookmarkEnd w:id="361"/>
      <w:r>
        <w:t>; or</w:t>
      </w:r>
    </w:p>
    <w:p>
      <w:pPr>
        <w:pStyle w:val="Defsubpara"/>
      </w:pPr>
      <w:r>
        <w:tab/>
        <w:t>(ii)</w:t>
      </w:r>
      <w:r>
        <w:tab/>
        <w:t>as an intermediary between one or more small use customers and a licensee,</w:t>
      </w:r>
    </w:p>
    <w:p>
      <w:pPr>
        <w:pStyle w:val="Defpara"/>
      </w:pPr>
      <w:r>
        <w:tab/>
      </w:r>
      <w:r>
        <w:tab/>
        <w:t>in respect of the supply of electricity to the small use customer or small use customers; and</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keepNext/>
      </w:pPr>
      <w:r>
        <w:rPr>
          <w:b/>
        </w:rPr>
        <w:lastRenderedPageBreak/>
        <w:tab/>
      </w:r>
      <w:r>
        <w:rPr>
          <w:rStyle w:val="CharDefText"/>
        </w:rPr>
        <w:t>marketing</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small use customer; or</w:t>
      </w:r>
    </w:p>
    <w:p>
      <w:pPr>
        <w:pStyle w:val="Defpara"/>
      </w:pPr>
      <w:r>
        <w:tab/>
        <w:t>(b)</w:t>
      </w:r>
      <w:r>
        <w:tab/>
        <w:t>advertising, promotion, market research or public relations in relation to the supply of electricity to small use customers.</w:t>
      </w:r>
    </w:p>
    <w:p>
      <w:pPr>
        <w:pStyle w:val="Footnotesection"/>
      </w:pPr>
      <w:r>
        <w:tab/>
        <w:t>[Section 78 amended: No. 10 of 2024 s. 16 and 23.]</w:t>
      </w:r>
    </w:p>
    <w:p>
      <w:pPr>
        <w:pStyle w:val="Heading5"/>
      </w:pPr>
      <w:bookmarkStart w:id="362" w:name="_Toc164842755"/>
      <w:r>
        <w:rPr>
          <w:rStyle w:val="CharSectno"/>
        </w:rPr>
        <w:t>79</w:t>
      </w:r>
      <w:r>
        <w:t>.</w:t>
      </w:r>
      <w:r>
        <w:tab/>
        <w:t>Code of conduct</w:t>
      </w:r>
      <w:bookmarkEnd w:id="362"/>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small use customers and providing for compensation payments to be made to small use customers when standards of conduct are not met; and</w:t>
      </w:r>
    </w:p>
    <w:p>
      <w:pPr>
        <w:pStyle w:val="Indenta"/>
      </w:pPr>
      <w:r>
        <w:tab/>
        <w:t>(d)</w:t>
      </w:r>
      <w:r>
        <w:tab/>
        <w:t>protecting small use customers from undesirable marketing conduct.</w:t>
      </w:r>
    </w:p>
    <w:p>
      <w:pPr>
        <w:pStyle w:val="Subsection"/>
      </w:pPr>
      <w:r>
        <w:tab/>
        <w:t>(3)</w:t>
      </w:r>
      <w:r>
        <w:tab/>
        <w:t>The code of conduct may contain such ancillary and incidental provisions as are necessary or expedient for the purposes of subsection (2).</w:t>
      </w:r>
    </w:p>
    <w:p>
      <w:pPr>
        <w:pStyle w:val="Subsection"/>
        <w:keepNext/>
      </w:pPr>
      <w:r>
        <w:lastRenderedPageBreak/>
        <w:tab/>
        <w:t>(4)</w:t>
      </w:r>
      <w:r>
        <w:tab/>
        <w:t>In the case of the initial code of conduct, subsection (1) has effect subject to Schedule 3 clause 1.</w:t>
      </w:r>
    </w:p>
    <w:p>
      <w:pPr>
        <w:pStyle w:val="Footnotesection"/>
      </w:pPr>
      <w:r>
        <w:tab/>
        <w:t>[Section 79 amended: No. 33 of 2004 s. 30; No. 10 of 2024 s. 23.]</w:t>
      </w:r>
    </w:p>
    <w:p>
      <w:pPr>
        <w:pStyle w:val="Heading5"/>
        <w:keepLines w:val="0"/>
        <w:spacing w:before="240"/>
      </w:pPr>
      <w:bookmarkStart w:id="363" w:name="_Toc164842756"/>
      <w:r>
        <w:rPr>
          <w:rStyle w:val="CharSectno"/>
        </w:rPr>
        <w:t>80</w:t>
      </w:r>
      <w:r>
        <w:t>.</w:t>
      </w:r>
      <w:r>
        <w:tab/>
        <w:t>Code is subsidiary legislation</w:t>
      </w:r>
      <w:bookmarkEnd w:id="363"/>
    </w:p>
    <w:p>
      <w:pPr>
        <w:pStyle w:val="Subsection"/>
      </w:pPr>
      <w:r>
        <w:tab/>
      </w:r>
      <w:r>
        <w:tab/>
        <w:t xml:space="preserve">The code of conduct is subsidiary legislation for the purposes of the </w:t>
      </w:r>
      <w:r>
        <w:rPr>
          <w:i/>
        </w:rPr>
        <w:t>Interpretation Act 1984</w:t>
      </w:r>
      <w:r>
        <w:t>.</w:t>
      </w:r>
    </w:p>
    <w:p>
      <w:pPr>
        <w:pStyle w:val="Heading5"/>
      </w:pPr>
      <w:bookmarkStart w:id="364" w:name="_Toc164842757"/>
      <w:r>
        <w:rPr>
          <w:rStyle w:val="CharSectno"/>
        </w:rPr>
        <w:t>81</w:t>
      </w:r>
      <w:r>
        <w:t>.</w:t>
      </w:r>
      <w:r>
        <w:tab/>
        <w:t>Consultative committee</w:t>
      </w:r>
      <w:bookmarkEnd w:id="364"/>
    </w:p>
    <w:p>
      <w:pPr>
        <w:pStyle w:val="Subsection"/>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The Authority may determine that a member of the committee is to receive remuneration or an allowance, and if the Authority so determines it is to fix the remuneration or allowance on the recommendation of the</w:t>
      </w:r>
      <w:r>
        <w:t xml:space="preserve"> Public Sector Commissioner</w:t>
      </w:r>
      <w:r>
        <w:rPr>
          <w:snapToGrid w:val="0"/>
        </w:rPr>
        <w:t xml:space="preserve">.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Footnotesection"/>
      </w:pPr>
      <w:r>
        <w:tab/>
        <w:t>[Section 81 amended: No. 39 of 2010 s. 89.]</w:t>
      </w:r>
    </w:p>
    <w:p>
      <w:pPr>
        <w:pStyle w:val="Heading5"/>
      </w:pPr>
      <w:bookmarkStart w:id="365" w:name="_Toc164842758"/>
      <w:r>
        <w:rPr>
          <w:rStyle w:val="CharSectno"/>
        </w:rPr>
        <w:lastRenderedPageBreak/>
        <w:t>82</w:t>
      </w:r>
      <w:r>
        <w:t>.</w:t>
      </w:r>
      <w:r>
        <w:tab/>
        <w:t>Licence condition: code of conduct</w:t>
      </w:r>
      <w:bookmarkEnd w:id="365"/>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366" w:name="_Toc164842759"/>
      <w:r>
        <w:rPr>
          <w:rStyle w:val="CharSectno"/>
        </w:rPr>
        <w:t>83</w:t>
      </w:r>
      <w:r>
        <w:t>.</w:t>
      </w:r>
      <w:r>
        <w:tab/>
        <w:t>Enforcement of code of conduct against marketing agents</w:t>
      </w:r>
      <w:bookmarkEnd w:id="366"/>
    </w:p>
    <w:p>
      <w:pPr>
        <w:pStyle w:val="Subsection"/>
        <w:keepNext/>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367" w:name="_Toc164842760"/>
      <w:r>
        <w:rPr>
          <w:rStyle w:val="CharSectno"/>
        </w:rPr>
        <w:t>84</w:t>
      </w:r>
      <w:r>
        <w:t>.</w:t>
      </w:r>
      <w:r>
        <w:tab/>
        <w:t>Code may provide for vicarious liability</w:t>
      </w:r>
      <w:bookmarkEnd w:id="367"/>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368" w:name="_Toc164842761"/>
      <w:r>
        <w:rPr>
          <w:rStyle w:val="CharSectno"/>
        </w:rPr>
        <w:t>85</w:t>
      </w:r>
      <w:r>
        <w:t>.</w:t>
      </w:r>
      <w:r>
        <w:tab/>
        <w:t>Code may include presumption of authority</w:t>
      </w:r>
      <w:bookmarkEnd w:id="368"/>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369" w:name="_Toc164842762"/>
      <w:r>
        <w:rPr>
          <w:rStyle w:val="CharSectno"/>
        </w:rPr>
        <w:lastRenderedPageBreak/>
        <w:t>86</w:t>
      </w:r>
      <w:r>
        <w:t>.</w:t>
      </w:r>
      <w:r>
        <w:tab/>
        <w:t>Authority to monitor compliance</w:t>
      </w:r>
      <w:bookmarkEnd w:id="369"/>
    </w:p>
    <w:p>
      <w:pPr>
        <w:pStyle w:val="Subsection"/>
      </w:pPr>
      <w:r>
        <w:tab/>
      </w:r>
      <w:r>
        <w:tab/>
        <w:t>It is a function of the Authority to monitor and enforce compliance with the code of conduct.</w:t>
      </w:r>
    </w:p>
    <w:p>
      <w:pPr>
        <w:pStyle w:val="Heading5"/>
      </w:pPr>
      <w:bookmarkStart w:id="370" w:name="_Toc164842763"/>
      <w:r>
        <w:rPr>
          <w:rStyle w:val="CharSectno"/>
        </w:rPr>
        <w:t>87</w:t>
      </w:r>
      <w:r>
        <w:t>.</w:t>
      </w:r>
      <w:r>
        <w:tab/>
        <w:t>Comment to be sought on amendment or replacement of code</w:t>
      </w:r>
      <w:bookmarkEnd w:id="370"/>
    </w:p>
    <w:p>
      <w:pPr>
        <w:pStyle w:val="Subsection"/>
      </w:pPr>
      <w:r>
        <w:tab/>
        <w:t>(1)</w:t>
      </w:r>
      <w:r>
        <w:tab/>
        <w:t xml:space="preserve">Whenever the Authority proposes to exercise the power — </w:t>
      </w:r>
    </w:p>
    <w:p>
      <w:pPr>
        <w:pStyle w:val="Indenta"/>
      </w:pPr>
      <w:r>
        <w:tab/>
        <w:t>(a)</w:t>
      </w:r>
      <w:r>
        <w:tab/>
        <w:t>to amend the code of conduct; or</w:t>
      </w:r>
    </w:p>
    <w:p>
      <w:pPr>
        <w:pStyle w:val="Indenta"/>
        <w:keepNext/>
        <w:keepLines/>
      </w:pPr>
      <w:r>
        <w:tab/>
        <w:t>(b)</w:t>
      </w:r>
      <w:r>
        <w:tab/>
        <w:t>to repeal and replace it,</w:t>
      </w:r>
    </w:p>
    <w:p>
      <w:pPr>
        <w:pStyle w:val="Subsection"/>
        <w:keepNext/>
        <w:keepLines/>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371" w:name="_Toc164842764"/>
      <w:r>
        <w:rPr>
          <w:rStyle w:val="CharSectno"/>
        </w:rPr>
        <w:t>88</w:t>
      </w:r>
      <w:r>
        <w:t>.</w:t>
      </w:r>
      <w:r>
        <w:tab/>
        <w:t>Review of code</w:t>
      </w:r>
      <w:bookmarkEnd w:id="371"/>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lastRenderedPageBreak/>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372" w:name="_Toc164842765"/>
      <w:r>
        <w:rPr>
          <w:rStyle w:val="CharSectno"/>
        </w:rPr>
        <w:t>89</w:t>
      </w:r>
      <w:r>
        <w:t>.</w:t>
      </w:r>
      <w:r>
        <w:tab/>
        <w:t>Further provisions about opportunity to comment</w:t>
      </w:r>
      <w:bookmarkEnd w:id="372"/>
    </w:p>
    <w:p>
      <w:pPr>
        <w:pStyle w:val="Subsection"/>
        <w:keepNext/>
        <w:keepLines/>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373" w:name="_Toc164842766"/>
      <w:r>
        <w:rPr>
          <w:rStyle w:val="CharSectno"/>
        </w:rPr>
        <w:t>89A</w:t>
      </w:r>
      <w:r>
        <w:t>.</w:t>
      </w:r>
      <w:r>
        <w:tab/>
        <w:t>Regulations may modify application or operation of enactments to facilitate operation of code</w:t>
      </w:r>
      <w:bookmarkEnd w:id="373"/>
    </w:p>
    <w:p>
      <w:pPr>
        <w:pStyle w:val="Subsection"/>
      </w:pPr>
      <w:r>
        <w:tab/>
      </w:r>
      <w:r>
        <w:tab/>
        <w:t>The regulations may provide that a prescribed enactment —</w:t>
      </w:r>
    </w:p>
    <w:p>
      <w:pPr>
        <w:pStyle w:val="Indenta"/>
      </w:pPr>
      <w:r>
        <w:tab/>
        <w:t>(a)</w:t>
      </w:r>
      <w:r>
        <w:tab/>
        <w:t>does not apply in relation to the supply and marketing of electricity to small use customers; or</w:t>
      </w:r>
    </w:p>
    <w:p>
      <w:pPr>
        <w:pStyle w:val="Indenta"/>
      </w:pPr>
      <w:r>
        <w:tab/>
        <w:t>(b)</w:t>
      </w:r>
      <w:r>
        <w:tab/>
        <w:t>does not apply in relation to the supply and marketing of electricity to small use customers to the extent prescribed; or</w:t>
      </w:r>
    </w:p>
    <w:p>
      <w:pPr>
        <w:pStyle w:val="Indenta"/>
      </w:pPr>
      <w:r>
        <w:lastRenderedPageBreak/>
        <w:tab/>
        <w:t>(c)</w:t>
      </w:r>
      <w:r>
        <w:tab/>
        <w:t>does not apply in relation to the supply and marketing of electricity to small use customers to the extent that the enactment is inconsistent with the code; or</w:t>
      </w:r>
    </w:p>
    <w:p>
      <w:pPr>
        <w:pStyle w:val="Indenta"/>
      </w:pPr>
      <w:r>
        <w:tab/>
        <w:t>(d)</w:t>
      </w:r>
      <w:r>
        <w:tab/>
        <w:t>applies in relation to the supply and marketing of electricity to small use customers with such modifications as are prescribed.</w:t>
      </w:r>
    </w:p>
    <w:p>
      <w:pPr>
        <w:pStyle w:val="Footnotesection"/>
      </w:pPr>
      <w:r>
        <w:tab/>
        <w:t>[Section 89A inserted: No. 33 of 2004 s. 31; amended: No. 10 of 2024 s. 23.]</w:t>
      </w:r>
    </w:p>
    <w:p>
      <w:pPr>
        <w:pStyle w:val="Heading2"/>
      </w:pPr>
      <w:bookmarkStart w:id="374" w:name="_Toc164424704"/>
      <w:bookmarkStart w:id="375" w:name="_Toc164435482"/>
      <w:bookmarkStart w:id="376" w:name="_Toc164435793"/>
      <w:bookmarkStart w:id="377" w:name="_Toc164679607"/>
      <w:bookmarkStart w:id="378" w:name="_Toc164842767"/>
      <w:r>
        <w:rPr>
          <w:rStyle w:val="CharPartNo"/>
        </w:rPr>
        <w:lastRenderedPageBreak/>
        <w:t>Part 7</w:t>
      </w:r>
      <w:r>
        <w:t> — </w:t>
      </w:r>
      <w:r>
        <w:rPr>
          <w:rStyle w:val="CharPartText"/>
        </w:rPr>
        <w:t>Electricity ombudsman scheme</w:t>
      </w:r>
      <w:bookmarkEnd w:id="374"/>
      <w:bookmarkEnd w:id="375"/>
      <w:bookmarkEnd w:id="376"/>
      <w:bookmarkEnd w:id="377"/>
      <w:bookmarkEnd w:id="378"/>
    </w:p>
    <w:p>
      <w:pPr>
        <w:pStyle w:val="Heading3"/>
      </w:pPr>
      <w:bookmarkStart w:id="379" w:name="_Toc164424705"/>
      <w:bookmarkStart w:id="380" w:name="_Toc164435483"/>
      <w:bookmarkStart w:id="381" w:name="_Toc164435794"/>
      <w:bookmarkStart w:id="382" w:name="_Toc164679608"/>
      <w:bookmarkStart w:id="383" w:name="_Toc164842768"/>
      <w:r>
        <w:rPr>
          <w:rStyle w:val="CharDivNo"/>
        </w:rPr>
        <w:t>Division 1</w:t>
      </w:r>
      <w:r>
        <w:t> — </w:t>
      </w:r>
      <w:r>
        <w:rPr>
          <w:rStyle w:val="CharDivText"/>
        </w:rPr>
        <w:t>Preliminary</w:t>
      </w:r>
      <w:bookmarkEnd w:id="379"/>
      <w:bookmarkEnd w:id="380"/>
      <w:bookmarkEnd w:id="381"/>
      <w:bookmarkEnd w:id="382"/>
      <w:bookmarkEnd w:id="383"/>
    </w:p>
    <w:p>
      <w:pPr>
        <w:pStyle w:val="Heading5"/>
      </w:pPr>
      <w:bookmarkStart w:id="384" w:name="_Toc164842769"/>
      <w:r>
        <w:rPr>
          <w:rStyle w:val="CharSectno"/>
        </w:rPr>
        <w:t>90</w:t>
      </w:r>
      <w:r>
        <w:t>.</w:t>
      </w:r>
      <w:r>
        <w:tab/>
        <w:t>Terms used</w:t>
      </w:r>
      <w:bookmarkEnd w:id="384"/>
    </w:p>
    <w:p>
      <w:pPr>
        <w:pStyle w:val="Subsection"/>
      </w:pPr>
      <w:r>
        <w:tab/>
      </w:r>
      <w:r>
        <w:tab/>
        <w:t xml:space="preserve">In this Part and in Schedule 2, unless the contrary intention appears — </w:t>
      </w:r>
    </w:p>
    <w:p>
      <w:pPr>
        <w:pStyle w:val="Defstart"/>
      </w:pPr>
      <w:r>
        <w:tab/>
      </w:r>
      <w:r>
        <w:rPr>
          <w:rStyle w:val="CharDefText"/>
        </w:rPr>
        <w:t>approved scheme</w:t>
      </w:r>
      <w:r>
        <w:t xml:space="preserve"> means a scheme approved under section 92;</w:t>
      </w:r>
    </w:p>
    <w:p>
      <w:pPr>
        <w:pStyle w:val="Defstart"/>
      </w:pPr>
      <w:r>
        <w:rPr>
          <w:b/>
        </w:rPr>
        <w:tab/>
      </w:r>
      <w:r>
        <w:rPr>
          <w:rStyle w:val="CharDefText"/>
        </w:rPr>
        <w:t>customer</w:t>
      </w:r>
      <w:r>
        <w:t xml:space="preserve"> means — </w:t>
      </w:r>
    </w:p>
    <w:p>
      <w:pPr>
        <w:pStyle w:val="Defpara"/>
      </w:pPr>
      <w:r>
        <w:tab/>
        <w:t>(a)</w:t>
      </w:r>
      <w:r>
        <w:tab/>
        <w:t>a small use customer; and</w:t>
      </w:r>
    </w:p>
    <w:p>
      <w:pPr>
        <w:pStyle w:val="Defpara"/>
      </w:pPr>
      <w:r>
        <w:tab/>
        <w:t>(b)</w:t>
      </w:r>
      <w:r>
        <w:tab/>
        <w:t>if a dispute or complaint is prescribed for the purposes of section 92(1)(d) a person who is involved in that dispute or complaint as a customer;</w:t>
      </w:r>
    </w:p>
    <w:p>
      <w:pPr>
        <w:pStyle w:val="Defstart"/>
      </w:pPr>
      <w:r>
        <w:tab/>
      </w:r>
      <w:r>
        <w:rPr>
          <w:rStyle w:val="CharDefText"/>
        </w:rPr>
        <w:t>customer contract</w:t>
      </w:r>
      <w:r>
        <w:t xml:space="preserve"> means —</w:t>
      </w:r>
    </w:p>
    <w:p>
      <w:pPr>
        <w:pStyle w:val="Defpara"/>
      </w:pPr>
      <w:r>
        <w:tab/>
        <w:t>(a)</w:t>
      </w:r>
      <w:r>
        <w:tab/>
        <w:t>a standard form contract; or</w:t>
      </w:r>
    </w:p>
    <w:p>
      <w:pPr>
        <w:pStyle w:val="Defpara"/>
      </w:pPr>
      <w:r>
        <w:tab/>
        <w:t>(b)</w:t>
      </w:r>
      <w:r>
        <w:tab/>
        <w:t>a non</w:t>
      </w:r>
      <w:r>
        <w:noBreakHyphen/>
        <w:t>standard contract; or</w:t>
      </w:r>
    </w:p>
    <w:p>
      <w:pPr>
        <w:pStyle w:val="Defpara"/>
      </w:pPr>
      <w:r>
        <w:tab/>
        <w:t>(c)</w:t>
      </w:r>
      <w:r>
        <w:tab/>
        <w:t>an AES customer contract;</w:t>
      </w:r>
    </w:p>
    <w:p>
      <w:pPr>
        <w:pStyle w:val="Defstart"/>
      </w:pPr>
      <w:r>
        <w:tab/>
      </w:r>
      <w:r>
        <w:rPr>
          <w:rStyle w:val="CharDefText"/>
        </w:rPr>
        <w:t>electricity marketing agent</w:t>
      </w:r>
      <w:r>
        <w:t xml:space="preserve"> has the meaning given to that term in section 78;</w:t>
      </w:r>
    </w:p>
    <w:p>
      <w:pPr>
        <w:pStyle w:val="Defstart"/>
      </w:pPr>
      <w:r>
        <w:rPr>
          <w:b/>
        </w:rPr>
        <w:tab/>
      </w:r>
      <w:r>
        <w:rPr>
          <w:rStyle w:val="CharDefText"/>
        </w:rPr>
        <w:t>electricity ombudsman</w:t>
      </w:r>
      <w:r>
        <w:t xml:space="preserve"> has the meaning given to that term in section 92(1);</w:t>
      </w:r>
    </w:p>
    <w:p>
      <w:pPr>
        <w:pStyle w:val="Defstart"/>
      </w:pPr>
      <w:r>
        <w:rPr>
          <w:b/>
        </w:rPr>
        <w:tab/>
      </w:r>
      <w:r>
        <w:rPr>
          <w:rStyle w:val="CharDefText"/>
        </w:rPr>
        <w:t>licensee</w:t>
      </w:r>
      <w:r>
        <w:t xml:space="preserve"> means the holder of a retail licence, distribution licence or integrated regional licence.</w:t>
      </w:r>
    </w:p>
    <w:p>
      <w:pPr>
        <w:pStyle w:val="Footnotesection"/>
      </w:pPr>
      <w:r>
        <w:tab/>
        <w:t>[Section 90 amended: No. 46 of 2009 s. 17; No. 10 of 2024 s. 17.]</w:t>
      </w:r>
    </w:p>
    <w:p>
      <w:pPr>
        <w:pStyle w:val="Heading5"/>
      </w:pPr>
      <w:bookmarkStart w:id="385" w:name="_Toc164842770"/>
      <w:r>
        <w:rPr>
          <w:rStyle w:val="CharSectno"/>
        </w:rPr>
        <w:t>91</w:t>
      </w:r>
      <w:r>
        <w:t>.</w:t>
      </w:r>
      <w:r>
        <w:tab/>
        <w:t>Regulations as to electricity ombudsman scheme</w:t>
      </w:r>
      <w:bookmarkEnd w:id="385"/>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lastRenderedPageBreak/>
        <w:tab/>
        <w:t>(b)</w:t>
      </w:r>
      <w:r>
        <w:tab/>
        <w:t>the functions of the electricity ombudsman under such a scheme.</w:t>
      </w:r>
    </w:p>
    <w:p>
      <w:pPr>
        <w:pStyle w:val="Heading3"/>
      </w:pPr>
      <w:bookmarkStart w:id="386" w:name="_Toc164424708"/>
      <w:bookmarkStart w:id="387" w:name="_Toc164435486"/>
      <w:bookmarkStart w:id="388" w:name="_Toc164435797"/>
      <w:bookmarkStart w:id="389" w:name="_Toc164679611"/>
      <w:bookmarkStart w:id="390" w:name="_Toc164842771"/>
      <w:r>
        <w:rPr>
          <w:rStyle w:val="CharDivNo"/>
        </w:rPr>
        <w:t>Division 2</w:t>
      </w:r>
      <w:r>
        <w:t> — </w:t>
      </w:r>
      <w:r>
        <w:rPr>
          <w:rStyle w:val="CharDivText"/>
        </w:rPr>
        <w:t>Approval of electricity ombudsman scheme</w:t>
      </w:r>
      <w:bookmarkEnd w:id="386"/>
      <w:bookmarkEnd w:id="387"/>
      <w:bookmarkEnd w:id="388"/>
      <w:bookmarkEnd w:id="389"/>
      <w:bookmarkEnd w:id="390"/>
    </w:p>
    <w:p>
      <w:pPr>
        <w:pStyle w:val="Heading5"/>
      </w:pPr>
      <w:bookmarkStart w:id="391" w:name="_Toc164842772"/>
      <w:r>
        <w:rPr>
          <w:rStyle w:val="CharSectno"/>
        </w:rPr>
        <w:t>92</w:t>
      </w:r>
      <w:r>
        <w:t>.</w:t>
      </w:r>
      <w:r>
        <w:tab/>
        <w:t>Authority may approve scheme</w:t>
      </w:r>
      <w:bookmarkEnd w:id="391"/>
    </w:p>
    <w:p>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pPr>
        <w:pStyle w:val="Indenta"/>
      </w:pPr>
      <w:r>
        <w:tab/>
        <w:t>(a)</w:t>
      </w:r>
      <w:r>
        <w:tab/>
        <w:t>disputes and complaints under customer contracts or the AES code of practice; and</w:t>
      </w:r>
    </w:p>
    <w:p>
      <w:pPr>
        <w:pStyle w:val="Indenta"/>
      </w:pPr>
      <w:r>
        <w:tab/>
        <w:t>(b)</w:t>
      </w:r>
      <w:r>
        <w:tab/>
        <w:t xml:space="preserve">disputes between — </w:t>
      </w:r>
    </w:p>
    <w:p>
      <w:pPr>
        <w:pStyle w:val="Indenti"/>
      </w:pPr>
      <w:r>
        <w:tab/>
        <w:t>(i)</w:t>
      </w:r>
      <w:r>
        <w:tab/>
        <w:t>customers and licensees; or</w:t>
      </w:r>
    </w:p>
    <w:p>
      <w:pPr>
        <w:pStyle w:val="Indenti"/>
      </w:pPr>
      <w:r>
        <w:tab/>
        <w:t>(ia)</w:t>
      </w:r>
      <w:r>
        <w:tab/>
        <w:t>customers and registration holders; or</w:t>
      </w:r>
    </w:p>
    <w:p>
      <w:pPr>
        <w:pStyle w:val="Indenti"/>
      </w:pPr>
      <w:r>
        <w:tab/>
        <w:t>(ii)</w:t>
      </w:r>
      <w:r>
        <w:tab/>
        <w:t>customers and electricity marketing agents;</w:t>
      </w:r>
    </w:p>
    <w:p>
      <w:pPr>
        <w:pStyle w:val="Indenta"/>
      </w:pPr>
      <w:r>
        <w:tab/>
      </w:r>
      <w:r>
        <w:tab/>
        <w:t>and</w:t>
      </w:r>
    </w:p>
    <w:p>
      <w:pPr>
        <w:pStyle w:val="Indenta"/>
      </w:pPr>
      <w:r>
        <w:tab/>
        <w:t>(c)</w:t>
      </w:r>
      <w:r>
        <w:tab/>
        <w:t xml:space="preserve">complaints by customers about — </w:t>
      </w:r>
    </w:p>
    <w:p>
      <w:pPr>
        <w:pStyle w:val="Indenti"/>
      </w:pPr>
      <w:r>
        <w:tab/>
        <w:t>(i)</w:t>
      </w:r>
      <w:r>
        <w:tab/>
        <w:t xml:space="preserve">licensees; or </w:t>
      </w:r>
    </w:p>
    <w:p>
      <w:pPr>
        <w:pStyle w:val="Indenti"/>
      </w:pPr>
      <w:r>
        <w:tab/>
        <w:t>(ia)</w:t>
      </w:r>
      <w:r>
        <w:tab/>
        <w:t>registration holders; or</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lastRenderedPageBreak/>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Footnotesection"/>
      </w:pPr>
      <w:r>
        <w:tab/>
        <w:t>[Section 92 amended: No. 10 of 2024 s. 18.]</w:t>
      </w:r>
    </w:p>
    <w:p>
      <w:pPr>
        <w:pStyle w:val="Heading5"/>
      </w:pPr>
      <w:bookmarkStart w:id="392" w:name="_Toc164842773"/>
      <w:r>
        <w:rPr>
          <w:rStyle w:val="CharSectno"/>
        </w:rPr>
        <w:t>93</w:t>
      </w:r>
      <w:r>
        <w:t>.</w:t>
      </w:r>
      <w:r>
        <w:tab/>
        <w:t>Requirements for scheme or amendment to be approved</w:t>
      </w:r>
      <w:bookmarkEnd w:id="392"/>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393" w:name="_Toc164842774"/>
      <w:r>
        <w:rPr>
          <w:rStyle w:val="CharSectno"/>
        </w:rPr>
        <w:t>94</w:t>
      </w:r>
      <w:r>
        <w:t>.</w:t>
      </w:r>
      <w:r>
        <w:tab/>
        <w:t>Revocation of approval</w:t>
      </w:r>
      <w:bookmarkEnd w:id="393"/>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394" w:name="_Toc164424712"/>
      <w:bookmarkStart w:id="395" w:name="_Toc164435490"/>
      <w:bookmarkStart w:id="396" w:name="_Toc164435801"/>
      <w:bookmarkStart w:id="397" w:name="_Toc164679615"/>
      <w:bookmarkStart w:id="398" w:name="_Toc164842775"/>
      <w:r>
        <w:rPr>
          <w:rStyle w:val="CharDivNo"/>
        </w:rPr>
        <w:t>Division 3</w:t>
      </w:r>
      <w:r>
        <w:t> — </w:t>
      </w:r>
      <w:r>
        <w:rPr>
          <w:rStyle w:val="CharDivText"/>
        </w:rPr>
        <w:t>Scheme operation</w:t>
      </w:r>
      <w:bookmarkEnd w:id="394"/>
      <w:bookmarkEnd w:id="395"/>
      <w:bookmarkEnd w:id="396"/>
      <w:bookmarkEnd w:id="397"/>
      <w:bookmarkEnd w:id="398"/>
    </w:p>
    <w:p>
      <w:pPr>
        <w:pStyle w:val="Heading5"/>
      </w:pPr>
      <w:bookmarkStart w:id="399" w:name="_Toc164842776"/>
      <w:r>
        <w:rPr>
          <w:rStyle w:val="CharSectno"/>
        </w:rPr>
        <w:t>95</w:t>
      </w:r>
      <w:r>
        <w:t>.</w:t>
      </w:r>
      <w:r>
        <w:tab/>
        <w:t>Customer may have decision or complaint reviewed</w:t>
      </w:r>
      <w:bookmarkEnd w:id="399"/>
    </w:p>
    <w:p>
      <w:pPr>
        <w:pStyle w:val="Subsection"/>
      </w:pPr>
      <w:r>
        <w:tab/>
        <w:t>(1)</w:t>
      </w:r>
      <w:r>
        <w:tab/>
        <w:t>A customer may apply to the electricity ombudsman under an approved scheme for a review of a decision or complaint to which the scheme relates.</w:t>
      </w:r>
    </w:p>
    <w:p>
      <w:pPr>
        <w:pStyle w:val="Subsection"/>
      </w:pPr>
      <w:r>
        <w:lastRenderedPageBreak/>
        <w:tab/>
        <w:t>(2)</w:t>
      </w:r>
      <w:r>
        <w:tab/>
        <w:t xml:space="preserve">Where an application is so made the electricity ombudsman may, in respect of the decision or complaint — </w:t>
      </w:r>
    </w:p>
    <w:p>
      <w:pPr>
        <w:pStyle w:val="Indenta"/>
      </w:pPr>
      <w:r>
        <w:tab/>
        <w:t>(a)</w:t>
      </w:r>
      <w:r>
        <w:tab/>
        <w:t>make any order or determination; or</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400" w:name="_Toc164842777"/>
      <w:r>
        <w:rPr>
          <w:rStyle w:val="CharSectno"/>
        </w:rPr>
        <w:t>96</w:t>
      </w:r>
      <w:r>
        <w:t>.</w:t>
      </w:r>
      <w:r>
        <w:tab/>
        <w:t>Jurisdiction of courts and tribunals</w:t>
      </w:r>
      <w:bookmarkEnd w:id="400"/>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the electricity ombudsman’s opinion the matter should be dealt with by a court or tribunal.</w:t>
      </w:r>
    </w:p>
    <w:p>
      <w:pPr>
        <w:pStyle w:val="Footnotesection"/>
      </w:pPr>
      <w:r>
        <w:tab/>
        <w:t>[Section 96 amended: No. 10 of 2024 s. 19.]</w:t>
      </w:r>
    </w:p>
    <w:p>
      <w:pPr>
        <w:pStyle w:val="Heading5"/>
      </w:pPr>
      <w:bookmarkStart w:id="401" w:name="_Toc164842778"/>
      <w:r>
        <w:rPr>
          <w:rStyle w:val="CharSectno"/>
        </w:rPr>
        <w:t>97</w:t>
      </w:r>
      <w:r>
        <w:t>.</w:t>
      </w:r>
      <w:r>
        <w:tab/>
        <w:t>Enforcement against marketing agents and others</w:t>
      </w:r>
      <w:bookmarkEnd w:id="401"/>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a registration holder or an electricity marketing agent is prescribed for the purposes of section 92(1)(d), the regulations may make it an offence for the person to fail to comply with a decision or direction of the electricity ombudsman under an approved scheme.</w:t>
      </w:r>
    </w:p>
    <w:p>
      <w:pPr>
        <w:pStyle w:val="Subsection"/>
        <w:keepNext/>
      </w:pPr>
      <w:r>
        <w:lastRenderedPageBreak/>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Footnotesection"/>
      </w:pPr>
      <w:r>
        <w:tab/>
        <w:t>[Section 97 amended: No. 10 of 2024 s. 20.]</w:t>
      </w:r>
    </w:p>
    <w:p>
      <w:pPr>
        <w:pStyle w:val="Heading5"/>
      </w:pPr>
      <w:bookmarkStart w:id="402" w:name="_Toc164842779"/>
      <w:r>
        <w:rPr>
          <w:rStyle w:val="CharSectno"/>
        </w:rPr>
        <w:t>98</w:t>
      </w:r>
      <w:r>
        <w:t>.</w:t>
      </w:r>
      <w:r>
        <w:tab/>
        <w:t>Authority to monitor compliance with decisions</w:t>
      </w:r>
      <w:bookmarkEnd w:id="402"/>
    </w:p>
    <w:p>
      <w:pPr>
        <w:pStyle w:val="Subsection"/>
      </w:pPr>
      <w:r>
        <w:tab/>
      </w:r>
      <w:r>
        <w:tab/>
        <w:t>It is a function of the Authority to monitor and enforce compliance with decisions and directions of the electricity ombudsman under an approved scheme.</w:t>
      </w:r>
    </w:p>
    <w:p>
      <w:pPr>
        <w:pStyle w:val="Heading3"/>
      </w:pPr>
      <w:bookmarkStart w:id="403" w:name="_Toc164424717"/>
      <w:bookmarkStart w:id="404" w:name="_Toc164435495"/>
      <w:bookmarkStart w:id="405" w:name="_Toc164435806"/>
      <w:bookmarkStart w:id="406" w:name="_Toc164679620"/>
      <w:bookmarkStart w:id="407" w:name="_Toc164842780"/>
      <w:r>
        <w:rPr>
          <w:rStyle w:val="CharDivNo"/>
        </w:rPr>
        <w:t>Division 4</w:t>
      </w:r>
      <w:r>
        <w:t> — </w:t>
      </w:r>
      <w:r>
        <w:rPr>
          <w:rStyle w:val="CharDivText"/>
        </w:rPr>
        <w:t>Membership of approved scheme by licensee</w:t>
      </w:r>
      <w:bookmarkEnd w:id="403"/>
      <w:bookmarkEnd w:id="404"/>
      <w:bookmarkEnd w:id="405"/>
      <w:bookmarkEnd w:id="406"/>
      <w:bookmarkEnd w:id="407"/>
    </w:p>
    <w:p>
      <w:pPr>
        <w:pStyle w:val="Heading5"/>
        <w:spacing w:before="180"/>
      </w:pPr>
      <w:bookmarkStart w:id="408" w:name="_Toc164842781"/>
      <w:r>
        <w:rPr>
          <w:rStyle w:val="CharSectno"/>
        </w:rPr>
        <w:t>99</w:t>
      </w:r>
      <w:r>
        <w:t>.</w:t>
      </w:r>
      <w:r>
        <w:tab/>
        <w:t>Proof of membership in applications relating to licence</w:t>
      </w:r>
      <w:bookmarkEnd w:id="408"/>
    </w:p>
    <w:p>
      <w:pPr>
        <w:pStyle w:val="Subsection"/>
        <w:keepNext/>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409" w:name="_Toc164842782"/>
      <w:r>
        <w:rPr>
          <w:rStyle w:val="CharSectno"/>
        </w:rPr>
        <w:lastRenderedPageBreak/>
        <w:t>100</w:t>
      </w:r>
      <w:r>
        <w:t>.</w:t>
      </w:r>
      <w:r>
        <w:tab/>
        <w:t>Prerequisite to grant, renewal or transfer of licence</w:t>
      </w:r>
      <w:bookmarkEnd w:id="409"/>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410" w:name="_Toc164842783"/>
      <w:r>
        <w:rPr>
          <w:rStyle w:val="CharSectno"/>
        </w:rPr>
        <w:t>101</w:t>
      </w:r>
      <w:r>
        <w:t>.</w:t>
      </w:r>
      <w:r>
        <w:tab/>
        <w:t>Licence condition: membership of scheme</w:t>
      </w:r>
      <w:bookmarkEnd w:id="410"/>
    </w:p>
    <w:p>
      <w:pPr>
        <w:pStyle w:val="Subsection"/>
        <w:keepNext/>
        <w:spacing w:before="120"/>
      </w:pPr>
      <w:r>
        <w:tab/>
      </w:r>
      <w:r>
        <w:tab/>
        <w:t xml:space="preserve">It is a condition of every retail licence, distribution licence and integrated regional licence that the licensee cannot supply electricity to customers unless the licensee — </w:t>
      </w:r>
    </w:p>
    <w:p>
      <w:pPr>
        <w:pStyle w:val="Indenta"/>
        <w:keepNext/>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3"/>
      </w:pPr>
      <w:bookmarkStart w:id="411" w:name="_Toc142317809"/>
      <w:bookmarkStart w:id="412" w:name="_Toc142318079"/>
      <w:bookmarkStart w:id="413" w:name="_Toc142318887"/>
      <w:bookmarkStart w:id="414" w:name="_Toc142557990"/>
      <w:bookmarkStart w:id="415" w:name="_Toc142912535"/>
      <w:bookmarkStart w:id="416" w:name="_Toc161904768"/>
      <w:bookmarkStart w:id="417" w:name="_Toc161906823"/>
      <w:bookmarkStart w:id="418" w:name="_Toc164173993"/>
      <w:bookmarkStart w:id="419" w:name="_Toc164435499"/>
      <w:bookmarkStart w:id="420" w:name="_Toc164435810"/>
      <w:bookmarkStart w:id="421" w:name="_Toc164679624"/>
      <w:bookmarkStart w:id="422" w:name="_Toc164842784"/>
      <w:r>
        <w:rPr>
          <w:rStyle w:val="CharDivNo"/>
        </w:rPr>
        <w:t>Division 5</w:t>
      </w:r>
      <w:r>
        <w:t> — </w:t>
      </w:r>
      <w:r>
        <w:rPr>
          <w:rStyle w:val="CharDivText"/>
        </w:rPr>
        <w:t>Membership of approved scheme by registration holder</w:t>
      </w:r>
      <w:bookmarkEnd w:id="411"/>
      <w:bookmarkEnd w:id="412"/>
      <w:bookmarkEnd w:id="413"/>
      <w:bookmarkEnd w:id="414"/>
      <w:bookmarkEnd w:id="415"/>
      <w:bookmarkEnd w:id="416"/>
      <w:bookmarkEnd w:id="417"/>
      <w:bookmarkEnd w:id="418"/>
      <w:bookmarkEnd w:id="419"/>
      <w:bookmarkEnd w:id="420"/>
      <w:bookmarkEnd w:id="421"/>
      <w:bookmarkEnd w:id="422"/>
    </w:p>
    <w:p>
      <w:pPr>
        <w:pStyle w:val="Footnoteheading"/>
      </w:pPr>
      <w:r>
        <w:tab/>
        <w:t>[Heading inserted: No. 10 of 2024 s. 21.]</w:t>
      </w:r>
    </w:p>
    <w:p>
      <w:pPr>
        <w:pStyle w:val="Heading5"/>
      </w:pPr>
      <w:bookmarkStart w:id="423" w:name="_Toc164173994"/>
      <w:bookmarkStart w:id="424" w:name="_Toc164842785"/>
      <w:r>
        <w:rPr>
          <w:rStyle w:val="CharSectno"/>
        </w:rPr>
        <w:t>101A</w:t>
      </w:r>
      <w:r>
        <w:t>.</w:t>
      </w:r>
      <w:r>
        <w:tab/>
        <w:t>Proof of membership in applications relating to registration</w:t>
      </w:r>
      <w:bookmarkEnd w:id="423"/>
      <w:bookmarkEnd w:id="424"/>
    </w:p>
    <w:p>
      <w:pPr>
        <w:pStyle w:val="Subsection"/>
      </w:pPr>
      <w:r>
        <w:tab/>
        <w:t>(1)</w:t>
      </w:r>
      <w:r>
        <w:tab/>
        <w:t>An applicant for the grant of a registration of an alternative electricity service who proposes to provide the alternative electricity service to a customer must produce with the application evidence showing that the applicant will, if the registration is granted, be a member of an approved scheme.</w:t>
      </w:r>
    </w:p>
    <w:p>
      <w:pPr>
        <w:pStyle w:val="Subsection"/>
      </w:pPr>
      <w:r>
        <w:tab/>
        <w:t>(2)</w:t>
      </w:r>
      <w:r>
        <w:tab/>
        <w:t xml:space="preserve">An applicant for the renewal of a registration of an alternative electricity service who provides the alternative electricity service to customers must produce with the application evidence </w:t>
      </w:r>
      <w:r>
        <w:lastRenderedPageBreak/>
        <w:t>showing that the applicant will, if the registration is renewed, continue to be a member of an approved scheme.</w:t>
      </w:r>
    </w:p>
    <w:p>
      <w:pPr>
        <w:pStyle w:val="Subsection"/>
      </w:pPr>
      <w:r>
        <w:tab/>
        <w:t>(3)</w:t>
      </w:r>
      <w:r>
        <w:tab/>
        <w:t>If an application is made under section 59J for approval to transfer a registration of an alternative electricity service to a person who proposes to provide the alternative electricity service to customers, the proposed transferee must produce with the application evidence showing that the proposed transferee will, if the transfer is approved, be a member of an approved scheme.</w:t>
      </w:r>
    </w:p>
    <w:p>
      <w:pPr>
        <w:pStyle w:val="Footnotesection"/>
      </w:pPr>
      <w:r>
        <w:tab/>
        <w:t>[Section 101A inserted: No. 10 of 2024 s. 21.]</w:t>
      </w:r>
    </w:p>
    <w:p>
      <w:pPr>
        <w:pStyle w:val="Heading5"/>
      </w:pPr>
      <w:bookmarkStart w:id="425" w:name="_Toc164173995"/>
      <w:bookmarkStart w:id="426" w:name="_Toc164842786"/>
      <w:r>
        <w:rPr>
          <w:rStyle w:val="CharSectno"/>
        </w:rPr>
        <w:t>101B</w:t>
      </w:r>
      <w:r>
        <w:t>.</w:t>
      </w:r>
      <w:r>
        <w:tab/>
        <w:t>Prerequisite to grant, renewal, amendment or transfer of registration</w:t>
      </w:r>
      <w:bookmarkEnd w:id="425"/>
      <w:bookmarkEnd w:id="426"/>
    </w:p>
    <w:p>
      <w:pPr>
        <w:pStyle w:val="Subsection"/>
      </w:pPr>
      <w:r>
        <w:tab/>
      </w:r>
      <w:r>
        <w:tab/>
        <w:t xml:space="preserve">Despite Part 3A Division 3, the Authority must not grant, renew or amend a registration or approve a transfer of a registration of an alternative electricity service to a person who provides or proposes to provide the alternative electricity service to customers unless it is satisfied that the registration holder, or the proposed transferee — </w:t>
      </w:r>
    </w:p>
    <w:p>
      <w:pPr>
        <w:pStyle w:val="Indenta"/>
      </w:pPr>
      <w:r>
        <w:tab/>
        <w:t>(a)</w:t>
      </w:r>
      <w:r>
        <w:tab/>
        <w:t>is a member of an approved scheme; or</w:t>
      </w:r>
    </w:p>
    <w:p>
      <w:pPr>
        <w:pStyle w:val="Indenta"/>
      </w:pPr>
      <w:r>
        <w:tab/>
        <w:t>(b)</w:t>
      </w:r>
      <w:r>
        <w:tab/>
        <w:t>will, if the registration is granted, renewed or amended or the transfer is approved, be a member of an approved scheme.</w:t>
      </w:r>
    </w:p>
    <w:p>
      <w:pPr>
        <w:pStyle w:val="Footnotesection"/>
      </w:pPr>
      <w:r>
        <w:tab/>
        <w:t>[Section 101B inserted: No. 10 of 2024 s. 21.]</w:t>
      </w:r>
    </w:p>
    <w:p>
      <w:pPr>
        <w:pStyle w:val="Heading5"/>
      </w:pPr>
      <w:bookmarkStart w:id="427" w:name="_Toc164173996"/>
      <w:bookmarkStart w:id="428" w:name="_Toc164842787"/>
      <w:r>
        <w:rPr>
          <w:rStyle w:val="CharSectno"/>
        </w:rPr>
        <w:t>101C</w:t>
      </w:r>
      <w:r>
        <w:t>.</w:t>
      </w:r>
      <w:r>
        <w:tab/>
        <w:t>Registration condition: membership of scheme</w:t>
      </w:r>
      <w:bookmarkEnd w:id="427"/>
      <w:bookmarkEnd w:id="428"/>
    </w:p>
    <w:p>
      <w:pPr>
        <w:pStyle w:val="Subsection"/>
      </w:pPr>
      <w:r>
        <w:tab/>
      </w:r>
      <w:r>
        <w:tab/>
        <w:t xml:space="preserve">It is a condition of registration of an alternative electricity service that the registration holder must not provide the alternative electricity service to customers unless the registration holder — </w:t>
      </w:r>
    </w:p>
    <w:p>
      <w:pPr>
        <w:pStyle w:val="Indenta"/>
      </w:pPr>
      <w:r>
        <w:tab/>
        <w:t>(a)</w:t>
      </w:r>
      <w:r>
        <w:tab/>
        <w:t xml:space="preserve">is a member of an approved scheme; and </w:t>
      </w:r>
    </w:p>
    <w:p>
      <w:pPr>
        <w:pStyle w:val="Indenta"/>
        <w:keepNext/>
      </w:pPr>
      <w:r>
        <w:lastRenderedPageBreak/>
        <w:tab/>
        <w:t>(b)</w:t>
      </w:r>
      <w:r>
        <w:tab/>
        <w:t>is bound by and complies with any decision or direction of the electricity ombudsman under the scheme.</w:t>
      </w:r>
    </w:p>
    <w:p>
      <w:pPr>
        <w:pStyle w:val="Footnotesection"/>
      </w:pPr>
      <w:r>
        <w:tab/>
        <w:t>[Section 101C inserted: No. 10 of 2024 s. 21.]</w:t>
      </w:r>
    </w:p>
    <w:p>
      <w:pPr>
        <w:pStyle w:val="Heading2"/>
      </w:pPr>
      <w:bookmarkStart w:id="429" w:name="_Toc164424721"/>
      <w:bookmarkStart w:id="430" w:name="_Toc164435503"/>
      <w:bookmarkStart w:id="431" w:name="_Toc164435814"/>
      <w:bookmarkStart w:id="432" w:name="_Toc164679628"/>
      <w:bookmarkStart w:id="433" w:name="_Toc164842788"/>
      <w:r>
        <w:rPr>
          <w:rStyle w:val="CharPartNo"/>
        </w:rPr>
        <w:lastRenderedPageBreak/>
        <w:t>Part 8</w:t>
      </w:r>
      <w:r>
        <w:t> — </w:t>
      </w:r>
      <w:r>
        <w:rPr>
          <w:rStyle w:val="CharPartText"/>
        </w:rPr>
        <w:t>Access to services of network infrastructure facilities</w:t>
      </w:r>
      <w:bookmarkEnd w:id="429"/>
      <w:bookmarkEnd w:id="430"/>
      <w:bookmarkEnd w:id="431"/>
      <w:bookmarkEnd w:id="432"/>
      <w:bookmarkEnd w:id="433"/>
    </w:p>
    <w:p>
      <w:pPr>
        <w:pStyle w:val="Heading3"/>
      </w:pPr>
      <w:bookmarkStart w:id="434" w:name="_Toc164424722"/>
      <w:bookmarkStart w:id="435" w:name="_Toc164435504"/>
      <w:bookmarkStart w:id="436" w:name="_Toc164435815"/>
      <w:bookmarkStart w:id="437" w:name="_Toc164679629"/>
      <w:bookmarkStart w:id="438" w:name="_Toc164842789"/>
      <w:r>
        <w:rPr>
          <w:rStyle w:val="CharDivNo"/>
        </w:rPr>
        <w:t>Division 1</w:t>
      </w:r>
      <w:r>
        <w:t> — </w:t>
      </w:r>
      <w:r>
        <w:rPr>
          <w:rStyle w:val="CharDivText"/>
        </w:rPr>
        <w:t>Preliminary</w:t>
      </w:r>
      <w:bookmarkEnd w:id="434"/>
      <w:bookmarkEnd w:id="435"/>
      <w:bookmarkEnd w:id="436"/>
      <w:bookmarkEnd w:id="437"/>
      <w:bookmarkEnd w:id="438"/>
    </w:p>
    <w:p>
      <w:pPr>
        <w:pStyle w:val="Heading5"/>
      </w:pPr>
      <w:bookmarkStart w:id="439" w:name="_Toc164842790"/>
      <w:r>
        <w:rPr>
          <w:rStyle w:val="CharSectno"/>
        </w:rPr>
        <w:t>102</w:t>
      </w:r>
      <w:r>
        <w:t>.</w:t>
      </w:r>
      <w:r>
        <w:tab/>
        <w:t>Purposes of this Part</w:t>
      </w:r>
      <w:bookmarkEnd w:id="439"/>
    </w:p>
    <w:p>
      <w:pPr>
        <w:pStyle w:val="Subsection"/>
      </w:pPr>
      <w:r>
        <w:tab/>
      </w:r>
      <w:r>
        <w:tab/>
        <w:t xml:space="preserve">The purposes of this Part are — </w:t>
      </w:r>
    </w:p>
    <w:p>
      <w:pPr>
        <w:pStyle w:val="Indenta"/>
      </w:pPr>
      <w:r>
        <w:tab/>
        <w:t>(a)</w:t>
      </w:r>
      <w:r>
        <w:tab/>
        <w:t>to provide for full regulation of access to services; and</w:t>
      </w:r>
    </w:p>
    <w:p>
      <w:pPr>
        <w:pStyle w:val="Indenta"/>
      </w:pPr>
      <w:r>
        <w:tab/>
        <w:t>(b)</w:t>
      </w:r>
      <w:r>
        <w:tab/>
        <w:t>to give effect to the relevant principles of the Competition Principles Agreement in respect of the provision of access to services.</w:t>
      </w:r>
    </w:p>
    <w:p>
      <w:pPr>
        <w:pStyle w:val="Footnotesection"/>
      </w:pPr>
      <w:r>
        <w:tab/>
        <w:t>[Section 102 amended: No. 9 of 2020 s. 9.]</w:t>
      </w:r>
    </w:p>
    <w:p>
      <w:pPr>
        <w:pStyle w:val="Heading5"/>
      </w:pPr>
      <w:bookmarkStart w:id="440" w:name="_Toc164842791"/>
      <w:r>
        <w:rPr>
          <w:rStyle w:val="CharSectno"/>
        </w:rPr>
        <w:t>103.</w:t>
      </w:r>
      <w:r>
        <w:tab/>
        <w:t>Terms used</w:t>
      </w:r>
      <w:bookmarkEnd w:id="440"/>
    </w:p>
    <w:p>
      <w:pPr>
        <w:pStyle w:val="Subsection"/>
      </w:pPr>
      <w:r>
        <w:tab/>
      </w:r>
      <w:r>
        <w:tab/>
        <w:t xml:space="preserve">In this Part, unless the contrary intention appears — </w:t>
      </w:r>
    </w:p>
    <w:p>
      <w:pPr>
        <w:pStyle w:val="Defstart"/>
      </w:pPr>
      <w:r>
        <w:rPr>
          <w:b/>
        </w:rPr>
        <w:tab/>
      </w:r>
      <w:r>
        <w:rPr>
          <w:rStyle w:val="CharDefText"/>
        </w:rPr>
        <w:t>access agreement</w:t>
      </w:r>
      <w:r>
        <w:t xml:space="preserve"> means an agreement under the Code between a network service provider and another person for that person to have access to services;</w:t>
      </w:r>
    </w:p>
    <w:p>
      <w:pPr>
        <w:pStyle w:val="Defstart"/>
      </w:pPr>
      <w:r>
        <w:rPr>
          <w:b/>
        </w:rPr>
        <w:tab/>
      </w:r>
      <w:r>
        <w:rPr>
          <w:rStyle w:val="CharDefText"/>
        </w:rPr>
        <w:t>access arrangement</w:t>
      </w:r>
      <w:r>
        <w:t xml:space="preserve"> means an arrangement lodged under section 104B(a) that has been approved by the Authority;</w:t>
      </w:r>
    </w:p>
    <w:p>
      <w:pPr>
        <w:pStyle w:val="Defstart"/>
      </w:pPr>
      <w:r>
        <w:tab/>
      </w:r>
      <w:r>
        <w:rPr>
          <w:rStyle w:val="CharDefText"/>
        </w:rPr>
        <w:t>network service provider</w:t>
      </w:r>
      <w:r>
        <w:t xml:space="preserve"> means a person who operates network infrastructure facilities;</w:t>
      </w:r>
    </w:p>
    <w:p>
      <w:pPr>
        <w:pStyle w:val="Defstart"/>
      </w:pPr>
      <w:r>
        <w:tab/>
      </w:r>
      <w:r>
        <w:rPr>
          <w:rStyle w:val="CharDefText"/>
        </w:rPr>
        <w:t>network user</w:t>
      </w:r>
      <w:r>
        <w:t xml:space="preserve"> means a person provided or to be provided with access to services under an access agreement.</w:t>
      </w:r>
    </w:p>
    <w:p>
      <w:pPr>
        <w:pStyle w:val="Footnotesection"/>
      </w:pPr>
      <w:r>
        <w:tab/>
        <w:t>[Section 103 amended: No. 33 of 2004 s. 32; No. 9 of 2020 s. 10.]</w:t>
      </w:r>
    </w:p>
    <w:p>
      <w:pPr>
        <w:pStyle w:val="Heading3"/>
      </w:pPr>
      <w:bookmarkStart w:id="441" w:name="_Toc164424725"/>
      <w:bookmarkStart w:id="442" w:name="_Toc164435507"/>
      <w:bookmarkStart w:id="443" w:name="_Toc164435818"/>
      <w:bookmarkStart w:id="444" w:name="_Toc164679632"/>
      <w:bookmarkStart w:id="445" w:name="_Toc164842792"/>
      <w:r>
        <w:rPr>
          <w:rStyle w:val="CharDivNo"/>
        </w:rPr>
        <w:lastRenderedPageBreak/>
        <w:t>Division 2</w:t>
      </w:r>
      <w:r>
        <w:t> — </w:t>
      </w:r>
      <w:r>
        <w:rPr>
          <w:rStyle w:val="CharDivText"/>
        </w:rPr>
        <w:t>Establishment of Code</w:t>
      </w:r>
      <w:bookmarkEnd w:id="441"/>
      <w:bookmarkEnd w:id="442"/>
      <w:bookmarkEnd w:id="443"/>
      <w:bookmarkEnd w:id="444"/>
      <w:bookmarkEnd w:id="445"/>
    </w:p>
    <w:p>
      <w:pPr>
        <w:pStyle w:val="Heading5"/>
      </w:pPr>
      <w:bookmarkStart w:id="446" w:name="_Toc164842793"/>
      <w:r>
        <w:rPr>
          <w:rStyle w:val="CharSectno"/>
        </w:rPr>
        <w:t>104</w:t>
      </w:r>
      <w:r>
        <w:t>.</w:t>
      </w:r>
      <w:r>
        <w:tab/>
        <w:t>Minister to establish Code</w:t>
      </w:r>
      <w:bookmarkEnd w:id="446"/>
      <w:r>
        <w:t xml:space="preserve"> </w:t>
      </w:r>
    </w:p>
    <w:p>
      <w:pPr>
        <w:pStyle w:val="Subsection"/>
        <w:keepNext/>
      </w:pPr>
      <w:r>
        <w:tab/>
      </w:r>
      <w:r>
        <w:tab/>
        <w:t>The Minister is to establish a Code for the purposes of, and in accordance with, this Part.</w:t>
      </w:r>
    </w:p>
    <w:p>
      <w:pPr>
        <w:pStyle w:val="Footnotesection"/>
      </w:pPr>
      <w:r>
        <w:tab/>
        <w:t>[Section 104 inserted: No. 9 of 2020 s. 11.]</w:t>
      </w:r>
    </w:p>
    <w:p>
      <w:pPr>
        <w:pStyle w:val="Heading5"/>
      </w:pPr>
      <w:bookmarkStart w:id="447" w:name="_Toc164842794"/>
      <w:r>
        <w:rPr>
          <w:rStyle w:val="CharSectno"/>
        </w:rPr>
        <w:t>104A</w:t>
      </w:r>
      <w:r>
        <w:t>.</w:t>
      </w:r>
      <w:r>
        <w:tab/>
        <w:t>Code to provide for coverage of networks</w:t>
      </w:r>
      <w:bookmarkEnd w:id="447"/>
    </w:p>
    <w:p>
      <w:pPr>
        <w:pStyle w:val="Subsection"/>
      </w:pPr>
      <w:r>
        <w:tab/>
        <w:t>(1)</w:t>
      </w:r>
      <w:r>
        <w:tab/>
        <w:t xml:space="preserve">Provision is to be made in the Code — </w:t>
      </w:r>
    </w:p>
    <w:p>
      <w:pPr>
        <w:pStyle w:val="Indenta"/>
      </w:pPr>
      <w:r>
        <w:tab/>
        <w:t>(a)</w:t>
      </w:r>
      <w:r>
        <w:tab/>
        <w:t>prescribing the processes (including the matters to be considered and the criteria to apply) by which the Minister is to decide whether network</w:t>
      </w:r>
      <w:r>
        <w:rPr>
          <w:b/>
        </w:rPr>
        <w:t xml:space="preserve"> </w:t>
      </w:r>
      <w:r>
        <w:t>infrastructure facilities are to be a covered network; and</w:t>
      </w:r>
    </w:p>
    <w:p>
      <w:pPr>
        <w:pStyle w:val="Indenta"/>
      </w:pPr>
      <w:r>
        <w:tab/>
        <w:t>(b)</w:t>
      </w:r>
      <w:r>
        <w:tab/>
        <w:t>prescribing the processes (including the matters to be considered and the criteria to apply) by which the Minister is to decide whether a covered network</w:t>
      </w:r>
      <w:r>
        <w:rPr>
          <w:b/>
        </w:rPr>
        <w:t xml:space="preserve"> </w:t>
      </w:r>
      <w:r>
        <w:t>is to cease to be a covered network; and</w:t>
      </w:r>
    </w:p>
    <w:p>
      <w:pPr>
        <w:pStyle w:val="Indenta"/>
      </w:pPr>
      <w:r>
        <w:tab/>
        <w:t>(c)</w:t>
      </w:r>
      <w:r>
        <w:tab/>
        <w:t>for the manner in which a decision referred to in paragraph (a) or (b) is to be published and come into effect.</w:t>
      </w:r>
    </w:p>
    <w:p>
      <w:pPr>
        <w:pStyle w:val="Subsection"/>
      </w:pPr>
      <w:r>
        <w:tab/>
        <w:t>(2)</w:t>
      </w:r>
      <w:r>
        <w:tab/>
        <w:t>A covered network is regulated under this Part (that is, access to services of the network is subject to full regulation) unless, in the case of a covered Pilbara network, the network is regulated under Part 8A (that is, access to services of the network is subject to light regulation).</w:t>
      </w:r>
    </w:p>
    <w:p>
      <w:pPr>
        <w:pStyle w:val="Subsection"/>
      </w:pPr>
      <w:r>
        <w:tab/>
        <w:t>(3)</w:t>
      </w:r>
      <w:r>
        <w:tab/>
        <w:t>A decision under the Code as to whether network</w:t>
      </w:r>
      <w:r>
        <w:rPr>
          <w:b/>
        </w:rPr>
        <w:t xml:space="preserve"> </w:t>
      </w:r>
      <w:r>
        <w:t>infrastructure facilities are to be a covered network or are to cease to be a covered network is not liable to be challenged in, or reviewed or called in question by, a court or tribunal otherwise than under section 130.</w:t>
      </w:r>
    </w:p>
    <w:p>
      <w:pPr>
        <w:pStyle w:val="Subsection"/>
        <w:keepNext/>
      </w:pPr>
      <w:r>
        <w:lastRenderedPageBreak/>
        <w:tab/>
        <w:t>(4)</w:t>
      </w:r>
      <w:r>
        <w:tab/>
        <w:t>A stand</w:t>
      </w:r>
      <w:r>
        <w:noBreakHyphen/>
        <w:t>alone power system cannot be a covered network on its own but it may, in accordance with the Code, be treated as part of the covered network to which it is an adjunct.</w:t>
      </w:r>
    </w:p>
    <w:p>
      <w:pPr>
        <w:pStyle w:val="Footnotesection"/>
      </w:pPr>
      <w:r>
        <w:tab/>
        <w:t>[Section 104A inserted: No. 9 of 2020 s. 11.]</w:t>
      </w:r>
    </w:p>
    <w:p>
      <w:pPr>
        <w:pStyle w:val="Heading5"/>
      </w:pPr>
      <w:bookmarkStart w:id="448" w:name="_Toc164842795"/>
      <w:r>
        <w:rPr>
          <w:rStyle w:val="CharSectno"/>
        </w:rPr>
        <w:t>104B</w:t>
      </w:r>
      <w:r>
        <w:t>.</w:t>
      </w:r>
      <w:r>
        <w:tab/>
        <w:t>Code to provide for full regulation of access to services of covered networks</w:t>
      </w:r>
      <w:bookmarkEnd w:id="448"/>
    </w:p>
    <w:p>
      <w:pPr>
        <w:pStyle w:val="Subsection"/>
      </w:pPr>
      <w:r>
        <w:tab/>
      </w:r>
      <w:r>
        <w:tab/>
        <w:t xml:space="preserve">Provision is to be made in the Code for or in relation to the following in relation to covered networks that are regulated under this Part — </w:t>
      </w:r>
    </w:p>
    <w:p>
      <w:pPr>
        <w:pStyle w:val="Indenta"/>
      </w:pPr>
      <w:r>
        <w:tab/>
        <w:t>(a)</w:t>
      </w:r>
      <w:r>
        <w:tab/>
        <w:t xml:space="preserve">the lodgment by a network service provider of an arrangement for its covered networks setting out — </w:t>
      </w:r>
    </w:p>
    <w:p>
      <w:pPr>
        <w:pStyle w:val="Indenti"/>
      </w:pPr>
      <w:r>
        <w:tab/>
        <w:t>(i)</w:t>
      </w:r>
      <w:r>
        <w:tab/>
        <w:t>the policies applying to access to services; and</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(b)</w:t>
      </w:r>
      <w:r>
        <w:tab/>
        <w:t>the production by a network service provider of information to enable persons to understand the derivation of the elements of an arrangement for its covered networks lodged under paragraph (a), whether or not that arrangement has become an access arrangement;</w:t>
      </w:r>
    </w:p>
    <w:p>
      <w:pPr>
        <w:pStyle w:val="Indenta"/>
      </w:pPr>
      <w:r>
        <w:tab/>
        <w:t>(c)</w:t>
      </w:r>
      <w:r>
        <w:tab/>
        <w:t>the approval by the Authority of arrangements lodged under paragraph (a) and the matters to which the Authority is to have regard in deciding whether to give its approval;</w:t>
      </w:r>
    </w:p>
    <w:p>
      <w:pPr>
        <w:pStyle w:val="Indenta"/>
      </w:pPr>
      <w:r>
        <w:tab/>
        <w:t>(d)</w:t>
      </w:r>
      <w:r>
        <w:tab/>
        <w:t>the registration of access arrangements;</w:t>
      </w:r>
    </w:p>
    <w:p>
      <w:pPr>
        <w:pStyle w:val="Indenta"/>
      </w:pPr>
      <w:r>
        <w:tab/>
        <w:t>(e)</w:t>
      </w:r>
      <w:r>
        <w:tab/>
        <w:t xml:space="preserve">access by persons to services of a covered network as provided for in the access arrangement for the covered network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lastRenderedPageBreak/>
        <w:tab/>
        <w:t>(f)</w:t>
      </w:r>
      <w:r>
        <w:tab/>
        <w:t xml:space="preserve">network access pricing regulation principles; </w:t>
      </w:r>
    </w:p>
    <w:p>
      <w:pPr>
        <w:pStyle w:val="Indenta"/>
      </w:pPr>
      <w:r>
        <w:tab/>
        <w:t>(g)</w:t>
      </w:r>
      <w:r>
        <w:tab/>
        <w:t>the rights, powers and duties that are to apply to and in relation to the negotiation, making, and implementation of access agreements;</w:t>
      </w:r>
    </w:p>
    <w:p>
      <w:pPr>
        <w:pStyle w:val="Indenta"/>
      </w:pPr>
      <w:r>
        <w:tab/>
        <w:t>(h)</w:t>
      </w:r>
      <w:r>
        <w:tab/>
        <w:t>the duties and requirements in relation to the provision of access to services that are to be complied with by a network service provider;</w:t>
      </w:r>
    </w:p>
    <w:p>
      <w:pPr>
        <w:pStyle w:val="Indenta"/>
      </w:pPr>
      <w:r>
        <w:tab/>
        <w:t>(i)</w:t>
      </w:r>
      <w:r>
        <w:tab/>
        <w:t>access arrangements to provide for any matter referred to in paragraphs (f), (g) and (h);</w:t>
      </w:r>
    </w:p>
    <w:p>
      <w:pPr>
        <w:pStyle w:val="Indenta"/>
      </w:pPr>
      <w:r>
        <w:tab/>
        <w:t>(j)</w:t>
      </w:r>
      <w:r>
        <w:tab/>
        <w:t>the obligations of a network service provider in respect of the segregation of the functions and business of providing services from the network service provider’s other functions and business and enabling the Authority to add to those obligations or waive any of them;</w:t>
      </w:r>
    </w:p>
    <w:p>
      <w:pPr>
        <w:pStyle w:val="Indenta"/>
      </w:pPr>
      <w:r>
        <w:tab/>
        <w:t>(k)</w:t>
      </w:r>
      <w:r>
        <w:tab/>
        <w:t xml:space="preserve">services between related bodies corporate (as defined in the </w:t>
      </w:r>
      <w:r>
        <w:rPr>
          <w:i/>
        </w:rPr>
        <w:t>Corporations Act 2001</w:t>
      </w:r>
      <w:r>
        <w:t xml:space="preserve"> (Commonwealth) section 9);</w:t>
      </w:r>
    </w:p>
    <w:p>
      <w:pPr>
        <w:pStyle w:val="Indenta"/>
      </w:pPr>
      <w:r>
        <w:tab/>
        <w:t>(l)</w:t>
      </w:r>
      <w:r>
        <w:tab/>
        <w:t>the rights and obligations of network users;</w:t>
      </w:r>
    </w:p>
    <w:p>
      <w:pPr>
        <w:pStyle w:val="Indenta"/>
      </w:pPr>
      <w:r>
        <w:tab/>
        <w:t>(m)</w:t>
      </w:r>
      <w:r>
        <w:tab/>
        <w:t>the formulation by a network service provider, and approval by the Authority, of technical codes for the purposes of access to services that are to be complied with by network users and other persons specified in the Code;</w:t>
      </w:r>
    </w:p>
    <w:p>
      <w:pPr>
        <w:pStyle w:val="Indenta"/>
      </w:pPr>
      <w:r>
        <w:tab/>
        <w:t>(n)</w:t>
      </w:r>
      <w:r>
        <w:tab/>
        <w:t xml:space="preserve">the disclosure and use of confidential information; </w:t>
      </w:r>
    </w:p>
    <w:p>
      <w:pPr>
        <w:pStyle w:val="Indenta"/>
      </w:pPr>
      <w:r>
        <w:tab/>
        <w:t>(o)</w:t>
      </w:r>
      <w:r>
        <w:tab/>
        <w:t>the supervisory or other functions of the Authority for the purposes of the Code, including a function of determining certain requirements in relation to access to the services of covered networks that are to be complied with by a network service provider or a person making a proposal for access to services and applied by the arbitrator.</w:t>
      </w:r>
    </w:p>
    <w:p>
      <w:pPr>
        <w:pStyle w:val="Footnotesection"/>
      </w:pPr>
      <w:r>
        <w:tab/>
        <w:t>[Section 104B inserted: No. 9 of 2020 s. 11.]</w:t>
      </w:r>
    </w:p>
    <w:p>
      <w:pPr>
        <w:pStyle w:val="Heading5"/>
      </w:pPr>
      <w:bookmarkStart w:id="449" w:name="_Toc164842796"/>
      <w:r>
        <w:rPr>
          <w:rStyle w:val="CharSectno"/>
        </w:rPr>
        <w:lastRenderedPageBreak/>
        <w:t>105</w:t>
      </w:r>
      <w:r>
        <w:t>.</w:t>
      </w:r>
      <w:r>
        <w:tab/>
        <w:t>Other matters for which Code may make provision</w:t>
      </w:r>
      <w:bookmarkEnd w:id="449"/>
      <w:r>
        <w:t xml:space="preserve"> </w:t>
      </w:r>
    </w:p>
    <w:p>
      <w:pPr>
        <w:pStyle w:val="Subsection"/>
        <w:keepNext/>
      </w:pPr>
      <w:r>
        <w:tab/>
        <w:t>(1)</w:t>
      </w:r>
      <w:r>
        <w:tab/>
        <w:t xml:space="preserve">The Code may also make provision for or in relation to — </w:t>
      </w:r>
    </w:p>
    <w:p>
      <w:pPr>
        <w:pStyle w:val="Indenta"/>
      </w:pPr>
      <w:r>
        <w:tab/>
        <w:t>(a)</w:t>
      </w:r>
      <w:r>
        <w:tab/>
        <w:t>the arbitration by the arbitrator of disputes between a network service provider and a person who has made a proposal for access to services; and</w:t>
      </w:r>
    </w:p>
    <w:p>
      <w:pPr>
        <w:pStyle w:val="Indenta"/>
      </w:pPr>
      <w:r>
        <w:tab/>
        <w:t>(b)</w:t>
      </w:r>
      <w:r>
        <w:tab/>
        <w:t>other functions of the arbitrator; and</w:t>
      </w:r>
    </w:p>
    <w:p>
      <w:pPr>
        <w:pStyle w:val="Indenta"/>
      </w:pPr>
      <w:r>
        <w:tab/>
        <w:t>(c)</w:t>
      </w:r>
      <w:r>
        <w:tab/>
        <w:t>the functions of the Authority; and</w:t>
      </w:r>
    </w:p>
    <w:p>
      <w:pPr>
        <w:pStyle w:val="Indenta"/>
      </w:pPr>
      <w:r>
        <w:tab/>
        <w:t>(ca)</w:t>
      </w:r>
      <w:r>
        <w:tab/>
        <w:t>access to the services of stand</w:t>
      </w:r>
      <w:r>
        <w:noBreakHyphen/>
        <w:t>alone power systems; and</w:t>
      </w:r>
    </w:p>
    <w:p>
      <w:pPr>
        <w:pStyle w:val="Indenta"/>
      </w:pPr>
      <w:r>
        <w:tab/>
        <w:t>(cb)</w:t>
      </w:r>
      <w:r>
        <w:tab/>
        <w:t>the regulation of the powers of the Electricity Networks Corporation and Regional Power Corporation to provide stand</w:t>
      </w:r>
      <w:r>
        <w:noBreakHyphen/>
        <w:t>alone power systems or storage works; and</w:t>
      </w:r>
    </w:p>
    <w:p>
      <w:pPr>
        <w:pStyle w:val="Indenta"/>
        <w:keepNext/>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Footnotesection"/>
      </w:pPr>
      <w:r>
        <w:tab/>
        <w:t>[Section 105 amended: No. 9 of 2020 s. 12.]</w:t>
      </w:r>
    </w:p>
    <w:p>
      <w:pPr>
        <w:pStyle w:val="Heading5"/>
        <w:spacing w:before="260"/>
      </w:pPr>
      <w:bookmarkStart w:id="450" w:name="_Toc164842797"/>
      <w:r>
        <w:rPr>
          <w:rStyle w:val="CharSectno"/>
        </w:rPr>
        <w:t>106.</w:t>
      </w:r>
      <w:r>
        <w:tab/>
        <w:t>Code does not affect existing agreements</w:t>
      </w:r>
      <w:bookmarkEnd w:id="450"/>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lastRenderedPageBreak/>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No. 33 of 2004 s. 34; No. 18 of 2005 s. 139.]</w:t>
      </w:r>
    </w:p>
    <w:p>
      <w:pPr>
        <w:pStyle w:val="Heading5"/>
      </w:pPr>
      <w:bookmarkStart w:id="451" w:name="_Toc164842798"/>
      <w:r>
        <w:rPr>
          <w:rStyle w:val="CharSectno"/>
        </w:rPr>
        <w:t>107</w:t>
      </w:r>
      <w:r>
        <w:t>.</w:t>
      </w:r>
      <w:r>
        <w:tab/>
        <w:t>Code is subsidiary legislation</w:t>
      </w:r>
      <w:bookmarkEnd w:id="451"/>
      <w:r>
        <w:t xml:space="preserve"> </w:t>
      </w:r>
    </w:p>
    <w:p>
      <w:pPr>
        <w:pStyle w:val="Subsection"/>
      </w:pPr>
      <w:r>
        <w:tab/>
        <w:t>(1)</w:t>
      </w:r>
      <w:r>
        <w:tab/>
        <w:t xml:space="preserve">In this section — </w:t>
      </w:r>
    </w:p>
    <w:p>
      <w:pPr>
        <w:pStyle w:val="Defstart"/>
      </w:pPr>
      <w:r>
        <w:tab/>
      </w:r>
      <w:r>
        <w:rPr>
          <w:rStyle w:val="CharDefText"/>
        </w:rPr>
        <w:t>Code</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 xml:space="preserve">If the Code is not laid before both Houses of Parliament under subsection (3), or is disallowed by either House in whole or in part under subsection (5), the Code, or the disallowed part of the Code (as applicable) ceases to have effect, but without affecting </w:t>
      </w:r>
      <w:r>
        <w:lastRenderedPageBreak/>
        <w:t>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Footnotesection"/>
      </w:pPr>
      <w:r>
        <w:tab/>
        <w:t>[Section 107 amended: No. 9 of 2020 s. 13.]</w:t>
      </w:r>
    </w:p>
    <w:p>
      <w:pPr>
        <w:pStyle w:val="Heading5"/>
      </w:pPr>
      <w:bookmarkStart w:id="452" w:name="_Toc164842799"/>
      <w:r>
        <w:rPr>
          <w:rStyle w:val="CharSectno"/>
        </w:rPr>
        <w:t>108</w:t>
      </w:r>
      <w:r>
        <w:t>.</w:t>
      </w:r>
      <w:r>
        <w:tab/>
        <w:t>Public comment on amendment or replacement of Code</w:t>
      </w:r>
      <w:bookmarkEnd w:id="452"/>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website; and</w:t>
      </w:r>
    </w:p>
    <w:p>
      <w:pPr>
        <w:pStyle w:val="Indenta"/>
      </w:pPr>
      <w:r>
        <w:tab/>
        <w:t>(b)</w:t>
      </w:r>
      <w:r>
        <w:tab/>
        <w:t xml:space="preserve">include in the notice the following information — </w:t>
      </w:r>
    </w:p>
    <w:p>
      <w:pPr>
        <w:pStyle w:val="Indenti"/>
      </w:pPr>
      <w:r>
        <w:tab/>
        <w:t>(i)</w:t>
      </w:r>
      <w:r>
        <w:tab/>
        <w:t>the website at which a copy of the proposal may be obtained; and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(including an email address) to which the submissions may be delivered or sent.</w:t>
      </w:r>
    </w:p>
    <w:p>
      <w:pPr>
        <w:pStyle w:val="Subsection"/>
      </w:pPr>
      <w:r>
        <w:lastRenderedPageBreak/>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Footnotesection"/>
      </w:pPr>
      <w:r>
        <w:tab/>
        <w:t>[Section 108 amended: No. 9 of 2020 s. 14.]</w:t>
      </w:r>
    </w:p>
    <w:p>
      <w:pPr>
        <w:pStyle w:val="Heading5"/>
      </w:pPr>
      <w:bookmarkStart w:id="453" w:name="_Toc164842800"/>
      <w:r>
        <w:rPr>
          <w:rStyle w:val="CharSectno"/>
        </w:rPr>
        <w:t>109</w:t>
      </w:r>
      <w:r>
        <w:t>.</w:t>
      </w:r>
      <w:r>
        <w:tab/>
        <w:t>Exception to section 108</w:t>
      </w:r>
      <w:bookmarkEnd w:id="453"/>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454" w:name="_Toc164842801"/>
      <w:r>
        <w:rPr>
          <w:rStyle w:val="CharSectno"/>
        </w:rPr>
        <w:t>110</w:t>
      </w:r>
      <w:r>
        <w:t>.</w:t>
      </w:r>
      <w:r>
        <w:tab/>
        <w:t>Consultation with network service providers on amendment or replacement of Code</w:t>
      </w:r>
      <w:bookmarkEnd w:id="454"/>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lastRenderedPageBreak/>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455" w:name="_Toc164842802"/>
      <w:r>
        <w:rPr>
          <w:rStyle w:val="CharSectno"/>
        </w:rPr>
        <w:t>111</w:t>
      </w:r>
      <w:r>
        <w:t>.</w:t>
      </w:r>
      <w:r>
        <w:tab/>
        <w:t>Review of Code</w:t>
      </w:r>
      <w:bookmarkEnd w:id="455"/>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lastRenderedPageBreak/>
        <w:tab/>
        <w:t>(ii)</w:t>
      </w:r>
      <w:r>
        <w:tab/>
        <w:t>the address (including an email address) to which the submissions may be delivered or sent.</w:t>
      </w:r>
    </w:p>
    <w:p>
      <w:pPr>
        <w:pStyle w:val="Subsection"/>
      </w:pPr>
      <w:r>
        <w:tab/>
        <w:t>(5)</w:t>
      </w:r>
      <w:r>
        <w:tab/>
        <w:t>The period specified under subsection (4)(b)(i) is not to be less than 30 days after both of the notices under subsection (4)(a) have been published.</w:t>
      </w:r>
    </w:p>
    <w:p>
      <w:pPr>
        <w:pStyle w:val="Footnotesection"/>
      </w:pPr>
      <w:r>
        <w:tab/>
        <w:t>[Section 111 amended: No. 9 of 2020 s. 15.]</w:t>
      </w:r>
    </w:p>
    <w:p>
      <w:pPr>
        <w:pStyle w:val="Heading5"/>
      </w:pPr>
      <w:bookmarkStart w:id="456" w:name="_Toc164842803"/>
      <w:r>
        <w:rPr>
          <w:rStyle w:val="CharSectno"/>
        </w:rPr>
        <w:t>112</w:t>
      </w:r>
      <w:r>
        <w:t>.</w:t>
      </w:r>
      <w:r>
        <w:tab/>
        <w:t>Functions of the Authority</w:t>
      </w:r>
      <w:bookmarkEnd w:id="456"/>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Ednotesection"/>
      </w:pPr>
      <w:r>
        <w:t>[</w:t>
      </w:r>
      <w:r>
        <w:rPr>
          <w:b/>
        </w:rPr>
        <w:t>113.</w:t>
      </w:r>
      <w:r>
        <w:tab/>
        <w:t>Deleted: No. 16 of 2009 s. 58.]</w:t>
      </w:r>
    </w:p>
    <w:p>
      <w:pPr>
        <w:pStyle w:val="Heading3"/>
      </w:pPr>
      <w:bookmarkStart w:id="457" w:name="_Toc164424737"/>
      <w:bookmarkStart w:id="458" w:name="_Toc164435519"/>
      <w:bookmarkStart w:id="459" w:name="_Toc164435830"/>
      <w:bookmarkStart w:id="460" w:name="_Toc164679644"/>
      <w:bookmarkStart w:id="461" w:name="_Toc164842804"/>
      <w:r>
        <w:rPr>
          <w:rStyle w:val="CharDivNo"/>
        </w:rPr>
        <w:t>Division 3</w:t>
      </w:r>
      <w:r>
        <w:t> — </w:t>
      </w:r>
      <w:r>
        <w:rPr>
          <w:rStyle w:val="CharDivText"/>
        </w:rPr>
        <w:t>Enforcement</w:t>
      </w:r>
      <w:bookmarkEnd w:id="457"/>
      <w:bookmarkEnd w:id="458"/>
      <w:bookmarkEnd w:id="459"/>
      <w:bookmarkEnd w:id="460"/>
      <w:bookmarkEnd w:id="461"/>
    </w:p>
    <w:p>
      <w:pPr>
        <w:pStyle w:val="Heading5"/>
      </w:pPr>
      <w:bookmarkStart w:id="462" w:name="_Toc164842805"/>
      <w:r>
        <w:rPr>
          <w:rStyle w:val="CharSectno"/>
        </w:rPr>
        <w:t>114</w:t>
      </w:r>
      <w:r>
        <w:t>.</w:t>
      </w:r>
      <w:r>
        <w:tab/>
        <w:t>References to contravening the Code</w:t>
      </w:r>
      <w:bookmarkEnd w:id="462"/>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 or</w:t>
      </w:r>
    </w:p>
    <w:p>
      <w:pPr>
        <w:pStyle w:val="Indenta"/>
        <w:rPr>
          <w:snapToGrid w:val="0"/>
        </w:rPr>
      </w:pPr>
      <w:r>
        <w:rPr>
          <w:snapToGrid w:val="0"/>
        </w:rPr>
        <w:tab/>
      </w:r>
      <w:r>
        <w:t>(b)</w:t>
      </w:r>
      <w:r>
        <w:rPr>
          <w:snapToGrid w:val="0"/>
        </w:rPr>
        <w:tab/>
        <w:t>aiding, abetting, counselling or procuring a person to contravene such a provision; or</w:t>
      </w:r>
    </w:p>
    <w:p>
      <w:pPr>
        <w:pStyle w:val="Indenta"/>
        <w:rPr>
          <w:snapToGrid w:val="0"/>
        </w:rPr>
      </w:pPr>
      <w:r>
        <w:rPr>
          <w:snapToGrid w:val="0"/>
        </w:rPr>
        <w:tab/>
      </w:r>
      <w:r>
        <w:t>(c)</w:t>
      </w:r>
      <w:r>
        <w:rPr>
          <w:snapToGrid w:val="0"/>
        </w:rPr>
        <w:tab/>
        <w:t>inducing, or attempting to induce, a person, whether by threats or promises or otherwise, to contravene such a provision; or</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463" w:name="_Toc164842806"/>
      <w:r>
        <w:rPr>
          <w:rStyle w:val="CharSectno"/>
        </w:rPr>
        <w:lastRenderedPageBreak/>
        <w:t>115</w:t>
      </w:r>
      <w:r>
        <w:rPr>
          <w:snapToGrid w:val="0"/>
        </w:rPr>
        <w:t>.</w:t>
      </w:r>
      <w:r>
        <w:rPr>
          <w:snapToGrid w:val="0"/>
        </w:rPr>
        <w:tab/>
      </w:r>
      <w:r>
        <w:t>Prohibitions on hindering or preventing access</w:t>
      </w:r>
      <w:bookmarkEnd w:id="463"/>
    </w:p>
    <w:p>
      <w:pPr>
        <w:pStyle w:val="Subsection"/>
        <w:keepNext/>
      </w:pPr>
      <w:r>
        <w:tab/>
        <w:t>(1)</w:t>
      </w:r>
      <w:r>
        <w:tab/>
        <w:t>The network service provider in relation to a covered network that is regulated under this Part, or an associate of the network service provider, must not engage in conduct for the purpose of hindering or preventing —</w:t>
      </w:r>
    </w:p>
    <w:p>
      <w:pPr>
        <w:pStyle w:val="Indenta"/>
      </w:pPr>
      <w:r>
        <w:tab/>
        <w:t>(a)</w:t>
      </w:r>
      <w:r>
        <w:tab/>
        <w:t>access by any person to services in accordance with the Code; or</w:t>
      </w:r>
    </w:p>
    <w:p>
      <w:pPr>
        <w:pStyle w:val="Indenta"/>
      </w:pPr>
      <w:r>
        <w:tab/>
        <w:t>(b)</w:t>
      </w:r>
      <w:r>
        <w:tab/>
        <w:t>the making of access agreements or any particular agreement in respect of that network;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spacing w:before="120"/>
      </w:pPr>
      <w:r>
        <w:tab/>
        <w:t>(2)</w:t>
      </w:r>
      <w:r>
        <w:tab/>
        <w:t>A person who has access to services under an access agreement, or an associate of the person, must not engage in conduct for the purpose of hindering or preventing access by another person to services of a covered network that is regulated under this Part.</w:t>
      </w:r>
    </w:p>
    <w:p>
      <w:pPr>
        <w:pStyle w:val="Penstart"/>
      </w:pPr>
      <w:r>
        <w:tab/>
        <w:t>Penalty: $100 000.</w:t>
      </w:r>
    </w:p>
    <w:p>
      <w:pPr>
        <w:pStyle w:val="Penstart"/>
      </w:pPr>
      <w:r>
        <w:tab/>
        <w:t>Daily penalty: $20 000.</w:t>
      </w:r>
    </w:p>
    <w:p>
      <w:pPr>
        <w:pStyle w:val="Subsection"/>
        <w:spacing w:before="120"/>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spacing w:before="120"/>
      </w:pPr>
      <w:r>
        <w:lastRenderedPageBreak/>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 or</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r>
      <w:r>
        <w:rPr>
          <w:rStyle w:val="CharDefText"/>
        </w:rPr>
        <w:t>associate</w:t>
      </w:r>
      <w:r>
        <w:t xml:space="preserve">, in relation to a person, has the meaning it would have under the </w:t>
      </w:r>
      <w:r>
        <w:rPr>
          <w:i/>
        </w:rPr>
        <w:t>Corporations Act 2001</w:t>
      </w:r>
      <w:r>
        <w:t xml:space="preserve"> (Commonwealth) Part 1.2 Division 2 if sections 13, 16(2) and 17 of that Act were repealed.</w:t>
      </w:r>
    </w:p>
    <w:p>
      <w:pPr>
        <w:pStyle w:val="Footnotesection"/>
      </w:pPr>
      <w:r>
        <w:tab/>
        <w:t>[Section 115 amended: No. 33 of 2004 s. 35; No. 9 of 2020 s. 16.]</w:t>
      </w:r>
    </w:p>
    <w:p>
      <w:pPr>
        <w:pStyle w:val="Heading5"/>
        <w:rPr>
          <w:snapToGrid w:val="0"/>
        </w:rPr>
      </w:pPr>
      <w:bookmarkStart w:id="464" w:name="_Toc164842807"/>
      <w:r>
        <w:rPr>
          <w:rStyle w:val="CharSectno"/>
        </w:rPr>
        <w:t>116</w:t>
      </w:r>
      <w:r>
        <w:rPr>
          <w:snapToGrid w:val="0"/>
        </w:rPr>
        <w:t>.</w:t>
      </w:r>
      <w:r>
        <w:rPr>
          <w:snapToGrid w:val="0"/>
        </w:rPr>
        <w:tab/>
      </w:r>
      <w:r>
        <w:t>Proceedings</w:t>
      </w:r>
      <w:bookmarkEnd w:id="464"/>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 or</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lastRenderedPageBreak/>
        <w:tab/>
        <w:t>(c)</w:t>
      </w:r>
      <w:r>
        <w:rPr>
          <w:snapToGrid w:val="0"/>
        </w:rPr>
        <w:tab/>
        <w:t xml:space="preserve">in accordance with </w:t>
      </w:r>
      <w:r>
        <w:t>section 130</w:t>
      </w:r>
      <w:r>
        <w:rPr>
          <w:snapToGrid w:val="0"/>
        </w:rPr>
        <w:t>.</w:t>
      </w:r>
    </w:p>
    <w:p>
      <w:pPr>
        <w:pStyle w:val="Subsection"/>
        <w:rPr>
          <w:snapToGrid w:val="0"/>
        </w:rPr>
      </w:pPr>
      <w:r>
        <w:rPr>
          <w:snapToGrid w:val="0"/>
        </w:rPr>
        <w:tab/>
      </w:r>
      <w:r>
        <w:t>(2)</w:t>
      </w:r>
      <w:r>
        <w:rPr>
          <w:snapToGrid w:val="0"/>
        </w:rPr>
        <w:tab/>
        <w:t>Nothing in subsection (1) affects the right of a person — </w:t>
      </w:r>
    </w:p>
    <w:p>
      <w:pPr>
        <w:pStyle w:val="Indenta"/>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to bring proceedings for judicial review of a decision made under this Act or the Code.</w:t>
      </w:r>
    </w:p>
    <w:p>
      <w:pPr>
        <w:pStyle w:val="Footnotesection"/>
      </w:pPr>
      <w:r>
        <w:tab/>
        <w:t>[Section 116 amended: No. 9 of 2020 s. 17.]</w:t>
      </w:r>
    </w:p>
    <w:p>
      <w:pPr>
        <w:pStyle w:val="Heading5"/>
        <w:rPr>
          <w:snapToGrid w:val="0"/>
        </w:rPr>
      </w:pPr>
      <w:bookmarkStart w:id="465" w:name="_Toc164842808"/>
      <w:r>
        <w:rPr>
          <w:rStyle w:val="CharSectno"/>
        </w:rPr>
        <w:t>117</w:t>
      </w:r>
      <w:r>
        <w:rPr>
          <w:snapToGrid w:val="0"/>
        </w:rPr>
        <w:t>.</w:t>
      </w:r>
      <w:r>
        <w:rPr>
          <w:snapToGrid w:val="0"/>
        </w:rPr>
        <w:tab/>
      </w:r>
      <w:r>
        <w:t>Criminal</w:t>
      </w:r>
      <w:r>
        <w:rPr>
          <w:snapToGrid w:val="0"/>
        </w:rPr>
        <w:t xml:space="preserve"> proceedings do not lie</w:t>
      </w:r>
      <w:bookmarkEnd w:id="465"/>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subsection (1) affects section 115.</w:t>
      </w:r>
    </w:p>
    <w:p>
      <w:pPr>
        <w:pStyle w:val="Heading5"/>
      </w:pPr>
      <w:bookmarkStart w:id="466" w:name="_Toc164842809"/>
      <w:r>
        <w:rPr>
          <w:rStyle w:val="CharSectno"/>
        </w:rPr>
        <w:t>118</w:t>
      </w:r>
      <w:r>
        <w:t>.</w:t>
      </w:r>
      <w:r>
        <w:tab/>
        <w:t>Regulations as to enforcement of Code</w:t>
      </w:r>
      <w:bookmarkEnd w:id="466"/>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 and</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lastRenderedPageBreak/>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 xml:space="preserve">a person who contravenes the provision; </w:t>
      </w:r>
      <w:r>
        <w:t>and</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 and</w:t>
      </w:r>
    </w:p>
    <w:p>
      <w:pPr>
        <w:pStyle w:val="Indenta"/>
      </w:pPr>
      <w:r>
        <w:tab/>
        <w:t>(d)</w:t>
      </w:r>
      <w:r>
        <w:tab/>
        <w:t>provide for the manner in which amounts received by way of civil penalties are to be dealt with and applied; and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 and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Ednotedivision"/>
      </w:pPr>
      <w:r>
        <w:t>[Division 4 deleted: No. 9 of 2020 s. 18.]</w:t>
      </w:r>
    </w:p>
    <w:p>
      <w:pPr>
        <w:pStyle w:val="Heading2"/>
      </w:pPr>
      <w:bookmarkStart w:id="467" w:name="_Toc164424743"/>
      <w:bookmarkStart w:id="468" w:name="_Toc164435525"/>
      <w:bookmarkStart w:id="469" w:name="_Toc164435836"/>
      <w:bookmarkStart w:id="470" w:name="_Toc164679650"/>
      <w:bookmarkStart w:id="471" w:name="_Toc164842810"/>
      <w:r>
        <w:rPr>
          <w:rStyle w:val="CharPartNo"/>
        </w:rPr>
        <w:lastRenderedPageBreak/>
        <w:t>Part 8A</w:t>
      </w:r>
      <w:r>
        <w:t> — </w:t>
      </w:r>
      <w:r>
        <w:rPr>
          <w:rStyle w:val="CharPartText"/>
        </w:rPr>
        <w:t>Pilbara networks</w:t>
      </w:r>
      <w:bookmarkEnd w:id="467"/>
      <w:bookmarkEnd w:id="468"/>
      <w:bookmarkEnd w:id="469"/>
      <w:bookmarkEnd w:id="470"/>
      <w:bookmarkEnd w:id="471"/>
    </w:p>
    <w:p>
      <w:pPr>
        <w:pStyle w:val="Footnoteheading"/>
      </w:pPr>
      <w:r>
        <w:tab/>
        <w:t>[Heading inserted: No. 9 of 2020 s. 19.]</w:t>
      </w:r>
    </w:p>
    <w:p>
      <w:pPr>
        <w:pStyle w:val="Heading3"/>
      </w:pPr>
      <w:bookmarkStart w:id="472" w:name="_Toc164424744"/>
      <w:bookmarkStart w:id="473" w:name="_Toc164435526"/>
      <w:bookmarkStart w:id="474" w:name="_Toc164435837"/>
      <w:bookmarkStart w:id="475" w:name="_Toc164679651"/>
      <w:bookmarkStart w:id="476" w:name="_Toc164842811"/>
      <w:r>
        <w:rPr>
          <w:rStyle w:val="CharDivNo"/>
        </w:rPr>
        <w:t>Division 1</w:t>
      </w:r>
      <w:r>
        <w:t> — </w:t>
      </w:r>
      <w:r>
        <w:rPr>
          <w:rStyle w:val="CharDivText"/>
        </w:rPr>
        <w:t>Preliminary</w:t>
      </w:r>
      <w:bookmarkEnd w:id="472"/>
      <w:bookmarkEnd w:id="473"/>
      <w:bookmarkEnd w:id="474"/>
      <w:bookmarkEnd w:id="475"/>
      <w:bookmarkEnd w:id="476"/>
    </w:p>
    <w:p>
      <w:pPr>
        <w:pStyle w:val="Footnoteheading"/>
      </w:pPr>
      <w:r>
        <w:tab/>
        <w:t>[Heading inserted: No. 9 of 2020 s. 19.]</w:t>
      </w:r>
    </w:p>
    <w:p>
      <w:pPr>
        <w:pStyle w:val="Heading5"/>
      </w:pPr>
      <w:bookmarkStart w:id="477" w:name="_Toc164842812"/>
      <w:r>
        <w:rPr>
          <w:rStyle w:val="CharSectno"/>
        </w:rPr>
        <w:t>119</w:t>
      </w:r>
      <w:r>
        <w:t>.</w:t>
      </w:r>
      <w:r>
        <w:tab/>
        <w:t>Purposes and objective of this Part</w:t>
      </w:r>
      <w:bookmarkEnd w:id="477"/>
    </w:p>
    <w:p>
      <w:pPr>
        <w:pStyle w:val="Subsection"/>
      </w:pPr>
      <w:r>
        <w:tab/>
        <w:t>(1)</w:t>
      </w:r>
      <w:r>
        <w:tab/>
        <w:t xml:space="preserve">The purposes of this Part are — </w:t>
      </w:r>
    </w:p>
    <w:p>
      <w:pPr>
        <w:pStyle w:val="Indenta"/>
      </w:pPr>
      <w:r>
        <w:tab/>
        <w:t>(a)</w:t>
      </w:r>
      <w:r>
        <w:tab/>
        <w:t>to provide for light regulation of access to services of covered Pilbara networks; and</w:t>
      </w:r>
    </w:p>
    <w:p>
      <w:pPr>
        <w:pStyle w:val="Indenta"/>
      </w:pPr>
      <w:r>
        <w:tab/>
        <w:t>(b)</w:t>
      </w:r>
      <w:r>
        <w:tab/>
        <w:t>to give effect to the relevant principles of the Competition Principles Agreement in respect of the provision of access to services of certain covered Pilbara networks; and</w:t>
      </w:r>
    </w:p>
    <w:p>
      <w:pPr>
        <w:pStyle w:val="Indenta"/>
      </w:pPr>
      <w:r>
        <w:tab/>
        <w:t>(c)</w:t>
      </w:r>
      <w:r>
        <w:tab/>
        <w:t>to provide for the operation, management, security and reliability of the interconnected Pilbara system and other Pilbara networks.</w:t>
      </w:r>
    </w:p>
    <w:p>
      <w:pPr>
        <w:pStyle w:val="Subsection"/>
      </w:pPr>
      <w:r>
        <w:tab/>
        <w:t>(2)</w:t>
      </w:r>
      <w:r>
        <w:tab/>
        <w:t xml:space="preserve">The objective of this Part (the </w:t>
      </w:r>
      <w:r>
        <w:rPr>
          <w:rStyle w:val="CharDefText"/>
        </w:rPr>
        <w:t>Pilbara electricity objective</w:t>
      </w:r>
      <w:r>
        <w:t>) is to promote efficient investment in, and efficient operation and use of, services of Pilbara networks for the long</w:t>
      </w:r>
      <w:r>
        <w:noBreakHyphen/>
        <w:t xml:space="preserve">term interests of consumers of electricity in the Pilbara region in relation to — </w:t>
      </w:r>
    </w:p>
    <w:p>
      <w:pPr>
        <w:pStyle w:val="Indenta"/>
      </w:pPr>
      <w:r>
        <w:tab/>
        <w:t>(a)</w:t>
      </w:r>
      <w:r>
        <w:tab/>
        <w:t>price, quality, safety, reliability and security of supply of electricity; and</w:t>
      </w:r>
    </w:p>
    <w:p>
      <w:pPr>
        <w:pStyle w:val="Indenta"/>
      </w:pPr>
      <w:r>
        <w:tab/>
        <w:t>(b)</w:t>
      </w:r>
      <w:r>
        <w:tab/>
        <w:t>the reliability, safety and security of any interconnected Pilbara system.</w:t>
      </w:r>
    </w:p>
    <w:p>
      <w:pPr>
        <w:pStyle w:val="Subsection"/>
      </w:pPr>
      <w:r>
        <w:tab/>
        <w:t>(3)</w:t>
      </w:r>
      <w:r>
        <w:tab/>
        <w:t>The regulations, the Pilbara Networks Access Code and the Pilbara networks rules may provide for the matters a person or body who performs a function under this Part is to have regard to in determining whether the performance of the function meets the Pilbara electricity objective.</w:t>
      </w:r>
    </w:p>
    <w:p>
      <w:pPr>
        <w:pStyle w:val="Subsection"/>
        <w:keepNext/>
      </w:pPr>
      <w:r>
        <w:lastRenderedPageBreak/>
        <w:tab/>
        <w:t>(4)</w:t>
      </w:r>
      <w:r>
        <w:tab/>
        <w:t xml:space="preserve">Without limiting subsection (3), the matters referred to in that subsection may include the following — </w:t>
      </w:r>
    </w:p>
    <w:p>
      <w:pPr>
        <w:pStyle w:val="Indenta"/>
      </w:pPr>
      <w:r>
        <w:tab/>
        <w:t>(a)</w:t>
      </w:r>
      <w:r>
        <w:tab/>
        <w:t>the contribution of the Pilbara resources industry to the State’s economy;</w:t>
      </w:r>
    </w:p>
    <w:p>
      <w:pPr>
        <w:pStyle w:val="Indenta"/>
      </w:pPr>
      <w:r>
        <w:tab/>
        <w:t>(b)</w:t>
      </w:r>
      <w:r>
        <w:tab/>
        <w:t>the nature and scale of investment in the Pilbara resources industry;</w:t>
      </w:r>
    </w:p>
    <w:p>
      <w:pPr>
        <w:pStyle w:val="Indenta"/>
      </w:pPr>
      <w:r>
        <w:tab/>
        <w:t>(c)</w:t>
      </w:r>
      <w:r>
        <w:tab/>
        <w:t>the importance to the Pilbara resources industry of a secure and reliable electricity supply.</w:t>
      </w:r>
    </w:p>
    <w:p>
      <w:pPr>
        <w:pStyle w:val="Footnotesection"/>
      </w:pPr>
      <w:r>
        <w:tab/>
        <w:t>[Section 119 inserted: No. 9 of 2020 s. 19.]</w:t>
      </w:r>
    </w:p>
    <w:p>
      <w:pPr>
        <w:pStyle w:val="Heading5"/>
      </w:pPr>
      <w:bookmarkStart w:id="478" w:name="_Toc164842813"/>
      <w:r>
        <w:rPr>
          <w:rStyle w:val="CharSectno"/>
        </w:rPr>
        <w:t>120</w:t>
      </w:r>
      <w:r>
        <w:t>.</w:t>
      </w:r>
      <w:r>
        <w:tab/>
        <w:t>Terms used</w:t>
      </w:r>
      <w:bookmarkEnd w:id="478"/>
    </w:p>
    <w:p>
      <w:pPr>
        <w:pStyle w:val="Subsection"/>
      </w:pPr>
      <w:r>
        <w:tab/>
      </w:r>
      <w:r>
        <w:tab/>
        <w:t xml:space="preserve">In this Part, unless the contrary intention appears — </w:t>
      </w:r>
    </w:p>
    <w:p>
      <w:pPr>
        <w:pStyle w:val="Defstart"/>
      </w:pPr>
      <w:r>
        <w:tab/>
      </w:r>
      <w:r>
        <w:rPr>
          <w:rStyle w:val="CharDefText"/>
        </w:rPr>
        <w:t>interconnected Pilbara network</w:t>
      </w:r>
      <w:r>
        <w:t xml:space="preserve"> means a Pilbara network that is interconnected with another Pilbara network;</w:t>
      </w:r>
    </w:p>
    <w:p>
      <w:pPr>
        <w:pStyle w:val="Defstart"/>
      </w:pPr>
      <w:r>
        <w:tab/>
      </w:r>
      <w:r>
        <w:rPr>
          <w:rStyle w:val="CharDefText"/>
        </w:rPr>
        <w:t>interconnected Pilbara system</w:t>
      </w:r>
      <w:r>
        <w:t xml:space="preserve"> means a system of interconnected Pilbara networks, including the following when connected to an interconnected Pilbara network — </w:t>
      </w:r>
    </w:p>
    <w:p>
      <w:pPr>
        <w:pStyle w:val="Defpara"/>
      </w:pPr>
      <w:r>
        <w:tab/>
        <w:t>(a)</w:t>
      </w:r>
      <w:r>
        <w:tab/>
        <w:t xml:space="preserve">generating works and associated works; </w:t>
      </w:r>
    </w:p>
    <w:p>
      <w:pPr>
        <w:pStyle w:val="Defpara"/>
      </w:pPr>
      <w:r>
        <w:tab/>
        <w:t>(b)</w:t>
      </w:r>
      <w:r>
        <w:tab/>
        <w:t xml:space="preserve">loads; </w:t>
      </w:r>
    </w:p>
    <w:p>
      <w:pPr>
        <w:pStyle w:val="Defpara"/>
      </w:pPr>
      <w:r>
        <w:tab/>
        <w:t>(c)</w:t>
      </w:r>
      <w:r>
        <w:tab/>
        <w:t>facilities, including electricity storage facilities;</w:t>
      </w:r>
    </w:p>
    <w:p>
      <w:pPr>
        <w:pStyle w:val="Defstart"/>
      </w:pPr>
      <w:r>
        <w:tab/>
      </w:r>
      <w:r>
        <w:rPr>
          <w:rStyle w:val="CharDefText"/>
        </w:rPr>
        <w:t>Pilbara access agreement</w:t>
      </w:r>
      <w:r>
        <w:t xml:space="preserve"> means an agreement under the Pilbara Networks Access Code between a network service provider and another person for that person to have access to services of a covered Pilbara network;</w:t>
      </w:r>
    </w:p>
    <w:p>
      <w:pPr>
        <w:pStyle w:val="Defstart"/>
      </w:pPr>
      <w:r>
        <w:tab/>
      </w:r>
      <w:r>
        <w:rPr>
          <w:rStyle w:val="CharDefText"/>
        </w:rPr>
        <w:t>Pilbara electricity objective</w:t>
      </w:r>
      <w:r>
        <w:t>, see section 119(2);</w:t>
      </w:r>
    </w:p>
    <w:p>
      <w:pPr>
        <w:pStyle w:val="Defstart"/>
      </w:pPr>
      <w:r>
        <w:tab/>
      </w:r>
      <w:r>
        <w:rPr>
          <w:rStyle w:val="CharDefText"/>
        </w:rPr>
        <w:t>Pilbara ISO</w:t>
      </w:r>
      <w:r>
        <w:t>, see section 120W;</w:t>
      </w:r>
    </w:p>
    <w:p>
      <w:pPr>
        <w:pStyle w:val="Defstart"/>
      </w:pPr>
      <w:r>
        <w:tab/>
      </w:r>
      <w:r>
        <w:rPr>
          <w:rStyle w:val="CharDefText"/>
        </w:rPr>
        <w:t>Pilbara network service provider</w:t>
      </w:r>
      <w:r>
        <w:t xml:space="preserve"> means a person who — </w:t>
      </w:r>
    </w:p>
    <w:p>
      <w:pPr>
        <w:pStyle w:val="Defpara"/>
      </w:pPr>
      <w:r>
        <w:tab/>
        <w:t>(a)</w:t>
      </w:r>
      <w:r>
        <w:tab/>
        <w:t>owns, controls or operates a Pilbara network or any part of a Pilbara network; or</w:t>
      </w:r>
    </w:p>
    <w:p>
      <w:pPr>
        <w:pStyle w:val="Defpara"/>
      </w:pPr>
      <w:r>
        <w:tab/>
        <w:t>(b)</w:t>
      </w:r>
      <w:r>
        <w:tab/>
        <w:t>proposes to own, control or operate a Pilbara network or any part of a Pilbara network;</w:t>
      </w:r>
    </w:p>
    <w:p>
      <w:pPr>
        <w:pStyle w:val="Defstart"/>
      </w:pPr>
      <w:r>
        <w:lastRenderedPageBreak/>
        <w:tab/>
      </w:r>
      <w:r>
        <w:rPr>
          <w:rStyle w:val="CharDefText"/>
        </w:rPr>
        <w:t>Pilbara network user</w:t>
      </w:r>
      <w:r>
        <w:t xml:space="preserve"> means a person provided or to be provided with access to services under a Pilbara access agreement but does not include the Pilbara ISO;</w:t>
      </w:r>
    </w:p>
    <w:p>
      <w:pPr>
        <w:pStyle w:val="Defstart"/>
      </w:pPr>
      <w:r>
        <w:tab/>
      </w:r>
      <w:r>
        <w:rPr>
          <w:rStyle w:val="CharDefText"/>
        </w:rPr>
        <w:t>Pilbara networks participant</w:t>
      </w:r>
      <w:r>
        <w:t xml:space="preserve"> means — </w:t>
      </w:r>
    </w:p>
    <w:p>
      <w:pPr>
        <w:pStyle w:val="Defpara"/>
      </w:pPr>
      <w:r>
        <w:tab/>
        <w:t>(a)</w:t>
      </w:r>
      <w:r>
        <w:tab/>
        <w:t>the Pilbara ISO; or</w:t>
      </w:r>
    </w:p>
    <w:p>
      <w:pPr>
        <w:pStyle w:val="Defpara"/>
      </w:pPr>
      <w:r>
        <w:tab/>
        <w:t>(b)</w:t>
      </w:r>
      <w:r>
        <w:tab/>
        <w:t>a Pilbara network service provider; or</w:t>
      </w:r>
    </w:p>
    <w:p>
      <w:pPr>
        <w:pStyle w:val="Defpara"/>
      </w:pPr>
      <w:r>
        <w:tab/>
        <w:t>(c)</w:t>
      </w:r>
      <w:r>
        <w:tab/>
        <w:t>a licensee of a generation licence if the generating works to which the licence applies are connected to a Pilbara network; or</w:t>
      </w:r>
    </w:p>
    <w:p>
      <w:pPr>
        <w:pStyle w:val="Defpara"/>
      </w:pPr>
      <w:r>
        <w:tab/>
        <w:t>(d)</w:t>
      </w:r>
      <w:r>
        <w:tab/>
        <w:t>a licensee of a transmission licence if the transmission system is, or is part of, a Pilbara network; or</w:t>
      </w:r>
    </w:p>
    <w:p>
      <w:pPr>
        <w:pStyle w:val="Defpara"/>
      </w:pPr>
      <w:r>
        <w:tab/>
        <w:t>(e)</w:t>
      </w:r>
      <w:r>
        <w:tab/>
        <w:t>a licensee of a distribution licence if the distribution system is, or is part of, a Pilbara network; or</w:t>
      </w:r>
    </w:p>
    <w:p>
      <w:pPr>
        <w:pStyle w:val="Defpara"/>
      </w:pPr>
      <w:r>
        <w:tab/>
        <w:t>(f)</w:t>
      </w:r>
      <w:r>
        <w:tab/>
        <w:t>a licensee of a retail licence who sells electricity transported through a Pilbara network; or</w:t>
      </w:r>
    </w:p>
    <w:p>
      <w:pPr>
        <w:pStyle w:val="Defpara"/>
      </w:pPr>
      <w:r>
        <w:tab/>
        <w:t>(g)</w:t>
      </w:r>
      <w:r>
        <w:tab/>
        <w:t>a licensee of an integrated regional licence if at least one of the activities under the licence is an activity of a kind that could be covered by a licence referred to in paragraphs (c) to (f); or</w:t>
      </w:r>
    </w:p>
    <w:p>
      <w:pPr>
        <w:pStyle w:val="Defpara"/>
      </w:pPr>
      <w:r>
        <w:tab/>
        <w:t>(h)</w:t>
      </w:r>
      <w:r>
        <w:tab/>
        <w:t>a Pilbara network user; or</w:t>
      </w:r>
    </w:p>
    <w:p>
      <w:pPr>
        <w:pStyle w:val="Defpara"/>
      </w:pPr>
      <w:r>
        <w:tab/>
        <w:t>(i)</w:t>
      </w:r>
      <w:r>
        <w:tab/>
        <w:t>a person on whom functions are conferred under this Part; or</w:t>
      </w:r>
    </w:p>
    <w:p>
      <w:pPr>
        <w:pStyle w:val="Defpara"/>
      </w:pPr>
      <w:r>
        <w:tab/>
        <w:t>(j)</w:t>
      </w:r>
      <w:r>
        <w:tab/>
        <w:t>a person on whom functions relating to this Part are conferred by another written law; or</w:t>
      </w:r>
    </w:p>
    <w:p>
      <w:pPr>
        <w:pStyle w:val="Defpara"/>
      </w:pPr>
      <w:r>
        <w:tab/>
        <w:t>(k)</w:t>
      </w:r>
      <w:r>
        <w:tab/>
        <w:t>a person who is registered under the Pilbara networks rules as required by the regulations; or</w:t>
      </w:r>
    </w:p>
    <w:p>
      <w:pPr>
        <w:pStyle w:val="Defpara"/>
      </w:pPr>
      <w:r>
        <w:tab/>
        <w:t>(l)</w:t>
      </w:r>
      <w:r>
        <w:tab/>
        <w:t>a person whose conduct is regulated, or on whom obligations are imposed, by regulations made under section 120N(2)(a).</w:t>
      </w:r>
    </w:p>
    <w:p>
      <w:pPr>
        <w:pStyle w:val="Footnotesection"/>
      </w:pPr>
      <w:r>
        <w:tab/>
        <w:t>[Section 120 inserted: No. 9 of 2020 s. 19.]</w:t>
      </w:r>
    </w:p>
    <w:p>
      <w:pPr>
        <w:pStyle w:val="Heading3"/>
      </w:pPr>
      <w:bookmarkStart w:id="479" w:name="_Toc164424747"/>
      <w:bookmarkStart w:id="480" w:name="_Toc164435529"/>
      <w:bookmarkStart w:id="481" w:name="_Toc164435840"/>
      <w:bookmarkStart w:id="482" w:name="_Toc164679654"/>
      <w:bookmarkStart w:id="483" w:name="_Toc164842814"/>
      <w:r>
        <w:rPr>
          <w:rStyle w:val="CharDivNo"/>
        </w:rPr>
        <w:lastRenderedPageBreak/>
        <w:t>Division 2</w:t>
      </w:r>
      <w:r>
        <w:t> — </w:t>
      </w:r>
      <w:r>
        <w:rPr>
          <w:rStyle w:val="CharDivText"/>
        </w:rPr>
        <w:t>Pilbara Networks Access Code</w:t>
      </w:r>
      <w:bookmarkEnd w:id="479"/>
      <w:bookmarkEnd w:id="480"/>
      <w:bookmarkEnd w:id="481"/>
      <w:bookmarkEnd w:id="482"/>
      <w:bookmarkEnd w:id="483"/>
    </w:p>
    <w:p>
      <w:pPr>
        <w:pStyle w:val="Footnoteheading"/>
        <w:keepNext/>
      </w:pPr>
      <w:r>
        <w:tab/>
        <w:t>[Heading inserted: No. 9 of 2020 s. 19.]</w:t>
      </w:r>
    </w:p>
    <w:p>
      <w:pPr>
        <w:pStyle w:val="Heading5"/>
      </w:pPr>
      <w:bookmarkStart w:id="484" w:name="_Toc164842815"/>
      <w:r>
        <w:rPr>
          <w:rStyle w:val="CharSectno"/>
        </w:rPr>
        <w:t>120A</w:t>
      </w:r>
      <w:r>
        <w:t>.</w:t>
      </w:r>
      <w:r>
        <w:tab/>
        <w:t>Minister to establish Pilbara Networks Access Code</w:t>
      </w:r>
      <w:bookmarkEnd w:id="484"/>
    </w:p>
    <w:p>
      <w:pPr>
        <w:pStyle w:val="Subsection"/>
      </w:pPr>
      <w:r>
        <w:tab/>
        <w:t>(1)</w:t>
      </w:r>
      <w:r>
        <w:tab/>
        <w:t xml:space="preserve">The Minister is to establish, in accordance with this Part, a code to be called the Pilbara Networks Access Code — </w:t>
      </w:r>
    </w:p>
    <w:p>
      <w:pPr>
        <w:pStyle w:val="Indenta"/>
      </w:pPr>
      <w:r>
        <w:tab/>
        <w:t>(a)</w:t>
      </w:r>
      <w:r>
        <w:tab/>
        <w:t>to give effect to the purposes set out in section 119(1)(a) and (b); and</w:t>
      </w:r>
    </w:p>
    <w:p>
      <w:pPr>
        <w:pStyle w:val="Indenta"/>
      </w:pPr>
      <w:r>
        <w:tab/>
        <w:t>(b)</w:t>
      </w:r>
      <w:r>
        <w:tab/>
        <w:t>to meet the Pilbara electricity objective.</w:t>
      </w:r>
    </w:p>
    <w:p>
      <w:pPr>
        <w:pStyle w:val="Subsection"/>
      </w:pPr>
      <w:r>
        <w:tab/>
        <w:t>(2)</w:t>
      </w:r>
      <w:r>
        <w:tab/>
        <w:t>The Pilbara Networks Access Code may be established by amendment to the Code or by a separate instrument.</w:t>
      </w:r>
    </w:p>
    <w:p>
      <w:pPr>
        <w:pStyle w:val="Footnotesection"/>
      </w:pPr>
      <w:r>
        <w:tab/>
        <w:t>[Section 120A inserted: No. 9 of 2020 s. 19.]</w:t>
      </w:r>
    </w:p>
    <w:p>
      <w:pPr>
        <w:pStyle w:val="Heading5"/>
      </w:pPr>
      <w:bookmarkStart w:id="485" w:name="_Toc164842816"/>
      <w:r>
        <w:rPr>
          <w:rStyle w:val="CharSectno"/>
        </w:rPr>
        <w:t>120B</w:t>
      </w:r>
      <w:r>
        <w:t>.</w:t>
      </w:r>
      <w:r>
        <w:tab/>
        <w:t>Pilbara Networks Access Code — covered Pilbara networks</w:t>
      </w:r>
      <w:bookmarkEnd w:id="485"/>
    </w:p>
    <w:p>
      <w:pPr>
        <w:pStyle w:val="Subsection"/>
      </w:pPr>
      <w:r>
        <w:tab/>
      </w:r>
      <w:r>
        <w:tab/>
        <w:t xml:space="preserve">Provision is to be made in the Pilbara Networks Access Code for or in relation to the following — </w:t>
      </w:r>
    </w:p>
    <w:p>
      <w:pPr>
        <w:pStyle w:val="Indenta"/>
      </w:pPr>
      <w:r>
        <w:tab/>
        <w:t>(a)</w:t>
      </w:r>
      <w:r>
        <w:tab/>
        <w:t>prescribing Pilbara networks that are to be covered Pilbara networks regulated under this Part with effect from the coming into operation of the Pilbara Networks Access Code;</w:t>
      </w:r>
    </w:p>
    <w:p>
      <w:pPr>
        <w:pStyle w:val="Indenta"/>
      </w:pPr>
      <w:r>
        <w:tab/>
        <w:t>(b)</w:t>
      </w:r>
      <w:r>
        <w:tab/>
        <w:t xml:space="preserve">prescribing the processes (including the matters to be considered and the criteria to apply) by which the Minister is to decide the following — </w:t>
      </w:r>
    </w:p>
    <w:p>
      <w:pPr>
        <w:pStyle w:val="Indenti"/>
      </w:pPr>
      <w:r>
        <w:tab/>
        <w:t>(i)</w:t>
      </w:r>
      <w:r>
        <w:tab/>
        <w:t>whether a covered Pilbara network is to be regulated under this Part;</w:t>
      </w:r>
    </w:p>
    <w:p>
      <w:pPr>
        <w:pStyle w:val="Indenti"/>
      </w:pPr>
      <w:r>
        <w:tab/>
        <w:t>(ii)</w:t>
      </w:r>
      <w:r>
        <w:tab/>
        <w:t>whether a covered Pilbara network that is regulated under this Part is to cease to be regulated under this Part;</w:t>
      </w:r>
    </w:p>
    <w:p>
      <w:pPr>
        <w:pStyle w:val="Indenta"/>
      </w:pPr>
      <w:r>
        <w:tab/>
        <w:t>(c)</w:t>
      </w:r>
      <w:r>
        <w:tab/>
        <w:t>the manner in which a decision referred to in paragraph (b) is to be published and come into effect;</w:t>
      </w:r>
    </w:p>
    <w:p>
      <w:pPr>
        <w:pStyle w:val="Indenta"/>
      </w:pPr>
      <w:r>
        <w:tab/>
        <w:t>(d)</w:t>
      </w:r>
      <w:r>
        <w:tab/>
        <w:t xml:space="preserve">prescribing the circumstances in which a Pilbara network service provider may opt for a Pilbara network </w:t>
      </w:r>
      <w:r>
        <w:lastRenderedPageBreak/>
        <w:t>to be regulated under this Part and the processes for making, and determining the outcome of, that option;</w:t>
      </w:r>
    </w:p>
    <w:p>
      <w:pPr>
        <w:pStyle w:val="Indenta"/>
      </w:pPr>
      <w:r>
        <w:tab/>
        <w:t>(e)</w:t>
      </w:r>
      <w:r>
        <w:tab/>
        <w:t>prescribing the circumstances in which a Pilbara network service provider that opted for a Pilbara network to be regulated under this Part may opt for the network to cease to be regulated under this Part and the processes for making, and determining the outcome of, that option;</w:t>
      </w:r>
    </w:p>
    <w:p>
      <w:pPr>
        <w:pStyle w:val="Indenta"/>
      </w:pPr>
      <w:r>
        <w:tab/>
        <w:t>(f)</w:t>
      </w:r>
      <w:r>
        <w:tab/>
        <w:t xml:space="preserve">the effect on any processes, requirements, access arrangements or access agreements or other matter or thing under the Code or the Pilbara Networks Access Code or any contract of — </w:t>
      </w:r>
    </w:p>
    <w:p>
      <w:pPr>
        <w:pStyle w:val="Indenti"/>
      </w:pPr>
      <w:r>
        <w:tab/>
        <w:t>(i)</w:t>
      </w:r>
      <w:r>
        <w:tab/>
        <w:t>a decision referred to in paragraph (b) that a covered Pilbara network is to be regulated under this Part; or</w:t>
      </w:r>
    </w:p>
    <w:p>
      <w:pPr>
        <w:pStyle w:val="Indenti"/>
      </w:pPr>
      <w:r>
        <w:tab/>
        <w:t>(ii)</w:t>
      </w:r>
      <w:r>
        <w:tab/>
        <w:t>a decision referred to in paragraph (b) that a covered Pilbara network is to cease to be regulated under this Part; or</w:t>
      </w:r>
    </w:p>
    <w:p>
      <w:pPr>
        <w:pStyle w:val="Indenti"/>
      </w:pPr>
      <w:r>
        <w:tab/>
        <w:t>(iii)</w:t>
      </w:r>
      <w:r>
        <w:tab/>
        <w:t>a Pilbara network service provider opting for a Pilbara network to be regulated under this Part; or</w:t>
      </w:r>
    </w:p>
    <w:p>
      <w:pPr>
        <w:pStyle w:val="Indenti"/>
      </w:pPr>
      <w:r>
        <w:tab/>
        <w:t>(iv)</w:t>
      </w:r>
      <w:r>
        <w:tab/>
        <w:t>a Pilbara network service provider opting for a covered Pilbara network to cease to be regulated under this Part;</w:t>
      </w:r>
    </w:p>
    <w:p>
      <w:pPr>
        <w:pStyle w:val="Indenta"/>
      </w:pPr>
      <w:r>
        <w:tab/>
        <w:t>(g)</w:t>
      </w:r>
      <w:r>
        <w:tab/>
        <w:t>any transitional matters for the purposes of paragraphs (a) to (f);</w:t>
      </w:r>
    </w:p>
    <w:p>
      <w:pPr>
        <w:pStyle w:val="Indenta"/>
      </w:pPr>
      <w:r>
        <w:tab/>
        <w:t>(h)</w:t>
      </w:r>
      <w:r>
        <w:tab/>
        <w:t>generally, the relationship between the Code and the Pilbara Networks Access Code, including things done under, or governed by, the Code or the Pilbara Networks Access Code.</w:t>
      </w:r>
    </w:p>
    <w:p>
      <w:pPr>
        <w:pStyle w:val="Footnotesection"/>
      </w:pPr>
      <w:r>
        <w:tab/>
        <w:t>[Section 120B inserted: No. 9 of 2020 s. 19.]</w:t>
      </w:r>
    </w:p>
    <w:p>
      <w:pPr>
        <w:pStyle w:val="Heading5"/>
      </w:pPr>
      <w:bookmarkStart w:id="486" w:name="_Toc164842817"/>
      <w:r>
        <w:rPr>
          <w:rStyle w:val="CharSectno"/>
        </w:rPr>
        <w:lastRenderedPageBreak/>
        <w:t>120C</w:t>
      </w:r>
      <w:r>
        <w:t>.</w:t>
      </w:r>
      <w:r>
        <w:tab/>
        <w:t>Pilbara Networks Access Code — light regulation</w:t>
      </w:r>
      <w:bookmarkEnd w:id="486"/>
    </w:p>
    <w:p>
      <w:pPr>
        <w:pStyle w:val="Subsection"/>
      </w:pPr>
      <w:r>
        <w:tab/>
      </w:r>
      <w:r>
        <w:tab/>
        <w:t xml:space="preserve">Provision is to be made in the Pilbara Networks Access Code for or in relation to the following matters in relation to covered Pilbara networks — </w:t>
      </w:r>
    </w:p>
    <w:p>
      <w:pPr>
        <w:pStyle w:val="Indenta"/>
      </w:pPr>
      <w:r>
        <w:tab/>
        <w:t>(a)</w:t>
      </w:r>
      <w:r>
        <w:tab/>
        <w:t xml:space="preserve">access by persons to services of covered Pilbara networks in accordance with — </w:t>
      </w:r>
    </w:p>
    <w:p>
      <w:pPr>
        <w:pStyle w:val="Indenti"/>
      </w:pPr>
      <w:r>
        <w:tab/>
        <w:t>(i)</w:t>
      </w:r>
      <w:r>
        <w:tab/>
        <w:t>Pilbara access agreements; or</w:t>
      </w:r>
    </w:p>
    <w:p>
      <w:pPr>
        <w:pStyle w:val="Indenti"/>
      </w:pPr>
      <w:r>
        <w:tab/>
        <w:t>(ii)</w:t>
      </w:r>
      <w:r>
        <w:tab/>
        <w:t>determinations made by way of arbitration;</w:t>
      </w:r>
    </w:p>
    <w:p>
      <w:pPr>
        <w:pStyle w:val="Indenta"/>
      </w:pPr>
      <w:r>
        <w:tab/>
        <w:t>(b)</w:t>
      </w:r>
      <w:r>
        <w:tab/>
        <w:t>Pilbara access agreements and contracts to be subject to determinations or requirements of the Pilbara ISO;</w:t>
      </w:r>
    </w:p>
    <w:p>
      <w:pPr>
        <w:pStyle w:val="Indenta"/>
      </w:pPr>
      <w:r>
        <w:tab/>
        <w:t>(c)</w:t>
      </w:r>
      <w:r>
        <w:tab/>
        <w:t xml:space="preserve">network access pricing regulation principles; </w:t>
      </w:r>
    </w:p>
    <w:p>
      <w:pPr>
        <w:pStyle w:val="Indenta"/>
      </w:pPr>
      <w:r>
        <w:tab/>
        <w:t>(d)</w:t>
      </w:r>
      <w:r>
        <w:tab/>
        <w:t xml:space="preserve">the procedures, requirements, methodologies, guidelines, parameters, values and processes to be followed or used by a Pilbara network service provider in connection with prices, tariffs, revenue and costs; </w:t>
      </w:r>
    </w:p>
    <w:p>
      <w:pPr>
        <w:pStyle w:val="Indenta"/>
      </w:pPr>
      <w:r>
        <w:tab/>
        <w:t>(e)</w:t>
      </w:r>
      <w:r>
        <w:tab/>
        <w:t>the rights, powers and duties that are to apply to and in relation to the negotiation, making, and implementation of Pilbara access agreements;</w:t>
      </w:r>
    </w:p>
    <w:p>
      <w:pPr>
        <w:pStyle w:val="Indenta"/>
      </w:pPr>
      <w:r>
        <w:tab/>
        <w:t>(f)</w:t>
      </w:r>
      <w:r>
        <w:tab/>
        <w:t>the duties and requirements in relation to the provision of access to services that are to be complied with by a Pilbara network service provider;</w:t>
      </w:r>
    </w:p>
    <w:p>
      <w:pPr>
        <w:pStyle w:val="Indenta"/>
      </w:pPr>
      <w:r>
        <w:tab/>
        <w:t>(g)</w:t>
      </w:r>
      <w:r>
        <w:tab/>
        <w:t xml:space="preserve">requiring a Pilbara network service provider to develop and publish the following in relation to its services — </w:t>
      </w:r>
    </w:p>
    <w:p>
      <w:pPr>
        <w:pStyle w:val="Indenti"/>
      </w:pPr>
      <w:r>
        <w:tab/>
        <w:t>(i)</w:t>
      </w:r>
      <w:r>
        <w:tab/>
        <w:t>standing prices for connection and access to its services, including reasonable details of the methodologies and assumptions used in determining standing prices; and</w:t>
      </w:r>
    </w:p>
    <w:p>
      <w:pPr>
        <w:pStyle w:val="Indenti"/>
      </w:pPr>
      <w:r>
        <w:tab/>
        <w:t>(ii)</w:t>
      </w:r>
      <w:r>
        <w:tab/>
        <w:t>standing terms for connection and access to its services; and</w:t>
      </w:r>
    </w:p>
    <w:p>
      <w:pPr>
        <w:pStyle w:val="Indenti"/>
      </w:pPr>
      <w:r>
        <w:tab/>
        <w:t>(iii)</w:t>
      </w:r>
      <w:r>
        <w:tab/>
        <w:t>information to assist persons seeking connection and access to its services;</w:t>
      </w:r>
    </w:p>
    <w:p>
      <w:pPr>
        <w:pStyle w:val="Indenta"/>
        <w:keepNext/>
        <w:keepLines/>
      </w:pPr>
      <w:r>
        <w:lastRenderedPageBreak/>
        <w:tab/>
        <w:t>(h)</w:t>
      </w:r>
      <w:r>
        <w:tab/>
        <w:t>the circumstances in which a Pilbara network service provider may or may not offer or agree to different prices and terms for different Pilbara network users (including prices and terms determined in accordance with provisions made under paragraphs (c) to (g));</w:t>
      </w:r>
    </w:p>
    <w:p>
      <w:pPr>
        <w:pStyle w:val="Indenta"/>
      </w:pPr>
      <w:r>
        <w:tab/>
        <w:t>(i)</w:t>
      </w:r>
      <w:r>
        <w:tab/>
        <w:t>access to the services of stand</w:t>
      </w:r>
      <w:r>
        <w:noBreakHyphen/>
        <w:t>alone power systems;</w:t>
      </w:r>
    </w:p>
    <w:p>
      <w:pPr>
        <w:pStyle w:val="Indenta"/>
      </w:pPr>
      <w:r>
        <w:tab/>
        <w:t>(j)</w:t>
      </w:r>
      <w:r>
        <w:tab/>
        <w:t>providing for the resolution of disputes in relation to connection and access to services or in relation to things done or omitted to be done by a Pilbara network service provider under the Pilbara Networks Access Code including —</w:t>
      </w:r>
    </w:p>
    <w:p>
      <w:pPr>
        <w:pStyle w:val="Indenti"/>
      </w:pPr>
      <w:r>
        <w:tab/>
        <w:t>(i)</w:t>
      </w:r>
      <w:r>
        <w:tab/>
        <w:t>arbitration of disputes by a person or body that is determined or appointed in accordance with the Pilbara Networks Access Code; and</w:t>
      </w:r>
    </w:p>
    <w:p>
      <w:pPr>
        <w:pStyle w:val="Indenti"/>
      </w:pPr>
      <w:r>
        <w:tab/>
        <w:t>(ii)</w:t>
      </w:r>
      <w:r>
        <w:tab/>
        <w:t>the conferral of functions on a person or body arbitrating disputes;</w:t>
      </w:r>
    </w:p>
    <w:p>
      <w:pPr>
        <w:pStyle w:val="Indenta"/>
      </w:pPr>
      <w:r>
        <w:tab/>
        <w:t>(k)</w:t>
      </w:r>
      <w:r>
        <w:tab/>
        <w:t xml:space="preserve">conferring functions on the Authority, including — </w:t>
      </w:r>
    </w:p>
    <w:p>
      <w:pPr>
        <w:pStyle w:val="Indenti"/>
      </w:pPr>
      <w:r>
        <w:tab/>
        <w:t>(i)</w:t>
      </w:r>
      <w:r>
        <w:tab/>
        <w:t>supervisory and other functions for the purposes of the Pilbara Networks Access Code, including dispute resolution functions; and</w:t>
      </w:r>
    </w:p>
    <w:p>
      <w:pPr>
        <w:pStyle w:val="Indenti"/>
      </w:pPr>
      <w:r>
        <w:tab/>
        <w:t>(ii)</w:t>
      </w:r>
      <w:r>
        <w:tab/>
        <w:t>the function of determining requirements (including prices and terms) in relation to access to services that are to be complied with by a Pilbara network service provider or a person seeking access to services and applied by a person or body arbitrating disputes; and</w:t>
      </w:r>
    </w:p>
    <w:p>
      <w:pPr>
        <w:pStyle w:val="Indenti"/>
      </w:pPr>
      <w:r>
        <w:tab/>
        <w:t>(iii)</w:t>
      </w:r>
      <w:r>
        <w:tab/>
        <w:t>the issuing of guidelines for the purposes of this Division;</w:t>
      </w:r>
    </w:p>
    <w:p>
      <w:pPr>
        <w:pStyle w:val="Indenta"/>
      </w:pPr>
      <w:r>
        <w:tab/>
        <w:t>(l)</w:t>
      </w:r>
      <w:r>
        <w:tab/>
        <w:t>the obligations of Pilbara networks participants to comply with guidelines issued by the Authority;</w:t>
      </w:r>
    </w:p>
    <w:p>
      <w:pPr>
        <w:pStyle w:val="Indenta"/>
      </w:pPr>
      <w:r>
        <w:tab/>
        <w:t>(m)</w:t>
      </w:r>
      <w:r>
        <w:tab/>
        <w:t>the obligations of a Pilbara network service provider in respect of the segregation of the functions and business of providing services from the Pilbara network service provider’s other functions and business;</w:t>
      </w:r>
    </w:p>
    <w:p>
      <w:pPr>
        <w:pStyle w:val="Indenta"/>
      </w:pPr>
      <w:r>
        <w:lastRenderedPageBreak/>
        <w:tab/>
        <w:t>(n)</w:t>
      </w:r>
      <w:r>
        <w:tab/>
        <w:t>requiring the approval by the Authority of a proposed segregation referred to in paragraph (m) and enabling the Authority to amend the proposal or add to or waive any of the obligations;</w:t>
      </w:r>
    </w:p>
    <w:p>
      <w:pPr>
        <w:pStyle w:val="Indenta"/>
      </w:pPr>
      <w:r>
        <w:tab/>
        <w:t>(o)</w:t>
      </w:r>
      <w:r>
        <w:tab/>
        <w:t xml:space="preserve">services between related bodies corporate (as defined in the </w:t>
      </w:r>
      <w:r>
        <w:rPr>
          <w:i/>
        </w:rPr>
        <w:t>Corporations Act 2001</w:t>
      </w:r>
      <w:r>
        <w:t xml:space="preserve"> (Commonwealth) section 9);</w:t>
      </w:r>
    </w:p>
    <w:p>
      <w:pPr>
        <w:pStyle w:val="Indenta"/>
      </w:pPr>
      <w:r>
        <w:tab/>
        <w:t>(p)</w:t>
      </w:r>
      <w:r>
        <w:tab/>
        <w:t>conferring rights and imposing obligations on Pilbara networks participants;</w:t>
      </w:r>
    </w:p>
    <w:p>
      <w:pPr>
        <w:pStyle w:val="Indenta"/>
      </w:pPr>
      <w:r>
        <w:tab/>
        <w:t>(q)</w:t>
      </w:r>
      <w:r>
        <w:tab/>
        <w:t>regulating the disclosure and use of confidential or commercially sensitive information;</w:t>
      </w:r>
    </w:p>
    <w:p>
      <w:pPr>
        <w:pStyle w:val="Indenta"/>
      </w:pPr>
      <w:r>
        <w:tab/>
        <w:t>(r)</w:t>
      </w:r>
      <w:r>
        <w:tab/>
        <w:t>conferring functions on —</w:t>
      </w:r>
    </w:p>
    <w:p>
      <w:pPr>
        <w:pStyle w:val="Indenti"/>
      </w:pPr>
      <w:r>
        <w:tab/>
        <w:t>(i)</w:t>
      </w:r>
      <w:r>
        <w:tab/>
        <w:t>the Minister; or</w:t>
      </w:r>
    </w:p>
    <w:p>
      <w:pPr>
        <w:pStyle w:val="Indenti"/>
      </w:pPr>
      <w:r>
        <w:tab/>
        <w:t>(ii)</w:t>
      </w:r>
      <w:r>
        <w:tab/>
        <w:t>the Pilbara ISO;</w:t>
      </w:r>
    </w:p>
    <w:p>
      <w:pPr>
        <w:pStyle w:val="Indenta"/>
      </w:pPr>
      <w:r>
        <w:tab/>
        <w:t>(s)</w:t>
      </w:r>
      <w:r>
        <w:tab/>
        <w:t xml:space="preserve">in respect of costs incurred in the performance of functions conferred on the Authority or the Pilbara ISO, provide for — </w:t>
      </w:r>
    </w:p>
    <w:p>
      <w:pPr>
        <w:pStyle w:val="Indenti"/>
      </w:pPr>
      <w:r>
        <w:tab/>
        <w:t>(i)</w:t>
      </w:r>
      <w:r>
        <w:tab/>
        <w:t>the implementation of accounting arrangements to enable those costs to be identified; and</w:t>
      </w:r>
    </w:p>
    <w:p>
      <w:pPr>
        <w:pStyle w:val="Indenti"/>
      </w:pPr>
      <w:r>
        <w:tab/>
        <w:t>(ii)</w:t>
      </w:r>
      <w:r>
        <w:tab/>
        <w:t>the allocation of those costs between Pilbara networks participants; and</w:t>
      </w:r>
    </w:p>
    <w:p>
      <w:pPr>
        <w:pStyle w:val="Indenti"/>
      </w:pPr>
      <w:r>
        <w:tab/>
        <w:t>(iii)</w:t>
      </w:r>
      <w:r>
        <w:tab/>
        <w:t>in the case of the Pilbara ISO, any costs incurred in anticipation of, or preparation for, the performance of the functions of the Pilbara ISO; and</w:t>
      </w:r>
    </w:p>
    <w:p>
      <w:pPr>
        <w:pStyle w:val="Indenti"/>
      </w:pPr>
      <w:r>
        <w:tab/>
        <w:t>(iv)</w:t>
      </w:r>
      <w:r>
        <w:tab/>
        <w:t>the recovery of those costs;</w:t>
      </w:r>
    </w:p>
    <w:p>
      <w:pPr>
        <w:pStyle w:val="Indenta"/>
      </w:pPr>
      <w:r>
        <w:tab/>
        <w:t>(t)</w:t>
      </w:r>
      <w:r>
        <w:tab/>
        <w:t>providing for the relationship between the Minister, or another Minister, and a participant referred to in section 120ZA in respect of the performance of the functions of the participant;</w:t>
      </w:r>
    </w:p>
    <w:p>
      <w:pPr>
        <w:pStyle w:val="Indenta"/>
      </w:pPr>
      <w:r>
        <w:tab/>
        <w:t>(u)</w:t>
      </w:r>
      <w:r>
        <w:tab/>
        <w:t xml:space="preserve">providing for the regulation of matters — </w:t>
      </w:r>
    </w:p>
    <w:p>
      <w:pPr>
        <w:pStyle w:val="Indenti"/>
      </w:pPr>
      <w:r>
        <w:tab/>
        <w:t>(i)</w:t>
      </w:r>
      <w:r>
        <w:tab/>
        <w:t>of a savings, transitional or supplementary nature; or</w:t>
      </w:r>
    </w:p>
    <w:p>
      <w:pPr>
        <w:pStyle w:val="Indenti"/>
      </w:pPr>
      <w:r>
        <w:lastRenderedPageBreak/>
        <w:tab/>
        <w:t>(ii)</w:t>
      </w:r>
      <w:r>
        <w:tab/>
        <w:t>that are otherwise necessary or convenient for the purposes of this Division.</w:t>
      </w:r>
    </w:p>
    <w:p>
      <w:pPr>
        <w:pStyle w:val="Footnotesection"/>
      </w:pPr>
      <w:r>
        <w:tab/>
        <w:t>[Section 120C inserted: No. 9 of 2020 s. 19.]</w:t>
      </w:r>
    </w:p>
    <w:p>
      <w:pPr>
        <w:pStyle w:val="Heading5"/>
      </w:pPr>
      <w:bookmarkStart w:id="487" w:name="_Toc164842818"/>
      <w:r>
        <w:rPr>
          <w:rStyle w:val="CharSectno"/>
        </w:rPr>
        <w:t>120D</w:t>
      </w:r>
      <w:r>
        <w:t>.</w:t>
      </w:r>
      <w:r>
        <w:tab/>
        <w:t>Additional matters for Pilbara Networks Access Code and other instruments</w:t>
      </w:r>
      <w:bookmarkEnd w:id="487"/>
    </w:p>
    <w:p>
      <w:pPr>
        <w:pStyle w:val="Subsection"/>
      </w:pPr>
      <w:r>
        <w:tab/>
        <w:t>(1)</w:t>
      </w:r>
      <w:r>
        <w:tab/>
        <w:t xml:space="preserve">The regulations or the Pilbara Networks Access Code may provide that if the disclosure or use of confidential or commercially sensitive information is authorised by the regulations or the Pilbara Networks Access Code — </w:t>
      </w:r>
    </w:p>
    <w:p>
      <w:pPr>
        <w:pStyle w:val="Indenta"/>
      </w:pPr>
      <w:r>
        <w:tab/>
        <w:t>(a)</w:t>
      </w:r>
      <w:r>
        <w:tab/>
        <w:t>no civil or criminal liability is incurred in respect of the use or disclosure; and</w:t>
      </w:r>
    </w:p>
    <w:p>
      <w:pPr>
        <w:pStyle w:val="Indenta"/>
      </w:pPr>
      <w:r>
        <w:tab/>
        <w:t>(b)</w:t>
      </w:r>
      <w:r>
        <w:tab/>
        <w:t xml:space="preserve">the use or disclosure is not to be regarded as — </w:t>
      </w:r>
    </w:p>
    <w:p>
      <w:pPr>
        <w:pStyle w:val="Indenti"/>
      </w:pPr>
      <w:r>
        <w:tab/>
        <w:t>(i)</w:t>
      </w:r>
      <w:r>
        <w:tab/>
        <w:t>a breach of any duty of confidentiality or secrecy imposed by law or contract; or</w:t>
      </w:r>
    </w:p>
    <w:p>
      <w:pPr>
        <w:pStyle w:val="Indenti"/>
      </w:pPr>
      <w:r>
        <w:tab/>
        <w:t>(ii)</w:t>
      </w:r>
      <w:r>
        <w:tab/>
        <w:t>a breach of professional ethics or standards or any principles of conduct applicable to a person’s employment; or</w:t>
      </w:r>
    </w:p>
    <w:p>
      <w:pPr>
        <w:pStyle w:val="Indenti"/>
      </w:pPr>
      <w:r>
        <w:tab/>
        <w:t>(iii)</w:t>
      </w:r>
      <w:r>
        <w:tab/>
        <w:t>unprofessional conduct.</w:t>
      </w:r>
    </w:p>
    <w:p>
      <w:pPr>
        <w:pStyle w:val="Subsection"/>
      </w:pPr>
      <w:r>
        <w:tab/>
        <w:t>(2)</w:t>
      </w:r>
      <w:r>
        <w:tab/>
        <w:t xml:space="preserve">The regulations, the Pilbara Networks Access Code, an instrument made under the Pilbara Networks Access Code or an instrument amending any of them, may apply, adopt or incorporate, with or without modification, material contained in any other document or writing as in effect or existing — </w:t>
      </w:r>
    </w:p>
    <w:p>
      <w:pPr>
        <w:pStyle w:val="Indenta"/>
      </w:pPr>
      <w:r>
        <w:tab/>
        <w:t>(a)</w:t>
      </w:r>
      <w:r>
        <w:tab/>
        <w:t>when the regulations, Pilbara Networks Access Code, instrument or amending instrument comes into operation; or</w:t>
      </w:r>
    </w:p>
    <w:p>
      <w:pPr>
        <w:pStyle w:val="Indenta"/>
      </w:pPr>
      <w:r>
        <w:tab/>
        <w:t>(b)</w:t>
      </w:r>
      <w:r>
        <w:tab/>
        <w:t>at a specified prior time.</w:t>
      </w:r>
    </w:p>
    <w:p>
      <w:pPr>
        <w:pStyle w:val="Subsection"/>
      </w:pPr>
      <w:r>
        <w:tab/>
        <w:t>(3)</w:t>
      </w:r>
      <w:r>
        <w:tab/>
        <w:t xml:space="preserve">Without limiting section 120C(s), if it is inappropriate to prescribe a set fee or charge in connection with the performance of a particular function, the regulations or the Pilbara Networks Access Code may provide for the method of calculating the fee </w:t>
      </w:r>
      <w:r>
        <w:lastRenderedPageBreak/>
        <w:t>or charge, including calculation according to the cost of performing that function.</w:t>
      </w:r>
    </w:p>
    <w:p>
      <w:pPr>
        <w:pStyle w:val="Subsection"/>
      </w:pPr>
      <w:r>
        <w:tab/>
        <w:t>(4)</w:t>
      </w:r>
      <w:r>
        <w:tab/>
        <w:t>The following decisions are not liable to be challenged in, or reviewed or called in question by, a court or tribunal otherwise than under section 130 —</w:t>
      </w:r>
    </w:p>
    <w:p>
      <w:pPr>
        <w:pStyle w:val="Indenta"/>
      </w:pPr>
      <w:r>
        <w:tab/>
        <w:t>(a)</w:t>
      </w:r>
      <w:r>
        <w:tab/>
        <w:t xml:space="preserve">a decision under the Pilbara Networks Access Code as to whether a covered Pilbara network is to be regulated under this Part or is to cease to be regulated under this Part; </w:t>
      </w:r>
    </w:p>
    <w:p>
      <w:pPr>
        <w:pStyle w:val="Indenta"/>
      </w:pPr>
      <w:r>
        <w:tab/>
        <w:t>(b)</w:t>
      </w:r>
      <w:r>
        <w:tab/>
        <w:t>a decision under the Pilbara Networks Access Code as to whether a Pilbara network service provider does or does not satisfy the requirements to —</w:t>
      </w:r>
    </w:p>
    <w:p>
      <w:pPr>
        <w:pStyle w:val="Indenti"/>
      </w:pPr>
      <w:r>
        <w:tab/>
        <w:t>(i)</w:t>
      </w:r>
      <w:r>
        <w:tab/>
        <w:t>opt for the Pilbara network to be regulated under this Part; or</w:t>
      </w:r>
    </w:p>
    <w:p>
      <w:pPr>
        <w:pStyle w:val="Indenti"/>
      </w:pPr>
      <w:r>
        <w:tab/>
        <w:t>(ii)</w:t>
      </w:r>
      <w:r>
        <w:tab/>
        <w:t>opt for the covered Pilbara network to cease to be regulated under this Part.</w:t>
      </w:r>
    </w:p>
    <w:p>
      <w:pPr>
        <w:pStyle w:val="Subsection"/>
      </w:pPr>
      <w:r>
        <w:tab/>
        <w:t>(5)</w:t>
      </w:r>
      <w:r>
        <w:tab/>
        <w:t xml:space="preserve">The regulations or the transitional provisions referred to in section 120C(u)(i) may authorise the Minister to determine by order published in the </w:t>
      </w:r>
      <w:r>
        <w:rPr>
          <w:i/>
        </w:rPr>
        <w:t>Gazette</w:t>
      </w:r>
      <w:r>
        <w:t xml:space="preserve"> how any matter or thing in progress</w:t>
      </w:r>
      <w:r>
        <w:rPr>
          <w:b/>
        </w:rPr>
        <w:t xml:space="preserve"> </w:t>
      </w:r>
      <w:r>
        <w:t>immediately before the commencement of the Pilbara Networks Access Code is to be treated, after that commencement, for the purposes of the provisions of the Pilbara Networks Access Code.</w:t>
      </w:r>
    </w:p>
    <w:p>
      <w:pPr>
        <w:pStyle w:val="Footnotesection"/>
      </w:pPr>
      <w:r>
        <w:tab/>
        <w:t>[Section 120D inserted: No. 9 of 2020 s. 19.]</w:t>
      </w:r>
    </w:p>
    <w:p>
      <w:pPr>
        <w:pStyle w:val="Heading5"/>
      </w:pPr>
      <w:bookmarkStart w:id="488" w:name="_Toc164842819"/>
      <w:r>
        <w:rPr>
          <w:rStyle w:val="CharSectno"/>
        </w:rPr>
        <w:t>120E</w:t>
      </w:r>
      <w:r>
        <w:t>.</w:t>
      </w:r>
      <w:r>
        <w:tab/>
        <w:t>Additional matters for Pilbara Networks Access Code: more than one provider for network</w:t>
      </w:r>
      <w:bookmarkEnd w:id="488"/>
    </w:p>
    <w:p>
      <w:pPr>
        <w:pStyle w:val="Subsection"/>
      </w:pPr>
      <w:r>
        <w:tab/>
      </w:r>
      <w:r>
        <w:tab/>
        <w:t xml:space="preserve">The Pilbara Networks Access Code may provide for the following — </w:t>
      </w:r>
    </w:p>
    <w:p>
      <w:pPr>
        <w:pStyle w:val="Indenta"/>
      </w:pPr>
      <w:r>
        <w:tab/>
        <w:t>(a)</w:t>
      </w:r>
      <w:r>
        <w:tab/>
        <w:t xml:space="preserve">that if there is more than one Pilbara network service provider for a Pilbara network and a thing is required or permitted under the Pilbara Networks Access Code to be done by the Pilbara network service providers, one of </w:t>
      </w:r>
      <w:r>
        <w:lastRenderedPageBreak/>
        <w:t>the Pilbara network service providers may, with the consent of one or more of the other providers, do that thing on behalf of those consenting providers;</w:t>
      </w:r>
    </w:p>
    <w:p>
      <w:pPr>
        <w:pStyle w:val="Indenta"/>
      </w:pPr>
      <w:r>
        <w:tab/>
        <w:t>(b)</w:t>
      </w:r>
      <w:r>
        <w:tab/>
        <w:t>that a thing done or omitted to be done by a Pilbara network service provider on behalf of another Pilbara network service provider for a Pilbara network as referred to in paragraph (a) is taken to have been done or omitted to be done by that other Pilbara network service provider;</w:t>
      </w:r>
    </w:p>
    <w:p>
      <w:pPr>
        <w:pStyle w:val="Indenta"/>
      </w:pPr>
      <w:r>
        <w:tab/>
        <w:t>(c)</w:t>
      </w:r>
      <w:r>
        <w:tab/>
        <w:t>that if there is more than one Pilbara network service provider that is a party to an access arrangement for a Pilbara network and that arrangement allocates things required or permitted under the Pilbara Networks Access Code to be done between those Pilbara network service providers, the provider to whom the thing is allocated under that arrangement is required or permitted to do that thing.</w:t>
      </w:r>
    </w:p>
    <w:p>
      <w:pPr>
        <w:pStyle w:val="Footnotesection"/>
      </w:pPr>
      <w:r>
        <w:tab/>
        <w:t>[Section 120E inserted: No. 9 of 2020 s. 19.]</w:t>
      </w:r>
    </w:p>
    <w:p>
      <w:pPr>
        <w:pStyle w:val="Heading5"/>
      </w:pPr>
      <w:bookmarkStart w:id="489" w:name="_Toc164842820"/>
      <w:r>
        <w:rPr>
          <w:rStyle w:val="CharSectno"/>
        </w:rPr>
        <w:t>120F</w:t>
      </w:r>
      <w:r>
        <w:t>.</w:t>
      </w:r>
      <w:r>
        <w:tab/>
        <w:t>Consequential amendments to the Code</w:t>
      </w:r>
      <w:bookmarkEnd w:id="489"/>
    </w:p>
    <w:p>
      <w:pPr>
        <w:pStyle w:val="Subsection"/>
      </w:pPr>
      <w:r>
        <w:tab/>
        <w:t>(1)</w:t>
      </w:r>
      <w:r>
        <w:tab/>
        <w:t>The Minister may amend the Code to give effect to, and make any consequential amendments relating to, the Pilbara Networks Access Code.</w:t>
      </w:r>
    </w:p>
    <w:p>
      <w:pPr>
        <w:pStyle w:val="Subsection"/>
      </w:pPr>
      <w:r>
        <w:tab/>
        <w:t>(2)</w:t>
      </w:r>
      <w:r>
        <w:tab/>
        <w:t>Sections 108 and 109 do not apply to the making of amendments to the Code mentioned in subsection (1) in connection with the establishment of the initial Pilbara Networks Access Code.</w:t>
      </w:r>
    </w:p>
    <w:p>
      <w:pPr>
        <w:pStyle w:val="Footnotesection"/>
      </w:pPr>
      <w:r>
        <w:tab/>
        <w:t>[Section 120F inserted: No. 9 of 2020 s. 19.]</w:t>
      </w:r>
    </w:p>
    <w:p>
      <w:pPr>
        <w:pStyle w:val="Heading5"/>
      </w:pPr>
      <w:bookmarkStart w:id="490" w:name="_Toc164842821"/>
      <w:r>
        <w:rPr>
          <w:rStyle w:val="CharSectno"/>
        </w:rPr>
        <w:t>120G</w:t>
      </w:r>
      <w:r>
        <w:t>.</w:t>
      </w:r>
      <w:r>
        <w:tab/>
        <w:t>Pilbara Networks Access Code is subsidiary legislation</w:t>
      </w:r>
      <w:bookmarkEnd w:id="490"/>
      <w:r>
        <w:t xml:space="preserve"> </w:t>
      </w:r>
    </w:p>
    <w:p>
      <w:pPr>
        <w:pStyle w:val="Subsection"/>
      </w:pPr>
      <w:r>
        <w:tab/>
        <w:t>(1)</w:t>
      </w:r>
      <w:r>
        <w:tab/>
        <w:t xml:space="preserve">In this section — </w:t>
      </w:r>
    </w:p>
    <w:p>
      <w:pPr>
        <w:pStyle w:val="Defstart"/>
      </w:pPr>
      <w:r>
        <w:tab/>
      </w:r>
      <w:r>
        <w:rPr>
          <w:rStyle w:val="CharDefText"/>
        </w:rPr>
        <w:t>Pilbara Networks Access Code</w:t>
      </w:r>
      <w:r>
        <w:t xml:space="preserve"> includes —</w:t>
      </w:r>
    </w:p>
    <w:p>
      <w:pPr>
        <w:pStyle w:val="Defpara"/>
      </w:pPr>
      <w:r>
        <w:tab/>
        <w:t>(a)</w:t>
      </w:r>
      <w:r>
        <w:tab/>
        <w:t>an amendment of the Pilbara Networks Access Code; or</w:t>
      </w:r>
    </w:p>
    <w:p>
      <w:pPr>
        <w:pStyle w:val="Defpara"/>
      </w:pPr>
      <w:r>
        <w:lastRenderedPageBreak/>
        <w:tab/>
        <w:t>(b)</w:t>
      </w:r>
      <w:r>
        <w:tab/>
        <w:t>a code repealing and replacing the Pilbara Networks Access Code.</w:t>
      </w:r>
    </w:p>
    <w:p>
      <w:pPr>
        <w:pStyle w:val="Subsection"/>
      </w:pPr>
      <w:r>
        <w:tab/>
        <w:t>(2)</w:t>
      </w:r>
      <w:r>
        <w:tab/>
        <w:t>This section applies if the Pilbara Networks Access Code is established by a separate instrument under section 120A(2).</w:t>
      </w:r>
    </w:p>
    <w:p>
      <w:pPr>
        <w:pStyle w:val="Subsection"/>
      </w:pPr>
      <w:r>
        <w:tab/>
        <w:t>(3)</w:t>
      </w:r>
      <w:r>
        <w:tab/>
        <w:t xml:space="preserve">The Pilbara Networks Access Code is subsidiary legislation for the purposes of the </w:t>
      </w:r>
      <w:r>
        <w:rPr>
          <w:i/>
        </w:rPr>
        <w:t>Interpretation Act 1984</w:t>
      </w:r>
      <w:r>
        <w:t xml:space="preserve">. </w:t>
      </w:r>
    </w:p>
    <w:p>
      <w:pPr>
        <w:pStyle w:val="Subsection"/>
      </w:pPr>
      <w:r>
        <w:tab/>
        <w:t>(4)</w:t>
      </w:r>
      <w:r>
        <w:tab/>
        <w:t xml:space="preserve">The Pilbara Networks Access Code is to be laid before each House of Parliament within 6 sitting days of that House after the day on which the code is published in the </w:t>
      </w:r>
      <w:r>
        <w:rPr>
          <w:i/>
        </w:rPr>
        <w:t>Gazette</w:t>
      </w:r>
      <w:r>
        <w:t>.</w:t>
      </w:r>
    </w:p>
    <w:p>
      <w:pPr>
        <w:pStyle w:val="Subsection"/>
      </w:pPr>
      <w:r>
        <w:tab/>
        <w:t>(5)</w:t>
      </w:r>
      <w:r>
        <w:tab/>
        <w:t>Notice of motion to disallow the Pilbara Networks Access Code or any part of the code may be given in either House of Parliament within 10 sitting days of that House after the day on which the code is laid before it under subsection (4).</w:t>
      </w:r>
    </w:p>
    <w:p>
      <w:pPr>
        <w:pStyle w:val="Subsection"/>
      </w:pPr>
      <w:r>
        <w:tab/>
        <w:t>(6)</w:t>
      </w:r>
      <w:r>
        <w:tab/>
        <w:t>Within 10 sitting days of a House of Parliament after notice of motion has been given in that House under subsection (5), that House may pass a resolution disallowing the Pilbara Networks Access Code or any part of the code.</w:t>
      </w:r>
    </w:p>
    <w:p>
      <w:pPr>
        <w:pStyle w:val="Subsection"/>
      </w:pPr>
      <w:r>
        <w:tab/>
        <w:t>(7)</w:t>
      </w:r>
      <w:r>
        <w:tab/>
        <w:t>If the Pilbara Networks Access Code is not laid before both Houses of Parliament under subsection (4), or is disallowed by either House in whole or in part under subsection (6), the code, or the disallowed part of the code (as applicable) ceases to have effect, but without affecting the validity or curing the invalidity of anything done or the omission of anything in the meantime.</w:t>
      </w:r>
    </w:p>
    <w:p>
      <w:pPr>
        <w:pStyle w:val="Subsection"/>
      </w:pPr>
      <w:r>
        <w:tab/>
        <w:t>(8)</w:t>
      </w:r>
      <w:r>
        <w:tab/>
        <w:t xml:space="preserve">If a resolution has been passed under subsection (6), notice to that effect is to be published in the </w:t>
      </w:r>
      <w:r>
        <w:rPr>
          <w:i/>
        </w:rPr>
        <w:t>Gazette</w:t>
      </w:r>
      <w:r>
        <w:t xml:space="preserve"> within 21 days.</w:t>
      </w:r>
    </w:p>
    <w:p>
      <w:pPr>
        <w:pStyle w:val="Footnotesection"/>
      </w:pPr>
      <w:r>
        <w:tab/>
        <w:t>[Section 120G inserted: No. 9 of 2020 s. 19.]</w:t>
      </w:r>
    </w:p>
    <w:p>
      <w:pPr>
        <w:pStyle w:val="Heading5"/>
      </w:pPr>
      <w:bookmarkStart w:id="491" w:name="_Toc164842822"/>
      <w:r>
        <w:rPr>
          <w:rStyle w:val="CharSectno"/>
        </w:rPr>
        <w:lastRenderedPageBreak/>
        <w:t>120H</w:t>
      </w:r>
      <w:r>
        <w:t>.</w:t>
      </w:r>
      <w:r>
        <w:tab/>
        <w:t>Public comment on amendment or replacement of Pilbara Networks Access Code</w:t>
      </w:r>
      <w:bookmarkEnd w:id="491"/>
    </w:p>
    <w:p>
      <w:pPr>
        <w:pStyle w:val="Subsection"/>
        <w:keepNext/>
      </w:pPr>
      <w:r>
        <w:tab/>
        <w:t>(1)</w:t>
      </w:r>
      <w:r>
        <w:tab/>
        <w:t xml:space="preserve">This section applies if the Pilbara Networks Access Code is established by a separate instrument under section 120A(2) and the Minister intends to exercise the power — </w:t>
      </w:r>
    </w:p>
    <w:p>
      <w:pPr>
        <w:pStyle w:val="Indenta"/>
      </w:pPr>
      <w:r>
        <w:tab/>
        <w:t>(a)</w:t>
      </w:r>
      <w:r>
        <w:tab/>
        <w:t>to amend the Pilbara Networks Access Code; or</w:t>
      </w:r>
    </w:p>
    <w:p>
      <w:pPr>
        <w:pStyle w:val="Indenta"/>
      </w:pPr>
      <w:r>
        <w:tab/>
        <w:t>(b)</w:t>
      </w:r>
      <w:r>
        <w:tab/>
        <w:t>to repeal and replace it.</w:t>
      </w:r>
    </w:p>
    <w:p>
      <w:pPr>
        <w:pStyle w:val="Subsection"/>
      </w:pPr>
      <w:r>
        <w:tab/>
        <w:t>(2)</w:t>
      </w:r>
      <w:r>
        <w:tab/>
        <w:t>Before exercising the power, the Minister must make the proposed amendment or replacement available for public comment in accordance with subsection (3).</w:t>
      </w:r>
    </w:p>
    <w:p>
      <w:pPr>
        <w:pStyle w:val="Subsection"/>
      </w:pPr>
      <w:r>
        <w:tab/>
        <w:t>(3)</w:t>
      </w:r>
      <w:r>
        <w:tab/>
        <w:t xml:space="preserve">The Minister must — </w:t>
      </w:r>
    </w:p>
    <w:p>
      <w:pPr>
        <w:pStyle w:val="Indenta"/>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 and</w:t>
      </w:r>
    </w:p>
    <w:p>
      <w:pPr>
        <w:pStyle w:val="Indenti"/>
      </w:pPr>
      <w:r>
        <w:tab/>
        <w:t>(iii)</w:t>
      </w:r>
      <w:r>
        <w:tab/>
        <w:t>on an appropriate website;</w:t>
      </w:r>
    </w:p>
    <w:p>
      <w:pPr>
        <w:pStyle w:val="Indenta"/>
      </w:pPr>
      <w:r>
        <w:tab/>
      </w:r>
      <w:r>
        <w:tab/>
        <w:t>and</w:t>
      </w:r>
    </w:p>
    <w:p>
      <w:pPr>
        <w:pStyle w:val="Indenta"/>
      </w:pPr>
      <w:r>
        <w:tab/>
        <w:t>(b)</w:t>
      </w:r>
      <w:r>
        <w:tab/>
        <w:t xml:space="preserve">include in the notice the following information — </w:t>
      </w:r>
    </w:p>
    <w:p>
      <w:pPr>
        <w:pStyle w:val="Indenti"/>
      </w:pPr>
      <w:r>
        <w:tab/>
        <w:t>(i)</w:t>
      </w:r>
      <w:r>
        <w:tab/>
        <w:t>the website at which a copy of the proposal may be obtained; and</w:t>
      </w:r>
    </w:p>
    <w:p>
      <w:pPr>
        <w:pStyle w:val="Indenti"/>
      </w:pPr>
      <w:r>
        <w:tab/>
        <w:t>(ii)</w:t>
      </w:r>
      <w:r>
        <w:tab/>
        <w:t>a statement that written submissions on the proposal may be made to the Minister by any person within a specified period; and</w:t>
      </w:r>
    </w:p>
    <w:p>
      <w:pPr>
        <w:pStyle w:val="Indenti"/>
      </w:pPr>
      <w:r>
        <w:tab/>
        <w:t>(iii)</w:t>
      </w:r>
      <w:r>
        <w:tab/>
        <w:t>how the submissions may be made.</w:t>
      </w:r>
    </w:p>
    <w:p>
      <w:pPr>
        <w:pStyle w:val="Subsection"/>
      </w:pPr>
      <w:r>
        <w:tab/>
        <w:t>(4)</w:t>
      </w:r>
      <w:r>
        <w:tab/>
        <w:t>The period specified under subsection (3)(b)(ii) is not to be less than 30 days after both of the notices under subsection (3)(a)(i) and (ii) have been published.</w:t>
      </w:r>
    </w:p>
    <w:p>
      <w:pPr>
        <w:pStyle w:val="Subsection"/>
        <w:keepNext/>
      </w:pPr>
      <w:r>
        <w:lastRenderedPageBreak/>
        <w:tab/>
        <w:t>(5)</w:t>
      </w:r>
      <w:r>
        <w:tab/>
        <w:t>The Minister must have regard to any submission made in accordance with the notice.</w:t>
      </w:r>
    </w:p>
    <w:p>
      <w:pPr>
        <w:pStyle w:val="Footnotesection"/>
      </w:pPr>
      <w:r>
        <w:tab/>
        <w:t>[Section 120H inserted: No. 9 of 2020 s. 19.]</w:t>
      </w:r>
    </w:p>
    <w:p>
      <w:pPr>
        <w:pStyle w:val="Heading5"/>
      </w:pPr>
      <w:bookmarkStart w:id="492" w:name="_Toc164842823"/>
      <w:r>
        <w:rPr>
          <w:rStyle w:val="CharSectno"/>
        </w:rPr>
        <w:t>120I</w:t>
      </w:r>
      <w:r>
        <w:t>.</w:t>
      </w:r>
      <w:r>
        <w:tab/>
        <w:t>Exception to section 120H</w:t>
      </w:r>
      <w:bookmarkEnd w:id="492"/>
    </w:p>
    <w:p>
      <w:pPr>
        <w:pStyle w:val="Subsection"/>
      </w:pPr>
      <w:r>
        <w:tab/>
        <w:t>(1)</w:t>
      </w:r>
      <w:r>
        <w:tab/>
        <w:t>Section 120H(2) does not apply if the Minister is satisfied that a proposed amendment to the Pilbara Networks Access Code is —</w:t>
      </w:r>
    </w:p>
    <w:p>
      <w:pPr>
        <w:pStyle w:val="Indenta"/>
      </w:pPr>
      <w:r>
        <w:tab/>
        <w:t>(a)</w:t>
      </w:r>
      <w:r>
        <w:tab/>
        <w:t>of a minor nature; or</w:t>
      </w:r>
    </w:p>
    <w:p>
      <w:pPr>
        <w:pStyle w:val="Indenta"/>
      </w:pPr>
      <w:r>
        <w:tab/>
        <w:t>(b)</w:t>
      </w:r>
      <w:r>
        <w:tab/>
        <w:t>required to be made urgently.</w:t>
      </w:r>
    </w:p>
    <w:p>
      <w:pPr>
        <w:pStyle w:val="Subsection"/>
      </w:pPr>
      <w:r>
        <w:tab/>
        <w:t>(2)</w:t>
      </w:r>
      <w:r>
        <w:tab/>
        <w:t xml:space="preserve">If in reliance on subsection (1)(b) the Minister amends the Pilbara Networks Access Code without complying with section 120H(2) — </w:t>
      </w:r>
    </w:p>
    <w:p>
      <w:pPr>
        <w:pStyle w:val="Indenta"/>
      </w:pPr>
      <w:r>
        <w:tab/>
        <w:t>(a)</w:t>
      </w:r>
      <w:r>
        <w:tab/>
        <w:t>the Minister must call for public comment on the amendment as soon as is practicable; and</w:t>
      </w:r>
    </w:p>
    <w:p>
      <w:pPr>
        <w:pStyle w:val="Indenta"/>
      </w:pPr>
      <w:r>
        <w:tab/>
        <w:t>(b)</w:t>
      </w:r>
      <w:r>
        <w:tab/>
        <w:t>section 120H(3) and (4) apply with all necessary modifications.</w:t>
      </w:r>
    </w:p>
    <w:p>
      <w:pPr>
        <w:pStyle w:val="Subsection"/>
      </w:pPr>
      <w:r>
        <w:tab/>
        <w:t>(3)</w:t>
      </w:r>
      <w:r>
        <w:tab/>
        <w:t xml:space="preserve">Having regard to any submissions made on the amendment, the Minister must consider whether the Pilbara Networks Access Code should be amended — </w:t>
      </w:r>
    </w:p>
    <w:p>
      <w:pPr>
        <w:pStyle w:val="Indenta"/>
      </w:pPr>
      <w:r>
        <w:tab/>
        <w:t>(a)</w:t>
      </w:r>
      <w:r>
        <w:tab/>
        <w:t>to reverse the effect of the amendment; or</w:t>
      </w:r>
    </w:p>
    <w:p>
      <w:pPr>
        <w:pStyle w:val="Indenta"/>
      </w:pPr>
      <w:r>
        <w:tab/>
        <w:t>(b)</w:t>
      </w:r>
      <w:r>
        <w:tab/>
        <w:t>in some other manner.</w:t>
      </w:r>
    </w:p>
    <w:p>
      <w:pPr>
        <w:pStyle w:val="Footnotesection"/>
      </w:pPr>
      <w:r>
        <w:tab/>
        <w:t>[Section 120I inserted: No. 9 of 2020 s. 19.]</w:t>
      </w:r>
    </w:p>
    <w:p>
      <w:pPr>
        <w:pStyle w:val="Heading5"/>
      </w:pPr>
      <w:bookmarkStart w:id="493" w:name="_Toc164842824"/>
      <w:r>
        <w:rPr>
          <w:rStyle w:val="CharSectno"/>
        </w:rPr>
        <w:t>120J</w:t>
      </w:r>
      <w:r>
        <w:t>.</w:t>
      </w:r>
      <w:r>
        <w:tab/>
        <w:t>Consultation with network service providers on amendment or replacement of Pilbara Networks Access Code</w:t>
      </w:r>
      <w:bookmarkEnd w:id="493"/>
    </w:p>
    <w:p>
      <w:pPr>
        <w:pStyle w:val="Subsection"/>
      </w:pPr>
      <w:r>
        <w:tab/>
        <w:t>(1)</w:t>
      </w:r>
      <w:r>
        <w:tab/>
        <w:t xml:space="preserve">Without limiting section 120H, if the Minister considers that a proposed amendment or replacement of the Pilbara Networks Access Code that is established by a separate instrument under section 120A(2) may materially affect a network service provider, the Minister must — </w:t>
      </w:r>
    </w:p>
    <w:p>
      <w:pPr>
        <w:pStyle w:val="Indenta"/>
      </w:pPr>
      <w:r>
        <w:tab/>
        <w:t>(a)</w:t>
      </w:r>
      <w:r>
        <w:tab/>
        <w:t>consult with the network service provider; and</w:t>
      </w:r>
    </w:p>
    <w:p>
      <w:pPr>
        <w:pStyle w:val="Indenta"/>
      </w:pPr>
      <w:r>
        <w:lastRenderedPageBreak/>
        <w:tab/>
        <w:t>(b)</w:t>
      </w:r>
      <w:r>
        <w:tab/>
        <w:t>have regard to any submissions that the network service provider makes in relation to the proposal.</w:t>
      </w:r>
    </w:p>
    <w:p>
      <w:pPr>
        <w:pStyle w:val="Subsection"/>
      </w:pPr>
      <w:r>
        <w:tab/>
        <w:t>(2)</w:t>
      </w:r>
      <w:r>
        <w:tab/>
        <w:t>If a network service provider considers that the Pilbara Networks Access Code, or a provision of it, has, as a result of altered circumstances, become unreasonable or inappropriate in its application to the network service provider, the network service provider may make a submission to the Minister requesting that the Pilbara Networks Access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Footnotesection"/>
      </w:pPr>
      <w:r>
        <w:tab/>
        <w:t>[Section 120J inserted: No. 9 of 2020 s. 19.]</w:t>
      </w:r>
    </w:p>
    <w:p>
      <w:pPr>
        <w:pStyle w:val="Heading3"/>
      </w:pPr>
      <w:bookmarkStart w:id="494" w:name="_Toc164424758"/>
      <w:bookmarkStart w:id="495" w:name="_Toc164435540"/>
      <w:bookmarkStart w:id="496" w:name="_Toc164435851"/>
      <w:bookmarkStart w:id="497" w:name="_Toc164679665"/>
      <w:bookmarkStart w:id="498" w:name="_Toc164842825"/>
      <w:r>
        <w:rPr>
          <w:rStyle w:val="CharDivNo"/>
        </w:rPr>
        <w:t>Division 3</w:t>
      </w:r>
      <w:r>
        <w:t> — </w:t>
      </w:r>
      <w:r>
        <w:rPr>
          <w:rStyle w:val="CharDivText"/>
        </w:rPr>
        <w:t>Pilbara networks rules</w:t>
      </w:r>
      <w:bookmarkEnd w:id="494"/>
      <w:bookmarkEnd w:id="495"/>
      <w:bookmarkEnd w:id="496"/>
      <w:bookmarkEnd w:id="497"/>
      <w:bookmarkEnd w:id="498"/>
    </w:p>
    <w:p>
      <w:pPr>
        <w:pStyle w:val="Footnoteheading"/>
      </w:pPr>
      <w:r>
        <w:tab/>
        <w:t>[Heading inserted: No. 9 of 2020 s. 19.]</w:t>
      </w:r>
    </w:p>
    <w:p>
      <w:pPr>
        <w:pStyle w:val="Heading5"/>
      </w:pPr>
      <w:bookmarkStart w:id="499" w:name="_Toc164842826"/>
      <w:r>
        <w:rPr>
          <w:rStyle w:val="CharSectno"/>
        </w:rPr>
        <w:t>120K</w:t>
      </w:r>
      <w:r>
        <w:t>.</w:t>
      </w:r>
      <w:r>
        <w:tab/>
        <w:t>Regulations to provide for Pilbara networks rules</w:t>
      </w:r>
      <w:bookmarkEnd w:id="499"/>
    </w:p>
    <w:p>
      <w:pPr>
        <w:pStyle w:val="Subsection"/>
      </w:pPr>
      <w:r>
        <w:tab/>
        <w:t>(1)</w:t>
      </w:r>
      <w:r>
        <w:tab/>
        <w:t>The regulations are to provide for rules (</w:t>
      </w:r>
      <w:r>
        <w:rPr>
          <w:rStyle w:val="CharDefText"/>
        </w:rPr>
        <w:t>Pilbara networks rules</w:t>
      </w:r>
      <w:r>
        <w:t>) for the operation, management, security and reliability of any interconnected Pilbara system.</w:t>
      </w:r>
    </w:p>
    <w:p>
      <w:pPr>
        <w:pStyle w:val="Subsection"/>
      </w:pPr>
      <w:r>
        <w:tab/>
        <w:t>(2)</w:t>
      </w:r>
      <w:r>
        <w:tab/>
        <w:t>The regulations may provide for the Pilbara networks rules to provide for, and in relation to, the operation, management, security and reliability of covered Pilbara networks that are not part of an interconnected Pilbara system.</w:t>
      </w:r>
    </w:p>
    <w:p>
      <w:pPr>
        <w:pStyle w:val="Subsection"/>
      </w:pPr>
      <w:r>
        <w:tab/>
        <w:t>(3)</w:t>
      </w:r>
      <w:r>
        <w:tab/>
        <w:t xml:space="preserve">The regulations may also provide for the Pilbara networks rules to provide for, and in relation to, the following matters in relation to Pilbara networks that are not covered Pilbara networks or part of an interconnected Pilbara system — </w:t>
      </w:r>
    </w:p>
    <w:p>
      <w:pPr>
        <w:pStyle w:val="Indenta"/>
      </w:pPr>
      <w:r>
        <w:tab/>
        <w:t>(a)</w:t>
      </w:r>
      <w:r>
        <w:tab/>
        <w:t>the functions of the Pilbara ISO under section 120W(4)(d);</w:t>
      </w:r>
    </w:p>
    <w:p>
      <w:pPr>
        <w:pStyle w:val="Indenta"/>
      </w:pPr>
      <w:r>
        <w:tab/>
        <w:t>(b)</w:t>
      </w:r>
      <w:r>
        <w:tab/>
        <w:t xml:space="preserve">the obligations of Pilbara network service providers to provide information to, and assist, the Pilbara ISO in the </w:t>
      </w:r>
      <w:r>
        <w:lastRenderedPageBreak/>
        <w:t>performance of the functions referred to in paragraph (a).</w:t>
      </w:r>
    </w:p>
    <w:p>
      <w:pPr>
        <w:pStyle w:val="Subsection"/>
      </w:pPr>
      <w:r>
        <w:tab/>
        <w:t>(4)</w:t>
      </w:r>
      <w:r>
        <w:tab/>
        <w:t>The rules are to set out or deal with the matters prescribed by the regulations.</w:t>
      </w:r>
    </w:p>
    <w:p>
      <w:pPr>
        <w:pStyle w:val="Footnotesection"/>
      </w:pPr>
      <w:r>
        <w:tab/>
        <w:t>[Section 120K inserted: No. 9 of 2020 s. 19.]</w:t>
      </w:r>
    </w:p>
    <w:p>
      <w:pPr>
        <w:pStyle w:val="Heading5"/>
      </w:pPr>
      <w:bookmarkStart w:id="500" w:name="_Toc164842827"/>
      <w:r>
        <w:rPr>
          <w:rStyle w:val="CharSectno"/>
        </w:rPr>
        <w:t>120L</w:t>
      </w:r>
      <w:r>
        <w:t>.</w:t>
      </w:r>
      <w:r>
        <w:tab/>
        <w:t>Pilbara networks rules not subsidiary legislation</w:t>
      </w:r>
      <w:bookmarkEnd w:id="500"/>
    </w:p>
    <w:p>
      <w:pPr>
        <w:pStyle w:val="Subsection"/>
        <w:keepNext/>
        <w:keepLines/>
      </w:pPr>
      <w:r>
        <w:tab/>
        <w:t>(1)</w:t>
      </w:r>
      <w:r>
        <w:tab/>
        <w:t xml:space="preserve">The Pilbara networks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(2)</w:t>
      </w:r>
      <w:r>
        <w:tab/>
        <w:t xml:space="preserve">The </w:t>
      </w:r>
      <w:r>
        <w:rPr>
          <w:i/>
        </w:rPr>
        <w:t>Interpretation Act 1984</w:t>
      </w:r>
      <w:r>
        <w:t xml:space="preserve"> sections 43 (other than subsection (6)), 44, 48, 48A, 50(1), 53, 55, 56, 58, 59, 75 and 76 and Part VIII apply to the Pilbara networks rules as if they were subsidiary legislation.</w:t>
      </w:r>
    </w:p>
    <w:p>
      <w:pPr>
        <w:pStyle w:val="Footnotesection"/>
      </w:pPr>
      <w:r>
        <w:tab/>
        <w:t>[Section 120L inserted: No. 9 of 2020 s. 19.]</w:t>
      </w:r>
    </w:p>
    <w:p>
      <w:pPr>
        <w:pStyle w:val="Heading5"/>
      </w:pPr>
      <w:bookmarkStart w:id="501" w:name="_Toc164842828"/>
      <w:r>
        <w:rPr>
          <w:rStyle w:val="CharSectno"/>
        </w:rPr>
        <w:t>120M</w:t>
      </w:r>
      <w:r>
        <w:t>.</w:t>
      </w:r>
      <w:r>
        <w:tab/>
        <w:t>Establishment and amendment of Pilbara networks rules</w:t>
      </w:r>
      <w:bookmarkEnd w:id="501"/>
    </w:p>
    <w:p>
      <w:pPr>
        <w:pStyle w:val="Subsection"/>
      </w:pPr>
      <w:r>
        <w:tab/>
      </w:r>
      <w:r>
        <w:tab/>
        <w:t xml:space="preserve">The regulations may provide for — </w:t>
      </w:r>
    </w:p>
    <w:p>
      <w:pPr>
        <w:pStyle w:val="Indenta"/>
      </w:pPr>
      <w:r>
        <w:tab/>
        <w:t>(a)</w:t>
      </w:r>
      <w:r>
        <w:tab/>
        <w:t>the establishment of the initial Pilbara networks rules; and</w:t>
      </w:r>
    </w:p>
    <w:p>
      <w:pPr>
        <w:pStyle w:val="Indenta"/>
      </w:pPr>
      <w:r>
        <w:tab/>
        <w:t>(b)</w:t>
      </w:r>
      <w:r>
        <w:tab/>
        <w:t>the amendment, or repeal and replacement, of the Pilbara networks rules by rules made in accordance with the regulations and the Pilbara networks rules; and</w:t>
      </w:r>
    </w:p>
    <w:p>
      <w:pPr>
        <w:pStyle w:val="Indenta"/>
      </w:pPr>
      <w:r>
        <w:tab/>
        <w:t>(c)</w:t>
      </w:r>
      <w:r>
        <w:tab/>
        <w:t>the publication, commencement, and laying before each House of Parliament, of the initial Pilbara networks rules and rules amending, or repealing and replacing, the Pilbara networks rules.</w:t>
      </w:r>
    </w:p>
    <w:p>
      <w:pPr>
        <w:pStyle w:val="Footnotesection"/>
      </w:pPr>
      <w:r>
        <w:tab/>
        <w:t>[Section 120M inserted: No. 9 of 2020 s. 19.]</w:t>
      </w:r>
    </w:p>
    <w:p>
      <w:pPr>
        <w:pStyle w:val="Heading5"/>
      </w:pPr>
      <w:bookmarkStart w:id="502" w:name="_Toc164842829"/>
      <w:r>
        <w:rPr>
          <w:rStyle w:val="CharSectno"/>
        </w:rPr>
        <w:lastRenderedPageBreak/>
        <w:t>120N</w:t>
      </w:r>
      <w:r>
        <w:t>.</w:t>
      </w:r>
      <w:r>
        <w:tab/>
        <w:t>General matters to be dealt with in regulations</w:t>
      </w:r>
      <w:bookmarkEnd w:id="502"/>
    </w:p>
    <w:p>
      <w:pPr>
        <w:pStyle w:val="Subsection"/>
      </w:pPr>
      <w:r>
        <w:tab/>
        <w:t>(1)</w:t>
      </w:r>
      <w:r>
        <w:tab/>
        <w:t>The regulations may prescribe all matters that are necessary or convenient to be prescribed —</w:t>
      </w:r>
    </w:p>
    <w:p>
      <w:pPr>
        <w:pStyle w:val="Indenta"/>
      </w:pPr>
      <w:r>
        <w:tab/>
        <w:t>(a)</w:t>
      </w:r>
      <w:r>
        <w:tab/>
        <w:t>in relation to the matters set out in section 120K; and</w:t>
      </w:r>
    </w:p>
    <w:p>
      <w:pPr>
        <w:pStyle w:val="Indenta"/>
      </w:pPr>
      <w:r>
        <w:tab/>
        <w:t>(b)</w:t>
      </w:r>
      <w:r>
        <w:tab/>
        <w:t>to give effect to the purpose set out in section 119(1)(c); and</w:t>
      </w:r>
    </w:p>
    <w:p>
      <w:pPr>
        <w:pStyle w:val="Indenta"/>
      </w:pPr>
      <w:r>
        <w:tab/>
        <w:t>(c)</w:t>
      </w:r>
      <w:r>
        <w:tab/>
        <w:t>to meet the Pilbara electricity objective in relation to those matters.</w:t>
      </w:r>
    </w:p>
    <w:p>
      <w:pPr>
        <w:pStyle w:val="Subsection"/>
      </w:pPr>
      <w:r>
        <w:tab/>
        <w:t>(2)</w:t>
      </w:r>
      <w:r>
        <w:tab/>
        <w:t xml:space="preserve">Without limiting section 120K, 131 or 131B or subsection (1), the regulations may do all or any of the following — </w:t>
      </w:r>
    </w:p>
    <w:p>
      <w:pPr>
        <w:pStyle w:val="Indenta"/>
      </w:pPr>
      <w:r>
        <w:tab/>
        <w:t>(a)</w:t>
      </w:r>
      <w:r>
        <w:tab/>
        <w:t>regulate the conduct of persons and impose obligations on them;</w:t>
      </w:r>
    </w:p>
    <w:p>
      <w:pPr>
        <w:pStyle w:val="Indenta"/>
      </w:pPr>
      <w:r>
        <w:tab/>
        <w:t>(b)</w:t>
      </w:r>
      <w:r>
        <w:tab/>
        <w:t xml:space="preserve">confer functions, or authorise the Pilbara networks rules to confer functions, on any of the following — </w:t>
      </w:r>
    </w:p>
    <w:p>
      <w:pPr>
        <w:pStyle w:val="Indenti"/>
      </w:pPr>
      <w:r>
        <w:tab/>
        <w:t>(i)</w:t>
      </w:r>
      <w:r>
        <w:tab/>
        <w:t>the Minister;</w:t>
      </w:r>
    </w:p>
    <w:p>
      <w:pPr>
        <w:pStyle w:val="Indenti"/>
      </w:pPr>
      <w:r>
        <w:tab/>
        <w:t>(ii)</w:t>
      </w:r>
      <w:r>
        <w:tab/>
        <w:t>the Authority;</w:t>
      </w:r>
    </w:p>
    <w:p>
      <w:pPr>
        <w:pStyle w:val="Indenti"/>
      </w:pPr>
      <w:r>
        <w:tab/>
        <w:t>(iii)</w:t>
      </w:r>
      <w:r>
        <w:tab/>
        <w:t>the Pilbara ISO;</w:t>
      </w:r>
    </w:p>
    <w:p>
      <w:pPr>
        <w:pStyle w:val="Indenti"/>
      </w:pPr>
      <w:r>
        <w:tab/>
        <w:t>(iv)</w:t>
      </w:r>
      <w:r>
        <w:tab/>
        <w:t>a person holding an office under a written law;</w:t>
      </w:r>
    </w:p>
    <w:p>
      <w:pPr>
        <w:pStyle w:val="Indenti"/>
      </w:pPr>
      <w:r>
        <w:tab/>
        <w:t>(v)</w:t>
      </w:r>
      <w:r>
        <w:tab/>
        <w:t>a body established under a written law;</w:t>
      </w:r>
    </w:p>
    <w:p>
      <w:pPr>
        <w:pStyle w:val="Indenti"/>
      </w:pPr>
      <w:r>
        <w:tab/>
        <w:t>(vi)</w:t>
      </w:r>
      <w:r>
        <w:tab/>
        <w:t>any other person;</w:t>
      </w:r>
    </w:p>
    <w:p>
      <w:pPr>
        <w:pStyle w:val="Indenta"/>
      </w:pPr>
      <w:r>
        <w:tab/>
        <w:t>(c)</w:t>
      </w:r>
      <w:r>
        <w:tab/>
        <w:t>provide for the relationship between the Minister or another Minister and a person or body referred to in paragraph (b)(ii) to (vi) in relation to the performance of the functions of the person or body;</w:t>
      </w:r>
    </w:p>
    <w:p>
      <w:pPr>
        <w:pStyle w:val="Indenta"/>
      </w:pPr>
      <w:r>
        <w:tab/>
        <w:t>(d)</w:t>
      </w:r>
      <w:r>
        <w:tab/>
        <w:t>authorise the Pilbara networks rules to confer rights and impose obligations on Pilbara networks participants;</w:t>
      </w:r>
    </w:p>
    <w:p>
      <w:pPr>
        <w:pStyle w:val="Indenta"/>
      </w:pPr>
      <w:r>
        <w:tab/>
        <w:t>(e)</w:t>
      </w:r>
      <w:r>
        <w:tab/>
        <w:t>provide, or authorise the Pilbara networks rules to provide, for the resolution of disputes between Pilbara networks participants;</w:t>
      </w:r>
    </w:p>
    <w:p>
      <w:pPr>
        <w:pStyle w:val="Indenta"/>
        <w:keepNext/>
      </w:pPr>
      <w:r>
        <w:lastRenderedPageBreak/>
        <w:tab/>
        <w:t>(f)</w:t>
      </w:r>
      <w:r>
        <w:tab/>
        <w:t xml:space="preserve">authorise the Pilbara networks rules to  — </w:t>
      </w:r>
    </w:p>
    <w:p>
      <w:pPr>
        <w:pStyle w:val="Indenti"/>
      </w:pPr>
      <w:r>
        <w:tab/>
        <w:t>(i)</w:t>
      </w:r>
      <w:r>
        <w:tab/>
        <w:t>authorise the Pilbara ISO to make instruments establishing protocols and procedures and any other instruments related to the performance of its functions; and</w:t>
      </w:r>
    </w:p>
    <w:p>
      <w:pPr>
        <w:pStyle w:val="Indenti"/>
      </w:pPr>
      <w:r>
        <w:tab/>
        <w:t>(ii)</w:t>
      </w:r>
      <w:r>
        <w:tab/>
        <w:t>provide for the effect of those instruments;</w:t>
      </w:r>
    </w:p>
    <w:p>
      <w:pPr>
        <w:pStyle w:val="Indenta"/>
      </w:pPr>
      <w:r>
        <w:tab/>
        <w:t>(g)</w:t>
      </w:r>
      <w:r>
        <w:tab/>
        <w:t xml:space="preserve">provide for the process of making, amending, repealing or replacing an instrument made by the Pilbara ISO under a power conferred under paragraph (f); </w:t>
      </w:r>
    </w:p>
    <w:p>
      <w:pPr>
        <w:pStyle w:val="Indenta"/>
      </w:pPr>
      <w:r>
        <w:tab/>
        <w:t>(h)</w:t>
      </w:r>
      <w:r>
        <w:tab/>
        <w:t>provide, or authorise the Pilbara networks rules to provide,</w:t>
      </w:r>
      <w:r>
        <w:rPr>
          <w:b/>
        </w:rPr>
        <w:t xml:space="preserve"> </w:t>
      </w:r>
      <w:r>
        <w:t xml:space="preserve">for metering of electricity in covered Pilbara networks and interconnected Pilbara networks, including by providing for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(i)</w:t>
      </w:r>
      <w:r>
        <w:tab/>
        <w:t>provide, or authorise the Pilbara networks rules to provide, for the regulation of the disclosure and use of confidential or commercially sensitive information;</w:t>
      </w:r>
    </w:p>
    <w:p>
      <w:pPr>
        <w:pStyle w:val="Indenta"/>
      </w:pPr>
      <w:r>
        <w:tab/>
        <w:t>(j)</w:t>
      </w:r>
      <w:r>
        <w:tab/>
        <w:t xml:space="preserve">in respect of costs incurred in the performance of functions conferred on a person or body referred to in paragraph (b)(ii) to (vi), provide for — </w:t>
      </w:r>
    </w:p>
    <w:p>
      <w:pPr>
        <w:pStyle w:val="Indenti"/>
      </w:pPr>
      <w:r>
        <w:tab/>
        <w:t>(i)</w:t>
      </w:r>
      <w:r>
        <w:tab/>
        <w:t>the implementation of accounting arrangements to enable those costs to be identified; and</w:t>
      </w:r>
    </w:p>
    <w:p>
      <w:pPr>
        <w:pStyle w:val="Indenti"/>
      </w:pPr>
      <w:r>
        <w:tab/>
        <w:t>(ii)</w:t>
      </w:r>
      <w:r>
        <w:tab/>
        <w:t>the allocation of those costs between Pilbara networks participants; and</w:t>
      </w:r>
    </w:p>
    <w:p>
      <w:pPr>
        <w:pStyle w:val="Indenti"/>
      </w:pPr>
      <w:r>
        <w:tab/>
        <w:t>(iii)</w:t>
      </w:r>
      <w:r>
        <w:tab/>
        <w:t>the recovery of those costs;</w:t>
      </w:r>
    </w:p>
    <w:p>
      <w:pPr>
        <w:pStyle w:val="Indenta"/>
      </w:pPr>
      <w:r>
        <w:tab/>
        <w:t>(k)</w:t>
      </w:r>
      <w:r>
        <w:tab/>
        <w:t xml:space="preserve">provide, or authorise the Pilbara networks rules to provide, for 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Division.</w:t>
      </w:r>
    </w:p>
    <w:p>
      <w:pPr>
        <w:pStyle w:val="Subsection"/>
      </w:pPr>
      <w:r>
        <w:lastRenderedPageBreak/>
        <w:tab/>
        <w:t>(3)</w:t>
      </w:r>
      <w:r>
        <w:tab/>
        <w:t>The reference to costs in subsection (2)(j) includes, in relation to the Pilbara ISO, any costs incurred in anticipation of, or in preparation for, the performance of the functions of the Pilbara ISO.</w:t>
      </w:r>
    </w:p>
    <w:p>
      <w:pPr>
        <w:pStyle w:val="Subsection"/>
      </w:pPr>
      <w:r>
        <w:tab/>
        <w:t>(4)</w:t>
      </w:r>
      <w:r>
        <w:tab/>
        <w:t>Despite subsection (2), the regulations may regulate the conduct of, and confer rights and impose obligations on, network service providers of Pilbara networks that are not covered Pilbara networks or interconnected Pilbara networks only for the purposes set out in section 120K(3).</w:t>
      </w:r>
    </w:p>
    <w:p>
      <w:pPr>
        <w:pStyle w:val="Footnotesection"/>
      </w:pPr>
      <w:r>
        <w:tab/>
        <w:t>[Section 120N inserted: No. 9 of 2020 s. 19.]</w:t>
      </w:r>
    </w:p>
    <w:p>
      <w:pPr>
        <w:pStyle w:val="Heading5"/>
      </w:pPr>
      <w:bookmarkStart w:id="503" w:name="_Toc164842830"/>
      <w:r>
        <w:rPr>
          <w:rStyle w:val="CharSectno"/>
        </w:rPr>
        <w:t>120O</w:t>
      </w:r>
      <w:r>
        <w:t>.</w:t>
      </w:r>
      <w:r>
        <w:tab/>
        <w:t>Additional matters to be dealt with in regulations or rules</w:t>
      </w:r>
      <w:bookmarkEnd w:id="503"/>
    </w:p>
    <w:p>
      <w:pPr>
        <w:pStyle w:val="Subsection"/>
      </w:pPr>
      <w:r>
        <w:tab/>
        <w:t>(1)</w:t>
      </w:r>
      <w:r>
        <w:tab/>
        <w:t>Without limiting section 120N(2)(a), the regulations may prohibit persons from engaging in an activity specified in the regulations unless they are registered in accordance with the Pilbara networks rules.</w:t>
      </w:r>
    </w:p>
    <w:p>
      <w:pPr>
        <w:pStyle w:val="Subsection"/>
      </w:pPr>
      <w:r>
        <w:tab/>
        <w:t>(2)</w:t>
      </w:r>
      <w:r>
        <w:tab/>
        <w:t xml:space="preserve">The regulations or the Pilbara networks rules may provide that if the disclosure or use of confidential or commercially sensitive information is authorised by the rules — </w:t>
      </w:r>
    </w:p>
    <w:p>
      <w:pPr>
        <w:pStyle w:val="Indenta"/>
      </w:pPr>
      <w:r>
        <w:tab/>
        <w:t>(a)</w:t>
      </w:r>
      <w:r>
        <w:tab/>
        <w:t>no civil or criminal liability is incurred in respect of the use or disclosure; and</w:t>
      </w:r>
    </w:p>
    <w:p>
      <w:pPr>
        <w:pStyle w:val="Indenta"/>
      </w:pPr>
      <w:r>
        <w:tab/>
        <w:t>(b)</w:t>
      </w:r>
      <w:r>
        <w:tab/>
        <w:t xml:space="preserve">the use or disclosure is not to be regarded as — </w:t>
      </w:r>
    </w:p>
    <w:p>
      <w:pPr>
        <w:pStyle w:val="Indenti"/>
      </w:pPr>
      <w:r>
        <w:tab/>
        <w:t>(i)</w:t>
      </w:r>
      <w:r>
        <w:tab/>
        <w:t>a breach of any duty of confidentiality or secrecy imposed by law or contract; or</w:t>
      </w:r>
    </w:p>
    <w:p>
      <w:pPr>
        <w:pStyle w:val="Indenti"/>
      </w:pPr>
      <w:r>
        <w:tab/>
        <w:t>(ii)</w:t>
      </w:r>
      <w:r>
        <w:tab/>
        <w:t>a breach of professional ethics or standards or any principles of conduct applicable to a person’s employment; or</w:t>
      </w:r>
    </w:p>
    <w:p>
      <w:pPr>
        <w:pStyle w:val="Indenti"/>
      </w:pPr>
      <w:r>
        <w:tab/>
        <w:t>(iii)</w:t>
      </w:r>
      <w:r>
        <w:tab/>
        <w:t>unprofessional conduct.</w:t>
      </w:r>
    </w:p>
    <w:p>
      <w:pPr>
        <w:pStyle w:val="Subsection"/>
        <w:keepNext/>
      </w:pPr>
      <w:r>
        <w:tab/>
        <w:t>(3)</w:t>
      </w:r>
      <w:r>
        <w:tab/>
        <w:t xml:space="preserve">The regulations, the Pilbara networks rules, an instrument made under the Pilbara networks rules or an instrument amending any of them, may apply, adopt or incorporate, with or without </w:t>
      </w:r>
      <w:r>
        <w:lastRenderedPageBreak/>
        <w:t xml:space="preserve">modification, material contained in any other document or writing as in effect or existing — </w:t>
      </w:r>
    </w:p>
    <w:p>
      <w:pPr>
        <w:pStyle w:val="Indenta"/>
      </w:pPr>
      <w:r>
        <w:tab/>
        <w:t>(a)</w:t>
      </w:r>
      <w:r>
        <w:tab/>
        <w:t>when the regulations, Pilbara networks rules, instrument or amending instrument comes into operation; or</w:t>
      </w:r>
    </w:p>
    <w:p>
      <w:pPr>
        <w:pStyle w:val="Indenta"/>
      </w:pPr>
      <w:r>
        <w:tab/>
        <w:t>(b)</w:t>
      </w:r>
      <w:r>
        <w:tab/>
        <w:t>at a specified prior time.</w:t>
      </w:r>
    </w:p>
    <w:p>
      <w:pPr>
        <w:pStyle w:val="Subsection"/>
      </w:pPr>
      <w:r>
        <w:tab/>
        <w:t>(4)</w:t>
      </w:r>
      <w:r>
        <w:tab/>
        <w:t>Without limiting section 120N(2)(j),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keepNext/>
        <w:keepLines/>
      </w:pPr>
      <w:r>
        <w:tab/>
        <w:t>(5)</w:t>
      </w:r>
      <w:r>
        <w:tab/>
        <w:t xml:space="preserve">The regulations, or the rules referred to in section 120N(2)(k)(i), may authorise the Minister to determine by order published in the </w:t>
      </w:r>
      <w:r>
        <w:rPr>
          <w:i/>
        </w:rPr>
        <w:t>Gazette</w:t>
      </w:r>
      <w:r>
        <w:t xml:space="preserve"> how any matter or thing in progress immediately before the commencement of the Pilbara networks rules is to be treated, after that commencement, for the purposes of the provisions of the Pilbara networks rules.</w:t>
      </w:r>
    </w:p>
    <w:p>
      <w:pPr>
        <w:pStyle w:val="Footnotesection"/>
      </w:pPr>
      <w:r>
        <w:tab/>
        <w:t>[Section 120O inserted: No. 9 of 2020 s. 19.]</w:t>
      </w:r>
    </w:p>
    <w:p>
      <w:pPr>
        <w:pStyle w:val="Heading5"/>
      </w:pPr>
      <w:bookmarkStart w:id="504" w:name="_Toc164842831"/>
      <w:r>
        <w:rPr>
          <w:rStyle w:val="CharSectno"/>
        </w:rPr>
        <w:t>120P</w:t>
      </w:r>
      <w:r>
        <w:t>.</w:t>
      </w:r>
      <w:r>
        <w:tab/>
        <w:t>Additional matters to be dealt with in rules: more than one provider</w:t>
      </w:r>
      <w:bookmarkEnd w:id="504"/>
    </w:p>
    <w:p>
      <w:pPr>
        <w:pStyle w:val="Subsection"/>
      </w:pPr>
      <w:r>
        <w:tab/>
      </w:r>
      <w:r>
        <w:tab/>
        <w:t xml:space="preserve">The regulations may provide that the Pilbara networks rules may provide for the following — </w:t>
      </w:r>
    </w:p>
    <w:p>
      <w:pPr>
        <w:pStyle w:val="Indenta"/>
      </w:pPr>
      <w:r>
        <w:tab/>
        <w:t>(a)</w:t>
      </w:r>
      <w:r>
        <w:tab/>
        <w:t>that if there is more than one Pilbara network service provider for a Pilbara network and a thing is required or permitted by the Pilbara networks rules to be done by the Pilbara network service providers, one of the Pilbara network service providers may, with the consent of one or more of the other providers, do that thing on behalf of those consenting providers;</w:t>
      </w:r>
    </w:p>
    <w:p>
      <w:pPr>
        <w:pStyle w:val="Indenta"/>
      </w:pPr>
      <w:r>
        <w:tab/>
        <w:t>(b)</w:t>
      </w:r>
      <w:r>
        <w:tab/>
        <w:t xml:space="preserve">that a thing done or omitted to be done by a Pilbara network service provider on behalf of another Pilbara network service provider for a Pilbara network as referred to in paragraph (a) is taken to have been done or </w:t>
      </w:r>
      <w:r>
        <w:lastRenderedPageBreak/>
        <w:t>omitted to be done by that other Pilbara network service provider;</w:t>
      </w:r>
    </w:p>
    <w:p>
      <w:pPr>
        <w:pStyle w:val="Indenta"/>
      </w:pPr>
      <w:r>
        <w:tab/>
        <w:t>(c)</w:t>
      </w:r>
      <w:r>
        <w:tab/>
        <w:t>that if there is more than one Pilbara network service provider for a Pilbara network and the Pilbara network service providers publish an instrument in accordance with the Pilbara networks rules that allocates things required or permitted by those rules to be done between those Pilbara network service providers, the provider to whom the thing is allocated under that instrument is required or permitted to do that thing.</w:t>
      </w:r>
    </w:p>
    <w:p>
      <w:pPr>
        <w:pStyle w:val="Footnotesection"/>
      </w:pPr>
      <w:r>
        <w:tab/>
        <w:t>[Section 120P inserted: No. 9 of 2020 s. 19.]</w:t>
      </w:r>
    </w:p>
    <w:p>
      <w:pPr>
        <w:pStyle w:val="Heading3"/>
      </w:pPr>
      <w:bookmarkStart w:id="505" w:name="_Toc164424765"/>
      <w:bookmarkStart w:id="506" w:name="_Toc164435547"/>
      <w:bookmarkStart w:id="507" w:name="_Toc164435858"/>
      <w:bookmarkStart w:id="508" w:name="_Toc164679672"/>
      <w:bookmarkStart w:id="509" w:name="_Toc164842832"/>
      <w:r>
        <w:rPr>
          <w:rStyle w:val="CharDivNo"/>
        </w:rPr>
        <w:t>Division 4</w:t>
      </w:r>
      <w:r>
        <w:t> — </w:t>
      </w:r>
      <w:r>
        <w:rPr>
          <w:rStyle w:val="CharDivText"/>
        </w:rPr>
        <w:t>Pilbara networks technical rules</w:t>
      </w:r>
      <w:bookmarkEnd w:id="505"/>
      <w:bookmarkEnd w:id="506"/>
      <w:bookmarkEnd w:id="507"/>
      <w:bookmarkEnd w:id="508"/>
      <w:bookmarkEnd w:id="509"/>
    </w:p>
    <w:p>
      <w:pPr>
        <w:pStyle w:val="Footnoteheading"/>
        <w:keepNext/>
      </w:pPr>
      <w:r>
        <w:tab/>
        <w:t>[Heading inserted: No. 9 of 2020 s. 19.]</w:t>
      </w:r>
    </w:p>
    <w:p>
      <w:pPr>
        <w:pStyle w:val="Heading5"/>
      </w:pPr>
      <w:bookmarkStart w:id="510" w:name="_Toc164842833"/>
      <w:r>
        <w:rPr>
          <w:rStyle w:val="CharSectno"/>
        </w:rPr>
        <w:t>120Q</w:t>
      </w:r>
      <w:r>
        <w:t>.</w:t>
      </w:r>
      <w:r>
        <w:tab/>
        <w:t>Technical rules</w:t>
      </w:r>
      <w:bookmarkEnd w:id="510"/>
    </w:p>
    <w:p>
      <w:pPr>
        <w:pStyle w:val="Subsection"/>
        <w:keepNext/>
      </w:pPr>
      <w:r>
        <w:tab/>
        <w:t>(1)</w:t>
      </w:r>
      <w:r>
        <w:tab/>
        <w:t>The regulations may provide for the following —</w:t>
      </w:r>
    </w:p>
    <w:p>
      <w:pPr>
        <w:pStyle w:val="Indenta"/>
        <w:keepNext/>
      </w:pPr>
      <w:r>
        <w:tab/>
        <w:t>(a)</w:t>
      </w:r>
      <w:r>
        <w:tab/>
        <w:t xml:space="preserve">for the making, formulation and approval of technical rules for the purposes of this Part; </w:t>
      </w:r>
    </w:p>
    <w:p>
      <w:pPr>
        <w:pStyle w:val="Indenta"/>
        <w:keepNext/>
      </w:pPr>
      <w:r>
        <w:tab/>
        <w:t>(b)</w:t>
      </w:r>
      <w:r>
        <w:tab/>
        <w:t>for the Pilbara Networks Access Code or the Pilbara networks rules to provide for the making, formulation and approval of technical rules for the purposes of this Part.</w:t>
      </w:r>
    </w:p>
    <w:p>
      <w:pPr>
        <w:pStyle w:val="Subsection"/>
      </w:pPr>
      <w:r>
        <w:tab/>
        <w:t>(2)</w:t>
      </w:r>
      <w:r>
        <w:tab/>
        <w:t>The technical rules may include rules made for the purposes of all or any of the following —</w:t>
      </w:r>
    </w:p>
    <w:p>
      <w:pPr>
        <w:pStyle w:val="Indenta"/>
      </w:pPr>
      <w:r>
        <w:tab/>
        <w:t>(a)</w:t>
      </w:r>
      <w:r>
        <w:tab/>
        <w:t>access to services of covered Pilbara networks;</w:t>
      </w:r>
    </w:p>
    <w:p>
      <w:pPr>
        <w:pStyle w:val="Indenta"/>
      </w:pPr>
      <w:r>
        <w:tab/>
        <w:t>(b)</w:t>
      </w:r>
      <w:r>
        <w:tab/>
        <w:t>network and system operations, power system reliability and stability and system security for covered Pilbara networks and interconnected Pilbara networks.</w:t>
      </w:r>
    </w:p>
    <w:p>
      <w:pPr>
        <w:pStyle w:val="Footnotesection"/>
      </w:pPr>
      <w:r>
        <w:tab/>
        <w:t>[Section 120Q inserted: No. 9 of 2020 s. 19.]</w:t>
      </w:r>
    </w:p>
    <w:p>
      <w:pPr>
        <w:pStyle w:val="Heading3"/>
      </w:pPr>
      <w:bookmarkStart w:id="511" w:name="_Toc164424767"/>
      <w:bookmarkStart w:id="512" w:name="_Toc164435549"/>
      <w:bookmarkStart w:id="513" w:name="_Toc164435860"/>
      <w:bookmarkStart w:id="514" w:name="_Toc164679674"/>
      <w:bookmarkStart w:id="515" w:name="_Toc164842834"/>
      <w:r>
        <w:rPr>
          <w:rStyle w:val="CharDivNo"/>
        </w:rPr>
        <w:lastRenderedPageBreak/>
        <w:t>Division 5</w:t>
      </w:r>
      <w:r>
        <w:t> — </w:t>
      </w:r>
      <w:r>
        <w:rPr>
          <w:rStyle w:val="CharDivText"/>
        </w:rPr>
        <w:t>Enforcement</w:t>
      </w:r>
      <w:bookmarkEnd w:id="511"/>
      <w:bookmarkEnd w:id="512"/>
      <w:bookmarkEnd w:id="513"/>
      <w:bookmarkEnd w:id="514"/>
      <w:bookmarkEnd w:id="515"/>
    </w:p>
    <w:p>
      <w:pPr>
        <w:pStyle w:val="Footnoteheading"/>
        <w:keepNext/>
      </w:pPr>
      <w:r>
        <w:tab/>
        <w:t>[Heading inserted: No. 9 of 2020 s. 19.]</w:t>
      </w:r>
    </w:p>
    <w:p>
      <w:pPr>
        <w:pStyle w:val="Heading5"/>
      </w:pPr>
      <w:bookmarkStart w:id="516" w:name="_Toc164842835"/>
      <w:r>
        <w:rPr>
          <w:rStyle w:val="CharSectno"/>
        </w:rPr>
        <w:t>120R</w:t>
      </w:r>
      <w:r>
        <w:t>.</w:t>
      </w:r>
      <w:r>
        <w:tab/>
        <w:t>References to contravening regulations, Pilbara Networks Access Code or Pilbara networks rules</w:t>
      </w:r>
      <w:bookmarkEnd w:id="516"/>
    </w:p>
    <w:p>
      <w:pPr>
        <w:pStyle w:val="Subsection"/>
      </w:pPr>
      <w:r>
        <w:tab/>
      </w:r>
      <w:r>
        <w:tab/>
        <w:t xml:space="preserve">A reference in this Division to contravening a provision of the regulations or the Pilbara Networks Access Code or the Pilbara networks rules includes a reference to — </w:t>
      </w:r>
    </w:p>
    <w:p>
      <w:pPr>
        <w:pStyle w:val="Indenta"/>
      </w:pPr>
      <w:r>
        <w:tab/>
        <w:t>(a)</w:t>
      </w:r>
      <w:r>
        <w:tab/>
        <w:t>attempting to contravene the provision; or</w:t>
      </w:r>
    </w:p>
    <w:p>
      <w:pPr>
        <w:pStyle w:val="Indenta"/>
      </w:pPr>
      <w:r>
        <w:tab/>
        <w:t>(b)</w:t>
      </w:r>
      <w:r>
        <w:tab/>
        <w:t>aiding, abetting, counselling or procuring a person to contravene the provision; or</w:t>
      </w:r>
    </w:p>
    <w:p>
      <w:pPr>
        <w:pStyle w:val="Indenta"/>
      </w:pPr>
      <w:r>
        <w:tab/>
        <w:t>(c)</w:t>
      </w:r>
      <w:r>
        <w:tab/>
        <w:t>inducing, or attempting to induce, a person, whether by threats or promises or otherwise, to contravene the provision; or</w:t>
      </w:r>
    </w:p>
    <w:p>
      <w:pPr>
        <w:pStyle w:val="Indenta"/>
      </w:pPr>
      <w:r>
        <w:tab/>
        <w:t>(d)</w:t>
      </w:r>
      <w:r>
        <w:tab/>
        <w:t>being in any way, directly or indirectly, knowingly concerned in, or party to, the contravention by a person of the provision; or</w:t>
      </w:r>
    </w:p>
    <w:p>
      <w:pPr>
        <w:pStyle w:val="Indenta"/>
      </w:pPr>
      <w:r>
        <w:tab/>
        <w:t>(e)</w:t>
      </w:r>
      <w:r>
        <w:tab/>
        <w:t>conspiring with others to contravene the provision.</w:t>
      </w:r>
    </w:p>
    <w:p>
      <w:pPr>
        <w:pStyle w:val="Footnotesection"/>
      </w:pPr>
      <w:r>
        <w:tab/>
        <w:t>[Section 120R inserted: No. 9 of 2020 s. 19.]</w:t>
      </w:r>
    </w:p>
    <w:p>
      <w:pPr>
        <w:pStyle w:val="Heading5"/>
      </w:pPr>
      <w:bookmarkStart w:id="517" w:name="_Toc164842836"/>
      <w:r>
        <w:rPr>
          <w:rStyle w:val="CharSectno"/>
        </w:rPr>
        <w:t>120S</w:t>
      </w:r>
      <w:r>
        <w:t>.</w:t>
      </w:r>
      <w:r>
        <w:tab/>
        <w:t>Prohibitions on hindering or preventing access</w:t>
      </w:r>
      <w:bookmarkEnd w:id="517"/>
    </w:p>
    <w:p>
      <w:pPr>
        <w:pStyle w:val="Subsection"/>
      </w:pPr>
      <w:r>
        <w:tab/>
        <w:t>(1)</w:t>
      </w:r>
      <w:r>
        <w:tab/>
        <w:t>In this section —</w:t>
      </w:r>
    </w:p>
    <w:p>
      <w:pPr>
        <w:pStyle w:val="Defstart"/>
      </w:pPr>
      <w:r>
        <w:rPr>
          <w:b/>
        </w:rPr>
        <w:tab/>
      </w:r>
      <w:r>
        <w:rPr>
          <w:rStyle w:val="CharDefText"/>
        </w:rPr>
        <w:t>associate</w:t>
      </w:r>
      <w:r>
        <w:t xml:space="preserve">, in relation to a person, has the meaning it would have under the </w:t>
      </w:r>
      <w:r>
        <w:rPr>
          <w:i/>
        </w:rPr>
        <w:t>Corporations Act 2001</w:t>
      </w:r>
      <w:r>
        <w:t xml:space="preserve"> (Commonwealth) Part 1.2 Division 2 if sections 13, 16(2) and 17 of that Act were deleted.</w:t>
      </w:r>
    </w:p>
    <w:p>
      <w:pPr>
        <w:pStyle w:val="Subsection"/>
        <w:keepNext/>
      </w:pPr>
      <w:r>
        <w:tab/>
        <w:t>(2)</w:t>
      </w:r>
      <w:r>
        <w:tab/>
        <w:t xml:space="preserve">A Pilbara network service provider of a covered Pilbara network that is regulated under this Part, or an associate of the Pilbara </w:t>
      </w:r>
      <w:r>
        <w:lastRenderedPageBreak/>
        <w:t>network service provider, must not engage in conduct for the purpose of hindering or preventing —</w:t>
      </w:r>
    </w:p>
    <w:p>
      <w:pPr>
        <w:pStyle w:val="Indenta"/>
        <w:keepNext/>
      </w:pPr>
      <w:r>
        <w:tab/>
        <w:t>(a)</w:t>
      </w:r>
      <w:r>
        <w:tab/>
        <w:t>access by any person to services in accordance with this Part; or</w:t>
      </w:r>
    </w:p>
    <w:p>
      <w:pPr>
        <w:pStyle w:val="Indenta"/>
      </w:pPr>
      <w:r>
        <w:tab/>
        <w:t>(b)</w:t>
      </w:r>
      <w:r>
        <w:tab/>
        <w:t>the making of Pilbara access agreements or any particular agreement in respect of that network; or</w:t>
      </w:r>
    </w:p>
    <w:p>
      <w:pPr>
        <w:pStyle w:val="Indenta"/>
      </w:pPr>
      <w:r>
        <w:tab/>
        <w:t>(c)</w:t>
      </w:r>
      <w:r>
        <w:tab/>
        <w:t>the access to which a person is entitled under a Pilbara access agreement or a determination made by way of arbitration.</w:t>
      </w:r>
    </w:p>
    <w:p>
      <w:pPr>
        <w:pStyle w:val="Penstart"/>
      </w:pPr>
      <w:r>
        <w:tab/>
        <w:t>Penalty for this subsection: a fine of $100 000.</w:t>
      </w:r>
    </w:p>
    <w:p>
      <w:pPr>
        <w:pStyle w:val="Penstart"/>
      </w:pPr>
      <w:r>
        <w:tab/>
        <w:t>Daily penalty for this subsection: a fine of $20 000.</w:t>
      </w:r>
    </w:p>
    <w:p>
      <w:pPr>
        <w:pStyle w:val="Subsection"/>
      </w:pPr>
      <w:r>
        <w:tab/>
        <w:t>(3)</w:t>
      </w:r>
      <w:r>
        <w:tab/>
        <w:t>A person who has access to services, or an associate of the person, must not engage in conduct for the purpose of hindering or preventing access by another person to services of a covered Pilbara network that is regulated under this Part.</w:t>
      </w:r>
    </w:p>
    <w:p>
      <w:pPr>
        <w:pStyle w:val="Penstart"/>
      </w:pPr>
      <w:r>
        <w:tab/>
        <w:t>Penalty for this subsection: a fine of $100 000.</w:t>
      </w:r>
    </w:p>
    <w:p>
      <w:pPr>
        <w:pStyle w:val="Penstart"/>
      </w:pPr>
      <w:r>
        <w:tab/>
        <w:t>Daily penalty for this subsection: a fine of $20 000.</w:t>
      </w:r>
    </w:p>
    <w:p>
      <w:pPr>
        <w:pStyle w:val="Subsection"/>
        <w:keepNext/>
      </w:pPr>
      <w:r>
        <w:tab/>
        <w:t>(4)</w:t>
      </w:r>
      <w:r>
        <w:tab/>
        <w:t>Without limiting subsection (2) or (3)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r>
      <w:r>
        <w:tab/>
        <w:t>and</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pPr>
      <w:r>
        <w:lastRenderedPageBreak/>
        <w:tab/>
        <w:t>(5)</w:t>
      </w:r>
      <w:r>
        <w:tab/>
        <w:t>In this section —</w:t>
      </w:r>
    </w:p>
    <w:p>
      <w:pPr>
        <w:pStyle w:val="Indenta"/>
        <w:keepNext/>
      </w:pPr>
      <w:r>
        <w:tab/>
        <w:t>(a)</w:t>
      </w:r>
      <w:r>
        <w:tab/>
        <w:t>a reference to engaging in conduct is a reference to doing or refusing to do any act and includes a reference to —</w:t>
      </w:r>
    </w:p>
    <w:p>
      <w:pPr>
        <w:pStyle w:val="Indenti"/>
      </w:pPr>
      <w:r>
        <w:tab/>
        <w:t>(i)</w:t>
      </w:r>
      <w:r>
        <w:tab/>
        <w:t>making a contract, agreement or arrangement or giving effect to a provision of a contract, agreement or arrangement; or</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r>
      <w:r>
        <w:tab/>
        <w:t>and</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(6)</w:t>
      </w:r>
      <w:r>
        <w:tab/>
        <w:t>Subsection (2) or (3) does not apply to conduct in which a person engaged in accordance with an agreement, if the agreement was in force on 30 March 1995.</w:t>
      </w:r>
    </w:p>
    <w:p>
      <w:pPr>
        <w:pStyle w:val="Footnotesection"/>
      </w:pPr>
      <w:r>
        <w:tab/>
        <w:t>[Section 120S inserted: No. 9 of 2020 s. 19.]</w:t>
      </w:r>
    </w:p>
    <w:p>
      <w:pPr>
        <w:pStyle w:val="Heading5"/>
      </w:pPr>
      <w:bookmarkStart w:id="518" w:name="_Toc164842837"/>
      <w:r>
        <w:rPr>
          <w:rStyle w:val="CharSectno"/>
        </w:rPr>
        <w:t>120T</w:t>
      </w:r>
      <w:r>
        <w:t>.</w:t>
      </w:r>
      <w:r>
        <w:tab/>
        <w:t>Proceedings</w:t>
      </w:r>
      <w:bookmarkEnd w:id="518"/>
      <w:r>
        <w:t xml:space="preserve"> </w:t>
      </w:r>
    </w:p>
    <w:p>
      <w:pPr>
        <w:pStyle w:val="Subsection"/>
      </w:pPr>
      <w:r>
        <w:tab/>
        <w:t>(1)</w:t>
      </w:r>
      <w:r>
        <w:tab/>
        <w:t>Civil proceedings cannot be brought in respect of a matter arising under the Pilbara Networks Access Code except —</w:t>
      </w:r>
    </w:p>
    <w:p>
      <w:pPr>
        <w:pStyle w:val="Indenta"/>
      </w:pPr>
      <w:r>
        <w:tab/>
        <w:t>(a)</w:t>
      </w:r>
      <w:r>
        <w:tab/>
        <w:t>in accordance with the regulations; or</w:t>
      </w:r>
    </w:p>
    <w:p>
      <w:pPr>
        <w:pStyle w:val="Indenta"/>
      </w:pPr>
      <w:r>
        <w:tab/>
        <w:t>(b)</w:t>
      </w:r>
      <w:r>
        <w:tab/>
        <w:t xml:space="preserve">by arbitration under the Pilbara Networks Access Code; or </w:t>
      </w:r>
    </w:p>
    <w:p>
      <w:pPr>
        <w:pStyle w:val="Indenta"/>
      </w:pPr>
      <w:r>
        <w:tab/>
        <w:t>(c)</w:t>
      </w:r>
      <w:r>
        <w:tab/>
        <w:t>in accordance with section 130.</w:t>
      </w:r>
    </w:p>
    <w:p>
      <w:pPr>
        <w:pStyle w:val="Subsection"/>
        <w:keepNext/>
      </w:pPr>
      <w:r>
        <w:lastRenderedPageBreak/>
        <w:tab/>
        <w:t>(2)</w:t>
      </w:r>
      <w:r>
        <w:tab/>
        <w:t>Nothing in subsection (1) affects the right of a person — </w:t>
      </w:r>
    </w:p>
    <w:p>
      <w:pPr>
        <w:pStyle w:val="Indenta"/>
      </w:pPr>
      <w:r>
        <w:tab/>
        <w:t>(a)</w:t>
      </w:r>
      <w:r>
        <w:tab/>
        <w:t>to bring civil proceedings in respect of any matter or thing, or seek any relief or remedy, if the cause of action arises, or the relief or remedy is sought, on grounds that do not rely on the Pilbara Networks Access Code; or</w:t>
      </w:r>
    </w:p>
    <w:p>
      <w:pPr>
        <w:pStyle w:val="Indenta"/>
      </w:pPr>
      <w:r>
        <w:tab/>
        <w:t>(b)</w:t>
      </w:r>
      <w:r>
        <w:tab/>
        <w:t>to bring proceedings for judicial review of a decision made under this Act or the Pilbara Networks Access Code.</w:t>
      </w:r>
    </w:p>
    <w:p>
      <w:pPr>
        <w:pStyle w:val="Footnotesection"/>
      </w:pPr>
      <w:r>
        <w:tab/>
        <w:t>[Section 120T inserted: No. 9 of 2020 s. 19.]</w:t>
      </w:r>
    </w:p>
    <w:p>
      <w:pPr>
        <w:pStyle w:val="Heading5"/>
      </w:pPr>
      <w:bookmarkStart w:id="519" w:name="_Toc164842838"/>
      <w:r>
        <w:rPr>
          <w:rStyle w:val="CharSectno"/>
        </w:rPr>
        <w:t>120U</w:t>
      </w:r>
      <w:r>
        <w:t>.</w:t>
      </w:r>
      <w:r>
        <w:tab/>
        <w:t>Criminal proceedings do not lie</w:t>
      </w:r>
      <w:bookmarkEnd w:id="519"/>
    </w:p>
    <w:p>
      <w:pPr>
        <w:pStyle w:val="Subsection"/>
      </w:pPr>
      <w:r>
        <w:tab/>
        <w:t>(1)</w:t>
      </w:r>
      <w:r>
        <w:tab/>
        <w:t xml:space="preserve">Criminal proceedings (including proceedings under </w:t>
      </w:r>
      <w:r>
        <w:rPr>
          <w:i/>
        </w:rPr>
        <w:t xml:space="preserve">The Criminal Code </w:t>
      </w:r>
      <w:r>
        <w:t>section 177 or 178) do not lie against a person by reason only that the person has contravened a provision of the Pilbara Networks Access Code.</w:t>
      </w:r>
    </w:p>
    <w:p>
      <w:pPr>
        <w:pStyle w:val="Subsection"/>
      </w:pPr>
      <w:r>
        <w:tab/>
        <w:t>(2)</w:t>
      </w:r>
      <w:r>
        <w:tab/>
        <w:t>Nothing in subsection (1) affects section 120S.</w:t>
      </w:r>
    </w:p>
    <w:p>
      <w:pPr>
        <w:pStyle w:val="Footnotesection"/>
      </w:pPr>
      <w:r>
        <w:tab/>
        <w:t>[Section 120U inserted: No. 9 of 2020 s. 19.]</w:t>
      </w:r>
    </w:p>
    <w:p>
      <w:pPr>
        <w:pStyle w:val="Heading5"/>
      </w:pPr>
      <w:bookmarkStart w:id="520" w:name="_Toc164842839"/>
      <w:r>
        <w:rPr>
          <w:rStyle w:val="CharSectno"/>
        </w:rPr>
        <w:t>120V</w:t>
      </w:r>
      <w:r>
        <w:t>.</w:t>
      </w:r>
      <w:r>
        <w:tab/>
        <w:t>Regulations as to enforcement of Pilbara Networks Access Code and Pilbara networks rules</w:t>
      </w:r>
      <w:bookmarkEnd w:id="520"/>
    </w:p>
    <w:p>
      <w:pPr>
        <w:pStyle w:val="Subsection"/>
      </w:pPr>
      <w:r>
        <w:tab/>
        <w:t>(1)</w:t>
      </w:r>
      <w:r>
        <w:tab/>
        <w:t>The regulations may prescribe all matters that are necessary or convenient to be prescribed for the enforcement of the Pilbara Networks Access Code and the Pilbara networks rules.</w:t>
      </w:r>
    </w:p>
    <w:p>
      <w:pPr>
        <w:pStyle w:val="Subsection"/>
      </w:pPr>
      <w:r>
        <w:tab/>
        <w:t>(2)</w:t>
      </w:r>
      <w:r>
        <w:tab/>
        <w:t xml:space="preserve">Without limiting section 131 or 131B or subsection (1), the regulations may do all or any of the following — </w:t>
      </w:r>
    </w:p>
    <w:p>
      <w:pPr>
        <w:pStyle w:val="Indenta"/>
      </w:pPr>
      <w:r>
        <w:tab/>
        <w:t>(a)</w:t>
      </w:r>
      <w:r>
        <w:tab/>
        <w:t>provide that a provision of the Pilbara Networks Access Code or the Pilbara networks rules specified in the regulations, or of a class specified in the regulations, is a civil penalty provision for the purposes of the regulations;</w:t>
      </w:r>
    </w:p>
    <w:p>
      <w:pPr>
        <w:pStyle w:val="Indenta"/>
        <w:keepNext/>
      </w:pPr>
      <w:r>
        <w:tab/>
        <w:t>(b)</w:t>
      </w:r>
      <w:r>
        <w:tab/>
        <w:t xml:space="preserve">prescribe, for a contravention of a civil penalty provision the following amounts that may, in accordance with the </w:t>
      </w:r>
      <w:r>
        <w:lastRenderedPageBreak/>
        <w:t>regulations, be demanded from or imposed upon a person who contravenes the provision — </w:t>
      </w:r>
    </w:p>
    <w:p>
      <w:pPr>
        <w:pStyle w:val="Indenti"/>
      </w:pPr>
      <w:r>
        <w:tab/>
        <w:t>(i)</w:t>
      </w:r>
      <w:r>
        <w:tab/>
        <w:t>an amount not exceeding $100 000; and</w:t>
      </w:r>
    </w:p>
    <w:p>
      <w:pPr>
        <w:pStyle w:val="Indenti"/>
      </w:pPr>
      <w:r>
        <w:tab/>
        <w:t>(ii)</w:t>
      </w:r>
      <w:r>
        <w:tab/>
        <w:t>in addition a daily amount not exceeding $20 000;</w:t>
      </w:r>
    </w:p>
    <w:p>
      <w:pPr>
        <w:pStyle w:val="Indenta"/>
      </w:pPr>
      <w:r>
        <w:tab/>
        <w:t>(c)</w:t>
      </w:r>
      <w:r>
        <w:tab/>
        <w:t>provide for demands for the payment of amounts referred to in paragraph (b) and the enforcement of demands for their payment;</w:t>
      </w:r>
    </w:p>
    <w:p>
      <w:pPr>
        <w:pStyle w:val="Indenta"/>
      </w:pPr>
      <w:r>
        <w:tab/>
        <w:t>(d)</w:t>
      </w:r>
      <w:r>
        <w:tab/>
        <w:t>provide for and regulate the taking of proceedings in respect of alleged contraventions of provisions of the Pilbara Networks Access Code or the Pilbara networks rules, provide for the orders that can be made and other sanctions that can be imposed in those proceedings and provide for the enforcement of those orders and sanctions;</w:t>
      </w:r>
    </w:p>
    <w:p>
      <w:pPr>
        <w:pStyle w:val="Indenta"/>
      </w:pPr>
      <w:r>
        <w:tab/>
        <w:t>(e)</w:t>
      </w:r>
      <w:r>
        <w:tab/>
        <w:t>provide for the manner in which amounts received by way of civil penalties are to be dealt with and applied;</w:t>
      </w:r>
    </w:p>
    <w:p>
      <w:pPr>
        <w:pStyle w:val="Indenta"/>
      </w:pPr>
      <w:r>
        <w:tab/>
        <w:t>(f)</w:t>
      </w:r>
      <w:r>
        <w:tab/>
        <w:t>provide for and regulate the taking of proceedings before the Supreme Court for an injunction restraining engagement in conduct contravening a provision of the Pilbara Networks Access Code or the Pilbara networks rules and provide for the granting of an injunction (including an interim injunction) and the rescission or variation of an injunction so granted;</w:t>
      </w:r>
    </w:p>
    <w:p>
      <w:pPr>
        <w:pStyle w:val="Indenta"/>
      </w:pPr>
      <w:r>
        <w:tab/>
        <w:t>(g)</w:t>
      </w:r>
      <w:r>
        <w:tab/>
        <w:t>provide for and regulate the taking of proceedings before the Supreme Court for a declaration as to whether a provision of the Pilbara Networks Access Code or the Pilbara networks rules is being or has been contravened and provide for the orders that can be made in those proceedings;</w:t>
      </w:r>
    </w:p>
    <w:p>
      <w:pPr>
        <w:pStyle w:val="Indenta"/>
      </w:pPr>
      <w:r>
        <w:tab/>
        <w:t>(h)</w:t>
      </w:r>
      <w:r>
        <w:tab/>
        <w:t xml:space="preserve">provide for and regulate the taking of action for the recovery of an amount of loss or damage suffered because of conduct contravening a provision of the </w:t>
      </w:r>
      <w:r>
        <w:lastRenderedPageBreak/>
        <w:t>Pilbara Networks Access Code or the Pilbara networks rules;</w:t>
      </w:r>
    </w:p>
    <w:p>
      <w:pPr>
        <w:pStyle w:val="Indenta"/>
      </w:pPr>
      <w:r>
        <w:tab/>
        <w:t>(i)</w:t>
      </w:r>
      <w:r>
        <w:tab/>
        <w:t>provide for and regulate the making of applications for, and the issue of, warrants relating to the investigation of alleged contraventions of provisions of the Pilbara Networks Access Code or the Pilbara networks rules and for the powers exercisable under warrants.</w:t>
      </w:r>
    </w:p>
    <w:p>
      <w:pPr>
        <w:pStyle w:val="Subsection"/>
      </w:pPr>
      <w:r>
        <w:tab/>
        <w:t>(3)</w:t>
      </w:r>
      <w:r>
        <w:tab/>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Footnotesection"/>
      </w:pPr>
      <w:r>
        <w:tab/>
        <w:t>[Section 120V inserted: No. 9 of 2020 s. 19.]</w:t>
      </w:r>
    </w:p>
    <w:p>
      <w:pPr>
        <w:pStyle w:val="Heading3"/>
      </w:pPr>
      <w:bookmarkStart w:id="521" w:name="_Toc164424773"/>
      <w:bookmarkStart w:id="522" w:name="_Toc164435555"/>
      <w:bookmarkStart w:id="523" w:name="_Toc164435866"/>
      <w:bookmarkStart w:id="524" w:name="_Toc164679680"/>
      <w:bookmarkStart w:id="525" w:name="_Toc164842840"/>
      <w:r>
        <w:rPr>
          <w:rStyle w:val="CharDivNo"/>
        </w:rPr>
        <w:t>Division 6</w:t>
      </w:r>
      <w:r>
        <w:t> — </w:t>
      </w:r>
      <w:r>
        <w:rPr>
          <w:rStyle w:val="CharDivText"/>
        </w:rPr>
        <w:t>Independent system operator</w:t>
      </w:r>
      <w:bookmarkEnd w:id="521"/>
      <w:bookmarkEnd w:id="522"/>
      <w:bookmarkEnd w:id="523"/>
      <w:bookmarkEnd w:id="524"/>
      <w:bookmarkEnd w:id="525"/>
    </w:p>
    <w:p>
      <w:pPr>
        <w:pStyle w:val="Footnoteheading"/>
      </w:pPr>
      <w:r>
        <w:tab/>
        <w:t>[Heading inserted: No. 9 of 2020 s. 19.]</w:t>
      </w:r>
    </w:p>
    <w:p>
      <w:pPr>
        <w:pStyle w:val="Heading5"/>
      </w:pPr>
      <w:bookmarkStart w:id="526" w:name="_Toc164842841"/>
      <w:r>
        <w:rPr>
          <w:rStyle w:val="CharSectno"/>
        </w:rPr>
        <w:t>120W</w:t>
      </w:r>
      <w:r>
        <w:t>.</w:t>
      </w:r>
      <w:r>
        <w:tab/>
        <w:t>Independent system operator</w:t>
      </w:r>
      <w:bookmarkEnd w:id="526"/>
    </w:p>
    <w:p>
      <w:pPr>
        <w:pStyle w:val="Subsection"/>
      </w:pPr>
      <w:r>
        <w:tab/>
        <w:t>(1)</w:t>
      </w:r>
      <w:r>
        <w:tab/>
        <w:t xml:space="preserve">There is to be an independent system operator for Pilbara networks (the </w:t>
      </w:r>
      <w:r>
        <w:rPr>
          <w:rStyle w:val="CharDefText"/>
        </w:rPr>
        <w:t>Pilbara ISO</w:t>
      </w:r>
      <w:r>
        <w:t xml:space="preserve">). </w:t>
      </w:r>
    </w:p>
    <w:p>
      <w:pPr>
        <w:pStyle w:val="Subsection"/>
      </w:pPr>
      <w:r>
        <w:tab/>
        <w:t>(2)</w:t>
      </w:r>
      <w:r>
        <w:tab/>
        <w:t>The Pilbara ISO is to be a person specified in the regulations.</w:t>
      </w:r>
    </w:p>
    <w:p>
      <w:pPr>
        <w:pStyle w:val="Subsection"/>
      </w:pPr>
      <w:r>
        <w:tab/>
        <w:t>(3)</w:t>
      </w:r>
      <w:r>
        <w:tab/>
        <w:t>Without limiting subsection (2), the regulations may specify the Regional Power Corporation as the Pilbara ISO.</w:t>
      </w:r>
    </w:p>
    <w:p>
      <w:pPr>
        <w:pStyle w:val="Subsection"/>
      </w:pPr>
      <w:r>
        <w:tab/>
        <w:t>(4)</w:t>
      </w:r>
      <w:r>
        <w:tab/>
        <w:t xml:space="preserve">Subject to subsection (5), the Pilbara ISO has the following functions — </w:t>
      </w:r>
    </w:p>
    <w:p>
      <w:pPr>
        <w:pStyle w:val="Indenta"/>
      </w:pPr>
      <w:r>
        <w:tab/>
        <w:t>(a)</w:t>
      </w:r>
      <w:r>
        <w:tab/>
        <w:t>to maintain and improve system security in any interconnected Pilbara system;</w:t>
      </w:r>
    </w:p>
    <w:p>
      <w:pPr>
        <w:pStyle w:val="Indenta"/>
      </w:pPr>
      <w:r>
        <w:tab/>
        <w:t>(b)</w:t>
      </w:r>
      <w:r>
        <w:tab/>
        <w:t>to facilitate overall network co</w:t>
      </w:r>
      <w:r>
        <w:noBreakHyphen/>
        <w:t>ordination and planning for interconnected Pilbara systems;</w:t>
      </w:r>
    </w:p>
    <w:p>
      <w:pPr>
        <w:pStyle w:val="Indenta"/>
      </w:pPr>
      <w:r>
        <w:tab/>
        <w:t>(c)</w:t>
      </w:r>
      <w:r>
        <w:tab/>
        <w:t>any functions in relation to covered Pilbara networks given by this Act, the regulations, the Pilbara Networks Access Code or the Pilbara networks rules;</w:t>
      </w:r>
    </w:p>
    <w:p>
      <w:pPr>
        <w:pStyle w:val="Indenta"/>
      </w:pPr>
      <w:r>
        <w:lastRenderedPageBreak/>
        <w:tab/>
        <w:t>(d)</w:t>
      </w:r>
      <w:r>
        <w:tab/>
        <w:t>in relation to Pilbara networks that are not covered Pilbara networks or part of an interconnected Pilbara system —</w:t>
      </w:r>
    </w:p>
    <w:p>
      <w:pPr>
        <w:pStyle w:val="Indenti"/>
      </w:pPr>
      <w:r>
        <w:tab/>
        <w:t>(i)</w:t>
      </w:r>
      <w:r>
        <w:tab/>
        <w:t>to collect and consider information relating to the operation, management, security and reliability of the Pilbara networks; and</w:t>
      </w:r>
    </w:p>
    <w:p>
      <w:pPr>
        <w:pStyle w:val="Indenti"/>
      </w:pPr>
      <w:r>
        <w:tab/>
        <w:t>(ii)</w:t>
      </w:r>
      <w:r>
        <w:tab/>
        <w:t>to report as specified by the regulations to the Minister, the Authority or a specified person on those matters; and</w:t>
      </w:r>
    </w:p>
    <w:p>
      <w:pPr>
        <w:pStyle w:val="Indenti"/>
      </w:pPr>
      <w:r>
        <w:tab/>
        <w:t>(iii)</w:t>
      </w:r>
      <w:r>
        <w:tab/>
        <w:t>to publish information on those matters.</w:t>
      </w:r>
    </w:p>
    <w:p>
      <w:pPr>
        <w:pStyle w:val="Subsection"/>
      </w:pPr>
      <w:r>
        <w:tab/>
        <w:t>(5)</w:t>
      </w:r>
      <w:r>
        <w:tab/>
        <w:t>The regulations may specify that the initial Pilbara ISO is to have only those functions mentioned in subsection (4) that are specified in the regulations.</w:t>
      </w:r>
    </w:p>
    <w:p>
      <w:pPr>
        <w:pStyle w:val="Footnotesection"/>
      </w:pPr>
      <w:r>
        <w:tab/>
        <w:t>[Section 120W inserted: No. 9 of 2020 s. 19.]</w:t>
      </w:r>
    </w:p>
    <w:p>
      <w:pPr>
        <w:pStyle w:val="Heading5"/>
      </w:pPr>
      <w:bookmarkStart w:id="527" w:name="_Toc164842842"/>
      <w:r>
        <w:rPr>
          <w:rStyle w:val="CharSectno"/>
        </w:rPr>
        <w:t>120X</w:t>
      </w:r>
      <w:r>
        <w:t>.</w:t>
      </w:r>
      <w:r>
        <w:tab/>
        <w:t>Regulations relating to Pilbara ISO</w:t>
      </w:r>
      <w:bookmarkEnd w:id="527"/>
    </w:p>
    <w:p>
      <w:pPr>
        <w:pStyle w:val="Subsection"/>
      </w:pPr>
      <w:r>
        <w:tab/>
      </w:r>
      <w:r>
        <w:tab/>
        <w:t xml:space="preserve">The regulations may provide, or authorise the Pilbara Networks Access Code or the Pilbara networks rules to provide, for the following — </w:t>
      </w:r>
    </w:p>
    <w:p>
      <w:pPr>
        <w:pStyle w:val="Indenta"/>
      </w:pPr>
      <w:r>
        <w:tab/>
        <w:t>(a)</w:t>
      </w:r>
      <w:r>
        <w:tab/>
        <w:t>that the Pilbara ISO may delegate the performance of a function to another person or body;</w:t>
      </w:r>
    </w:p>
    <w:p>
      <w:pPr>
        <w:pStyle w:val="Indenta"/>
      </w:pPr>
      <w:r>
        <w:tab/>
        <w:t>(b)</w:t>
      </w:r>
      <w:r>
        <w:tab/>
        <w:t>that a delegation under paragraph (a) may permit the delegate to further delegate the performance of the function in accordance with the delegation;</w:t>
      </w:r>
    </w:p>
    <w:p>
      <w:pPr>
        <w:pStyle w:val="Indenta"/>
      </w:pPr>
      <w:r>
        <w:tab/>
        <w:t>(c)</w:t>
      </w:r>
      <w:r>
        <w:tab/>
        <w:t>the regulation of delegations under this section;</w:t>
      </w:r>
    </w:p>
    <w:p>
      <w:pPr>
        <w:pStyle w:val="Indenta"/>
      </w:pPr>
      <w:r>
        <w:tab/>
        <w:t>(d)</w:t>
      </w:r>
      <w:r>
        <w:tab/>
        <w:t>the regulation of contracts relating to delegations under this section, including that such contracts must comply with the requirements specified in the regulations, code or rules;</w:t>
      </w:r>
    </w:p>
    <w:p>
      <w:pPr>
        <w:pStyle w:val="Indenta"/>
      </w:pPr>
      <w:r>
        <w:tab/>
        <w:t>(e)</w:t>
      </w:r>
      <w:r>
        <w:tab/>
        <w:t>the obligations of the Pilbara ISO in relation to a function the performance of which has been delegated to another person or body;</w:t>
      </w:r>
    </w:p>
    <w:p>
      <w:pPr>
        <w:pStyle w:val="Indenta"/>
      </w:pPr>
      <w:r>
        <w:lastRenderedPageBreak/>
        <w:tab/>
        <w:t>(f)</w:t>
      </w:r>
      <w:r>
        <w:tab/>
        <w:t>the obligations of the Pilbara ISO in relation to the segregation of the functions of the Pilbara ISO under this Part (including as to personnel, operations, financial and legal matters and related matters) from other functions and business of the Pilbara ISO;</w:t>
      </w:r>
    </w:p>
    <w:p>
      <w:pPr>
        <w:pStyle w:val="Indenta"/>
      </w:pPr>
      <w:r>
        <w:tab/>
        <w:t>(g)</w:t>
      </w:r>
      <w:r>
        <w:tab/>
        <w:t>the obligations of the Pilbara ISO to —</w:t>
      </w:r>
    </w:p>
    <w:p>
      <w:pPr>
        <w:pStyle w:val="Indenti"/>
      </w:pPr>
      <w:r>
        <w:tab/>
        <w:t>(i)</w:t>
      </w:r>
      <w:r>
        <w:tab/>
        <w:t>report as specified by the regulations to the Minister, the Authority or a specified person on specified matters; and</w:t>
      </w:r>
    </w:p>
    <w:p>
      <w:pPr>
        <w:pStyle w:val="Indenti"/>
      </w:pPr>
      <w:r>
        <w:tab/>
        <w:t>(ii)</w:t>
      </w:r>
      <w:r>
        <w:tab/>
        <w:t>prepare and publish information on specified matters.</w:t>
      </w:r>
    </w:p>
    <w:p>
      <w:pPr>
        <w:pStyle w:val="Footnotesection"/>
      </w:pPr>
      <w:r>
        <w:tab/>
        <w:t>[Section 120X inserted: No. 9 of 2020 s. 19.]</w:t>
      </w:r>
    </w:p>
    <w:p>
      <w:pPr>
        <w:pStyle w:val="Heading3"/>
      </w:pPr>
      <w:bookmarkStart w:id="528" w:name="_Toc164424776"/>
      <w:bookmarkStart w:id="529" w:name="_Toc164435558"/>
      <w:bookmarkStart w:id="530" w:name="_Toc164435869"/>
      <w:bookmarkStart w:id="531" w:name="_Toc164679683"/>
      <w:bookmarkStart w:id="532" w:name="_Toc164842843"/>
      <w:r>
        <w:rPr>
          <w:rStyle w:val="CharDivNo"/>
        </w:rPr>
        <w:t>Division 7</w:t>
      </w:r>
      <w:r>
        <w:t> — </w:t>
      </w:r>
      <w:r>
        <w:rPr>
          <w:rStyle w:val="CharDivText"/>
        </w:rPr>
        <w:t>Functions of Authority</w:t>
      </w:r>
      <w:bookmarkEnd w:id="528"/>
      <w:bookmarkEnd w:id="529"/>
      <w:bookmarkEnd w:id="530"/>
      <w:bookmarkEnd w:id="531"/>
      <w:bookmarkEnd w:id="532"/>
    </w:p>
    <w:p>
      <w:pPr>
        <w:pStyle w:val="Footnoteheading"/>
      </w:pPr>
      <w:r>
        <w:tab/>
        <w:t>[Heading inserted: No. 9 of 2020 s. 19.]</w:t>
      </w:r>
    </w:p>
    <w:p>
      <w:pPr>
        <w:pStyle w:val="Heading5"/>
      </w:pPr>
      <w:bookmarkStart w:id="533" w:name="_Toc164842844"/>
      <w:r>
        <w:rPr>
          <w:rStyle w:val="CharSectno"/>
        </w:rPr>
        <w:t>120Y</w:t>
      </w:r>
      <w:r>
        <w:t>.</w:t>
      </w:r>
      <w:r>
        <w:tab/>
        <w:t>Functions of Authority</w:t>
      </w:r>
      <w:bookmarkEnd w:id="533"/>
    </w:p>
    <w:p>
      <w:pPr>
        <w:pStyle w:val="Subsection"/>
      </w:pPr>
      <w:r>
        <w:tab/>
        <w:t>(1)</w:t>
      </w:r>
      <w:r>
        <w:tab/>
        <w:t>The Authority has the functions conferred on it under this Part.</w:t>
      </w:r>
    </w:p>
    <w:p>
      <w:pPr>
        <w:pStyle w:val="Subsection"/>
      </w:pPr>
      <w:r>
        <w:tab/>
        <w:t>(2)</w:t>
      </w:r>
      <w:r>
        <w:tab/>
        <w:t>Without limiting section 131 or 131B or subsection (1), the regulations may provide for the obligations of the Authority to —</w:t>
      </w:r>
    </w:p>
    <w:p>
      <w:pPr>
        <w:pStyle w:val="Indenta"/>
      </w:pPr>
      <w:r>
        <w:tab/>
        <w:t>(a)</w:t>
      </w:r>
      <w:r>
        <w:tab/>
        <w:t>report to the Minister on specified matters; and</w:t>
      </w:r>
    </w:p>
    <w:p>
      <w:pPr>
        <w:pStyle w:val="Indenta"/>
      </w:pPr>
      <w:r>
        <w:tab/>
        <w:t>(b)</w:t>
      </w:r>
      <w:r>
        <w:tab/>
        <w:t>prepare and publish information on specified matters.</w:t>
      </w:r>
    </w:p>
    <w:p>
      <w:pPr>
        <w:pStyle w:val="Footnotesection"/>
      </w:pPr>
      <w:r>
        <w:tab/>
        <w:t>[Section 120Y inserted: No. 9 of 2020 s. 19.]</w:t>
      </w:r>
    </w:p>
    <w:p>
      <w:pPr>
        <w:pStyle w:val="Heading3"/>
      </w:pPr>
      <w:bookmarkStart w:id="534" w:name="_Toc164424778"/>
      <w:bookmarkStart w:id="535" w:name="_Toc164435560"/>
      <w:bookmarkStart w:id="536" w:name="_Toc164435871"/>
      <w:bookmarkStart w:id="537" w:name="_Toc164679685"/>
      <w:bookmarkStart w:id="538" w:name="_Toc164842845"/>
      <w:r>
        <w:rPr>
          <w:rStyle w:val="CharDivNo"/>
        </w:rPr>
        <w:t>Division 8</w:t>
      </w:r>
      <w:r>
        <w:t> — </w:t>
      </w:r>
      <w:r>
        <w:rPr>
          <w:rStyle w:val="CharDivText"/>
        </w:rPr>
        <w:t>Reviews of decisions</w:t>
      </w:r>
      <w:bookmarkEnd w:id="534"/>
      <w:bookmarkEnd w:id="535"/>
      <w:bookmarkEnd w:id="536"/>
      <w:bookmarkEnd w:id="537"/>
      <w:bookmarkEnd w:id="538"/>
    </w:p>
    <w:p>
      <w:pPr>
        <w:pStyle w:val="Footnoteheading"/>
        <w:keepNext/>
      </w:pPr>
      <w:r>
        <w:tab/>
        <w:t>[Heading inserted: No. 9 of 2020 s. 19.]</w:t>
      </w:r>
    </w:p>
    <w:p>
      <w:pPr>
        <w:pStyle w:val="Heading5"/>
      </w:pPr>
      <w:bookmarkStart w:id="539" w:name="_Toc164842846"/>
      <w:r>
        <w:rPr>
          <w:rStyle w:val="CharSectno"/>
        </w:rPr>
        <w:t>120Z</w:t>
      </w:r>
      <w:r>
        <w:t>.</w:t>
      </w:r>
      <w:r>
        <w:tab/>
        <w:t>Reviews of decisions</w:t>
      </w:r>
      <w:bookmarkEnd w:id="539"/>
    </w:p>
    <w:p>
      <w:pPr>
        <w:pStyle w:val="Subsection"/>
        <w:keepNext/>
      </w:pPr>
      <w:r>
        <w:tab/>
        <w:t>(1)</w:t>
      </w:r>
      <w:r>
        <w:tab/>
        <w:t xml:space="preserve">Application may be made to the Board for the review by the Board of decisions of the following that are made under the </w:t>
      </w:r>
      <w:r>
        <w:lastRenderedPageBreak/>
        <w:t>regulations or the Pilbara networks rules and are of a class specified in the regulations —</w:t>
      </w:r>
    </w:p>
    <w:p>
      <w:pPr>
        <w:pStyle w:val="Indenta"/>
      </w:pPr>
      <w:r>
        <w:tab/>
        <w:t>(a)</w:t>
      </w:r>
      <w:r>
        <w:tab/>
        <w:t xml:space="preserve">a person on whom functions are conferred under this Part; </w:t>
      </w:r>
    </w:p>
    <w:p>
      <w:pPr>
        <w:pStyle w:val="Indenta"/>
      </w:pPr>
      <w:r>
        <w:tab/>
        <w:t>(b)</w:t>
      </w:r>
      <w:r>
        <w:tab/>
        <w:t>a person on whom functions relating to this Part are conferred by another written law.</w:t>
      </w:r>
    </w:p>
    <w:p>
      <w:pPr>
        <w:pStyle w:val="Subsection"/>
      </w:pPr>
      <w:r>
        <w:tab/>
        <w:t>(2)</w:t>
      </w:r>
      <w:r>
        <w:tab/>
        <w:t>Regulations may —</w:t>
      </w:r>
    </w:p>
    <w:p>
      <w:pPr>
        <w:pStyle w:val="Indenta"/>
      </w:pPr>
      <w:r>
        <w:tab/>
        <w:t>(a)</w:t>
      </w:r>
      <w:r>
        <w:tab/>
        <w:t>provide for the powers of the Board in relation to reviews provided for in those regulations; and</w:t>
      </w:r>
    </w:p>
    <w:p>
      <w:pPr>
        <w:pStyle w:val="Indenta"/>
      </w:pPr>
      <w:r>
        <w:tab/>
        <w:t>(b)</w:t>
      </w:r>
      <w:r>
        <w:tab/>
        <w:t>make other provision that it is necessary or convenient to make in relation to those reviews.</w:t>
      </w:r>
    </w:p>
    <w:p>
      <w:pPr>
        <w:pStyle w:val="Subsection"/>
      </w:pPr>
      <w:r>
        <w:tab/>
        <w:t>(3)</w:t>
      </w:r>
      <w:r>
        <w:tab/>
        <w:t>Nothing in subsection (1) prevents or affects the review by a court or tribunal, according to law, of decisions of the persons referred to in that subsection made under the regulations or the Pilbara networks rules.</w:t>
      </w:r>
    </w:p>
    <w:p>
      <w:pPr>
        <w:pStyle w:val="Footnotesection"/>
      </w:pPr>
      <w:r>
        <w:tab/>
        <w:t>[Section 120Z inserted: No. 9 of 2020 s. 19.]</w:t>
      </w:r>
    </w:p>
    <w:p>
      <w:pPr>
        <w:pStyle w:val="Heading3"/>
        <w:keepLines/>
      </w:pPr>
      <w:bookmarkStart w:id="540" w:name="_Toc164424780"/>
      <w:bookmarkStart w:id="541" w:name="_Toc164435562"/>
      <w:bookmarkStart w:id="542" w:name="_Toc164435873"/>
      <w:bookmarkStart w:id="543" w:name="_Toc164679687"/>
      <w:bookmarkStart w:id="544" w:name="_Toc164842847"/>
      <w:r>
        <w:rPr>
          <w:rStyle w:val="CharDivNo"/>
        </w:rPr>
        <w:t>Division 9</w:t>
      </w:r>
      <w:r>
        <w:t> — </w:t>
      </w:r>
      <w:r>
        <w:rPr>
          <w:rStyle w:val="CharDivText"/>
        </w:rPr>
        <w:t>Immunity</w:t>
      </w:r>
      <w:bookmarkEnd w:id="540"/>
      <w:bookmarkEnd w:id="541"/>
      <w:bookmarkEnd w:id="542"/>
      <w:bookmarkEnd w:id="543"/>
      <w:bookmarkEnd w:id="544"/>
    </w:p>
    <w:p>
      <w:pPr>
        <w:pStyle w:val="Footnoteheading"/>
        <w:keepNext/>
        <w:keepLines/>
      </w:pPr>
      <w:r>
        <w:tab/>
        <w:t>[Heading inserted: No. 9 of 2020 s. 19.]</w:t>
      </w:r>
    </w:p>
    <w:p>
      <w:pPr>
        <w:pStyle w:val="Heading5"/>
      </w:pPr>
      <w:bookmarkStart w:id="545" w:name="_Toc164842848"/>
      <w:r>
        <w:rPr>
          <w:rStyle w:val="CharSectno"/>
        </w:rPr>
        <w:t>120ZA</w:t>
      </w:r>
      <w:r>
        <w:t>.</w:t>
      </w:r>
      <w:r>
        <w:tab/>
        <w:t>Terms used</w:t>
      </w:r>
      <w:bookmarkEnd w:id="545"/>
    </w:p>
    <w:p>
      <w:pPr>
        <w:pStyle w:val="Subsection"/>
        <w:keepNext/>
        <w:keepLines/>
      </w:pPr>
      <w:r>
        <w:tab/>
        <w:t>(1)</w:t>
      </w:r>
      <w:r>
        <w:tab/>
        <w:t>In this Division —</w:t>
      </w:r>
    </w:p>
    <w:p>
      <w:pPr>
        <w:pStyle w:val="Defstart"/>
        <w:keepNext/>
        <w:keepLines/>
      </w:pPr>
      <w:r>
        <w:rPr>
          <w:b/>
        </w:rPr>
        <w:tab/>
      </w:r>
      <w:r>
        <w:rPr>
          <w:rStyle w:val="CharDefText"/>
        </w:rPr>
        <w:t>civil monetary liability</w:t>
      </w:r>
      <w:r>
        <w:t xml:space="preserve"> means liability to pay damages or compensation or any other amount ordered in a civil proceeding, but does not include liability to pay a civil penalty under the regulations;</w:t>
      </w:r>
    </w:p>
    <w:p>
      <w:pPr>
        <w:pStyle w:val="Defstart"/>
      </w:pPr>
      <w:r>
        <w:tab/>
      </w:r>
      <w:r>
        <w:rPr>
          <w:rStyle w:val="CharDefText"/>
        </w:rPr>
        <w:t>entity</w:t>
      </w:r>
      <w:r>
        <w:t xml:space="preserve"> includes the following — </w:t>
      </w:r>
    </w:p>
    <w:p>
      <w:pPr>
        <w:pStyle w:val="Defpara"/>
      </w:pPr>
      <w:r>
        <w:tab/>
        <w:t>(a)</w:t>
      </w:r>
      <w:r>
        <w:tab/>
        <w:t>a body corporate;</w:t>
      </w:r>
    </w:p>
    <w:p>
      <w:pPr>
        <w:pStyle w:val="Defpara"/>
      </w:pPr>
      <w:r>
        <w:tab/>
        <w:t>(b)</w:t>
      </w:r>
      <w:r>
        <w:tab/>
        <w:t>a partnership;</w:t>
      </w:r>
    </w:p>
    <w:p>
      <w:pPr>
        <w:pStyle w:val="Defpara"/>
      </w:pPr>
      <w:r>
        <w:tab/>
        <w:t>(c)</w:t>
      </w:r>
      <w:r>
        <w:tab/>
        <w:t>an unincorporated body;</w:t>
      </w:r>
    </w:p>
    <w:p>
      <w:pPr>
        <w:pStyle w:val="Defpara"/>
      </w:pPr>
      <w:r>
        <w:tab/>
        <w:t>(d)</w:t>
      </w:r>
      <w:r>
        <w:tab/>
        <w:t>an individual;</w:t>
      </w:r>
    </w:p>
    <w:p>
      <w:pPr>
        <w:pStyle w:val="Defpara"/>
      </w:pPr>
      <w:r>
        <w:lastRenderedPageBreak/>
        <w:tab/>
        <w:t>(e)</w:t>
      </w:r>
      <w:r>
        <w:tab/>
        <w:t>for a trust that has only 1 trustee —the trustee;</w:t>
      </w:r>
    </w:p>
    <w:p>
      <w:pPr>
        <w:pStyle w:val="Defpara"/>
      </w:pPr>
      <w:r>
        <w:tab/>
        <w:t>(f)</w:t>
      </w:r>
      <w:r>
        <w:tab/>
        <w:t>for a trust that has more than 1 trustee —the trustees together;</w:t>
      </w:r>
    </w:p>
    <w:p>
      <w:pPr>
        <w:pStyle w:val="Defstart"/>
      </w:pPr>
      <w:r>
        <w:rPr>
          <w:b/>
        </w:rPr>
        <w:tab/>
      </w:r>
      <w:r>
        <w:rPr>
          <w:rStyle w:val="CharDefText"/>
        </w:rPr>
        <w:t>officer</w:t>
      </w:r>
      <w:r>
        <w:t xml:space="preserve"> of an entity that is a corporation has the meaning given to officer of a corporation in the </w:t>
      </w:r>
      <w:r>
        <w:rPr>
          <w:i/>
        </w:rPr>
        <w:t>Corporations Act 2001</w:t>
      </w:r>
      <w:r>
        <w:t xml:space="preserve"> (Commonwealth) section 9;</w:t>
      </w:r>
    </w:p>
    <w:p>
      <w:pPr>
        <w:pStyle w:val="Defstart"/>
      </w:pPr>
      <w:r>
        <w:rPr>
          <w:b/>
        </w:rPr>
        <w:tab/>
      </w:r>
      <w:r>
        <w:rPr>
          <w:rStyle w:val="CharDefText"/>
        </w:rPr>
        <w:t>officer</w:t>
      </w:r>
      <w:r>
        <w:t xml:space="preserve"> of an entity that is neither an individual nor a corporation has the meaning given to that term in the </w:t>
      </w:r>
      <w:r>
        <w:rPr>
          <w:i/>
        </w:rPr>
        <w:t>Corporations Act 2001</w:t>
      </w:r>
      <w:r>
        <w:t xml:space="preserve"> (Commonwealth) section 9;</w:t>
      </w:r>
    </w:p>
    <w:p>
      <w:pPr>
        <w:pStyle w:val="Defstart"/>
      </w:pPr>
      <w:r>
        <w:rPr>
          <w:b/>
        </w:rPr>
        <w:tab/>
      </w:r>
      <w:r>
        <w:rPr>
          <w:rStyle w:val="CharDefText"/>
        </w:rPr>
        <w:t>participant</w:t>
      </w:r>
      <w:r>
        <w:t xml:space="preserve"> means a person — </w:t>
      </w:r>
    </w:p>
    <w:p>
      <w:pPr>
        <w:pStyle w:val="Defpara"/>
      </w:pPr>
      <w:r>
        <w:tab/>
        <w:t>(a)</w:t>
      </w:r>
      <w:r>
        <w:tab/>
        <w:t>on whom functions are conferred under this Part; or</w:t>
      </w:r>
    </w:p>
    <w:p>
      <w:pPr>
        <w:pStyle w:val="Defpara"/>
      </w:pPr>
      <w:r>
        <w:tab/>
        <w:t>(b)</w:t>
      </w:r>
      <w:r>
        <w:tab/>
        <w:t>to whom the performance of a function has been delegated under this Part; or</w:t>
      </w:r>
    </w:p>
    <w:p>
      <w:pPr>
        <w:pStyle w:val="Defpara"/>
      </w:pPr>
      <w:r>
        <w:tab/>
        <w:t>(c)</w:t>
      </w:r>
      <w:r>
        <w:tab/>
        <w:t>on whom functions relating to this Part are conferred by another written law;</w:t>
      </w:r>
    </w:p>
    <w:p>
      <w:pPr>
        <w:pStyle w:val="Defstart"/>
      </w:pPr>
      <w:r>
        <w:rPr>
          <w:b/>
        </w:rPr>
        <w:tab/>
      </w:r>
      <w:r>
        <w:rPr>
          <w:rStyle w:val="CharDefText"/>
        </w:rPr>
        <w:t>preparing entity</w:t>
      </w:r>
      <w:r>
        <w:t xml:space="preserve"> means an entity that enters into an arrangement with the State, including before the commencement of the </w:t>
      </w:r>
      <w:r>
        <w:rPr>
          <w:i/>
        </w:rPr>
        <w:t>Electricity Industry Amendment Act 2020</w:t>
      </w:r>
      <w:r>
        <w:t>, to carry out preparatory work in anticipation of, or in preparation for, the performance by the entity of any of the functions of the Pilbara ISO under this Part.</w:t>
      </w:r>
    </w:p>
    <w:p>
      <w:pPr>
        <w:pStyle w:val="Subsection"/>
      </w:pPr>
      <w:r>
        <w:tab/>
        <w:t>(2)</w:t>
      </w:r>
      <w:r>
        <w:tab/>
        <w:t xml:space="preserve">In this Division, a reference to the commencement of the </w:t>
      </w:r>
      <w:r>
        <w:rPr>
          <w:i/>
        </w:rPr>
        <w:t>Electricity Industry Amendment Act 2020</w:t>
      </w:r>
      <w:r>
        <w:t xml:space="preserve"> is a reference to the day on which section 19 of that Act comes into operation.</w:t>
      </w:r>
    </w:p>
    <w:p>
      <w:pPr>
        <w:pStyle w:val="Footnotesection"/>
      </w:pPr>
      <w:r>
        <w:tab/>
        <w:t>[Section 120ZA inserted: No. 9 of 2020 s. 19.]</w:t>
      </w:r>
    </w:p>
    <w:p>
      <w:pPr>
        <w:pStyle w:val="Heading5"/>
      </w:pPr>
      <w:bookmarkStart w:id="546" w:name="_Toc164842849"/>
      <w:r>
        <w:rPr>
          <w:rStyle w:val="CharSectno"/>
        </w:rPr>
        <w:t>120ZB</w:t>
      </w:r>
      <w:r>
        <w:t>.</w:t>
      </w:r>
      <w:r>
        <w:tab/>
        <w:t>Immunity of participants and their officers or employees</w:t>
      </w:r>
      <w:bookmarkEnd w:id="546"/>
    </w:p>
    <w:p>
      <w:pPr>
        <w:pStyle w:val="Subsection"/>
      </w:pPr>
      <w:r>
        <w:tab/>
        <w:t>(1)</w:t>
      </w:r>
      <w:r>
        <w:tab/>
        <w:t>A participant, or an officer or employee of a participant, does not incur any civil monetary liability for an act or omission of the participant, a delegate of the participant or a delegate of the delegate, or an officer or employee of any of them, done or made in good faith in the performance, or purported performance, of a function under this Part.</w:t>
      </w:r>
    </w:p>
    <w:p>
      <w:pPr>
        <w:pStyle w:val="Subsection"/>
      </w:pPr>
      <w:r>
        <w:lastRenderedPageBreak/>
        <w:tab/>
        <w:t>(2)</w:t>
      </w:r>
      <w:r>
        <w:tab/>
        <w:t xml:space="preserve">Subsection (1) has effect — </w:t>
      </w:r>
    </w:p>
    <w:p>
      <w:pPr>
        <w:pStyle w:val="Indenta"/>
      </w:pPr>
      <w:r>
        <w:tab/>
        <w:t>(a)</w:t>
      </w:r>
      <w:r>
        <w:tab/>
        <w:t>in respect of all participants, and officers and employees of them, other than the Pilbara ISO, and officers and employees of it — subject to section 120ZC; and</w:t>
      </w:r>
    </w:p>
    <w:p>
      <w:pPr>
        <w:pStyle w:val="Indenta"/>
      </w:pPr>
      <w:r>
        <w:tab/>
        <w:t>(b)</w:t>
      </w:r>
      <w:r>
        <w:tab/>
        <w:t>in respect of all participants, and officers and employees of them — subject to section 120ZD.</w:t>
      </w:r>
    </w:p>
    <w:p>
      <w:pPr>
        <w:pStyle w:val="Subsection"/>
      </w:pPr>
      <w:r>
        <w:tab/>
        <w:t>(3)</w:t>
      </w:r>
      <w:r>
        <w:tab/>
        <w:t>An entity with which the Pilbara ISO enters into a contract in relation to the Pilbara ISO’s performance of a function under this Part does not incur any civil monetary liability for an act or omission of the entity, or an officer or employee of it, done or made in good faith in the performance, or purported performance, of the contract.</w:t>
      </w:r>
    </w:p>
    <w:p>
      <w:pPr>
        <w:pStyle w:val="Subsection"/>
      </w:pPr>
      <w:r>
        <w:tab/>
        <w:t>(4)</w:t>
      </w:r>
      <w:r>
        <w:tab/>
        <w:t>Subsection (3) has effect subject to sections 120ZC and 120ZD, as if the reference in section 120ZD(1) to 12 months were a reference to 2 months.</w:t>
      </w:r>
    </w:p>
    <w:p>
      <w:pPr>
        <w:pStyle w:val="Subsection"/>
        <w:keepNext/>
        <w:keepLines/>
      </w:pPr>
      <w:r>
        <w:tab/>
        <w:t>(5)</w:t>
      </w:r>
      <w:r>
        <w:tab/>
        <w:t xml:space="preserve">The Pilbara ISO or a preparing entity, or an officer or employee of either of them, does not incur any civil monetary liability for an act or omission of the Pilbara ISO or the preparing entity, or an officer or employee of either of them, done or made, including before the commencement of the </w:t>
      </w:r>
      <w:r>
        <w:rPr>
          <w:i/>
        </w:rPr>
        <w:t>Electricity Industry Amendment Act 2020</w:t>
      </w:r>
      <w:r>
        <w:t>, in good faith in anticipation of, or in preparation or purported preparation for, the performance of a function under this Part.</w:t>
      </w:r>
    </w:p>
    <w:p>
      <w:pPr>
        <w:pStyle w:val="Footnotesection"/>
      </w:pPr>
      <w:r>
        <w:tab/>
        <w:t>[Section 120ZB inserted: No. 9 of 2020 s. 19.]</w:t>
      </w:r>
    </w:p>
    <w:p>
      <w:pPr>
        <w:pStyle w:val="Heading5"/>
      </w:pPr>
      <w:bookmarkStart w:id="547" w:name="_Toc164842850"/>
      <w:r>
        <w:rPr>
          <w:rStyle w:val="CharSectno"/>
        </w:rPr>
        <w:t>120ZC</w:t>
      </w:r>
      <w:r>
        <w:t>.</w:t>
      </w:r>
      <w:r>
        <w:tab/>
        <w:t>Regulations may limit or affect immunity</w:t>
      </w:r>
      <w:bookmarkEnd w:id="547"/>
    </w:p>
    <w:p>
      <w:pPr>
        <w:pStyle w:val="Subsection"/>
      </w:pPr>
      <w:r>
        <w:tab/>
      </w:r>
      <w:r>
        <w:tab/>
        <w:t>The regulations may, for the purposes of section 120ZB, without limitation —</w:t>
      </w:r>
    </w:p>
    <w:p>
      <w:pPr>
        <w:pStyle w:val="Indenta"/>
      </w:pPr>
      <w:r>
        <w:tab/>
        <w:t>(a)</w:t>
      </w:r>
      <w:r>
        <w:tab/>
        <w:t>impose conditions on an immunity granted to an entity under section 120ZB; or</w:t>
      </w:r>
    </w:p>
    <w:p>
      <w:pPr>
        <w:pStyle w:val="Indenta"/>
      </w:pPr>
      <w:r>
        <w:tab/>
        <w:t>(b)</w:t>
      </w:r>
      <w:r>
        <w:tab/>
        <w:t xml:space="preserve">prescribe that an immunity granted under section 120ZB is limited in its application to entities, events, </w:t>
      </w:r>
      <w:r>
        <w:lastRenderedPageBreak/>
        <w:t>circumstances, losses or periods to which they are expressed to apply.</w:t>
      </w:r>
    </w:p>
    <w:p>
      <w:pPr>
        <w:pStyle w:val="Footnotesection"/>
      </w:pPr>
      <w:r>
        <w:tab/>
        <w:t>[Section 120ZC inserted: No. 9 of 2020 s. 19.]</w:t>
      </w:r>
    </w:p>
    <w:p>
      <w:pPr>
        <w:pStyle w:val="Heading5"/>
      </w:pPr>
      <w:bookmarkStart w:id="548" w:name="_Toc164842851"/>
      <w:r>
        <w:rPr>
          <w:rStyle w:val="CharSectno"/>
        </w:rPr>
        <w:t>120ZD</w:t>
      </w:r>
      <w:r>
        <w:t>.</w:t>
      </w:r>
      <w:r>
        <w:tab/>
        <w:t>Limitation on immunity after initial period</w:t>
      </w:r>
      <w:bookmarkEnd w:id="548"/>
    </w:p>
    <w:p>
      <w:pPr>
        <w:pStyle w:val="Subsection"/>
      </w:pPr>
      <w:r>
        <w:tab/>
        <w:t>(1)</w:t>
      </w:r>
      <w:r>
        <w:tab/>
        <w:t>If an act or omission done or made after the expiration of the period of 12 months from the establishment of the initial Pilbara networks rules is negligent —</w:t>
      </w:r>
    </w:p>
    <w:p>
      <w:pPr>
        <w:pStyle w:val="Indenta"/>
      </w:pPr>
      <w:r>
        <w:tab/>
        <w:t>(a)</w:t>
      </w:r>
      <w:r>
        <w:tab/>
        <w:t>the immunity given by section 120ZB does not apply to that act or omission; but</w:t>
      </w:r>
    </w:p>
    <w:p>
      <w:pPr>
        <w:pStyle w:val="Indenta"/>
      </w:pPr>
      <w:r>
        <w:tab/>
        <w:t>(b)</w:t>
      </w:r>
      <w:r>
        <w:tab/>
        <w:t>as long as that act or omission is done or made in good faith, the civil monetary liability for it is not to exceed the prescribed maximum amount.</w:t>
      </w:r>
    </w:p>
    <w:p>
      <w:pPr>
        <w:pStyle w:val="Subsection"/>
      </w:pPr>
      <w:r>
        <w:tab/>
        <w:t>(2)</w:t>
      </w:r>
      <w:r>
        <w:tab/>
        <w:t>The regulations may exempt a specified participant from the operation of subsection (1)(a).</w:t>
      </w:r>
    </w:p>
    <w:p>
      <w:pPr>
        <w:pStyle w:val="Subsection"/>
      </w:pPr>
      <w:r>
        <w:tab/>
        <w:t>(3)</w:t>
      </w:r>
      <w:r>
        <w:tab/>
        <w:t>The regulations may, for the purposes of subsection (1)(b), without limitation —</w:t>
      </w:r>
    </w:p>
    <w:p>
      <w:pPr>
        <w:pStyle w:val="Indenta"/>
      </w:pPr>
      <w:r>
        <w:tab/>
        <w:t>(a)</w:t>
      </w:r>
      <w:r>
        <w:tab/>
        <w:t>prescribe a maximum amount that is limited in its application to entities, events, circumstances, losses or periods to which they are expressed to apply; or</w:t>
      </w:r>
    </w:p>
    <w:p>
      <w:pPr>
        <w:pStyle w:val="Indenta"/>
      </w:pPr>
      <w:r>
        <w:tab/>
        <w:t>(b)</w:t>
      </w:r>
      <w:r>
        <w:tab/>
        <w:t>prescribe maximum amounts that vary in their application according to the entities, events, circumstances, losses or periods to which they are expressed to apply; or</w:t>
      </w:r>
    </w:p>
    <w:p>
      <w:pPr>
        <w:pStyle w:val="Indenta"/>
      </w:pPr>
      <w:r>
        <w:tab/>
        <w:t>(c)</w:t>
      </w:r>
      <w:r>
        <w:tab/>
        <w:t>prescribe a manner in which the maximum amount is to be divided amongst claimants.</w:t>
      </w:r>
    </w:p>
    <w:p>
      <w:pPr>
        <w:pStyle w:val="Footnotesection"/>
      </w:pPr>
      <w:r>
        <w:tab/>
        <w:t>[Section 120ZD inserted: No. 9 of 2020 s. 19.]</w:t>
      </w:r>
    </w:p>
    <w:p>
      <w:pPr>
        <w:pStyle w:val="Heading5"/>
      </w:pPr>
      <w:bookmarkStart w:id="549" w:name="_Toc164842852"/>
      <w:r>
        <w:rPr>
          <w:rStyle w:val="CharSectno"/>
        </w:rPr>
        <w:t>120ZE</w:t>
      </w:r>
      <w:r>
        <w:t>.</w:t>
      </w:r>
      <w:r>
        <w:tab/>
        <w:t>Liability of officer of an entity to that entity not affected</w:t>
      </w:r>
      <w:bookmarkEnd w:id="549"/>
    </w:p>
    <w:p>
      <w:pPr>
        <w:pStyle w:val="Subsection"/>
      </w:pPr>
      <w:r>
        <w:tab/>
      </w:r>
      <w:r>
        <w:tab/>
        <w:t>This Division does not apply to any liability of an officer of an entity (other than an entity that is an individual) to that entity.</w:t>
      </w:r>
    </w:p>
    <w:p>
      <w:pPr>
        <w:pStyle w:val="Footnotesection"/>
      </w:pPr>
      <w:r>
        <w:tab/>
        <w:t>[Section 120ZE inserted: No. 9 of 2020 s. 19.]</w:t>
      </w:r>
    </w:p>
    <w:p>
      <w:pPr>
        <w:pStyle w:val="Heading3"/>
      </w:pPr>
      <w:bookmarkStart w:id="550" w:name="_Toc164424786"/>
      <w:bookmarkStart w:id="551" w:name="_Toc164435568"/>
      <w:bookmarkStart w:id="552" w:name="_Toc164435879"/>
      <w:bookmarkStart w:id="553" w:name="_Toc164679693"/>
      <w:bookmarkStart w:id="554" w:name="_Toc164842853"/>
      <w:r>
        <w:rPr>
          <w:rStyle w:val="CharDivNo"/>
        </w:rPr>
        <w:lastRenderedPageBreak/>
        <w:t>Division 10</w:t>
      </w:r>
      <w:r>
        <w:t> — </w:t>
      </w:r>
      <w:r>
        <w:rPr>
          <w:rStyle w:val="CharDivText"/>
        </w:rPr>
        <w:t>Competition authorisation</w:t>
      </w:r>
      <w:bookmarkEnd w:id="550"/>
      <w:bookmarkEnd w:id="551"/>
      <w:bookmarkEnd w:id="552"/>
      <w:bookmarkEnd w:id="553"/>
      <w:bookmarkEnd w:id="554"/>
    </w:p>
    <w:p>
      <w:pPr>
        <w:pStyle w:val="Footnoteheading"/>
      </w:pPr>
      <w:r>
        <w:tab/>
        <w:t>[Heading inserted: No. 9 of 2020 s. 19.]</w:t>
      </w:r>
    </w:p>
    <w:p>
      <w:pPr>
        <w:pStyle w:val="Heading5"/>
      </w:pPr>
      <w:bookmarkStart w:id="555" w:name="_Toc164842854"/>
      <w:r>
        <w:rPr>
          <w:rStyle w:val="CharSectno"/>
        </w:rPr>
        <w:t>120ZF</w:t>
      </w:r>
      <w:r>
        <w:t>.</w:t>
      </w:r>
      <w:r>
        <w:tab/>
        <w:t>Competition authorisation by regulation</w:t>
      </w:r>
      <w:bookmarkEnd w:id="555"/>
    </w:p>
    <w:p>
      <w:pPr>
        <w:pStyle w:val="Subsection"/>
      </w:pPr>
      <w:r>
        <w:tab/>
        <w:t>(1)</w:t>
      </w:r>
      <w: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pPr>
      <w:r>
        <w:tab/>
        <w:t>(2)</w:t>
      </w:r>
      <w:r>
        <w:tab/>
        <w:t xml:space="preserve">The regulations may authorise or approve any arrangement, act, matter or thing in relation to the Pilbara Networks Access Code or the Pilbara networks rules for the purposes of the </w:t>
      </w:r>
      <w:r>
        <w:rPr>
          <w:i/>
        </w:rPr>
        <w:t>Competition and Consumer Act 2010</w:t>
      </w:r>
      <w:r>
        <w:t xml:space="preserve"> (Commonwealth) and the Competition Code.</w:t>
      </w:r>
    </w:p>
    <w:p>
      <w:pPr>
        <w:pStyle w:val="Footnotesection"/>
      </w:pPr>
      <w:r>
        <w:tab/>
        <w:t>[Section 120ZF inserted: No. 9 of 2020 s. 19.]</w:t>
      </w:r>
    </w:p>
    <w:p>
      <w:pPr>
        <w:pStyle w:val="Heading3"/>
      </w:pPr>
      <w:bookmarkStart w:id="556" w:name="_Toc164424788"/>
      <w:bookmarkStart w:id="557" w:name="_Toc164435570"/>
      <w:bookmarkStart w:id="558" w:name="_Toc164435881"/>
      <w:bookmarkStart w:id="559" w:name="_Toc164679695"/>
      <w:bookmarkStart w:id="560" w:name="_Toc164842855"/>
      <w:r>
        <w:rPr>
          <w:rStyle w:val="CharDivNo"/>
        </w:rPr>
        <w:t>Division 11</w:t>
      </w:r>
      <w:r>
        <w:t> — </w:t>
      </w:r>
      <w:r>
        <w:rPr>
          <w:rStyle w:val="CharDivText"/>
        </w:rPr>
        <w:t>Review of system</w:t>
      </w:r>
      <w:bookmarkEnd w:id="556"/>
      <w:bookmarkEnd w:id="557"/>
      <w:bookmarkEnd w:id="558"/>
      <w:bookmarkEnd w:id="559"/>
      <w:bookmarkEnd w:id="560"/>
    </w:p>
    <w:p>
      <w:pPr>
        <w:pStyle w:val="Footnoteheading"/>
      </w:pPr>
      <w:r>
        <w:tab/>
        <w:t>[Heading inserted: No. 9 of 2020 s. 19.]</w:t>
      </w:r>
    </w:p>
    <w:p>
      <w:pPr>
        <w:pStyle w:val="Heading5"/>
      </w:pPr>
      <w:bookmarkStart w:id="561" w:name="_Toc164842856"/>
      <w:r>
        <w:rPr>
          <w:rStyle w:val="CharSectno"/>
        </w:rPr>
        <w:t>120ZG</w:t>
      </w:r>
      <w:r>
        <w:t>.</w:t>
      </w:r>
      <w:r>
        <w:tab/>
        <w:t>Review of regulation of Pilbara networks</w:t>
      </w:r>
      <w:bookmarkEnd w:id="561"/>
    </w:p>
    <w:p>
      <w:pPr>
        <w:pStyle w:val="Subsection"/>
      </w:pPr>
      <w:r>
        <w:tab/>
        <w:t>(1)</w:t>
      </w:r>
      <w:r>
        <w:tab/>
        <w:t>The Authority is to review the operation of the regulatory arrangements established for Pilbara networks under this Part —</w:t>
      </w:r>
    </w:p>
    <w:p>
      <w:pPr>
        <w:pStyle w:val="Indenta"/>
      </w:pPr>
      <w:r>
        <w:tab/>
        <w:t>(a)</w:t>
      </w:r>
      <w:r>
        <w:tab/>
        <w:t>as soon as practicable after the 5</w:t>
      </w:r>
      <w:r>
        <w:rPr>
          <w:vertAlign w:val="superscript"/>
        </w:rPr>
        <w:t>th</w:t>
      </w:r>
      <w:r>
        <w:t xml:space="preserve"> anniversary of the day on which the </w:t>
      </w:r>
      <w:r>
        <w:rPr>
          <w:i/>
        </w:rPr>
        <w:t>Electricity Industry Amendment Act 2020</w:t>
      </w:r>
      <w:r>
        <w:t xml:space="preserve"> section 19 comes into operation; and</w:t>
      </w:r>
    </w:p>
    <w:p>
      <w:pPr>
        <w:pStyle w:val="Indenta"/>
      </w:pPr>
      <w:r>
        <w:tab/>
        <w:t>(b)</w:t>
      </w:r>
      <w:r>
        <w:tab/>
        <w:t>after that, at intervals of not more than 5 years.</w:t>
      </w:r>
    </w:p>
    <w:p>
      <w:pPr>
        <w:pStyle w:val="Subsection"/>
      </w:pPr>
      <w:r>
        <w:tab/>
        <w:t>(2)</w:t>
      </w:r>
      <w:r>
        <w:tab/>
        <w:t>The purpose of the review is to assess the extent to which the Pilbara electricity objective has been or is being achieved.</w:t>
      </w:r>
    </w:p>
    <w:p>
      <w:pPr>
        <w:pStyle w:val="Subsection"/>
      </w:pPr>
      <w:r>
        <w:tab/>
        <w:t>(3)</w:t>
      </w:r>
      <w:r>
        <w:tab/>
        <w:t>The Authority is, for each review, to give the Minister a written report based on the review not later than 12 months after the review commences.</w:t>
      </w:r>
    </w:p>
    <w:p>
      <w:pPr>
        <w:pStyle w:val="Subsection"/>
      </w:pPr>
      <w:r>
        <w:lastRenderedPageBreak/>
        <w:tab/>
        <w:t>(4)</w:t>
      </w:r>
      <w:r>
        <w:tab/>
        <w:t>If the Authority considers that part or all of the Pilbara electricity objective has not been or is not being achieved, the report is to set out recommendations as to how the objective can be achieved.</w:t>
      </w:r>
    </w:p>
    <w:p>
      <w:pPr>
        <w:pStyle w:val="Subsection"/>
      </w:pPr>
      <w:r>
        <w:tab/>
        <w:t>(5)</w:t>
      </w:r>
      <w:r>
        <w:tab/>
        <w:t>Not later than 6 months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make a copy of the report publicly available on a website maintained by or on behalf of the Authority.</w:t>
      </w:r>
    </w:p>
    <w:p>
      <w:pPr>
        <w:pStyle w:val="Footnotesection"/>
      </w:pPr>
      <w:r>
        <w:tab/>
        <w:t>[Section 120ZG inserted: No. 9 of 2020 s. 19.]</w:t>
      </w:r>
    </w:p>
    <w:p>
      <w:pPr>
        <w:pStyle w:val="Heading5"/>
      </w:pPr>
      <w:bookmarkStart w:id="562" w:name="_Toc164842857"/>
      <w:r>
        <w:rPr>
          <w:rStyle w:val="CharSectno"/>
        </w:rPr>
        <w:t>120ZH</w:t>
      </w:r>
      <w:r>
        <w:t>.</w:t>
      </w:r>
      <w:r>
        <w:tab/>
        <w:t>Public consultation</w:t>
      </w:r>
      <w:bookmarkEnd w:id="562"/>
    </w:p>
    <w:p>
      <w:pPr>
        <w:pStyle w:val="Subsection"/>
      </w:pPr>
      <w:r>
        <w:tab/>
        <w:t>(1)</w:t>
      </w:r>
      <w:r>
        <w:tab/>
        <w:t xml:space="preserve">In the course of conducting a review under section 120ZG, the Authority is to seek public comment on the extent to which the Pilbara electricity objective has been or is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made publicly available on a website maintained by or on behalf of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lastRenderedPageBreak/>
        <w:tab/>
        <w:t>(b)</w:t>
      </w:r>
      <w:r>
        <w:tab/>
        <w:t>the address (including an email address) to which the submissions may be delivered or sent.</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 and may have regard to any other submission received on the issue.</w:t>
      </w:r>
    </w:p>
    <w:p>
      <w:pPr>
        <w:pStyle w:val="Footnotesection"/>
      </w:pPr>
      <w:r>
        <w:tab/>
        <w:t>[Section 120ZH inserted: No. 9 of 2020 s. 19.]</w:t>
      </w:r>
    </w:p>
    <w:p>
      <w:pPr>
        <w:pStyle w:val="Heading3"/>
        <w:keepLines/>
      </w:pPr>
      <w:bookmarkStart w:id="563" w:name="_Toc164424791"/>
      <w:bookmarkStart w:id="564" w:name="_Toc164435573"/>
      <w:bookmarkStart w:id="565" w:name="_Toc164435884"/>
      <w:bookmarkStart w:id="566" w:name="_Toc164679698"/>
      <w:bookmarkStart w:id="567" w:name="_Toc164842858"/>
      <w:r>
        <w:rPr>
          <w:rStyle w:val="CharDivNo"/>
        </w:rPr>
        <w:t>Division 12</w:t>
      </w:r>
      <w:r>
        <w:t> — </w:t>
      </w:r>
      <w:r>
        <w:rPr>
          <w:rStyle w:val="CharDivText"/>
        </w:rPr>
        <w:t>Transitional provisions</w:t>
      </w:r>
      <w:bookmarkEnd w:id="563"/>
      <w:bookmarkEnd w:id="564"/>
      <w:bookmarkEnd w:id="565"/>
      <w:bookmarkEnd w:id="566"/>
      <w:bookmarkEnd w:id="567"/>
    </w:p>
    <w:p>
      <w:pPr>
        <w:pStyle w:val="Footnoteheading"/>
        <w:keepNext/>
        <w:keepLines/>
      </w:pPr>
      <w:r>
        <w:tab/>
        <w:t>[Heading inserted: No. 9 of 2020 s. 19.]</w:t>
      </w:r>
    </w:p>
    <w:p>
      <w:pPr>
        <w:pStyle w:val="Heading5"/>
      </w:pPr>
      <w:bookmarkStart w:id="568" w:name="_Toc164842859"/>
      <w:r>
        <w:rPr>
          <w:rStyle w:val="CharSectno"/>
        </w:rPr>
        <w:t>120ZI</w:t>
      </w:r>
      <w:r>
        <w:t>.</w:t>
      </w:r>
      <w:r>
        <w:tab/>
        <w:t>Pilbara Networks Access Code and Pilbara networks rules do not affect existing agreements</w:t>
      </w:r>
      <w:bookmarkEnd w:id="568"/>
      <w:r>
        <w:t xml:space="preserve"> </w:t>
      </w:r>
    </w:p>
    <w:p>
      <w:pPr>
        <w:pStyle w:val="Subsection"/>
        <w:keepNext/>
        <w:keepLines/>
      </w:pPr>
      <w:r>
        <w:tab/>
        <w:t>(1)</w:t>
      </w:r>
      <w:r>
        <w:tab/>
        <w:t xml:space="preserve">The making and operation of the Pilbara Networks Access Code or the Pilbara networks rules — </w:t>
      </w:r>
    </w:p>
    <w:p>
      <w:pPr>
        <w:pStyle w:val="Indenta"/>
        <w:keepNext/>
        <w:keepLines/>
      </w:pPr>
      <w:r>
        <w:tab/>
        <w:t>(a)</w:t>
      </w:r>
      <w:r>
        <w:tab/>
        <w:t>do not affect the terms and conditions, or the operation, of —</w:t>
      </w:r>
    </w:p>
    <w:p>
      <w:pPr>
        <w:pStyle w:val="Indenti"/>
        <w:keepNext/>
        <w:keepLines/>
      </w:pPr>
      <w:r>
        <w:tab/>
        <w:t>(i)</w:t>
      </w:r>
      <w:r>
        <w:tab/>
        <w:t xml:space="preserve">an agreement for access to services in operation immediately before the commencement of the Pilbara Networks Access Code whether under the </w:t>
      </w:r>
      <w:r>
        <w:rPr>
          <w:i/>
        </w:rPr>
        <w:t>Electricity Transmission and Distribution Systems (Access) Act 1994</w:t>
      </w:r>
      <w:r>
        <w:t xml:space="preserve"> or otherwise; or</w:t>
      </w:r>
    </w:p>
    <w:p>
      <w:pPr>
        <w:pStyle w:val="Indenti"/>
      </w:pPr>
      <w:r>
        <w:tab/>
        <w:t>(ii)</w:t>
      </w:r>
      <w:r>
        <w:tab/>
        <w:t>an agreement for the supply of electricity or related services in operation immediately before the commencement of the Pilbara networks rules;</w:t>
      </w:r>
    </w:p>
    <w:p>
      <w:pPr>
        <w:pStyle w:val="Indenta"/>
      </w:pPr>
      <w:r>
        <w:tab/>
      </w:r>
      <w:r>
        <w:tab/>
        <w:t>and</w:t>
      </w:r>
    </w:p>
    <w:p>
      <w:pPr>
        <w:pStyle w:val="Indenta"/>
      </w:pPr>
      <w:r>
        <w:tab/>
        <w:t>(b)</w:t>
      </w:r>
      <w:r>
        <w:tab/>
        <w:t>do not afford a party to the agreement any ground or reason for not complying with the agreement according to its terms and conditions.</w:t>
      </w:r>
    </w:p>
    <w:p>
      <w:pPr>
        <w:pStyle w:val="Subsection"/>
      </w:pPr>
      <w:r>
        <w:lastRenderedPageBreak/>
        <w:tab/>
        <w:t>(2)</w:t>
      </w:r>
      <w:r>
        <w:tab/>
        <w:t>Subsection (1)(a) or (b) does not apply if the Pilbara Networks Access Code or the Pilbara networks rules or the agreement or an enactment provides otherwise.</w:t>
      </w:r>
    </w:p>
    <w:p>
      <w:pPr>
        <w:pStyle w:val="Footnotesection"/>
      </w:pPr>
      <w:r>
        <w:tab/>
        <w:t>[Section 120ZI inserted: No. 9 of 2020 s. 19.]</w:t>
      </w:r>
    </w:p>
    <w:p>
      <w:pPr>
        <w:pStyle w:val="Heading2"/>
      </w:pPr>
      <w:bookmarkStart w:id="569" w:name="_Toc164424793"/>
      <w:bookmarkStart w:id="570" w:name="_Toc164435575"/>
      <w:bookmarkStart w:id="571" w:name="_Toc164435886"/>
      <w:bookmarkStart w:id="572" w:name="_Toc164679700"/>
      <w:bookmarkStart w:id="573" w:name="_Toc164842860"/>
      <w:r>
        <w:rPr>
          <w:rStyle w:val="CharPartNo"/>
        </w:rPr>
        <w:lastRenderedPageBreak/>
        <w:t>Part 9</w:t>
      </w:r>
      <w:r>
        <w:rPr>
          <w:rStyle w:val="CharDivNo"/>
        </w:rPr>
        <w:t> </w:t>
      </w:r>
      <w:r>
        <w:t>—</w:t>
      </w:r>
      <w:r>
        <w:rPr>
          <w:rStyle w:val="CharDivText"/>
        </w:rPr>
        <w:t> </w:t>
      </w:r>
      <w:r>
        <w:rPr>
          <w:rStyle w:val="CharPartText"/>
        </w:rPr>
        <w:t>Wholesale electricity market</w:t>
      </w:r>
      <w:bookmarkEnd w:id="569"/>
      <w:bookmarkEnd w:id="570"/>
      <w:bookmarkEnd w:id="571"/>
      <w:bookmarkEnd w:id="572"/>
      <w:bookmarkEnd w:id="573"/>
    </w:p>
    <w:p>
      <w:pPr>
        <w:pStyle w:val="Heading5"/>
      </w:pPr>
      <w:bookmarkStart w:id="574" w:name="_Toc164842861"/>
      <w:r>
        <w:rPr>
          <w:rStyle w:val="CharSectno"/>
        </w:rPr>
        <w:t>121</w:t>
      </w:r>
      <w:r>
        <w:t>.</w:t>
      </w:r>
      <w:r>
        <w:tab/>
        <w:t>Terms used</w:t>
      </w:r>
      <w:bookmarkEnd w:id="574"/>
    </w:p>
    <w:p>
      <w:pPr>
        <w:pStyle w:val="Subsection"/>
      </w:pPr>
      <w:r>
        <w:tab/>
        <w:t>(1)</w:t>
      </w:r>
      <w:r>
        <w:tab/>
        <w:t xml:space="preserve">In this Part, unless the contrary intention appears — </w:t>
      </w:r>
    </w:p>
    <w:p>
      <w:pPr>
        <w:pStyle w:val="Defstart"/>
      </w:pPr>
      <w:r>
        <w:rPr>
          <w:b/>
        </w:rPr>
        <w:tab/>
      </w:r>
      <w:r>
        <w:rPr>
          <w:rStyle w:val="CharDefText"/>
        </w:rPr>
        <w:t>confer</w:t>
      </w:r>
      <w:r>
        <w:t xml:space="preserve"> includes impose;</w:t>
      </w:r>
    </w:p>
    <w:p>
      <w:pPr>
        <w:pStyle w:val="Defstart"/>
      </w:pPr>
      <w:r>
        <w:rPr>
          <w:b/>
        </w:rPr>
        <w:tab/>
      </w:r>
      <w:r>
        <w:rPr>
          <w:rStyle w:val="CharDefText"/>
        </w:rPr>
        <w:t>market</w:t>
      </w:r>
      <w:r>
        <w:t xml:space="preserve"> has the meaning given to that term in section 122; </w:t>
      </w:r>
    </w:p>
    <w:p>
      <w:pPr>
        <w:pStyle w:val="Defstart"/>
      </w:pPr>
      <w:r>
        <w:rPr>
          <w:b/>
        </w:rPr>
        <w:tab/>
      </w:r>
      <w:r>
        <w:rPr>
          <w:rStyle w:val="CharDefText"/>
        </w:rPr>
        <w:t>market rules</w:t>
      </w:r>
      <w:r>
        <w:t xml:space="preserve"> has the meaning given to that term in section 123(1).</w:t>
      </w:r>
    </w:p>
    <w:p>
      <w:pPr>
        <w:pStyle w:val="Subsection"/>
      </w:pPr>
      <w:r>
        <w:tab/>
        <w:t>(2)</w:t>
      </w:r>
      <w:r>
        <w:tab/>
        <w:t xml:space="preserve">A person is a </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 or</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575" w:name="_Toc164842862"/>
      <w:r>
        <w:rPr>
          <w:rStyle w:val="CharSectno"/>
        </w:rPr>
        <w:t>122</w:t>
      </w:r>
      <w:r>
        <w:t>.</w:t>
      </w:r>
      <w:r>
        <w:tab/>
        <w:t>Regulations for a wholesale electricity market</w:t>
      </w:r>
      <w:bookmarkEnd w:id="575"/>
    </w:p>
    <w:p>
      <w:pPr>
        <w:pStyle w:val="Subsection"/>
      </w:pPr>
      <w:r>
        <w:tab/>
        <w:t>(1)</w:t>
      </w:r>
      <w:r>
        <w:tab/>
        <w:t xml:space="preserve">Regulations are to be made for the purpose of establishing a market (the </w:t>
      </w:r>
      <w:r>
        <w:rPr>
          <w:rStyle w:val="CharDefText"/>
        </w:rPr>
        <w:t>market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 and</w:t>
      </w:r>
    </w:p>
    <w:p>
      <w:pPr>
        <w:pStyle w:val="Indenta"/>
      </w:pPr>
      <w:r>
        <w:tab/>
        <w:t>(b)</w:t>
      </w:r>
      <w:r>
        <w:tab/>
        <w:t>to encourage competition among generators and retailers in the South West interconnected system, including by facilitating efficient entry of new competitors; and</w:t>
      </w:r>
    </w:p>
    <w:p>
      <w:pPr>
        <w:pStyle w:val="Indenta"/>
      </w:pPr>
      <w:r>
        <w:tab/>
        <w:t>(c)</w:t>
      </w:r>
      <w:r>
        <w:tab/>
        <w:t xml:space="preserve">to avoid discrimination in that market against particular energy options and technologies, including sustainable energy options and technologies such as those that make </w:t>
      </w:r>
      <w:r>
        <w:lastRenderedPageBreak/>
        <w:t>use of renewable resources or that reduce overall greenhouse gas emissions; and</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576" w:name="_Toc164842863"/>
      <w:r>
        <w:rPr>
          <w:rStyle w:val="CharSectno"/>
        </w:rPr>
        <w:t>123</w:t>
      </w:r>
      <w:r>
        <w:t>.</w:t>
      </w:r>
      <w:r>
        <w:tab/>
        <w:t>Market rules</w:t>
      </w:r>
      <w:bookmarkEnd w:id="576"/>
    </w:p>
    <w:p>
      <w:pPr>
        <w:pStyle w:val="Subsection"/>
      </w:pPr>
      <w:r>
        <w:tab/>
        <w:t>(1)</w:t>
      </w:r>
      <w:r>
        <w:tab/>
        <w:t xml:space="preserve">Without limiting section 122, the regulations are to provide for there to be rules (the </w:t>
      </w:r>
      <w:r>
        <w:rPr>
          <w:rStyle w:val="CharDefText"/>
        </w:rPr>
        <w:t>market rules</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the establishment of the initial market rules; and</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Lines w:val="0"/>
        <w:spacing w:before="180"/>
      </w:pPr>
      <w:bookmarkStart w:id="577" w:name="_Toc164842864"/>
      <w:r>
        <w:rPr>
          <w:rStyle w:val="CharSectno"/>
        </w:rPr>
        <w:lastRenderedPageBreak/>
        <w:t>124</w:t>
      </w:r>
      <w:r>
        <w:t>.</w:t>
      </w:r>
      <w:r>
        <w:tab/>
        <w:t>Matters to be dealt with in regulations</w:t>
      </w:r>
      <w:bookmarkEnd w:id="577"/>
    </w:p>
    <w:p>
      <w:pPr>
        <w:pStyle w:val="Subsection"/>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 and</w:t>
      </w:r>
    </w:p>
    <w:p>
      <w:pPr>
        <w:pStyle w:val="Indenta"/>
      </w:pPr>
      <w:r>
        <w:tab/>
        <w:t>(b)</w:t>
      </w:r>
      <w:r>
        <w:tab/>
        <w:t>confer functions, or authorise the market rules to confer functions, on the Minister or any other person (including a person holding an office under a written law or a body established under a written law); and</w:t>
      </w:r>
    </w:p>
    <w:p>
      <w:pPr>
        <w:pStyle w:val="Indenta"/>
      </w:pPr>
      <w:r>
        <w:tab/>
        <w:t>(c)</w:t>
      </w:r>
      <w:r>
        <w:tab/>
        <w:t>provide for the establishment, or authorise the formation, of a body (including a body corporate) and confer functions, or authorise the market rules to confer functions, on a body so established or formed; and</w:t>
      </w:r>
    </w:p>
    <w:p>
      <w:pPr>
        <w:pStyle w:val="Indenta"/>
      </w:pPr>
      <w:r>
        <w:tab/>
        <w:t>(d)</w:t>
      </w:r>
      <w:r>
        <w:tab/>
        <w:t>provide for the relationship between the Minister, or another Minister, and a participant referred to in section 121(2)(b) or (c) in respect of the performance of the functions of the participant; and</w:t>
      </w:r>
    </w:p>
    <w:p>
      <w:pPr>
        <w:pStyle w:val="Indenta"/>
      </w:pPr>
      <w:r>
        <w:tab/>
        <w:t>(e)</w:t>
      </w:r>
      <w:r>
        <w:tab/>
        <w:t>provide, or authorise the market rules to provide, for the resolution of disputes between participants; and</w:t>
      </w:r>
    </w:p>
    <w:p>
      <w:pPr>
        <w:pStyle w:val="Indenta"/>
      </w:pPr>
      <w:r>
        <w:tab/>
        <w:t>(f)</w:t>
      </w:r>
      <w:r>
        <w:tab/>
        <w:t>provide that a contravention of a regulation is an offence; and</w:t>
      </w:r>
    </w:p>
    <w:p>
      <w:pPr>
        <w:pStyle w:val="Indenta"/>
      </w:pPr>
      <w:r>
        <w:tab/>
        <w:t>(g)</w:t>
      </w:r>
      <w:r>
        <w:tab/>
        <w:t>prescribe a penalty of not more than $100 000, with or without a daily penalty of not more than $20 000, for an offence against the regulations; and</w:t>
      </w:r>
    </w:p>
    <w:p>
      <w:pPr>
        <w:pStyle w:val="Indenta"/>
      </w:pPr>
      <w:r>
        <w:tab/>
        <w:t>(h)</w:t>
      </w:r>
      <w:r>
        <w:tab/>
        <w:t>provide that a provision of the market rules specified in the regulations, or of a class specified in the regulations, is a civil penalty provision for the purposes of the regulations; and</w:t>
      </w:r>
    </w:p>
    <w:p>
      <w:pPr>
        <w:pStyle w:val="Indenta"/>
        <w:rPr>
          <w:snapToGrid w:val="0"/>
        </w:rPr>
      </w:pPr>
      <w:r>
        <w:lastRenderedPageBreak/>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r>
        <w:t xml:space="preserve"> and</w:t>
      </w:r>
    </w:p>
    <w:p>
      <w:pPr>
        <w:pStyle w:val="Indenta"/>
      </w:pPr>
      <w:r>
        <w:tab/>
        <w:t>(j)</w:t>
      </w:r>
      <w:r>
        <w:tab/>
        <w:t>provide for demands for the payment of amounts referred to in paragraph (i) and the enforcement of demands for their payment; and</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 and</w:t>
      </w:r>
    </w:p>
    <w:p>
      <w:pPr>
        <w:pStyle w:val="Indenta"/>
      </w:pPr>
      <w:r>
        <w:tab/>
        <w:t>(l)</w:t>
      </w:r>
      <w:r>
        <w:tab/>
        <w:t>provide for the manner in which amounts received by way of civil penalties are to be dealt with and applied; and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 and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lastRenderedPageBreak/>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 or</w:t>
      </w:r>
    </w:p>
    <w:p>
      <w:pPr>
        <w:pStyle w:val="Indenta"/>
        <w:rPr>
          <w:snapToGrid w:val="0"/>
        </w:rPr>
      </w:pPr>
      <w:r>
        <w:rPr>
          <w:snapToGrid w:val="0"/>
        </w:rPr>
        <w:tab/>
      </w:r>
      <w:r>
        <w:t>(b)</w:t>
      </w:r>
      <w:r>
        <w:rPr>
          <w:snapToGrid w:val="0"/>
        </w:rPr>
        <w:tab/>
        <w:t>aiding, abetting, counselling or procuring a person to contravene such a provision; or</w:t>
      </w:r>
    </w:p>
    <w:p>
      <w:pPr>
        <w:pStyle w:val="Indenta"/>
        <w:rPr>
          <w:snapToGrid w:val="0"/>
        </w:rPr>
      </w:pPr>
      <w:r>
        <w:rPr>
          <w:snapToGrid w:val="0"/>
        </w:rPr>
        <w:tab/>
      </w:r>
      <w:r>
        <w:t>(c)</w:t>
      </w:r>
      <w:r>
        <w:rPr>
          <w:snapToGrid w:val="0"/>
        </w:rPr>
        <w:tab/>
        <w:t>inducing, or attempting to induce, a person, whether by threats or promises or otherwise, to contravene such a provision; or</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r>
      <w:r>
        <w:rPr>
          <w:rStyle w:val="CharDefText"/>
        </w:rPr>
        <w:t>daily amount</w:t>
      </w:r>
      <w:r>
        <w:t xml:space="preserve"> means an amount for each day or part of a day during which the contravention continues.</w:t>
      </w:r>
    </w:p>
    <w:p>
      <w:pPr>
        <w:pStyle w:val="Heading5"/>
        <w:rPr>
          <w:rStyle w:val="CharSectno"/>
        </w:rPr>
      </w:pPr>
      <w:bookmarkStart w:id="578" w:name="_Toc164842865"/>
      <w:r>
        <w:rPr>
          <w:rStyle w:val="CharSectno"/>
        </w:rPr>
        <w:t>125</w:t>
      </w:r>
      <w:r>
        <w:t>.</w:t>
      </w:r>
      <w:r>
        <w:tab/>
        <w:t>Reviews</w:t>
      </w:r>
      <w:bookmarkEnd w:id="578"/>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lastRenderedPageBreak/>
        <w:tab/>
        <w:t>(b)</w:t>
      </w:r>
      <w:r>
        <w:tab/>
        <w:t>make other provisions that it is necessary or convenient to make,</w:t>
      </w:r>
    </w:p>
    <w:p>
      <w:pPr>
        <w:pStyle w:val="Subsection"/>
      </w:pPr>
      <w:r>
        <w:tab/>
      </w:r>
      <w:r>
        <w:tab/>
        <w:t>in relation to reviews provided for in those regulations.</w:t>
      </w:r>
    </w:p>
    <w:p>
      <w:pPr>
        <w:pStyle w:val="Subsection"/>
        <w:spacing w:before="120"/>
      </w:pPr>
      <w:r>
        <w:tab/>
        <w:t>(3A)</w:t>
      </w:r>
      <w:r>
        <w:tab/>
        <w:t xml:space="preserve">Regulations that, immediately before the day on which the </w:t>
      </w:r>
      <w:r>
        <w:rPr>
          <w:i/>
          <w:iCs/>
        </w:rPr>
        <w:t>National Gas Access (WA) Act 2009</w:t>
      </w:r>
      <w:r>
        <w:t xml:space="preserve"> section 59(1) comes into operation</w:t>
      </w:r>
      <w:r>
        <w:rPr>
          <w:vertAlign w:val="superscript"/>
        </w:rPr>
        <w:t> 3</w:t>
      </w:r>
      <w:r>
        <w:t xml:space="preserve">, apply provisions of the </w:t>
      </w:r>
      <w:r>
        <w:rPr>
          <w:i/>
          <w:iCs/>
        </w:rPr>
        <w:t>Gas Pipelines Access (Western Australia) Act 1998</w:t>
      </w:r>
      <w:r>
        <w:rPr>
          <w:iCs/>
          <w:vertAlign w:val="superscript"/>
        </w:rPr>
        <w:t> 4</w:t>
      </w:r>
      <w:r>
        <w:t xml:space="preserve"> continue to have the effect they had immediately before that day until the contrary intention appears from a regulation made after that day.</w:t>
      </w:r>
    </w:p>
    <w:p>
      <w:pPr>
        <w:pStyle w:val="Subsection"/>
        <w:spacing w:before="120"/>
      </w:pPr>
      <w:r>
        <w:tab/>
        <w:t>(3)</w:t>
      </w:r>
      <w:r>
        <w:tab/>
        <w:t>Nothing in subsection (1) prevents or affects the review by a court or tribunal, according to law, of decisions of participants made under the regulations or the market rules.</w:t>
      </w:r>
    </w:p>
    <w:p>
      <w:pPr>
        <w:pStyle w:val="Footnotesection"/>
      </w:pPr>
      <w:r>
        <w:tab/>
        <w:t>[Section 125 amended: No. 16 of 2009 s. 59.]</w:t>
      </w:r>
    </w:p>
    <w:p>
      <w:pPr>
        <w:pStyle w:val="Heading5"/>
        <w:spacing w:before="180"/>
      </w:pPr>
      <w:bookmarkStart w:id="579" w:name="_Toc164842866"/>
      <w:r>
        <w:rPr>
          <w:rStyle w:val="CharSectno"/>
        </w:rPr>
        <w:t>126</w:t>
      </w:r>
      <w:r>
        <w:t>.</w:t>
      </w:r>
      <w:r>
        <w:tab/>
        <w:t>Immunity of certain participants</w:t>
      </w:r>
      <w:bookmarkEnd w:id="579"/>
    </w:p>
    <w:p>
      <w:pPr>
        <w:pStyle w:val="Subsection"/>
        <w:spacing w:before="120"/>
      </w:pPr>
      <w:r>
        <w:tab/>
        <w:t>(1)</w:t>
      </w:r>
      <w:r>
        <w:tab/>
        <w:t>In this section —</w:t>
      </w:r>
    </w:p>
    <w:p>
      <w:pPr>
        <w:pStyle w:val="Defstart"/>
      </w:pPr>
      <w:r>
        <w:rPr>
          <w:b/>
        </w:rPr>
        <w:tab/>
      </w:r>
      <w:r>
        <w:rPr>
          <w:rStyle w:val="CharDefText"/>
        </w:rPr>
        <w:t>civil monetary liability</w:t>
      </w:r>
      <w:r>
        <w:t xml:space="preserve"> means liability to pay damages or compensation or any other amount ordered in a civil proceeding, but does not include liability to pay a civil penalty under the regulations;</w:t>
      </w:r>
    </w:p>
    <w:p>
      <w:pPr>
        <w:pStyle w:val="Defstart"/>
      </w:pPr>
      <w:r>
        <w:rPr>
          <w:b/>
        </w:rPr>
        <w:tab/>
      </w:r>
      <w:r>
        <w:rPr>
          <w:rStyle w:val="CharDefText"/>
        </w:rPr>
        <w:t>market governance participant</w:t>
      </w:r>
      <w:r>
        <w:t xml:space="preserve"> means a participant referred to in section 121(2)(b) or (c);</w:t>
      </w:r>
    </w:p>
    <w:p>
      <w:pPr>
        <w:pStyle w:val="Defstart"/>
      </w:pPr>
      <w:r>
        <w:rPr>
          <w:b/>
        </w:rPr>
        <w:tab/>
      </w:r>
      <w:r>
        <w:rPr>
          <w:rStyle w:val="CharDefText"/>
        </w:rPr>
        <w:t>officer</w:t>
      </w:r>
      <w:r>
        <w:t xml:space="preserve"> of a body corporate that is a corporation has the same meaning as it has in section 9 of the </w:t>
      </w:r>
      <w:r>
        <w:rPr>
          <w:i/>
        </w:rPr>
        <w:t>Corporations Act 2001</w:t>
      </w:r>
      <w:r>
        <w:t xml:space="preserve"> (Commonwealth);</w:t>
      </w:r>
    </w:p>
    <w:p>
      <w:pPr>
        <w:pStyle w:val="Defstart"/>
      </w:pPr>
      <w:r>
        <w:rPr>
          <w:b/>
        </w:rPr>
        <w:tab/>
      </w:r>
      <w:r>
        <w:rPr>
          <w:rStyle w:val="CharDefText"/>
        </w:rPr>
        <w:t>officer</w:t>
      </w:r>
      <w:r>
        <w:t xml:space="preserve"> of a body corporate that is not a corporation has the same meaning as it has in section 9 of the </w:t>
      </w:r>
      <w:r>
        <w:rPr>
          <w:i/>
        </w:rPr>
        <w:t>Corporations Act 2001</w:t>
      </w:r>
      <w:r>
        <w:t xml:space="preserve"> (Commonwealth);</w:t>
      </w:r>
    </w:p>
    <w:p>
      <w:pPr>
        <w:pStyle w:val="Defstart"/>
      </w:pPr>
      <w:r>
        <w:rPr>
          <w:b/>
        </w:rPr>
        <w:tab/>
      </w:r>
      <w:r>
        <w:rPr>
          <w:rStyle w:val="CharDefText"/>
        </w:rPr>
        <w:t>system management participant</w:t>
      </w:r>
      <w:r>
        <w:t xml:space="preserve"> means a market governance participant the functions of which include a function under the regulations or the market rules specified in the regulations as a system management function.</w:t>
      </w:r>
    </w:p>
    <w:p>
      <w:pPr>
        <w:pStyle w:val="Subsection"/>
        <w:spacing w:before="120"/>
      </w:pPr>
      <w:r>
        <w:lastRenderedPageBreak/>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liability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 or</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Footnotesection"/>
      </w:pPr>
      <w:r>
        <w:tab/>
        <w:t>[Section 126 amended: No. 46 of 2009 s. 17; No. 9 of 2020 s. 20.]</w:t>
      </w:r>
    </w:p>
    <w:p>
      <w:pPr>
        <w:pStyle w:val="Heading5"/>
      </w:pPr>
      <w:bookmarkStart w:id="580" w:name="_Toc164842867"/>
      <w:r>
        <w:rPr>
          <w:rStyle w:val="CharSectno"/>
        </w:rPr>
        <w:lastRenderedPageBreak/>
        <w:t>127</w:t>
      </w:r>
      <w:r>
        <w:t>.</w:t>
      </w:r>
      <w:r>
        <w:tab/>
        <w:t>Competition authorisation by regulation</w:t>
      </w:r>
      <w:bookmarkEnd w:id="580"/>
    </w:p>
    <w:p>
      <w:pPr>
        <w:pStyle w:val="Subsection"/>
        <w:rPr>
          <w:snapToGrid w:val="0"/>
        </w:rPr>
      </w:pPr>
      <w:r>
        <w:rPr>
          <w:snapToGrid w:val="0"/>
        </w:rPr>
        <w:tab/>
        <w:t>(1)</w:t>
      </w:r>
      <w:r>
        <w:rPr>
          <w:snapToGrid w:val="0"/>
        </w:rP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The regulations may authorise or approve any arrangement, act, matter or thing in relation to the market rules for the purposes of the</w:t>
      </w:r>
      <w:r>
        <w:rPr>
          <w:i/>
        </w:rPr>
        <w:t xml:space="preserve"> Competition and Consumer Act 2010</w:t>
      </w:r>
      <w:r>
        <w:t xml:space="preserve"> (Commonwealth)</w:t>
      </w:r>
      <w:r>
        <w:rPr>
          <w:snapToGrid w:val="0"/>
        </w:rPr>
        <w:t xml:space="preserve"> and the Competition Code.</w:t>
      </w:r>
    </w:p>
    <w:p>
      <w:pPr>
        <w:pStyle w:val="Footnotesection"/>
      </w:pPr>
      <w:r>
        <w:tab/>
        <w:t>[Section 127 amended: No. 9 of 2020 s. 21.]</w:t>
      </w:r>
    </w:p>
    <w:p>
      <w:pPr>
        <w:pStyle w:val="Heading5"/>
      </w:pPr>
      <w:bookmarkStart w:id="581" w:name="_Toc164842868"/>
      <w:r>
        <w:rPr>
          <w:rStyle w:val="CharSectno"/>
        </w:rPr>
        <w:t>128</w:t>
      </w:r>
      <w:r>
        <w:t>.</w:t>
      </w:r>
      <w:r>
        <w:tab/>
        <w:t>Review of market operation</w:t>
      </w:r>
      <w:bookmarkEnd w:id="581"/>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keepNext/>
      </w:pPr>
      <w:r>
        <w:lastRenderedPageBreak/>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 website maintained by the Authority.</w:t>
      </w:r>
    </w:p>
    <w:p>
      <w:pPr>
        <w:pStyle w:val="Footnotesection"/>
      </w:pPr>
      <w:r>
        <w:tab/>
        <w:t>[Section 128 amended: No. 9 of 2020 s. 22.]</w:t>
      </w:r>
    </w:p>
    <w:p>
      <w:pPr>
        <w:pStyle w:val="Heading5"/>
      </w:pPr>
      <w:bookmarkStart w:id="582" w:name="_Toc164842869"/>
      <w:r>
        <w:rPr>
          <w:rStyle w:val="CharSectno"/>
        </w:rPr>
        <w:t>129</w:t>
      </w:r>
      <w:r>
        <w:t>.</w:t>
      </w:r>
      <w:r>
        <w:tab/>
        <w:t>Public consultation</w:t>
      </w:r>
      <w:bookmarkEnd w:id="582"/>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(including an email address) to which the submissions may be delivered or sent.</w:t>
      </w:r>
    </w:p>
    <w:p>
      <w:pPr>
        <w:pStyle w:val="Subsection"/>
      </w:pPr>
      <w:r>
        <w:tab/>
        <w:t>(4)</w:t>
      </w:r>
      <w:r>
        <w:tab/>
        <w:t>The period specified under subsection (3)(a) is not to end less than 30 days after the day on which the notice is published under subsection (2)(a).</w:t>
      </w:r>
    </w:p>
    <w:p>
      <w:pPr>
        <w:pStyle w:val="Subsection"/>
      </w:pPr>
      <w:r>
        <w:lastRenderedPageBreak/>
        <w:tab/>
        <w:t>(5)</w:t>
      </w:r>
      <w:r>
        <w:tab/>
        <w:t>The Authority is to have regard to any submission made in accordance with the notice.</w:t>
      </w:r>
    </w:p>
    <w:p>
      <w:pPr>
        <w:pStyle w:val="Footnotesection"/>
      </w:pPr>
      <w:r>
        <w:tab/>
        <w:t>[Section 129 amended: No. 9 of 2020 s. 23.]</w:t>
      </w:r>
    </w:p>
    <w:p>
      <w:pPr>
        <w:pStyle w:val="Heading2"/>
      </w:pPr>
      <w:bookmarkStart w:id="583" w:name="_Toc164424803"/>
      <w:bookmarkStart w:id="584" w:name="_Toc164435585"/>
      <w:bookmarkStart w:id="585" w:name="_Toc164435896"/>
      <w:bookmarkStart w:id="586" w:name="_Toc164679710"/>
      <w:bookmarkStart w:id="587" w:name="_Toc164842870"/>
      <w:r>
        <w:rPr>
          <w:rStyle w:val="CharPartNo"/>
        </w:rPr>
        <w:lastRenderedPageBreak/>
        <w:t>Part 9A</w:t>
      </w:r>
      <w:r>
        <w:rPr>
          <w:rStyle w:val="CharDivNo"/>
        </w:rPr>
        <w:t> </w:t>
      </w:r>
      <w:r>
        <w:t>—</w:t>
      </w:r>
      <w:r>
        <w:rPr>
          <w:rStyle w:val="CharDivText"/>
        </w:rPr>
        <w:t> </w:t>
      </w:r>
      <w:r>
        <w:rPr>
          <w:rStyle w:val="CharPartText"/>
        </w:rPr>
        <w:t>Tariff equalisation</w:t>
      </w:r>
      <w:bookmarkEnd w:id="583"/>
      <w:bookmarkEnd w:id="584"/>
      <w:bookmarkEnd w:id="585"/>
      <w:bookmarkEnd w:id="586"/>
      <w:bookmarkEnd w:id="587"/>
    </w:p>
    <w:p>
      <w:pPr>
        <w:pStyle w:val="Footnoteheading"/>
      </w:pPr>
      <w:r>
        <w:tab/>
        <w:t>[Heading inserted: No. 18 of 2005 s. 139.]</w:t>
      </w:r>
    </w:p>
    <w:p>
      <w:pPr>
        <w:pStyle w:val="Heading5"/>
      </w:pPr>
      <w:bookmarkStart w:id="588" w:name="_Toc164842871"/>
      <w:r>
        <w:rPr>
          <w:rStyle w:val="CharSectno"/>
        </w:rPr>
        <w:t>129A</w:t>
      </w:r>
      <w:r>
        <w:t>.</w:t>
      </w:r>
      <w:r>
        <w:tab/>
        <w:t>Purpose of this Part</w:t>
      </w:r>
      <w:bookmarkEnd w:id="588"/>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rPr>
        <w:t>from the South West interconnected system</w:t>
      </w:r>
      <w:r>
        <w:t xml:space="preserve"> to be, so far as is practicable, the same as the regulated retail tariffs for electricity that is supplied </w:t>
      </w:r>
      <w:r>
        <w:rPr>
          <w:snapToGrid w:val="0"/>
        </w:rPr>
        <w:t>from that system</w:t>
      </w:r>
      <w:r>
        <w:t>.</w:t>
      </w:r>
    </w:p>
    <w:p>
      <w:pPr>
        <w:pStyle w:val="Footnotesection"/>
      </w:pPr>
      <w:r>
        <w:tab/>
        <w:t>[Section 129A inserted: No. 18 of 2005 s. 139.]</w:t>
      </w:r>
    </w:p>
    <w:p>
      <w:pPr>
        <w:pStyle w:val="Heading5"/>
      </w:pPr>
      <w:bookmarkStart w:id="589" w:name="_Toc164842872"/>
      <w:r>
        <w:rPr>
          <w:rStyle w:val="CharSectno"/>
        </w:rPr>
        <w:t>129B.</w:t>
      </w:r>
      <w:r>
        <w:rPr>
          <w:rStyle w:val="CharSectno"/>
        </w:rPr>
        <w:tab/>
      </w:r>
      <w:r>
        <w:t>Terms used</w:t>
      </w:r>
      <w:bookmarkEnd w:id="589"/>
    </w:p>
    <w:p>
      <w:pPr>
        <w:pStyle w:val="Subsection"/>
      </w:pPr>
      <w:r>
        <w:tab/>
      </w:r>
      <w:r>
        <w:tab/>
        <w:t xml:space="preserve">In this Part, unless the contrary intention appears — </w:t>
      </w:r>
    </w:p>
    <w:p>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pPr>
        <w:pStyle w:val="Defstart"/>
        <w:rPr>
          <w:b/>
        </w:rPr>
      </w:pPr>
      <w:r>
        <w:rPr>
          <w:b/>
        </w:rPr>
        <w:tab/>
      </w:r>
      <w:r>
        <w:rPr>
          <w:rStyle w:val="CharDefText"/>
        </w:rPr>
        <w:t>Tariff Equalisation Account</w:t>
      </w:r>
      <w:r>
        <w:t xml:space="preserve"> means the account referred to in section 129C;</w:t>
      </w:r>
    </w:p>
    <w:p>
      <w:pPr>
        <w:pStyle w:val="Defstart"/>
      </w:pPr>
      <w:r>
        <w:tab/>
      </w:r>
      <w:r>
        <w:rPr>
          <w:rStyle w:val="CharDefText"/>
        </w:rPr>
        <w:t>tariff equalisation contribution</w:t>
      </w:r>
      <w:r>
        <w:t xml:space="preserve"> means a tariff equalisation contribution determined under section 129D(2);</w:t>
      </w:r>
    </w:p>
    <w:p>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r>
        <w:tab/>
        <w:t>[Section 129B inserted: No. 18 of 2005 s. 139; amended: No. 77 of 2006 Sch. 1 cl. 54(1); No. 9 of 2020 s. 24.]</w:t>
      </w:r>
    </w:p>
    <w:p>
      <w:pPr>
        <w:pStyle w:val="Heading5"/>
      </w:pPr>
      <w:bookmarkStart w:id="590" w:name="_Toc164842873"/>
      <w:r>
        <w:rPr>
          <w:rStyle w:val="CharSectno"/>
        </w:rPr>
        <w:lastRenderedPageBreak/>
        <w:t>129C</w:t>
      </w:r>
      <w:r>
        <w:t>.</w:t>
      </w:r>
      <w:r>
        <w:tab/>
        <w:t>Tariff Equalisation Account</w:t>
      </w:r>
      <w:bookmarkEnd w:id="590"/>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r>
        <w:tab/>
        <w:t>[Section 129C inserted: No. 18 of 2005 s. 139; amended: No. 77 of 2006 Sch. 1 cl. 54(2) and (3).]</w:t>
      </w:r>
    </w:p>
    <w:p>
      <w:pPr>
        <w:pStyle w:val="Heading5"/>
      </w:pPr>
      <w:bookmarkStart w:id="591" w:name="_Toc164842874"/>
      <w:r>
        <w:rPr>
          <w:rStyle w:val="CharSectno"/>
        </w:rPr>
        <w:t>129D</w:t>
      </w:r>
      <w:r>
        <w:t>.</w:t>
      </w:r>
      <w:r>
        <w:tab/>
        <w:t>Determination of tariff equalisation contributions</w:t>
      </w:r>
      <w:bookmarkEnd w:id="591"/>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lastRenderedPageBreak/>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 and</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and </w:t>
      </w:r>
    </w:p>
    <w:p>
      <w:pPr>
        <w:pStyle w:val="Indenta"/>
      </w:pPr>
      <w:r>
        <w:tab/>
        <w:t>(c)</w:t>
      </w:r>
      <w:r>
        <w:tab/>
        <w:t>the moneys standing to the credit of the Tariff Equalisation Account; and</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r>
        <w:tab/>
        <w:t>[Section 129D inserted: No. 18 of 2005 s. 139; amended: No. 77 of 2006 Sch. 1 cl. 54(4).]</w:t>
      </w:r>
    </w:p>
    <w:p>
      <w:pPr>
        <w:pStyle w:val="Heading5"/>
      </w:pPr>
      <w:bookmarkStart w:id="592" w:name="_Toc164842875"/>
      <w:r>
        <w:rPr>
          <w:rStyle w:val="CharSectno"/>
        </w:rPr>
        <w:t>129E</w:t>
      </w:r>
      <w:r>
        <w:t>.</w:t>
      </w:r>
      <w:r>
        <w:tab/>
        <w:t>Treasurer may seek advice from the Authority</w:t>
      </w:r>
      <w:bookmarkEnd w:id="592"/>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lastRenderedPageBreak/>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r>
        <w:tab/>
        <w:t>[Section 129E inserted: No. 18 of 2005 s. 139.]</w:t>
      </w:r>
    </w:p>
    <w:p>
      <w:pPr>
        <w:pStyle w:val="Heading5"/>
      </w:pPr>
      <w:bookmarkStart w:id="593" w:name="_Toc164842876"/>
      <w:r>
        <w:rPr>
          <w:rStyle w:val="CharSectno"/>
        </w:rPr>
        <w:t>129F</w:t>
      </w:r>
      <w:r>
        <w:t>.</w:t>
      </w:r>
      <w:r>
        <w:tab/>
        <w:t>Payment and passing on of tariff equalisation contributions</w:t>
      </w:r>
      <w:bookmarkEnd w:id="593"/>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104B(a); and</w:t>
      </w:r>
    </w:p>
    <w:p>
      <w:pPr>
        <w:pStyle w:val="Indenti"/>
      </w:pPr>
      <w:r>
        <w:tab/>
        <w:t>(ii)</w:t>
      </w:r>
      <w:r>
        <w:tab/>
        <w:t>in the formulation of the network access pricing regulation principles referred to in section 104B(f).</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 and</w:t>
      </w:r>
    </w:p>
    <w:p>
      <w:pPr>
        <w:pStyle w:val="Indenta"/>
      </w:pPr>
      <w:r>
        <w:lastRenderedPageBreak/>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pPr>
        <w:pStyle w:val="Footnotesection"/>
      </w:pPr>
      <w:r>
        <w:tab/>
        <w:t>[Section 129F inserted: No. 18 of 2005 s. 139; amended: No. 77 of 2006 Sch. 1 cl. 54(5); No. 9 of 2020 s. 25.]</w:t>
      </w:r>
    </w:p>
    <w:p>
      <w:pPr>
        <w:pStyle w:val="Heading5"/>
      </w:pPr>
      <w:bookmarkStart w:id="594" w:name="_Toc164842877"/>
      <w:r>
        <w:rPr>
          <w:rStyle w:val="CharSectno"/>
        </w:rPr>
        <w:t>129G</w:t>
      </w:r>
      <w:r>
        <w:t>.</w:t>
      </w:r>
      <w:r>
        <w:rPr>
          <w:rStyle w:val="CharSectno"/>
        </w:rPr>
        <w:tab/>
      </w:r>
      <w:r>
        <w:t>Payments from the Account</w:t>
      </w:r>
      <w:bookmarkEnd w:id="594"/>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r>
        <w:tab/>
        <w:t>[Section 129G inserted: No. 18 of 2005 s. 139; amended: No. 77 of 2006 Sch. 1 cl. 54(6).]</w:t>
      </w:r>
    </w:p>
    <w:p>
      <w:pPr>
        <w:pStyle w:val="Heading5"/>
      </w:pPr>
      <w:bookmarkStart w:id="595" w:name="_Toc164842878"/>
      <w:r>
        <w:rPr>
          <w:rStyle w:val="CharSectno"/>
        </w:rPr>
        <w:t>129H.</w:t>
      </w:r>
      <w:r>
        <w:rPr>
          <w:rStyle w:val="CharSectno"/>
        </w:rPr>
        <w:tab/>
      </w:r>
      <w:r>
        <w:t>Information</w:t>
      </w:r>
      <w:bookmarkEnd w:id="595"/>
    </w:p>
    <w:p>
      <w:pPr>
        <w:pStyle w:val="Subsection"/>
      </w:pPr>
      <w:r>
        <w:tab/>
      </w:r>
      <w:r>
        <w:tab/>
        <w:t xml:space="preserve">The Electricity Networks Corporation and the Regional Power Corporation must provide such information, or access to </w:t>
      </w:r>
      <w:r>
        <w:lastRenderedPageBreak/>
        <w:t>information, as is necessary to assist the Treasurer and the Authority to perform their functions under this Part.</w:t>
      </w:r>
    </w:p>
    <w:p>
      <w:pPr>
        <w:pStyle w:val="Footnotesection"/>
      </w:pPr>
      <w:r>
        <w:tab/>
        <w:t>[Section 129H inserted: No. 18 of 2005 s. 139.]</w:t>
      </w:r>
    </w:p>
    <w:p>
      <w:pPr>
        <w:pStyle w:val="Heading5"/>
      </w:pPr>
      <w:bookmarkStart w:id="596" w:name="_Toc164842879"/>
      <w:r>
        <w:rPr>
          <w:rStyle w:val="CharSectno"/>
        </w:rPr>
        <w:t>129I</w:t>
      </w:r>
      <w:r>
        <w:t>.</w:t>
      </w:r>
      <w:r>
        <w:rPr>
          <w:rStyle w:val="CharSectno"/>
        </w:rPr>
        <w:tab/>
      </w:r>
      <w:r>
        <w:t>Treasurer to recommend regulations</w:t>
      </w:r>
      <w:bookmarkEnd w:id="596"/>
    </w:p>
    <w:p>
      <w:pPr>
        <w:pStyle w:val="Subsection"/>
      </w:pPr>
      <w:r>
        <w:tab/>
      </w:r>
      <w:r>
        <w:tab/>
        <w:t>Regulations are not to be made for this Part except on the Treasurer’s recommendation.</w:t>
      </w:r>
    </w:p>
    <w:p>
      <w:pPr>
        <w:pStyle w:val="Footnotesection"/>
      </w:pPr>
      <w:r>
        <w:tab/>
        <w:t>[Section 129I inserted: No. 18 of 2005 s. 139.]</w:t>
      </w:r>
    </w:p>
    <w:p>
      <w:pPr>
        <w:pStyle w:val="Heading5"/>
      </w:pPr>
      <w:bookmarkStart w:id="597" w:name="_Toc164842880"/>
      <w:r>
        <w:rPr>
          <w:rStyle w:val="CharSectno"/>
        </w:rPr>
        <w:t>129J.</w:t>
      </w:r>
      <w:r>
        <w:rPr>
          <w:rStyle w:val="CharSectno"/>
        </w:rPr>
        <w:tab/>
      </w:r>
      <w:r>
        <w:t>Delegation by Treasurer</w:t>
      </w:r>
      <w:bookmarkEnd w:id="597"/>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No. 18 of 2005 s. 139; amended: No. 77 of 2006 Sch. 1 cl. 54(7).]</w:t>
      </w:r>
    </w:p>
    <w:p>
      <w:pPr>
        <w:pStyle w:val="Heading2"/>
      </w:pPr>
      <w:bookmarkStart w:id="598" w:name="_Toc164424814"/>
      <w:bookmarkStart w:id="599" w:name="_Toc164435596"/>
      <w:bookmarkStart w:id="600" w:name="_Toc164435907"/>
      <w:bookmarkStart w:id="601" w:name="_Toc164679721"/>
      <w:bookmarkStart w:id="602" w:name="_Toc164842881"/>
      <w:r>
        <w:rPr>
          <w:rStyle w:val="CharPartNo"/>
        </w:rPr>
        <w:lastRenderedPageBreak/>
        <w:t>Part 9B</w:t>
      </w:r>
      <w:r>
        <w:rPr>
          <w:rStyle w:val="CharDivNo"/>
        </w:rPr>
        <w:t> </w:t>
      </w:r>
      <w:r>
        <w:t>—</w:t>
      </w:r>
      <w:r>
        <w:rPr>
          <w:rStyle w:val="CharDivText"/>
        </w:rPr>
        <w:t> </w:t>
      </w:r>
      <w:r>
        <w:rPr>
          <w:rStyle w:val="CharPartText"/>
        </w:rPr>
        <w:t>Temporary access contribution</w:t>
      </w:r>
      <w:bookmarkEnd w:id="598"/>
      <w:bookmarkEnd w:id="599"/>
      <w:bookmarkEnd w:id="600"/>
      <w:bookmarkEnd w:id="601"/>
      <w:bookmarkEnd w:id="602"/>
    </w:p>
    <w:p>
      <w:pPr>
        <w:pStyle w:val="Footnoteheading"/>
      </w:pPr>
      <w:r>
        <w:tab/>
        <w:t>[Heading inserted: No. 9 of 2020 s. 26.]</w:t>
      </w:r>
    </w:p>
    <w:p>
      <w:pPr>
        <w:pStyle w:val="Heading5"/>
      </w:pPr>
      <w:bookmarkStart w:id="603" w:name="_Toc164842882"/>
      <w:r>
        <w:rPr>
          <w:rStyle w:val="CharSectno"/>
        </w:rPr>
        <w:t>129K</w:t>
      </w:r>
      <w:r>
        <w:t>.</w:t>
      </w:r>
      <w:r>
        <w:tab/>
        <w:t>Purpose of this Part</w:t>
      </w:r>
      <w:bookmarkEnd w:id="603"/>
      <w:r>
        <w:t xml:space="preserve"> </w:t>
      </w:r>
    </w:p>
    <w:p>
      <w:pPr>
        <w:pStyle w:val="Subsection"/>
      </w:pPr>
      <w:r>
        <w:tab/>
      </w:r>
      <w:r>
        <w:tab/>
        <w:t>The purpose of this Part is to contribute towards maintaining the financial viability of the Regional Power Corporation by allowing the Regional Power Corporation to recover all or part of its historical generation costs.</w:t>
      </w:r>
    </w:p>
    <w:p>
      <w:pPr>
        <w:pStyle w:val="Footnotesection"/>
      </w:pPr>
      <w:r>
        <w:tab/>
        <w:t>[Section 129K inserted: No. 9 of 2020 s. 26.]</w:t>
      </w:r>
    </w:p>
    <w:p>
      <w:pPr>
        <w:pStyle w:val="Heading5"/>
      </w:pPr>
      <w:bookmarkStart w:id="604" w:name="_Toc164842883"/>
      <w:r>
        <w:rPr>
          <w:rStyle w:val="CharSectno"/>
        </w:rPr>
        <w:t>129L</w:t>
      </w:r>
      <w:r>
        <w:t>.</w:t>
      </w:r>
      <w:r>
        <w:tab/>
        <w:t>Terms used</w:t>
      </w:r>
      <w:bookmarkEnd w:id="604"/>
    </w:p>
    <w:p>
      <w:pPr>
        <w:pStyle w:val="Subsection"/>
      </w:pPr>
      <w:r>
        <w:tab/>
      </w:r>
      <w:r>
        <w:tab/>
        <w:t xml:space="preserve">In this Part, unless the contrary intention appears — </w:t>
      </w:r>
    </w:p>
    <w:p>
      <w:pPr>
        <w:pStyle w:val="Defstart"/>
      </w:pPr>
      <w:r>
        <w:rPr>
          <w:b/>
          <w:i/>
        </w:rPr>
        <w:tab/>
      </w:r>
      <w:r>
        <w:rPr>
          <w:rStyle w:val="CharDefText"/>
        </w:rPr>
        <w:t>contestable annual volume</w:t>
      </w:r>
      <w:r>
        <w:rPr>
          <w:i/>
        </w:rPr>
        <w:t xml:space="preserve"> </w:t>
      </w:r>
      <w:r>
        <w:t>means the portion of total annual volume that is a contestable supply;</w:t>
      </w:r>
    </w:p>
    <w:p>
      <w:pPr>
        <w:pStyle w:val="Defstart"/>
      </w:pPr>
      <w:r>
        <w:rPr>
          <w:b/>
        </w:rPr>
        <w:tab/>
      </w:r>
      <w:r>
        <w:rPr>
          <w:rStyle w:val="CharDefText"/>
        </w:rPr>
        <w:t>contestable proportion</w:t>
      </w:r>
      <w:r>
        <w:rPr>
          <w:i/>
        </w:rPr>
        <w:t xml:space="preserve"> </w:t>
      </w:r>
      <w:r>
        <w:t>means that proportion of the Regional Power Corporation’s total supply of electricity in a financial year to consumers through its covered Pilbara network that is a contestable supply, calculated as contestable annual volume divided by total annual volume;</w:t>
      </w:r>
    </w:p>
    <w:p>
      <w:pPr>
        <w:pStyle w:val="Defstart"/>
      </w:pPr>
      <w:r>
        <w:rPr>
          <w:b/>
          <w:i/>
        </w:rPr>
        <w:tab/>
      </w:r>
      <w:r>
        <w:rPr>
          <w:rStyle w:val="CharDefText"/>
        </w:rPr>
        <w:t>contestable supply</w:t>
      </w:r>
      <w:r>
        <w:rPr>
          <w:i/>
        </w:rPr>
        <w:t xml:space="preserve"> </w:t>
      </w:r>
      <w:r>
        <w:t>means the supply of electricity to consumers who are not prescribed customers;</w:t>
      </w:r>
    </w:p>
    <w:p>
      <w:pPr>
        <w:pStyle w:val="Defstart"/>
      </w:pPr>
      <w:r>
        <w:rPr>
          <w:b/>
        </w:rPr>
        <w:tab/>
      </w:r>
      <w:r>
        <w:rPr>
          <w:rStyle w:val="CharDefText"/>
        </w:rPr>
        <w:t>costs</w:t>
      </w:r>
      <w:r>
        <w:t xml:space="preserve"> means capital and non</w:t>
      </w:r>
      <w:r>
        <w:noBreakHyphen/>
        <w:t>capital costs;</w:t>
      </w:r>
    </w:p>
    <w:p>
      <w:pPr>
        <w:pStyle w:val="Defstart"/>
      </w:pPr>
      <w:r>
        <w:rPr>
          <w:b/>
        </w:rPr>
        <w:tab/>
      </w:r>
      <w:r>
        <w:rPr>
          <w:rStyle w:val="CharDefText"/>
        </w:rPr>
        <w:t>generation costs</w:t>
      </w:r>
      <w:r>
        <w:t xml:space="preserve"> means any costs incurred by the Regional Power Corporation to generate or procure electricity for supply to consumers through the interconnected Pilbara network;</w:t>
      </w:r>
    </w:p>
    <w:p>
      <w:pPr>
        <w:pStyle w:val="Defstart"/>
      </w:pPr>
      <w:r>
        <w:rPr>
          <w:b/>
        </w:rPr>
        <w:tab/>
      </w:r>
      <w:r>
        <w:rPr>
          <w:rStyle w:val="CharDefText"/>
        </w:rPr>
        <w:t>historical generation costs</w:t>
      </w:r>
      <w:r>
        <w:t xml:space="preserve"> means any generation costs — </w:t>
      </w:r>
    </w:p>
    <w:p>
      <w:pPr>
        <w:pStyle w:val="Defpara"/>
      </w:pPr>
      <w:r>
        <w:tab/>
        <w:t>(a)</w:t>
      </w:r>
      <w:r>
        <w:tab/>
        <w:t>that were incurred before 19 August 2019; or</w:t>
      </w:r>
    </w:p>
    <w:p>
      <w:pPr>
        <w:pStyle w:val="Defpara"/>
      </w:pPr>
      <w:r>
        <w:tab/>
        <w:t>(b)</w:t>
      </w:r>
      <w:r>
        <w:tab/>
        <w:t>that are incurred on or after 19 August 2019 under commitments made by the Regional Power Corporation before that date and that are costs that a prudent supplier, seeking to reasonably minimise costs, could not reasonably avoid;</w:t>
      </w:r>
    </w:p>
    <w:p>
      <w:pPr>
        <w:pStyle w:val="Defstart"/>
      </w:pPr>
      <w:r>
        <w:rPr>
          <w:b/>
        </w:rPr>
        <w:lastRenderedPageBreak/>
        <w:tab/>
      </w:r>
      <w:r>
        <w:rPr>
          <w:rStyle w:val="CharDefText"/>
        </w:rPr>
        <w:t>NBU</w:t>
      </w:r>
      <w:r>
        <w:rPr>
          <w:b/>
        </w:rPr>
        <w:t xml:space="preserve"> </w:t>
      </w:r>
      <w:r>
        <w:t>means the segment of the Regional Power Corporation that has the functions and business of providing services through the interconnected Pilbara network;</w:t>
      </w:r>
    </w:p>
    <w:p>
      <w:pPr>
        <w:pStyle w:val="Defstart"/>
      </w:pPr>
      <w:r>
        <w:rPr>
          <w:b/>
          <w:i/>
        </w:rPr>
        <w:tab/>
      </w:r>
      <w:r>
        <w:rPr>
          <w:rStyle w:val="CharDefText"/>
        </w:rPr>
        <w:t>prescribed customer</w:t>
      </w:r>
      <w:r>
        <w:rPr>
          <w:i/>
        </w:rPr>
        <w:t xml:space="preserve"> </w:t>
      </w:r>
      <w:r>
        <w:t xml:space="preserve">has the meaning given to that term in the </w:t>
      </w:r>
      <w:r>
        <w:rPr>
          <w:i/>
        </w:rPr>
        <w:t xml:space="preserve">Electricity Corporations Act 2005 </w:t>
      </w:r>
      <w:r>
        <w:t>section 54;</w:t>
      </w:r>
    </w:p>
    <w:p>
      <w:pPr>
        <w:pStyle w:val="Defstart"/>
        <w:rPr>
          <w:b/>
        </w:rPr>
      </w:pPr>
      <w:r>
        <w:rPr>
          <w:b/>
        </w:rPr>
        <w:tab/>
      </w:r>
      <w:r>
        <w:rPr>
          <w:rStyle w:val="CharDefText"/>
        </w:rPr>
        <w:t>Temporary Access Contribution Account</w:t>
      </w:r>
      <w:r>
        <w:t xml:space="preserve"> means the account referred to in section 129M;</w:t>
      </w:r>
    </w:p>
    <w:p>
      <w:pPr>
        <w:pStyle w:val="Defstart"/>
      </w:pPr>
      <w:r>
        <w:tab/>
      </w:r>
      <w:r>
        <w:rPr>
          <w:rStyle w:val="CharDefText"/>
        </w:rPr>
        <w:t>temporary access contribution</w:t>
      </w:r>
      <w:r>
        <w:t xml:space="preserve"> means a temporary access contribution determined under section 129N(1);</w:t>
      </w:r>
    </w:p>
    <w:p>
      <w:pPr>
        <w:pStyle w:val="Defstart"/>
      </w:pPr>
      <w:r>
        <w:tab/>
      </w:r>
      <w:r>
        <w:rPr>
          <w:rStyle w:val="CharDefText"/>
        </w:rPr>
        <w:t>termination date</w:t>
      </w:r>
      <w:r>
        <w:t xml:space="preserve"> means the date prescribed by the regulations as the termination date;</w:t>
      </w:r>
    </w:p>
    <w:p>
      <w:pPr>
        <w:pStyle w:val="Defstart"/>
      </w:pPr>
      <w:r>
        <w:tab/>
      </w:r>
      <w:r>
        <w:rPr>
          <w:rStyle w:val="CharDefText"/>
        </w:rPr>
        <w:t>total annual volume</w:t>
      </w:r>
      <w:r>
        <w:t xml:space="preserve"> means the total quantity of electricity supplied by the Regional Power Corporation in a financial year through its covered Pilbara network, expressed in kilowatt hours;</w:t>
      </w:r>
    </w:p>
    <w:p>
      <w:pPr>
        <w:pStyle w:val="Defstart"/>
      </w:pPr>
      <w:r>
        <w:rPr>
          <w:b/>
        </w:rPr>
        <w:tab/>
      </w:r>
      <w:r>
        <w:rPr>
          <w:rStyle w:val="CharDefText"/>
        </w:rPr>
        <w:t>user</w:t>
      </w:r>
      <w:r>
        <w:t xml:space="preserve"> means a Pilbara network user as defined in section 120.</w:t>
      </w:r>
    </w:p>
    <w:p>
      <w:pPr>
        <w:pStyle w:val="Footnotesection"/>
      </w:pPr>
      <w:r>
        <w:tab/>
        <w:t>[Section 129L inserted: No. 9 of 2020 s. 26.]</w:t>
      </w:r>
    </w:p>
    <w:p>
      <w:pPr>
        <w:pStyle w:val="Heading5"/>
      </w:pPr>
      <w:bookmarkStart w:id="605" w:name="_Toc164842884"/>
      <w:r>
        <w:rPr>
          <w:rStyle w:val="CharSectno"/>
        </w:rPr>
        <w:t>129M</w:t>
      </w:r>
      <w:r>
        <w:t>.</w:t>
      </w:r>
      <w:r>
        <w:tab/>
        <w:t>Temporary Access Contribution Account</w:t>
      </w:r>
      <w:bookmarkEnd w:id="605"/>
    </w:p>
    <w:p>
      <w:pPr>
        <w:pStyle w:val="Subsection"/>
      </w:pPr>
      <w:r>
        <w:tab/>
        <w:t>(1)</w:t>
      </w:r>
      <w:r>
        <w:tab/>
        <w:t xml:space="preserve">An agency special purpose account called the Temporary Access Contribution Account is established under the </w:t>
      </w:r>
      <w:r>
        <w:rPr>
          <w:i/>
        </w:rPr>
        <w:t>Financial Management Act 2006</w:t>
      </w:r>
      <w:r>
        <w:t xml:space="preserve"> section 16.</w:t>
      </w:r>
    </w:p>
    <w:p>
      <w:pPr>
        <w:pStyle w:val="Subsection"/>
      </w:pPr>
      <w:r>
        <w:tab/>
        <w:t>(2)</w:t>
      </w:r>
      <w:r>
        <w:tab/>
        <w:t>There are to be credited to the Temporary Access Contribution Account —</w:t>
      </w:r>
    </w:p>
    <w:p>
      <w:pPr>
        <w:pStyle w:val="Indenta"/>
      </w:pPr>
      <w:r>
        <w:tab/>
        <w:t>(a)</w:t>
      </w:r>
      <w:r>
        <w:tab/>
        <w:t>each temporary access contribution paid by the NBU under section 129P(1); and</w:t>
      </w:r>
    </w:p>
    <w:p>
      <w:pPr>
        <w:pStyle w:val="Indenta"/>
      </w:pPr>
      <w:r>
        <w:tab/>
        <w:t>(b)</w:t>
      </w:r>
      <w:r>
        <w:tab/>
        <w:t xml:space="preserve">the amount of any income determined by the Treasurer (at a rate determined by the Treasurer) to be attributable to the investment under the </w:t>
      </w:r>
      <w:r>
        <w:rPr>
          <w:i/>
        </w:rPr>
        <w:t>Financial Management Act 2006</w:t>
      </w:r>
      <w:r>
        <w:t xml:space="preserve"> section 37 of money standing to the credit of the Temporary Access Contribution Account; and</w:t>
      </w:r>
    </w:p>
    <w:p>
      <w:pPr>
        <w:pStyle w:val="Indenta"/>
        <w:keepNext/>
      </w:pPr>
      <w:r>
        <w:lastRenderedPageBreak/>
        <w:tab/>
        <w:t>(c)</w:t>
      </w:r>
      <w:r>
        <w:tab/>
        <w:t>any other amount lawfully received for the purposes of the Account.</w:t>
      </w:r>
    </w:p>
    <w:p>
      <w:pPr>
        <w:pStyle w:val="Footnotesection"/>
      </w:pPr>
      <w:r>
        <w:tab/>
        <w:t>[Section 129M inserted: No. 9 of 2020 s. 26.]</w:t>
      </w:r>
    </w:p>
    <w:p>
      <w:pPr>
        <w:pStyle w:val="Heading5"/>
      </w:pPr>
      <w:bookmarkStart w:id="606" w:name="_Toc164842885"/>
      <w:r>
        <w:rPr>
          <w:rStyle w:val="CharSectno"/>
        </w:rPr>
        <w:t>129N</w:t>
      </w:r>
      <w:r>
        <w:t>.</w:t>
      </w:r>
      <w:r>
        <w:tab/>
        <w:t>Determination of temporary access contributions</w:t>
      </w:r>
      <w:bookmarkEnd w:id="606"/>
    </w:p>
    <w:p>
      <w:pPr>
        <w:pStyle w:val="Subsection"/>
      </w:pPr>
      <w:r>
        <w:tab/>
        <w:t>(1)</w:t>
      </w:r>
      <w:r>
        <w:tab/>
        <w:t xml:space="preserve">The Treasurer must for each financial year, until the termination date, determine, by notice published in the </w:t>
      </w:r>
      <w:r>
        <w:rPr>
          <w:i/>
        </w:rPr>
        <w:t>Gazette</w:t>
      </w:r>
      <w:r>
        <w:t>, an amount of temporary access contribution that is payable by NBU in respect of that financial year.</w:t>
      </w:r>
    </w:p>
    <w:p>
      <w:pPr>
        <w:pStyle w:val="Subsection"/>
      </w:pPr>
      <w:r>
        <w:tab/>
        <w:t>(2)</w:t>
      </w:r>
      <w:r>
        <w:tab/>
        <w:t>The Treasurer must for each financial year, until the termination date, determine the cost to the Regional Power Corporation of its historical generation costs for that financial year.</w:t>
      </w:r>
    </w:p>
    <w:p>
      <w:pPr>
        <w:pStyle w:val="Subsection"/>
      </w:pPr>
      <w:r>
        <w:tab/>
        <w:t>(3)</w:t>
      </w:r>
      <w:r>
        <w:tab/>
        <w:t>The temporary access contribution determined for a financial year must not exceed the contestable proportion of the cost determined for that financial year under subsection (2).</w:t>
      </w:r>
    </w:p>
    <w:p>
      <w:pPr>
        <w:pStyle w:val="Subsection"/>
      </w:pPr>
      <w:r>
        <w:tab/>
        <w:t>(4)</w:t>
      </w:r>
      <w:r>
        <w:tab/>
        <w:t xml:space="preserve">In making a determination under subsection (1) for a financial year, the Treasurer must have regard to — </w:t>
      </w:r>
    </w:p>
    <w:p>
      <w:pPr>
        <w:pStyle w:val="Indenta"/>
      </w:pPr>
      <w:r>
        <w:tab/>
        <w:t>(a)</w:t>
      </w:r>
      <w:r>
        <w:tab/>
        <w:t>the amount required to compensate the Regional Power Corporation for the cost determined under subsection (2) for that financial year; and</w:t>
      </w:r>
    </w:p>
    <w:p>
      <w:pPr>
        <w:pStyle w:val="Indenta"/>
      </w:pPr>
      <w:r>
        <w:tab/>
        <w:t>(b)</w:t>
      </w:r>
      <w:r>
        <w:tab/>
        <w:t>the moneys standing to the credit of the Temporary Access Contribution Account; and</w:t>
      </w:r>
    </w:p>
    <w:p>
      <w:pPr>
        <w:pStyle w:val="Indenta"/>
      </w:pPr>
      <w:r>
        <w:tab/>
        <w:t>(c)</w:t>
      </w:r>
      <w:r>
        <w:tab/>
        <w:t>any service standards to be observed by the Regional Power Corporation; and</w:t>
      </w:r>
    </w:p>
    <w:p>
      <w:pPr>
        <w:pStyle w:val="Indenta"/>
      </w:pPr>
      <w:r>
        <w:tab/>
        <w:t>(d)</w:t>
      </w:r>
      <w:r>
        <w:tab/>
        <w:t>any other prescribed matters.</w:t>
      </w:r>
    </w:p>
    <w:p>
      <w:pPr>
        <w:pStyle w:val="Subsection"/>
      </w:pPr>
      <w:r>
        <w:tab/>
        <w:t>(5)</w:t>
      </w:r>
      <w:r>
        <w:tab/>
        <w:t>In subsection (4)(c)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keepNext/>
      </w:pPr>
      <w:r>
        <w:lastRenderedPageBreak/>
        <w:tab/>
        <w:t>(6)</w:t>
      </w:r>
      <w:r>
        <w:tab/>
        <w:t>The Treasurer must consult with the Minister before making a determination under this section.</w:t>
      </w:r>
    </w:p>
    <w:p>
      <w:pPr>
        <w:pStyle w:val="Footnotesection"/>
      </w:pPr>
      <w:r>
        <w:tab/>
        <w:t>[Section 129N inserted: No. 9 of 2020 s. 26.]</w:t>
      </w:r>
    </w:p>
    <w:p>
      <w:pPr>
        <w:pStyle w:val="Heading5"/>
      </w:pPr>
      <w:bookmarkStart w:id="607" w:name="_Toc164842886"/>
      <w:r>
        <w:rPr>
          <w:rStyle w:val="CharSectno"/>
        </w:rPr>
        <w:t>129O</w:t>
      </w:r>
      <w:r>
        <w:t>.</w:t>
      </w:r>
      <w:r>
        <w:tab/>
        <w:t>Treasurer may seek advice from the Authority</w:t>
      </w:r>
      <w:bookmarkEnd w:id="607"/>
    </w:p>
    <w:p>
      <w:pPr>
        <w:pStyle w:val="Subsection"/>
      </w:pPr>
      <w:r>
        <w:tab/>
        <w:t>(1)</w:t>
      </w:r>
      <w:r>
        <w:tab/>
        <w:t>Before making a determination under section 129N(1) the Treasurer may ask the Authority for advice on any matter referred to in section 129N(4)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The Treasurer must cause advice given by the Authority under subsection (2) to be published on an appropriate website when the determination is made.</w:t>
      </w:r>
    </w:p>
    <w:p>
      <w:pPr>
        <w:pStyle w:val="Footnotesection"/>
      </w:pPr>
      <w:r>
        <w:tab/>
        <w:t>[Section 129O inserted: No. 9 of 2020 s. 26.]</w:t>
      </w:r>
    </w:p>
    <w:p>
      <w:pPr>
        <w:pStyle w:val="Heading5"/>
      </w:pPr>
      <w:bookmarkStart w:id="608" w:name="_Toc164842887"/>
      <w:r>
        <w:rPr>
          <w:rStyle w:val="CharSectno"/>
        </w:rPr>
        <w:t>129P</w:t>
      </w:r>
      <w:r>
        <w:t>.</w:t>
      </w:r>
      <w:r>
        <w:tab/>
        <w:t>Payment and passing on of temporary access contribution</w:t>
      </w:r>
      <w:bookmarkEnd w:id="608"/>
    </w:p>
    <w:p>
      <w:pPr>
        <w:pStyle w:val="Subsection"/>
      </w:pPr>
      <w:r>
        <w:tab/>
        <w:t>(1)</w:t>
      </w:r>
      <w:r>
        <w:tab/>
        <w:t>NBU must pay temporary access contributions into the Temporary Access Contribution Account, at the times and in the manner determined by the Treasurer.</w:t>
      </w:r>
    </w:p>
    <w:p>
      <w:pPr>
        <w:pStyle w:val="Subsection"/>
      </w:pPr>
      <w:r>
        <w:tab/>
        <w:t>(2)</w:t>
      </w:r>
      <w:r>
        <w:tab/>
        <w:t>Users accessing services of the Regional Power Corporation’s covered Pilbara network must make payments to NBU in accordance with the Pilbara Networks Access Code in respect of temporary access contributions payable by NBU under subsection (1).</w:t>
      </w:r>
    </w:p>
    <w:p>
      <w:pPr>
        <w:pStyle w:val="Subsection"/>
      </w:pPr>
      <w:r>
        <w:tab/>
        <w:t>(3)</w:t>
      </w:r>
      <w:r>
        <w:tab/>
        <w:t>The Pilbara Networks Access Code may exempt users or classes of users specified in the code from subsection (2) in the circumstances specified in the code.</w:t>
      </w:r>
    </w:p>
    <w:p>
      <w:pPr>
        <w:pStyle w:val="Subsection"/>
        <w:keepNext/>
      </w:pPr>
      <w:r>
        <w:lastRenderedPageBreak/>
        <w:tab/>
        <w:t>(4)</w:t>
      </w:r>
      <w:r>
        <w:tab/>
        <w:t xml:space="preserve">Without limiting Part 8A Division 2, the Pilbara Networks Access Code may provide for — </w:t>
      </w:r>
    </w:p>
    <w:p>
      <w:pPr>
        <w:pStyle w:val="Indenta"/>
      </w:pPr>
      <w:r>
        <w:tab/>
        <w:t>(a)</w:t>
      </w:r>
      <w:r>
        <w:tab/>
        <w:t>the determination of the amounts payable by users under subsection (2) and the manner in which those amounts are to be collected; and</w:t>
      </w:r>
    </w:p>
    <w:p>
      <w:pPr>
        <w:pStyle w:val="Indenta"/>
      </w:pPr>
      <w:r>
        <w:tab/>
        <w:t>(b)</w:t>
      </w:r>
      <w:r>
        <w:tab/>
        <w:t>temporary access contributions and the obligations of users under subsection (2) to be taken into account in the determination, publication or approval of prices under Part 8 or Part 8A or in the resolution of disputes in relation to those prices.</w:t>
      </w:r>
    </w:p>
    <w:p>
      <w:pPr>
        <w:pStyle w:val="Subsection"/>
      </w:pPr>
      <w:r>
        <w:tab/>
        <w:t>(5)</w:t>
      </w:r>
      <w:r>
        <w:tab/>
        <w:t>The regulations may provide for the regulation of matters of a savings or transitional nature in relation to payments in respect of temporary access contributions.</w:t>
      </w:r>
    </w:p>
    <w:p>
      <w:pPr>
        <w:pStyle w:val="Footnotesection"/>
      </w:pPr>
      <w:r>
        <w:tab/>
        <w:t>[Section 129P inserted: No. 9 of 2020 s. 26.]</w:t>
      </w:r>
    </w:p>
    <w:p>
      <w:pPr>
        <w:pStyle w:val="Heading5"/>
      </w:pPr>
      <w:bookmarkStart w:id="609" w:name="_Toc164842888"/>
      <w:r>
        <w:rPr>
          <w:rStyle w:val="CharSectno"/>
        </w:rPr>
        <w:t>129Q</w:t>
      </w:r>
      <w:r>
        <w:t>.</w:t>
      </w:r>
      <w:r>
        <w:tab/>
        <w:t>Payments from Temporary Access Contribution Account</w:t>
      </w:r>
      <w:bookmarkEnd w:id="609"/>
    </w:p>
    <w:p>
      <w:pPr>
        <w:pStyle w:val="Subsection"/>
      </w:pPr>
      <w:r>
        <w:tab/>
        <w:t>(1)</w:t>
      </w:r>
      <w:r>
        <w:tab/>
        <w:t xml:space="preserve">If a temporary access contribution is payable by NBU in respect of a financial year, the Treasurer must pay to the Regional Power Corporation in respect of that financial year the amount that the Treasurer considers necessary for the purpose of this Part having regard to — </w:t>
      </w:r>
    </w:p>
    <w:p>
      <w:pPr>
        <w:pStyle w:val="Indenta"/>
      </w:pPr>
      <w:r>
        <w:tab/>
        <w:t>(a)</w:t>
      </w:r>
      <w:r>
        <w:tab/>
        <w:t>the matters referred to in section 129N(4)(a), (b) and (c); and</w:t>
      </w:r>
    </w:p>
    <w:p>
      <w:pPr>
        <w:pStyle w:val="Indenta"/>
      </w:pPr>
      <w:r>
        <w:tab/>
        <w:t>(b)</w:t>
      </w:r>
      <w:r>
        <w:tab/>
        <w:t>any other prescribed matters.</w:t>
      </w:r>
    </w:p>
    <w:p>
      <w:pPr>
        <w:pStyle w:val="Subsection"/>
      </w:pPr>
      <w:r>
        <w:tab/>
        <w:t>(2)</w:t>
      </w:r>
      <w:r>
        <w:tab/>
        <w:t>Payments under subsection (1) are to be made from the Temporary Access Contribution Account.</w:t>
      </w:r>
    </w:p>
    <w:p>
      <w:pPr>
        <w:pStyle w:val="Subsection"/>
      </w:pPr>
      <w:r>
        <w:tab/>
        <w:t>(3)</w:t>
      </w:r>
      <w:r>
        <w:tab/>
        <w:t>Without limiting Part 8A Division 2, the Pilbara Networks Access Code may provide for reporting by the Regional Power Corporation of any amounts received from the Temporary Access Contribution Account in each financial year.</w:t>
      </w:r>
    </w:p>
    <w:p>
      <w:pPr>
        <w:pStyle w:val="Footnotesection"/>
      </w:pPr>
      <w:r>
        <w:tab/>
        <w:t>[Section 129Q inserted: No. 9 of 2020 s. 26.]</w:t>
      </w:r>
    </w:p>
    <w:p>
      <w:pPr>
        <w:pStyle w:val="Heading5"/>
      </w:pPr>
      <w:bookmarkStart w:id="610" w:name="_Toc164842889"/>
      <w:r>
        <w:rPr>
          <w:rStyle w:val="CharSectno"/>
        </w:rPr>
        <w:lastRenderedPageBreak/>
        <w:t>129R</w:t>
      </w:r>
      <w:r>
        <w:t>.</w:t>
      </w:r>
      <w:r>
        <w:tab/>
        <w:t>Information</w:t>
      </w:r>
      <w:bookmarkEnd w:id="610"/>
    </w:p>
    <w:p>
      <w:pPr>
        <w:pStyle w:val="Subsection"/>
      </w:pPr>
      <w:r>
        <w:tab/>
      </w:r>
      <w:r>
        <w:tab/>
        <w:t>The Regional Power Corporation must provide any information, or access to information, that is necessary to assist the Treasurer and the Authority to perform their functions under this Part.</w:t>
      </w:r>
    </w:p>
    <w:p>
      <w:pPr>
        <w:pStyle w:val="Footnotesection"/>
      </w:pPr>
      <w:r>
        <w:tab/>
        <w:t>[Section 129R inserted: No. 9 of 2020 s. 26.]</w:t>
      </w:r>
    </w:p>
    <w:p>
      <w:pPr>
        <w:pStyle w:val="Heading5"/>
      </w:pPr>
      <w:bookmarkStart w:id="611" w:name="_Toc164842890"/>
      <w:r>
        <w:rPr>
          <w:rStyle w:val="CharSectno"/>
        </w:rPr>
        <w:t>129S</w:t>
      </w:r>
      <w:r>
        <w:t>.</w:t>
      </w:r>
      <w:r>
        <w:tab/>
        <w:t>Treasurer to recommend regulations</w:t>
      </w:r>
      <w:bookmarkEnd w:id="611"/>
    </w:p>
    <w:p>
      <w:pPr>
        <w:pStyle w:val="Subsection"/>
      </w:pPr>
      <w:r>
        <w:tab/>
      </w:r>
      <w:r>
        <w:tab/>
        <w:t>Regulations are not to be made for this Part except on the Treasurer’s recommendation.</w:t>
      </w:r>
    </w:p>
    <w:p>
      <w:pPr>
        <w:pStyle w:val="Footnotesection"/>
      </w:pPr>
      <w:r>
        <w:tab/>
        <w:t>[Section 129S inserted: No. 9 of 2020 s. 26.]</w:t>
      </w:r>
    </w:p>
    <w:p>
      <w:pPr>
        <w:pStyle w:val="Heading5"/>
      </w:pPr>
      <w:bookmarkStart w:id="612" w:name="_Toc164842891"/>
      <w:r>
        <w:rPr>
          <w:rStyle w:val="CharSectno"/>
        </w:rPr>
        <w:t>129T</w:t>
      </w:r>
      <w:r>
        <w:t>.</w:t>
      </w:r>
      <w:r>
        <w:tab/>
        <w:t>Delegation by Treasurer</w:t>
      </w:r>
      <w:bookmarkEnd w:id="612"/>
    </w:p>
    <w:p>
      <w:pPr>
        <w:pStyle w:val="Subsection"/>
      </w:pPr>
      <w:r>
        <w:tab/>
      </w:r>
      <w:r>
        <w:tab/>
        <w:t xml:space="preserve">The </w:t>
      </w:r>
      <w:r>
        <w:rPr>
          <w:i/>
        </w:rPr>
        <w:t>Financial Management Act 2006</w:t>
      </w:r>
      <w:r>
        <w:t xml:space="preserve"> sections 74(2), 76(2) and 77 apply to a power conferred on the Treasurer under a provision of this Part (other than section 129S) as if it were conferred by that Act.</w:t>
      </w:r>
    </w:p>
    <w:p>
      <w:pPr>
        <w:pStyle w:val="Footnotesection"/>
      </w:pPr>
      <w:r>
        <w:tab/>
        <w:t>[Section 129T inserted: No. 9 of 2020 s. 26.]</w:t>
      </w:r>
    </w:p>
    <w:p>
      <w:pPr>
        <w:pStyle w:val="Heading2"/>
      </w:pPr>
      <w:bookmarkStart w:id="613" w:name="_Toc164424825"/>
      <w:bookmarkStart w:id="614" w:name="_Toc164435607"/>
      <w:bookmarkStart w:id="615" w:name="_Toc164435918"/>
      <w:bookmarkStart w:id="616" w:name="_Toc164679732"/>
      <w:bookmarkStart w:id="617" w:name="_Toc164842892"/>
      <w:r>
        <w:rPr>
          <w:rStyle w:val="CharPartNo"/>
        </w:rPr>
        <w:lastRenderedPageBreak/>
        <w:t>Part 10</w:t>
      </w:r>
      <w:r>
        <w:rPr>
          <w:rStyle w:val="CharDivNo"/>
        </w:rPr>
        <w:t> </w:t>
      </w:r>
      <w:r>
        <w:t>—</w:t>
      </w:r>
      <w:r>
        <w:rPr>
          <w:rStyle w:val="CharDivText"/>
        </w:rPr>
        <w:t> </w:t>
      </w:r>
      <w:r>
        <w:rPr>
          <w:rStyle w:val="CharPartText"/>
        </w:rPr>
        <w:t>Other matters</w:t>
      </w:r>
      <w:bookmarkEnd w:id="613"/>
      <w:bookmarkEnd w:id="614"/>
      <w:bookmarkEnd w:id="615"/>
      <w:bookmarkEnd w:id="616"/>
      <w:bookmarkEnd w:id="617"/>
    </w:p>
    <w:p>
      <w:pPr>
        <w:pStyle w:val="Heading5"/>
      </w:pPr>
      <w:bookmarkStart w:id="618" w:name="_Toc164842893"/>
      <w:r>
        <w:rPr>
          <w:rStyle w:val="CharSectno"/>
        </w:rPr>
        <w:t>130</w:t>
      </w:r>
      <w:r>
        <w:t>.</w:t>
      </w:r>
      <w:r>
        <w:tab/>
        <w:t>Review by the Board</w:t>
      </w:r>
      <w:bookmarkEnd w:id="618"/>
    </w:p>
    <w:p>
      <w:pPr>
        <w:pStyle w:val="Subsection"/>
      </w:pPr>
      <w:r>
        <w:tab/>
        <w:t>(1)</w:t>
      </w:r>
      <w:r>
        <w:tab/>
        <w:t xml:space="preserve">In this section — </w:t>
      </w:r>
    </w:p>
    <w:p>
      <w:pPr>
        <w:pStyle w:val="Defstart"/>
      </w:pPr>
      <w:r>
        <w:rPr>
          <w:b/>
        </w:rPr>
        <w:tab/>
      </w:r>
      <w:r>
        <w:rPr>
          <w:rStyle w:val="CharDefText"/>
        </w:rPr>
        <w:t>gas pipelines access provisions</w:t>
      </w:r>
      <w:r>
        <w:t xml:space="preserve"> means the</w:t>
      </w:r>
      <w:r>
        <w:rPr>
          <w:i/>
        </w:rPr>
        <w:t xml:space="preserve"> Gas Pipelines Access (Western Australia) Act 1998</w:t>
      </w:r>
      <w:r>
        <w:rPr>
          <w:iCs/>
          <w:vertAlign w:val="superscript"/>
        </w:rPr>
        <w:t> 4</w:t>
      </w:r>
      <w:r>
        <w:t xml:space="preserve"> Schedule 1 as in force immediately before the day on which the </w:t>
      </w:r>
      <w:r>
        <w:rPr>
          <w:i/>
          <w:iCs/>
        </w:rPr>
        <w:t>National Gas Access (WA) Act 2009</w:t>
      </w:r>
      <w:r>
        <w:t xml:space="preserve"> section 51 deleted it</w:t>
      </w:r>
      <w:r>
        <w:rPr>
          <w:vertAlign w:val="superscript"/>
        </w:rPr>
        <w:t> 3</w:t>
      </w:r>
      <w:r>
        <w:t>.</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 or</w:t>
      </w:r>
    </w:p>
    <w:p>
      <w:pPr>
        <w:pStyle w:val="Indenta"/>
      </w:pPr>
      <w:r>
        <w:tab/>
        <w:t>(b)</w:t>
      </w:r>
      <w:r>
        <w:tab/>
        <w:t>a decision of the Authority to refuse to approve the transfer of a licence; or</w:t>
      </w:r>
    </w:p>
    <w:p>
      <w:pPr>
        <w:pStyle w:val="Indenta"/>
      </w:pPr>
      <w:r>
        <w:tab/>
        <w:t>(c)</w:t>
      </w:r>
      <w:r>
        <w:tab/>
        <w:t>a decision of the Authority to refuse to amend a licence under section 21; or</w:t>
      </w:r>
    </w:p>
    <w:p>
      <w:pPr>
        <w:pStyle w:val="Indenta"/>
      </w:pPr>
      <w:r>
        <w:tab/>
        <w:t>(d)</w:t>
      </w:r>
      <w:r>
        <w:tab/>
        <w:t>a decision of the Authority as to the length of the period for which a licence is granted or renewed; or</w:t>
      </w:r>
    </w:p>
    <w:p>
      <w:pPr>
        <w:pStyle w:val="Indenta"/>
      </w:pPr>
      <w:r>
        <w:tab/>
        <w:t>(e)</w:t>
      </w:r>
      <w:r>
        <w:tab/>
        <w:t>a decision of the Authority as to any term or condition of a licence; or</w:t>
      </w:r>
    </w:p>
    <w:p>
      <w:pPr>
        <w:pStyle w:val="Indenta"/>
      </w:pPr>
      <w:r>
        <w:tab/>
        <w:t>(f)</w:t>
      </w:r>
      <w:r>
        <w:tab/>
        <w:t>a decision of the Authority to amend a licence under section 22; or</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r>
      <w:r>
        <w:tab/>
        <w:t>or</w:t>
      </w:r>
    </w:p>
    <w:p>
      <w:pPr>
        <w:pStyle w:val="Indenta"/>
      </w:pPr>
      <w:r>
        <w:tab/>
        <w:t>(h)</w:t>
      </w:r>
      <w:r>
        <w:tab/>
        <w:t>a direction given by the Authority under section 53; or</w:t>
      </w:r>
    </w:p>
    <w:p>
      <w:pPr>
        <w:pStyle w:val="Indenta"/>
      </w:pPr>
      <w:r>
        <w:tab/>
        <w:t>(i)</w:t>
      </w:r>
      <w:r>
        <w:tab/>
        <w:t>a decision by the Minister under the Code that network</w:t>
      </w:r>
      <w:r>
        <w:rPr>
          <w:b/>
        </w:rPr>
        <w:t xml:space="preserve"> </w:t>
      </w:r>
      <w:r>
        <w:t>infrastructure facilities are to become covered networks or are to cease to be covered networks; or</w:t>
      </w:r>
    </w:p>
    <w:p>
      <w:pPr>
        <w:pStyle w:val="Indenta"/>
        <w:keepNext/>
        <w:keepLines/>
      </w:pPr>
      <w:r>
        <w:lastRenderedPageBreak/>
        <w:tab/>
        <w:t>(ia)</w:t>
      </w:r>
      <w:r>
        <w:tab/>
        <w:t>a decision by the Minister under the Pilbara Networks Access Code that a covered Pilbara network</w:t>
      </w:r>
      <w:r>
        <w:rPr>
          <w:b/>
        </w:rPr>
        <w:t xml:space="preserve"> </w:t>
      </w:r>
      <w:r>
        <w:t>is to be subject to regulation under Part 8 or Part 8A, or is to cease to be subject to regulation under Part 8 or 8A; or</w:t>
      </w:r>
    </w:p>
    <w:p>
      <w:pPr>
        <w:pStyle w:val="Indenta"/>
      </w:pPr>
      <w:r>
        <w:tab/>
        <w:t>(ib)</w:t>
      </w:r>
      <w:r>
        <w:tab/>
        <w:t>a decision under the Pilbara Networks Access Code as to whether a network service provider of a Pilbara network has satisfied the requirements in the Pilbara Networks Access Code for the provider to opt for the access to services of the network to be subject to regulation under Part 8A or to cease to be subject to regulation under Part 8A; or</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or the Pilbara Networks Access Code</w:t>
      </w:r>
      <w:r>
        <w:rPr>
          <w:snapToGrid w:val="0"/>
        </w:rPr>
        <w:t xml:space="preserve"> </w:t>
      </w:r>
      <w:r>
        <w:t>in respect of the segregation of the functions and business of providing services from the network service provider’s other functions and business</w:t>
      </w:r>
      <w:r>
        <w:rPr>
          <w:snapToGrid w:val="0"/>
        </w:rPr>
        <w:t>, or to waive any of those obligations;</w:t>
      </w:r>
      <w:r>
        <w:t xml:space="preserve"> or</w:t>
      </w:r>
    </w:p>
    <w:p>
      <w:pPr>
        <w:pStyle w:val="Indenta"/>
        <w:rPr>
          <w:snapToGrid w:val="0"/>
        </w:rPr>
      </w:pPr>
      <w:r>
        <w:rPr>
          <w:snapToGrid w:val="0"/>
        </w:rPr>
        <w:tab/>
        <w:t>(k)</w:t>
      </w:r>
      <w:r>
        <w:rPr>
          <w:snapToGrid w:val="0"/>
        </w:rPr>
        <w:tab/>
        <w:t xml:space="preserve">a decision by the Authority to approve or not to approve an </w:t>
      </w:r>
      <w:r>
        <w:t>arrangement lodged under section 104B(a); or</w:t>
      </w:r>
    </w:p>
    <w:p>
      <w:pPr>
        <w:pStyle w:val="Indenta"/>
      </w:pPr>
      <w:r>
        <w:tab/>
        <w:t>(ka)</w:t>
      </w:r>
      <w:r>
        <w:tab/>
        <w:t>a decision by the Authority to approve or not to approve a thing for which the approval of the Authority is required under the Pilbara Networks Access Code; or</w:t>
      </w:r>
    </w:p>
    <w:p>
      <w:pPr>
        <w:pStyle w:val="Indenta"/>
        <w:rPr>
          <w:snapToGrid w:val="0"/>
        </w:rPr>
      </w:pPr>
      <w:r>
        <w:rPr>
          <w:snapToGrid w:val="0"/>
        </w:rPr>
        <w:tab/>
        <w:t>(l)</w:t>
      </w:r>
      <w:r>
        <w:rPr>
          <w:snapToGrid w:val="0"/>
        </w:rPr>
        <w:tab/>
        <w:t xml:space="preserve">a decision by the Authority to release confidential data given to the Authority for the performance of its functions under </w:t>
      </w:r>
      <w:r>
        <w:t>Part 8 or 8A.</w:t>
      </w:r>
    </w:p>
    <w:p>
      <w:pPr>
        <w:pStyle w:val="PermNoteHeading"/>
      </w:pPr>
      <w:r>
        <w:tab/>
        <w:t>Note:</w:t>
      </w:r>
    </w:p>
    <w:p>
      <w:pPr>
        <w:pStyle w:val="PermNoteText"/>
      </w:pPr>
      <w:r>
        <w:tab/>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keepNext/>
      </w:pPr>
      <w:r>
        <w:lastRenderedPageBreak/>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iCs/>
        </w:rPr>
        <w:t>Energy Arbitration and Review</w:t>
      </w:r>
      <w:r>
        <w:rPr>
          <w:i/>
        </w:rPr>
        <w:t xml:space="preserve"> Act 1998</w:t>
      </w:r>
      <w:r>
        <w:t xml:space="preserve"> Part 6 Division 2 refers to the functions of, and proceedings before, the Board those functions and proceedings include functions and proceedings under this section.</w:t>
      </w:r>
    </w:p>
    <w:p>
      <w:pPr>
        <w:pStyle w:val="Subsection"/>
      </w:pPr>
      <w:r>
        <w:tab/>
        <w:t>(9)</w:t>
      </w:r>
      <w:r>
        <w:tab/>
        <w:t>For proceedings to which subsection (8) extends the provisions described in that subsection, sections 57(1) and 59(4) of those provisions apply only to the extent that it is consistent with the Code for them to apply.</w:t>
      </w:r>
    </w:p>
    <w:p>
      <w:pPr>
        <w:pStyle w:val="Footnotesection"/>
      </w:pPr>
      <w:r>
        <w:tab/>
        <w:t>[Section 130 amended: No. 16 of 2009 s. 60; No. 9 of 2020 s. 27.]</w:t>
      </w:r>
    </w:p>
    <w:p>
      <w:pPr>
        <w:pStyle w:val="Heading5"/>
      </w:pPr>
      <w:bookmarkStart w:id="619" w:name="_Toc164842894"/>
      <w:r>
        <w:rPr>
          <w:rStyle w:val="CharSectno"/>
        </w:rPr>
        <w:lastRenderedPageBreak/>
        <w:t>131A</w:t>
      </w:r>
      <w:r>
        <w:t>.</w:t>
      </w:r>
      <w:r>
        <w:tab/>
        <w:t xml:space="preserve">Licence not personal property for the purposes of the </w:t>
      </w:r>
      <w:r>
        <w:rPr>
          <w:i/>
          <w:iCs/>
        </w:rPr>
        <w:t>Personal Property Securities Act 2009</w:t>
      </w:r>
      <w:r>
        <w:t xml:space="preserve"> (Commonwealth)</w:t>
      </w:r>
      <w:bookmarkEnd w:id="619"/>
    </w:p>
    <w:p>
      <w:pPr>
        <w:pStyle w:val="Subsection"/>
      </w:pPr>
      <w:r>
        <w:tab/>
      </w:r>
      <w:r>
        <w:tab/>
        <w:t xml:space="preserve">If a licence is transferable by the licensee, in accordance with the </w:t>
      </w:r>
      <w:r>
        <w:rPr>
          <w:i/>
          <w:iCs/>
        </w:rPr>
        <w:t xml:space="preserve">Personal Property Securities Act 2009 </w:t>
      </w:r>
      <w:r>
        <w:t xml:space="preserve">(Commonwealth) section 10 the definition of </w:t>
      </w:r>
      <w:r>
        <w:rPr>
          <w:b/>
          <w:bCs/>
          <w:i/>
          <w:iCs/>
        </w:rPr>
        <w:t>licence</w:t>
      </w:r>
      <w:r>
        <w:t xml:space="preserve"> paragraph (d), the licence is declared not to be personal property for the purposes of that Act.</w:t>
      </w:r>
    </w:p>
    <w:p>
      <w:pPr>
        <w:pStyle w:val="Footnotesection"/>
      </w:pPr>
      <w:r>
        <w:tab/>
        <w:t>[Section 131A inserted: No. 42 of 2011 s. 61.]</w:t>
      </w:r>
    </w:p>
    <w:p>
      <w:pPr>
        <w:pStyle w:val="Heading5"/>
      </w:pPr>
      <w:bookmarkStart w:id="620" w:name="_Toc164842895"/>
      <w:r>
        <w:rPr>
          <w:rStyle w:val="CharSectno"/>
        </w:rPr>
        <w:t>131</w:t>
      </w:r>
      <w:r>
        <w:t>.</w:t>
      </w:r>
      <w:r>
        <w:tab/>
        <w:t>Regulations</w:t>
      </w:r>
      <w:bookmarkEnd w:id="620"/>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621" w:name="_Toc164842896"/>
      <w:r>
        <w:rPr>
          <w:rStyle w:val="CharSectno"/>
        </w:rPr>
        <w:t>131B</w:t>
      </w:r>
      <w:r>
        <w:t>.</w:t>
      </w:r>
      <w:r>
        <w:tab/>
        <w:t>Enforcement of the regulations</w:t>
      </w:r>
      <w:bookmarkEnd w:id="621"/>
    </w:p>
    <w:p>
      <w:pPr>
        <w:pStyle w:val="Subsection"/>
      </w:pPr>
      <w:r>
        <w:tab/>
        <w:t>(1)</w:t>
      </w:r>
      <w:r>
        <w:tab/>
        <w:t>Without limiting section 131, the regulations may prescribe all matters that are necessary or convenient to be prescribed for the enforcement of the regulations.</w:t>
      </w:r>
    </w:p>
    <w:p>
      <w:pPr>
        <w:pStyle w:val="Subsection"/>
      </w:pPr>
      <w:r>
        <w:tab/>
        <w:t>(2)</w:t>
      </w:r>
      <w:r>
        <w:tab/>
        <w:t xml:space="preserve">The regulations may — </w:t>
      </w:r>
    </w:p>
    <w:p>
      <w:pPr>
        <w:pStyle w:val="Indenta"/>
      </w:pPr>
      <w:r>
        <w:tab/>
        <w:t>(a)</w:t>
      </w:r>
      <w:r>
        <w:tab/>
        <w:t>provide that a contravention of a regulation is an offence; and</w:t>
      </w:r>
    </w:p>
    <w:p>
      <w:pPr>
        <w:pStyle w:val="Indenta"/>
      </w:pPr>
      <w:r>
        <w:tab/>
        <w:t>(b)</w:t>
      </w:r>
      <w:r>
        <w:tab/>
        <w:t>prescribe a penalty of a fine of not more than $100 000, with or without a daily penalty of a fine of not more than $20 000, for an offence against the regulations.</w:t>
      </w:r>
    </w:p>
    <w:p>
      <w:pPr>
        <w:pStyle w:val="Footnotesection"/>
      </w:pPr>
      <w:r>
        <w:tab/>
        <w:t>[Section 131B inserted: No. 9 of 2020 s. 28.]</w:t>
      </w:r>
    </w:p>
    <w:p>
      <w:pPr>
        <w:pStyle w:val="Heading5"/>
      </w:pPr>
      <w:bookmarkStart w:id="622" w:name="_Toc164842897"/>
      <w:r>
        <w:rPr>
          <w:rStyle w:val="CharSectno"/>
        </w:rPr>
        <w:t>132</w:t>
      </w:r>
      <w:r>
        <w:t>.</w:t>
      </w:r>
      <w:r>
        <w:tab/>
        <w:t>Regulations as to fees and charges for supply and services</w:t>
      </w:r>
      <w:bookmarkEnd w:id="622"/>
    </w:p>
    <w:p>
      <w:pPr>
        <w:pStyle w:val="Subsection"/>
      </w:pPr>
      <w:r>
        <w:tab/>
        <w:t>(1)</w:t>
      </w:r>
      <w:r>
        <w:tab/>
        <w:t>Without limiting section 131, the regulations may —</w:t>
      </w:r>
    </w:p>
    <w:p>
      <w:pPr>
        <w:pStyle w:val="Indenta"/>
        <w:keepNext/>
      </w:pPr>
      <w:r>
        <w:tab/>
        <w:t>(a)</w:t>
      </w:r>
      <w:r>
        <w:tab/>
        <w:t xml:space="preserve">fix the fees and charges, or the means of determining the fees and charges, that, unless otherwise agreed, are to be </w:t>
      </w:r>
      <w:r>
        <w:lastRenderedPageBreak/>
        <w:t>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623" w:name="_Toc164842898"/>
      <w:r>
        <w:rPr>
          <w:rStyle w:val="CharSectno"/>
        </w:rPr>
        <w:t>133</w:t>
      </w:r>
      <w:r>
        <w:t>.</w:t>
      </w:r>
      <w:r>
        <w:tab/>
        <w:t>Regulations as to fees and charges for functions of arbitrator and Board</w:t>
      </w:r>
      <w:bookmarkEnd w:id="623"/>
    </w:p>
    <w:p>
      <w:pPr>
        <w:pStyle w:val="Subsection"/>
        <w:rPr>
          <w:snapToGrid w:val="0"/>
        </w:rPr>
      </w:pPr>
      <w:r>
        <w:rPr>
          <w:snapToGrid w:val="0"/>
        </w:rPr>
        <w:tab/>
      </w:r>
      <w:r>
        <w:t>(1)</w:t>
      </w:r>
      <w:r>
        <w:rPr>
          <w:snapToGrid w:val="0"/>
        </w:rPr>
        <w:tab/>
        <w:t xml:space="preserve">Without limiting </w:t>
      </w:r>
      <w:r>
        <w:t>section 131</w:t>
      </w:r>
      <w:r>
        <w:rPr>
          <w:snapToGrid w:val="0"/>
        </w:rPr>
        <w:t xml:space="preserve">, regulations may make provision for and </w:t>
      </w:r>
      <w:r>
        <w:t>in relation to the imposition and payment of fees and charges in connection with any matter under this Act, including</w:t>
      </w:r>
      <w:r>
        <w:rPr>
          <w:snapToGrid w:val="0"/>
        </w:rPr>
        <w:t xml:space="preserve"> in connection with the performance of the respective functions of </w:t>
      </w:r>
      <w:r>
        <w:t>an arbitrator</w:t>
      </w:r>
      <w:r>
        <w:rPr>
          <w:snapToGrid w:val="0"/>
        </w:rPr>
        <w:t xml:space="preserve">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lastRenderedPageBreak/>
        <w:tab/>
      </w:r>
      <w:r>
        <w:t>(4)</w:t>
      </w:r>
      <w:r>
        <w:rPr>
          <w:snapToGrid w:val="0"/>
        </w:rPr>
        <w:tab/>
        <w:t>The application of subsection (3) extends to the cost and expenses of proceedings that are commenced but discontinued or otherwise not brought to finality.</w:t>
      </w:r>
    </w:p>
    <w:p>
      <w:pPr>
        <w:pStyle w:val="Footnotesection"/>
      </w:pPr>
      <w:r>
        <w:tab/>
        <w:t>[Section 133 amended: No. 16 of 2009 s. 61; No. 9 of 2020 s. 29.]</w:t>
      </w:r>
    </w:p>
    <w:p>
      <w:pPr>
        <w:pStyle w:val="Heading5"/>
      </w:pPr>
      <w:bookmarkStart w:id="624" w:name="_Toc164842899"/>
      <w:r>
        <w:rPr>
          <w:rStyle w:val="CharSectno"/>
        </w:rPr>
        <w:t>134</w:t>
      </w:r>
      <w:r>
        <w:t>.</w:t>
      </w:r>
      <w:r>
        <w:tab/>
        <w:t>Regulations as to excluding Corporations legislation</w:t>
      </w:r>
      <w:bookmarkEnd w:id="624"/>
    </w:p>
    <w:p>
      <w:pPr>
        <w:pStyle w:val="Subsection"/>
        <w:keepNext/>
      </w:pPr>
      <w:r>
        <w:tab/>
        <w:t>(1)</w:t>
      </w:r>
      <w:r>
        <w:tab/>
        <w:t xml:space="preserve">In this section — </w:t>
      </w:r>
    </w:p>
    <w:p>
      <w:pPr>
        <w:pStyle w:val="Defstart"/>
      </w:pPr>
      <w:r>
        <w:rPr>
          <w:b/>
        </w:rPr>
        <w:tab/>
      </w:r>
      <w:r>
        <w:rPr>
          <w:rStyle w:val="CharDefText"/>
        </w:rPr>
        <w:t>market rules</w:t>
      </w:r>
      <w:r>
        <w:t xml:space="preserve"> has the meaning given in Part 9;</w:t>
      </w:r>
    </w:p>
    <w:p>
      <w:pPr>
        <w:pStyle w:val="Defstart"/>
      </w:pPr>
      <w:r>
        <w:rPr>
          <w:b/>
        </w:rPr>
        <w:tab/>
      </w:r>
      <w:r>
        <w:rPr>
          <w:rStyle w:val="CharDefText"/>
        </w:rPr>
        <w:t>matter</w:t>
      </w:r>
      <w:r>
        <w:t xml:space="preserve"> includes act, omission, body, person or thing.</w:t>
      </w:r>
    </w:p>
    <w:p>
      <w:pPr>
        <w:pStyle w:val="Subsection"/>
      </w:pPr>
      <w:r>
        <w:tab/>
        <w:t>(2)</w:t>
      </w:r>
      <w:r>
        <w:tab/>
        <w:t xml:space="preserve">The regulations may declare a matter dealt with, provided for, done or occurring under this Act, the regulations or the market rules to be an excluded matter for the purposes of the </w:t>
      </w:r>
      <w:r>
        <w:rPr>
          <w:i/>
          <w:iCs/>
        </w:rPr>
        <w:t>Corporations Act 2001</w:t>
      </w:r>
      <w:r>
        <w:t xml:space="preserve"> (Commonwealth) section 5F in relation to — </w:t>
      </w:r>
    </w:p>
    <w:p>
      <w:pPr>
        <w:pStyle w:val="Indenta"/>
      </w:pPr>
      <w:r>
        <w:tab/>
        <w:t>(a)</w:t>
      </w:r>
      <w:r>
        <w:tab/>
        <w:t xml:space="preserve">the whole of the Corporations legislation to which the </w:t>
      </w:r>
      <w:r>
        <w:rPr>
          <w:i/>
          <w:iCs/>
        </w:rPr>
        <w:t xml:space="preserve">Corporations Act 2001 </w:t>
      </w:r>
      <w:r>
        <w:t>(Commonwealth) Part 1.1A applies; or</w:t>
      </w:r>
    </w:p>
    <w:p>
      <w:pPr>
        <w:pStyle w:val="Indenta"/>
      </w:pPr>
      <w:r>
        <w:tab/>
        <w:t>(b)</w:t>
      </w:r>
      <w:r>
        <w:tab/>
        <w:t>a specified provision of that legislation; or</w:t>
      </w:r>
    </w:p>
    <w:p>
      <w:pPr>
        <w:pStyle w:val="Indenta"/>
      </w:pPr>
      <w:r>
        <w:tab/>
        <w:t>(c)</w:t>
      </w:r>
      <w:r>
        <w:tab/>
        <w:t>that legislation other than a specified provision; or</w:t>
      </w:r>
    </w:p>
    <w:p>
      <w:pPr>
        <w:pStyle w:val="Indenta"/>
      </w:pPr>
      <w:r>
        <w:tab/>
        <w:t>(d)</w:t>
      </w:r>
      <w:r>
        <w:tab/>
        <w:t>that legislation otherwise than to a specified extent.</w:t>
      </w:r>
    </w:p>
    <w:p>
      <w:pPr>
        <w:pStyle w:val="Footnotesection"/>
      </w:pPr>
      <w:r>
        <w:tab/>
        <w:t>[Section 134 inserted: No. 32 of 2007 s. 4.]</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outlineLvl w:val="0"/>
      </w:pPr>
      <w:bookmarkStart w:id="625" w:name="_Toc164424833"/>
      <w:bookmarkStart w:id="626" w:name="_Toc164435615"/>
      <w:bookmarkStart w:id="627" w:name="_Toc164435926"/>
      <w:bookmarkStart w:id="628" w:name="_Toc164679740"/>
      <w:bookmarkStart w:id="629" w:name="_Toc164842900"/>
      <w:r>
        <w:rPr>
          <w:rStyle w:val="CharSchNo"/>
        </w:rPr>
        <w:lastRenderedPageBreak/>
        <w:t>Schedule 1</w:t>
      </w:r>
      <w:r>
        <w:rPr>
          <w:rStyle w:val="CharSDivNo"/>
        </w:rPr>
        <w:t> </w:t>
      </w:r>
      <w:r>
        <w:t>—</w:t>
      </w:r>
      <w:r>
        <w:rPr>
          <w:rStyle w:val="CharSDivText"/>
        </w:rPr>
        <w:t> </w:t>
      </w:r>
      <w:r>
        <w:rPr>
          <w:rStyle w:val="CharSchText"/>
        </w:rPr>
        <w:t>Licence terms and conditions</w:t>
      </w:r>
      <w:bookmarkEnd w:id="625"/>
      <w:bookmarkEnd w:id="626"/>
      <w:bookmarkEnd w:id="627"/>
      <w:bookmarkEnd w:id="628"/>
      <w:bookmarkEnd w:id="629"/>
    </w:p>
    <w:p>
      <w:pPr>
        <w:pStyle w:val="yShoulderClause"/>
      </w:pPr>
      <w:r>
        <w:t>[s. 11]</w:t>
      </w:r>
    </w:p>
    <w:p>
      <w:pPr>
        <w:pStyle w:val="yHeading5"/>
        <w:rPr>
          <w:snapToGrid w:val="0"/>
        </w:rPr>
      </w:pPr>
      <w:bookmarkStart w:id="630" w:name="_Toc164842901"/>
      <w:r>
        <w:rPr>
          <w:rStyle w:val="CharSClsNo"/>
        </w:rPr>
        <w:t>1</w:t>
      </w:r>
      <w:r>
        <w:rPr>
          <w:snapToGrid w:val="0"/>
        </w:rPr>
        <w:t>.</w:t>
      </w:r>
      <w:r>
        <w:rPr>
          <w:snapToGrid w:val="0"/>
        </w:rPr>
        <w:tab/>
        <w:t>Licence terms and conditions</w:t>
      </w:r>
      <w:bookmarkEnd w:id="630"/>
    </w:p>
    <w:p>
      <w:pPr>
        <w:pStyle w:val="ySubsection"/>
      </w:pPr>
      <w:r>
        <w:tab/>
      </w:r>
      <w:r>
        <w:tab/>
        <w:t xml:space="preserve">A licence may include provisions — </w:t>
      </w:r>
    </w:p>
    <w:p>
      <w:pPr>
        <w:pStyle w:val="yIndenta"/>
      </w:pPr>
      <w:r>
        <w:tab/>
        <w:t>(a)</w:t>
      </w:r>
      <w:r>
        <w:tab/>
        <w:t>if the licence is a generation licence or integrated regional licence, requiring the licensee to prepare and implement strategies for the management of greenhouse gas emissions;</w:t>
      </w:r>
    </w:p>
    <w:p>
      <w:pPr>
        <w:pStyle w:val="yIndenta"/>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Indenta"/>
      </w:pPr>
      <w:r>
        <w:tab/>
        <w:t>(c)</w:t>
      </w:r>
      <w:r>
        <w:tab/>
        <w:t>if the licence is a retail licence or an integrated regional licence, requiring the licensee to prepare and implement strategies to encourage the use of renewable energy;</w:t>
      </w:r>
    </w:p>
    <w:p>
      <w:pPr>
        <w:pStyle w:val="yIndenta"/>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Indenta"/>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pPr>
        <w:pStyle w:val="yIndenta"/>
      </w:pPr>
      <w:r>
        <w:tab/>
        <w:t>(f)</w:t>
      </w:r>
      <w:r>
        <w:tab/>
        <w:t xml:space="preserve">if the licence is a retail licence or an integrated regional licence, requiring the licensee, when seeking payment by tariff customers of a fee or charge, to specify — </w:t>
      </w:r>
    </w:p>
    <w:p>
      <w:pPr>
        <w:pStyle w:val="yIndenti0"/>
      </w:pPr>
      <w:r>
        <w:tab/>
        <w:t>(i)</w:t>
      </w:r>
      <w:r>
        <w:tab/>
        <w:t>the portion of the fee or charge that is attributable to the cost of generating the electricity supplied; and</w:t>
      </w:r>
    </w:p>
    <w:p>
      <w:pPr>
        <w:pStyle w:val="yIndenti0"/>
      </w:pPr>
      <w:r>
        <w:tab/>
        <w:t>(ii)</w:t>
      </w:r>
      <w:r>
        <w:tab/>
        <w:t>the portion of the fee or charge that is attributable to the cost of transporting that electricity through a transmission system; and</w:t>
      </w:r>
    </w:p>
    <w:p>
      <w:pPr>
        <w:pStyle w:val="yIndenti0"/>
      </w:pPr>
      <w:r>
        <w:tab/>
        <w:t>(iii)</w:t>
      </w:r>
      <w:r>
        <w:tab/>
        <w:t>the portion of the fee or charge that is attributable to the cost of transporting that electricity through a distribution system;</w:t>
      </w:r>
    </w:p>
    <w:p>
      <w:pPr>
        <w:pStyle w:val="yIndenta"/>
      </w:pPr>
      <w:r>
        <w:lastRenderedPageBreak/>
        <w:tab/>
        <w:t>(g)</w:t>
      </w:r>
      <w:r>
        <w:tab/>
        <w:t>if the licence is a retail licence or an integrated regional licence, regulating the extent to which the licensee’s customers may be of a particular class;</w:t>
      </w:r>
    </w:p>
    <w:p>
      <w:pPr>
        <w:pStyle w:val="yIndenta"/>
      </w:pPr>
      <w:r>
        <w:tab/>
        <w:t>(h)</w:t>
      </w:r>
      <w:r>
        <w:tab/>
        <w:t>requiring the licensee to maintain specified accounting records;</w:t>
      </w:r>
    </w:p>
    <w:p>
      <w:pPr>
        <w:pStyle w:val="yIndenta"/>
      </w:pPr>
      <w:r>
        <w:tab/>
        <w:t>(i)</w:t>
      </w:r>
      <w:r>
        <w:tab/>
        <w:t>preventing the licensee from engaging in or undertaking specified business activities or any other business in the electricity industry in the State;</w:t>
      </w:r>
    </w:p>
    <w:p>
      <w:pPr>
        <w:pStyle w:val="yIndenta"/>
      </w:pPr>
      <w:r>
        <w:tab/>
        <w:t>(j)</w:t>
      </w:r>
      <w:r>
        <w:tab/>
        <w:t>specifying methods or standards to be applied in supplying electricity under the authority of the licence;</w:t>
      </w:r>
    </w:p>
    <w:p>
      <w:pPr>
        <w:pStyle w:val="yIndenta"/>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Indenta"/>
      </w:pPr>
      <w:r>
        <w:tab/>
        <w:t>(l)</w:t>
      </w:r>
      <w:r>
        <w:tab/>
        <w:t>specifying procedures for surrender of the licence;</w:t>
      </w:r>
    </w:p>
    <w:p>
      <w:pPr>
        <w:pStyle w:val="yIndenta"/>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Indenta"/>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Indenta"/>
      </w:pPr>
      <w:r>
        <w:tab/>
        <w:t>(o)</w:t>
      </w:r>
      <w:r>
        <w:tab/>
        <w:t xml:space="preserve">relating to the performance of functions by the licensee including — </w:t>
      </w:r>
    </w:p>
    <w:p>
      <w:pPr>
        <w:pStyle w:val="yIndenti0"/>
      </w:pPr>
      <w:r>
        <w:tab/>
        <w:t>(i)</w:t>
      </w:r>
      <w:r>
        <w:tab/>
        <w:t>the range of functions that may be performed by the licensee; and</w:t>
      </w:r>
    </w:p>
    <w:p>
      <w:pPr>
        <w:pStyle w:val="yIndenti0"/>
      </w:pPr>
      <w:r>
        <w:tab/>
        <w:t>(ii)</w:t>
      </w:r>
      <w:r>
        <w:tab/>
        <w:t>performance criteria to be met by the licensee; and</w:t>
      </w:r>
    </w:p>
    <w:p>
      <w:pPr>
        <w:pStyle w:val="yIndenti0"/>
      </w:pPr>
      <w:r>
        <w:tab/>
        <w:t>(iii)</w:t>
      </w:r>
      <w:r>
        <w:tab/>
        <w:t>community service obligations, that is obligations that are not commercially justified, to be discharged by the licensee;</w:t>
      </w:r>
    </w:p>
    <w:p>
      <w:pPr>
        <w:pStyle w:val="yIndenta"/>
      </w:pPr>
      <w:r>
        <w:tab/>
        <w:t>(p)</w:t>
      </w:r>
      <w:r>
        <w:tab/>
        <w:t>requiring the licensee to publish specified information in relation to its performance under the licence;</w:t>
      </w:r>
    </w:p>
    <w:p>
      <w:pPr>
        <w:pStyle w:val="yIndenta"/>
      </w:pPr>
      <w:r>
        <w:lastRenderedPageBreak/>
        <w:tab/>
        <w:t>(q)</w:t>
      </w:r>
      <w:r>
        <w:tab/>
        <w:t>relating to obligations of the licensee with respect to public authorities and other licensees;</w:t>
      </w:r>
    </w:p>
    <w:p>
      <w:pPr>
        <w:pStyle w:val="yIndenta"/>
      </w:pPr>
      <w:r>
        <w:tab/>
        <w:t>(r)</w:t>
      </w:r>
      <w:r>
        <w:tab/>
        <w:t>regulating the construction or operation, or both, of any generating works, transmission system or distribution system to which the licence applies;</w:t>
      </w:r>
    </w:p>
    <w:p>
      <w:pPr>
        <w:pStyle w:val="yIndenta"/>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Indenti0"/>
      </w:pPr>
      <w:r>
        <w:tab/>
        <w:t>(i)</w:t>
      </w:r>
      <w:r>
        <w:tab/>
        <w:t>prohibiting any disposal or transfer of property except with the approval of a specified person; and</w:t>
      </w:r>
    </w:p>
    <w:p>
      <w:pPr>
        <w:pStyle w:val="yIndenti0"/>
      </w:pPr>
      <w:r>
        <w:tab/>
        <w:t>(ii)</w:t>
      </w:r>
      <w:r>
        <w:tab/>
        <w:t>prohibiting the giving of any encumbrance over specified property except with the approval of the Authority; and</w:t>
      </w:r>
    </w:p>
    <w:p>
      <w:pPr>
        <w:pStyle w:val="yIndenti0"/>
      </w:pPr>
      <w:r>
        <w:tab/>
        <w:t>(iii)</w:t>
      </w:r>
      <w:r>
        <w:tab/>
        <w:t>requiring the transfer of property, rights or liabilities of a specified kind to a specified person on or within a specified time after the expiration of the licence; and</w:t>
      </w:r>
    </w:p>
    <w:p>
      <w:pPr>
        <w:pStyle w:val="yIndenti0"/>
      </w:pPr>
      <w:r>
        <w:tab/>
        <w:t>(iv)</w:t>
      </w:r>
      <w:r>
        <w:tab/>
        <w:t>with respect to the consideration to be provided in respect of any disposal or transfer; and</w:t>
      </w:r>
    </w:p>
    <w:p>
      <w:pPr>
        <w:pStyle w:val="yIndenti0"/>
      </w:pPr>
      <w:r>
        <w:tab/>
        <w:t>(v)</w:t>
      </w:r>
      <w:r>
        <w:tab/>
        <w:t>with respect to the arbitration of disputes that arise in connection with any disposal or transfer; and</w:t>
      </w:r>
    </w:p>
    <w:p>
      <w:pPr>
        <w:pStyle w:val="yIndenti0"/>
      </w:pPr>
      <w:r>
        <w:tab/>
        <w:t>(vi)</w:t>
      </w:r>
      <w:r>
        <w:tab/>
        <w:t>of a supplementary, consequential or transitional nature in relation to any disposal or transfer.</w:t>
      </w:r>
    </w:p>
    <w:p>
      <w:pPr>
        <w:pStyle w:val="yFootnotesection"/>
      </w:pPr>
      <w:r>
        <w:tab/>
        <w:t>[Clause 1 amended: No. 19 of 2010 s. 51.]</w:t>
      </w:r>
    </w:p>
    <w:p>
      <w:pPr>
        <w:pStyle w:val="yFootnotesection"/>
      </w:pPr>
      <w:r>
        <w:tab/>
        <w:t>[Schedule 1 amended: No. 33 of 2004 s. 36; No. 19 of 2010 s. 51.]</w:t>
      </w:r>
    </w:p>
    <w:p>
      <w:pPr>
        <w:pStyle w:val="yScheduleHeading"/>
      </w:pPr>
      <w:bookmarkStart w:id="631" w:name="_Toc164424835"/>
      <w:bookmarkStart w:id="632" w:name="_Toc164435617"/>
      <w:bookmarkStart w:id="633" w:name="_Toc164435928"/>
      <w:bookmarkStart w:id="634" w:name="_Toc164679742"/>
      <w:bookmarkStart w:id="635" w:name="_Toc164842902"/>
      <w:r>
        <w:rPr>
          <w:rStyle w:val="CharSchNo"/>
        </w:rPr>
        <w:lastRenderedPageBreak/>
        <w:t>Schedule 2</w:t>
      </w:r>
      <w:r>
        <w:t xml:space="preserve"> — </w:t>
      </w:r>
      <w:r>
        <w:rPr>
          <w:rStyle w:val="CharSchText"/>
        </w:rPr>
        <w:t>Objectives to be met by the electricity ombudsman scheme</w:t>
      </w:r>
      <w:bookmarkEnd w:id="631"/>
      <w:bookmarkEnd w:id="632"/>
      <w:bookmarkEnd w:id="633"/>
      <w:bookmarkEnd w:id="634"/>
      <w:bookmarkEnd w:id="635"/>
    </w:p>
    <w:p>
      <w:pPr>
        <w:pStyle w:val="yShoulderClause"/>
      </w:pPr>
      <w:r>
        <w:t>[s. 93]</w:t>
      </w:r>
    </w:p>
    <w:p>
      <w:pPr>
        <w:pStyle w:val="yHeading5"/>
        <w:rPr>
          <w:snapToGrid w:val="0"/>
        </w:rPr>
      </w:pPr>
      <w:bookmarkStart w:id="636" w:name="_Toc164842903"/>
      <w:r>
        <w:rPr>
          <w:rStyle w:val="CharSClsNo"/>
        </w:rPr>
        <w:t>1</w:t>
      </w:r>
      <w:r>
        <w:rPr>
          <w:snapToGrid w:val="0"/>
        </w:rPr>
        <w:t>.</w:t>
      </w:r>
      <w:r>
        <w:rPr>
          <w:snapToGrid w:val="0"/>
        </w:rPr>
        <w:tab/>
        <w:t>Objectives stated</w:t>
      </w:r>
      <w:bookmarkEnd w:id="636"/>
    </w:p>
    <w:p>
      <w:pPr>
        <w:pStyle w:val="ySubsection"/>
      </w:pPr>
      <w:r>
        <w:tab/>
      </w:r>
      <w:r>
        <w:tab/>
        <w:t xml:space="preserve">The objectives referred to in section 93 are that — </w:t>
      </w:r>
    </w:p>
    <w:p>
      <w:pPr>
        <w:pStyle w:val="yIndenta"/>
      </w:pPr>
      <w:r>
        <w:tab/>
        <w:t>(a)</w:t>
      </w:r>
      <w:r>
        <w:tab/>
        <w:t xml:space="preserve">all licensees or registration holders who are required to be members of the scheme — </w:t>
      </w:r>
    </w:p>
    <w:p>
      <w:pPr>
        <w:pStyle w:val="yIndenti0"/>
      </w:pPr>
      <w:r>
        <w:tab/>
        <w:t>(i)</w:t>
      </w:r>
      <w:r>
        <w:tab/>
        <w:t>are members of the scheme; and</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r>
      <w:r>
        <w:tab/>
        <w:t>and</w:t>
      </w:r>
    </w:p>
    <w:p>
      <w:pPr>
        <w:pStyle w:val="yIndenta"/>
      </w:pPr>
      <w:r>
        <w:tab/>
        <w:t>(b)</w:t>
      </w:r>
      <w:r>
        <w:tab/>
        <w:t>the scheme will be appropriately funded by the licensees and registration holders who are required to be members; and</w:t>
      </w:r>
    </w:p>
    <w:p>
      <w:pPr>
        <w:pStyle w:val="yIndenta"/>
      </w:pPr>
      <w:r>
        <w:tab/>
        <w:t>(c)</w:t>
      </w:r>
      <w:r>
        <w:tab/>
        <w:t>the scheme has satisfactory arrangements in place to deal with all disputes and complaints referred to in section 92(1); and</w:t>
      </w:r>
    </w:p>
    <w:p>
      <w:pPr>
        <w:pStyle w:val="yIndenta"/>
      </w:pPr>
      <w:r>
        <w:tab/>
        <w:t>(d)</w:t>
      </w:r>
      <w:r>
        <w:tab/>
        <w:t>the electricity ombudsman will be able to operate independently of all licensees or registration holders in performing the electricity ombudsman’s functions under the scheme; and</w:t>
      </w:r>
    </w:p>
    <w:p>
      <w:pPr>
        <w:pStyle w:val="yIndenta"/>
      </w:pPr>
      <w:r>
        <w:tab/>
        <w:t>(e)</w:t>
      </w:r>
      <w:r>
        <w:tab/>
        <w:t>the scheme will be accessible to customers; and</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r>
      <w:r>
        <w:tab/>
        <w:t>and</w:t>
      </w:r>
    </w:p>
    <w:p>
      <w:pPr>
        <w:pStyle w:val="yIndenta"/>
      </w:pPr>
      <w:r>
        <w:tab/>
        <w:t>(g)</w:t>
      </w:r>
      <w:r>
        <w:tab/>
        <w:t>without limiting any other application of the scheme, the scheme will apply to all disputes and complaints referred to in section 92(1); and</w:t>
      </w:r>
    </w:p>
    <w:p>
      <w:pPr>
        <w:pStyle w:val="yIndenta"/>
      </w:pPr>
      <w:r>
        <w:tab/>
        <w:t>(h)</w:t>
      </w:r>
      <w:r>
        <w:tab/>
        <w:t>the scheme will operate expeditiously and without cost to customers; and</w:t>
      </w:r>
    </w:p>
    <w:p>
      <w:pPr>
        <w:pStyle w:val="yIndenta"/>
      </w:pPr>
      <w:r>
        <w:lastRenderedPageBreak/>
        <w:tab/>
        <w:t>(i)</w:t>
      </w:r>
      <w:r>
        <w:tab/>
        <w:t>the scheme will satisfy best practice benchmarks for schemes of a similar kind, both in terms of its constitution and procedure and in terms of its day to day operations; and</w:t>
      </w:r>
    </w:p>
    <w:p>
      <w:pPr>
        <w:pStyle w:val="yIndenta"/>
      </w:pPr>
      <w:r>
        <w:tab/>
        <w:t>(j)</w:t>
      </w:r>
      <w:r>
        <w:tab/>
        <w:t>the scheme will provide for a monetary limit on claims covered by the scheme of an amount or amounts approved by the Authority; and</w:t>
      </w:r>
    </w:p>
    <w:p>
      <w:pPr>
        <w:pStyle w:val="yIndenta"/>
      </w:pPr>
      <w:r>
        <w:tab/>
        <w:t>(k)</w:t>
      </w:r>
      <w:r>
        <w:tab/>
        <w:t>the scheme will maintain the capacity of the electricity ombudsman, where appropriate, to refer disputes or complaints to other forums; and</w:t>
      </w:r>
    </w:p>
    <w:p>
      <w:pPr>
        <w:pStyle w:val="yIndenta"/>
      </w:pPr>
      <w:r>
        <w:tab/>
        <w:t>(l)</w:t>
      </w:r>
      <w:r>
        <w:tab/>
        <w:t>the scheme will require the electricity ombudsman to inform the Authority if the electricity ombudsman becomes aware of substantial breaches of any of the following —</w:t>
      </w:r>
    </w:p>
    <w:p>
      <w:pPr>
        <w:pStyle w:val="yIndenti0"/>
      </w:pPr>
      <w:r>
        <w:tab/>
        <w:t>(i)</w:t>
      </w:r>
      <w:r>
        <w:tab/>
        <w:t>any licence condition;</w:t>
      </w:r>
    </w:p>
    <w:p>
      <w:pPr>
        <w:pStyle w:val="yIndenti0"/>
      </w:pPr>
      <w:r>
        <w:tab/>
        <w:t>(ia)</w:t>
      </w:r>
      <w:r>
        <w:tab/>
        <w:t>any registration condition;</w:t>
      </w:r>
    </w:p>
    <w:p>
      <w:pPr>
        <w:pStyle w:val="yIndenti0"/>
      </w:pPr>
      <w:r>
        <w:tab/>
        <w:t>(ib)</w:t>
      </w:r>
      <w:r>
        <w:tab/>
        <w:t>the AES code of practice;</w:t>
      </w:r>
    </w:p>
    <w:p>
      <w:pPr>
        <w:pStyle w:val="yIndenti0"/>
      </w:pPr>
      <w:r>
        <w:tab/>
        <w:t>(ii)</w:t>
      </w:r>
      <w:r>
        <w:tab/>
        <w:t>the code of conduct under Part 6.</w:t>
      </w:r>
    </w:p>
    <w:p>
      <w:pPr>
        <w:pStyle w:val="yFootnotesection"/>
      </w:pPr>
      <w:r>
        <w:tab/>
        <w:t>[Clause 1 amended: No. 19 of 2010 s. 51; No. 10 of 2024 s. 22.]</w:t>
      </w:r>
    </w:p>
    <w:p>
      <w:pPr>
        <w:pStyle w:val="yFootnotesection"/>
      </w:pPr>
      <w:r>
        <w:tab/>
        <w:t>[Schedule 2 amended: No. 19 of 2010 s. 51.]</w:t>
      </w:r>
    </w:p>
    <w:p>
      <w:pPr>
        <w:sectPr>
          <w:headerReference w:type="even" r:id="rId24"/>
          <w:headerReference w:type="default" r:id="rId25"/>
          <w:endnotePr>
            <w:numFmt w:val="decimal"/>
          </w:endnotePr>
          <w:pgSz w:w="11907" w:h="16840" w:code="9"/>
          <w:pgMar w:top="2381" w:right="2409" w:bottom="3543" w:left="2409" w:header="720" w:footer="3544" w:gutter="0"/>
          <w:cols w:space="720"/>
          <w:noEndnote/>
          <w:docGrid w:linePitch="326"/>
        </w:sectPr>
      </w:pPr>
    </w:p>
    <w:p>
      <w:pPr>
        <w:pStyle w:val="yScheduleHeading"/>
        <w:outlineLvl w:val="0"/>
      </w:pPr>
      <w:bookmarkStart w:id="637" w:name="_Toc164424837"/>
      <w:bookmarkStart w:id="638" w:name="_Toc164435619"/>
      <w:bookmarkStart w:id="639" w:name="_Toc164435930"/>
      <w:bookmarkStart w:id="640" w:name="_Toc164679744"/>
      <w:bookmarkStart w:id="641" w:name="_Toc164842904"/>
      <w:r>
        <w:rPr>
          <w:rStyle w:val="CharSchNo"/>
        </w:rPr>
        <w:lastRenderedPageBreak/>
        <w:t>Schedule 3</w:t>
      </w:r>
      <w:r>
        <w:t> — </w:t>
      </w:r>
      <w:r>
        <w:rPr>
          <w:rStyle w:val="CharSchText"/>
        </w:rPr>
        <w:t>Transitional provisions</w:t>
      </w:r>
      <w:bookmarkEnd w:id="637"/>
      <w:bookmarkEnd w:id="638"/>
      <w:bookmarkEnd w:id="639"/>
      <w:bookmarkEnd w:id="640"/>
      <w:bookmarkEnd w:id="641"/>
    </w:p>
    <w:p>
      <w:pPr>
        <w:pStyle w:val="yShoulderClause"/>
      </w:pPr>
      <w:r>
        <w:t>[s. 79, 81]</w:t>
      </w:r>
    </w:p>
    <w:p>
      <w:pPr>
        <w:pStyle w:val="yHeading3"/>
        <w:outlineLvl w:val="0"/>
      </w:pPr>
      <w:bookmarkStart w:id="642" w:name="_Toc164424838"/>
      <w:bookmarkStart w:id="643" w:name="_Toc164435620"/>
      <w:bookmarkStart w:id="644" w:name="_Toc164435931"/>
      <w:bookmarkStart w:id="645" w:name="_Toc164679745"/>
      <w:bookmarkStart w:id="646" w:name="_Toc164842905"/>
      <w:r>
        <w:rPr>
          <w:rStyle w:val="CharSDivNo"/>
        </w:rPr>
        <w:t>Division 1</w:t>
      </w:r>
      <w:r>
        <w:rPr>
          <w:b w:val="0"/>
        </w:rPr>
        <w:t> — </w:t>
      </w:r>
      <w:r>
        <w:rPr>
          <w:rStyle w:val="CharSDivText"/>
        </w:rPr>
        <w:t>Initial customer service code of conduct</w:t>
      </w:r>
      <w:bookmarkEnd w:id="642"/>
      <w:bookmarkEnd w:id="643"/>
      <w:bookmarkEnd w:id="644"/>
      <w:bookmarkEnd w:id="645"/>
      <w:bookmarkEnd w:id="646"/>
    </w:p>
    <w:p>
      <w:pPr>
        <w:pStyle w:val="yHeading5"/>
        <w:outlineLvl w:val="0"/>
      </w:pPr>
      <w:bookmarkStart w:id="647" w:name="_Toc164842906"/>
      <w:r>
        <w:rPr>
          <w:rStyle w:val="CharSClsNo"/>
        </w:rPr>
        <w:t>1</w:t>
      </w:r>
      <w:r>
        <w:t>.</w:t>
      </w:r>
      <w:r>
        <w:tab/>
        <w:t>Approval of initial customer service code of conduct</w:t>
      </w:r>
      <w:bookmarkEnd w:id="647"/>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outlineLvl w:val="0"/>
      </w:pPr>
      <w:bookmarkStart w:id="648" w:name="_Toc164842907"/>
      <w:r>
        <w:rPr>
          <w:rStyle w:val="CharSClsNo"/>
        </w:rPr>
        <w:t>2</w:t>
      </w:r>
      <w:r>
        <w:t>.</w:t>
      </w:r>
      <w:r>
        <w:tab/>
        <w:t>Appointment of initial committee</w:t>
      </w:r>
      <w:bookmarkEnd w:id="648"/>
    </w:p>
    <w:p>
      <w:pPr>
        <w:pStyle w:val="ySubsection"/>
        <w:rPr>
          <w:snapToGrid w:val="0"/>
        </w:rPr>
      </w:pPr>
      <w:r>
        <w:tab/>
        <w:t>(1)</w:t>
      </w:r>
      <w:r>
        <w:tab/>
        <w:t>The Minister instead of the Authority is to</w:t>
      </w:r>
      <w:r>
        <w:rPr>
          <w:snapToGrid w:val="0"/>
        </w:rPr>
        <w:t> —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81</w:t>
      </w:r>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p>
      <w:pPr>
        <w:pStyle w:val="ySubsection"/>
      </w:pPr>
      <w:r>
        <w:tab/>
        <w:t>(2)</w:t>
      </w:r>
      <w:r>
        <w:tab/>
        <w:t xml:space="preserve">The provisions of —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lastRenderedPageBreak/>
        <w:tab/>
        <w:t>(3)</w:t>
      </w:r>
      <w:r>
        <w:tab/>
        <w:t>The committee established in accordance with this clause is to be taken, for the purposes of section 81 to be the committee established by the Authority under that section.</w:t>
      </w:r>
    </w:p>
    <w:p>
      <w:pPr>
        <w:pStyle w:val="yHeading5"/>
        <w:outlineLvl w:val="0"/>
      </w:pPr>
      <w:bookmarkStart w:id="649" w:name="_Toc164842908"/>
      <w:r>
        <w:rPr>
          <w:rStyle w:val="CharSClsNo"/>
        </w:rPr>
        <w:t>3</w:t>
      </w:r>
      <w:r>
        <w:t>.</w:t>
      </w:r>
      <w:r>
        <w:tab/>
        <w:t>Regulations for transitional matters</w:t>
      </w:r>
      <w:bookmarkEnd w:id="649"/>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1(1) or 2(1).</w:t>
      </w:r>
    </w:p>
    <w:p>
      <w:pPr>
        <w:pStyle w:val="yHeading3"/>
        <w:outlineLvl w:val="0"/>
      </w:pPr>
      <w:bookmarkStart w:id="650" w:name="_Toc164424842"/>
      <w:bookmarkStart w:id="651" w:name="_Toc164435624"/>
      <w:bookmarkStart w:id="652" w:name="_Toc164435935"/>
      <w:bookmarkStart w:id="653" w:name="_Toc164679749"/>
      <w:bookmarkStart w:id="654" w:name="_Toc164842909"/>
      <w:r>
        <w:rPr>
          <w:rStyle w:val="CharSDivNo"/>
        </w:rPr>
        <w:t>Division 2</w:t>
      </w:r>
      <w:r>
        <w:rPr>
          <w:b w:val="0"/>
        </w:rPr>
        <w:t> — </w:t>
      </w:r>
      <w:r>
        <w:rPr>
          <w:rStyle w:val="CharSDivText"/>
        </w:rPr>
        <w:t>Initial electricity ombudsman scheme</w:t>
      </w:r>
      <w:bookmarkEnd w:id="650"/>
      <w:bookmarkEnd w:id="651"/>
      <w:bookmarkEnd w:id="652"/>
      <w:bookmarkEnd w:id="653"/>
      <w:bookmarkEnd w:id="654"/>
    </w:p>
    <w:p>
      <w:pPr>
        <w:pStyle w:val="yHeading5"/>
        <w:outlineLvl w:val="0"/>
      </w:pPr>
      <w:bookmarkStart w:id="655" w:name="_Toc164842910"/>
      <w:r>
        <w:rPr>
          <w:rStyle w:val="CharSClsNo"/>
        </w:rPr>
        <w:t>4</w:t>
      </w:r>
      <w:r>
        <w:t>.</w:t>
      </w:r>
      <w:r>
        <w:tab/>
        <w:t>Approval of initial electricity ombudsman scheme</w:t>
      </w:r>
      <w:bookmarkEnd w:id="655"/>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 and</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outlineLvl w:val="0"/>
      </w:pPr>
      <w:bookmarkStart w:id="656" w:name="_Toc164842911"/>
      <w:r>
        <w:rPr>
          <w:rStyle w:val="CharSClsNo"/>
        </w:rPr>
        <w:lastRenderedPageBreak/>
        <w:t>5</w:t>
      </w:r>
      <w:r>
        <w:t>.</w:t>
      </w:r>
      <w:r>
        <w:tab/>
        <w:t>Regulations for transitional matters</w:t>
      </w:r>
      <w:bookmarkEnd w:id="656"/>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4.</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endnotePr>
            <w:numFmt w:val="decimal"/>
          </w:endnotePr>
          <w:pgSz w:w="11907" w:h="16840" w:code="9"/>
          <w:pgMar w:top="2381" w:right="2409" w:bottom="3543" w:left="2409" w:header="720" w:footer="3544" w:gutter="0"/>
          <w:cols w:space="720"/>
          <w:noEndnote/>
          <w:docGrid w:linePitch="326"/>
        </w:sectPr>
      </w:pPr>
    </w:p>
    <w:p>
      <w:pPr>
        <w:pStyle w:val="nHeading2"/>
      </w:pPr>
      <w:bookmarkStart w:id="657" w:name="_Toc164424845"/>
      <w:bookmarkStart w:id="658" w:name="_Toc164435627"/>
      <w:bookmarkStart w:id="659" w:name="_Toc164435938"/>
      <w:bookmarkStart w:id="660" w:name="_Toc164679752"/>
      <w:bookmarkStart w:id="661" w:name="_Toc164842912"/>
      <w:r>
        <w:lastRenderedPageBreak/>
        <w:t>Notes</w:t>
      </w:r>
      <w:bookmarkEnd w:id="657"/>
      <w:bookmarkEnd w:id="658"/>
      <w:bookmarkEnd w:id="659"/>
      <w:bookmarkEnd w:id="660"/>
      <w:bookmarkEnd w:id="661"/>
    </w:p>
    <w:p>
      <w:pPr>
        <w:pStyle w:val="nStatement"/>
      </w:pPr>
      <w:r>
        <w:t xml:space="preserve">This is a compilation of the </w:t>
      </w:r>
      <w:r>
        <w:rPr>
          <w:i/>
          <w:noProof/>
        </w:rPr>
        <w:t>Electricity Industry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662" w:name="_Toc164842913"/>
      <w:r>
        <w:t>Compilation table</w:t>
      </w:r>
      <w:bookmarkEnd w:id="662"/>
    </w:p>
    <w:tbl>
      <w:tblPr>
        <w:tblW w:w="7109" w:type="dxa"/>
        <w:tblInd w:w="28" w:type="dxa"/>
        <w:tblBorders>
          <w:top w:val="single" w:sz="8" w:space="0" w:color="auto"/>
          <w:bottom w:val="single" w:sz="8" w:space="0" w:color="auto"/>
        </w:tblBorders>
        <w:tblLayout w:type="fixed"/>
        <w:tblCellMar>
          <w:left w:w="56" w:type="dxa"/>
          <w:right w:w="56" w:type="dxa"/>
        </w:tblCellMar>
        <w:tblLook w:val="0000" w:firstRow="0" w:lastRow="0" w:firstColumn="0" w:lastColumn="0" w:noHBand="0" w:noVBand="0"/>
      </w:tblPr>
      <w:tblGrid>
        <w:gridCol w:w="2273"/>
        <w:gridCol w:w="1138"/>
        <w:gridCol w:w="1239"/>
        <w:gridCol w:w="2447"/>
        <w:gridCol w:w="12"/>
      </w:tblGrid>
      <w:tr>
        <w:trPr>
          <w:tblHeader/>
        </w:trPr>
        <w:tc>
          <w:tcPr>
            <w:tcW w:w="2273"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8"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239" w:type="dxa"/>
            <w:tcBorders>
              <w:top w:val="single" w:sz="8" w:space="0" w:color="auto"/>
              <w:bottom w:val="single" w:sz="8" w:space="0" w:color="auto"/>
            </w:tcBorders>
            <w:shd w:val="clear" w:color="auto" w:fill="auto"/>
          </w:tcPr>
          <w:p>
            <w:pPr>
              <w:pStyle w:val="nTable"/>
              <w:spacing w:after="40"/>
              <w:rPr>
                <w:b/>
              </w:rPr>
            </w:pPr>
            <w:r>
              <w:rPr>
                <w:b/>
              </w:rPr>
              <w:t>Assent</w:t>
            </w:r>
          </w:p>
        </w:tc>
        <w:tc>
          <w:tcPr>
            <w:tcW w:w="2459"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12" w:type="dxa"/>
        </w:trPr>
        <w:tc>
          <w:tcPr>
            <w:tcW w:w="2273" w:type="dxa"/>
          </w:tcPr>
          <w:p>
            <w:pPr>
              <w:pStyle w:val="nTable"/>
              <w:spacing w:after="40"/>
            </w:pPr>
            <w:r>
              <w:rPr>
                <w:i/>
              </w:rPr>
              <w:t>Electricity Industry Act 2004</w:t>
            </w:r>
          </w:p>
        </w:tc>
        <w:tc>
          <w:tcPr>
            <w:tcW w:w="1138" w:type="dxa"/>
          </w:tcPr>
          <w:p>
            <w:pPr>
              <w:pStyle w:val="nTable"/>
              <w:spacing w:after="40"/>
            </w:pPr>
            <w:r>
              <w:t>5 of 2004</w:t>
            </w:r>
          </w:p>
        </w:tc>
        <w:tc>
          <w:tcPr>
            <w:tcW w:w="1239" w:type="dxa"/>
          </w:tcPr>
          <w:p>
            <w:pPr>
              <w:pStyle w:val="nTable"/>
              <w:spacing w:after="40"/>
            </w:pPr>
            <w:r>
              <w:t>23 Apr 2004</w:t>
            </w:r>
          </w:p>
        </w:tc>
        <w:tc>
          <w:tcPr>
            <w:tcW w:w="2447" w:type="dxa"/>
          </w:tcPr>
          <w:p>
            <w:pPr>
              <w:pStyle w:val="nTable"/>
              <w:spacing w:after="40"/>
              <w:rPr>
                <w:i/>
              </w:rPr>
            </w:pPr>
            <w:r>
              <w:rPr>
                <w:snapToGrid w:val="0"/>
              </w:rPr>
              <w:t xml:space="preserve">s. 1 and 2: </w:t>
            </w:r>
            <w:r>
              <w:t>23 Apr 2004;</w:t>
            </w:r>
            <w:r>
              <w:br/>
            </w:r>
            <w:r>
              <w:rPr>
                <w:spacing w:val="-2"/>
              </w:rPr>
              <w:t xml:space="preserve">s. 3, Pt. 4 (other than s. 65), Pt. 9 and 10: 23 Jun 2004 (see s. 2 and </w:t>
            </w:r>
            <w:r>
              <w:rPr>
                <w:i/>
                <w:spacing w:val="-2"/>
              </w:rPr>
              <w:t xml:space="preserve">Gazette </w:t>
            </w:r>
            <w:r>
              <w:rPr>
                <w:spacing w:val="-2"/>
              </w:rPr>
              <w:t>22 Jun 2004 p. 2161);</w:t>
            </w:r>
            <w:r>
              <w:rPr>
                <w:spacing w:val="-2"/>
              </w:rPr>
              <w:br/>
              <w:t xml:space="preserve">Pt. 8: 1 Jul 2004 (see s. 2 and </w:t>
            </w:r>
            <w:r>
              <w:rPr>
                <w:i/>
                <w:spacing w:val="-2"/>
              </w:rPr>
              <w:t>Gazette</w:t>
            </w:r>
            <w:r>
              <w:rPr>
                <w:b/>
                <w:spacing w:val="-2"/>
              </w:rPr>
              <w:t xml:space="preserve"> </w:t>
            </w:r>
            <w:r>
              <w:rPr>
                <w:spacing w:val="-2"/>
              </w:rPr>
              <w:t>22 Jun 2004 p. 2161);</w:t>
            </w:r>
            <w:r>
              <w:rPr>
                <w:spacing w:val="-2"/>
              </w:rPr>
              <w:br/>
              <w:t xml:space="preserve">Pt. 2, 3, 5 and 6, s. 65, Sch. 1 and Sch. 3 Div. 1: 31 Dec 2004 (see s. 2 and </w:t>
            </w:r>
            <w:r>
              <w:rPr>
                <w:i/>
                <w:spacing w:val="-2"/>
              </w:rPr>
              <w:t xml:space="preserve">Gazette </w:t>
            </w:r>
            <w:r>
              <w:rPr>
                <w:spacing w:val="-2"/>
              </w:rPr>
              <w:t>12 Nov 2004 p. 5017);</w:t>
            </w:r>
            <w:r>
              <w:rPr>
                <w:spacing w:val="-2"/>
              </w:rPr>
              <w:br/>
              <w:t xml:space="preserve">Pt. 7, Sch. 2 and Sch. 3 Div. 2: 25 Jun 2005 (see s. 2 and </w:t>
            </w:r>
            <w:r>
              <w:rPr>
                <w:i/>
                <w:spacing w:val="-2"/>
              </w:rPr>
              <w:t xml:space="preserve">Gazette </w:t>
            </w:r>
            <w:r>
              <w:rPr>
                <w:spacing w:val="-2"/>
              </w:rPr>
              <w:t>24 Jun 2005 p. 2751)</w:t>
            </w:r>
          </w:p>
        </w:tc>
      </w:tr>
      <w:tr>
        <w:trPr>
          <w:gridAfter w:val="1"/>
          <w:wAfter w:w="12" w:type="dxa"/>
        </w:trPr>
        <w:tc>
          <w:tcPr>
            <w:tcW w:w="2273" w:type="dxa"/>
          </w:tcPr>
          <w:p>
            <w:pPr>
              <w:pStyle w:val="nTable"/>
              <w:spacing w:after="40"/>
            </w:pPr>
            <w:r>
              <w:rPr>
                <w:i/>
              </w:rPr>
              <w:t>Electricity Legislation Amendment Act 2004</w:t>
            </w:r>
            <w:r>
              <w:t xml:space="preserve"> Pt. 2 Div. 3</w:t>
            </w:r>
          </w:p>
        </w:tc>
        <w:tc>
          <w:tcPr>
            <w:tcW w:w="1138" w:type="dxa"/>
          </w:tcPr>
          <w:p>
            <w:pPr>
              <w:pStyle w:val="nTable"/>
              <w:spacing w:after="40"/>
            </w:pPr>
            <w:r>
              <w:t>33 of 2004</w:t>
            </w:r>
          </w:p>
        </w:tc>
        <w:tc>
          <w:tcPr>
            <w:tcW w:w="1239" w:type="dxa"/>
          </w:tcPr>
          <w:p>
            <w:pPr>
              <w:pStyle w:val="nTable"/>
              <w:spacing w:after="40"/>
            </w:pPr>
            <w:r>
              <w:t>20 Oct 2004</w:t>
            </w:r>
          </w:p>
        </w:tc>
        <w:tc>
          <w:tcPr>
            <w:tcW w:w="2447" w:type="dxa"/>
          </w:tcPr>
          <w:p>
            <w:pPr>
              <w:pStyle w:val="nTable"/>
              <w:spacing w:after="40"/>
              <w:rPr>
                <w:spacing w:val="-2"/>
              </w:rPr>
            </w:pPr>
            <w:r>
              <w:rPr>
                <w:spacing w:val="-2"/>
              </w:rPr>
              <w:t xml:space="preserve">31 Dec 2004 (see s. 2 and </w:t>
            </w:r>
            <w:r>
              <w:rPr>
                <w:i/>
                <w:spacing w:val="-2"/>
              </w:rPr>
              <w:t>Gazette</w:t>
            </w:r>
            <w:r>
              <w:rPr>
                <w:spacing w:val="-2"/>
              </w:rPr>
              <w:t xml:space="preserve"> 23 Nov 2004 p. 5243)</w:t>
            </w:r>
          </w:p>
        </w:tc>
      </w:tr>
      <w:tr>
        <w:trPr>
          <w:gridAfter w:val="1"/>
          <w:wAfter w:w="12" w:type="dxa"/>
        </w:trPr>
        <w:tc>
          <w:tcPr>
            <w:tcW w:w="2273" w:type="dxa"/>
          </w:tcPr>
          <w:p>
            <w:pPr>
              <w:pStyle w:val="nTable"/>
              <w:spacing w:after="40"/>
            </w:pPr>
            <w:r>
              <w:rPr>
                <w:i/>
              </w:rPr>
              <w:t>Electricity Corporations Act 2005</w:t>
            </w:r>
            <w:r>
              <w:t xml:space="preserve"> s. 139</w:t>
            </w:r>
          </w:p>
        </w:tc>
        <w:tc>
          <w:tcPr>
            <w:tcW w:w="1138" w:type="dxa"/>
          </w:tcPr>
          <w:p>
            <w:pPr>
              <w:pStyle w:val="nTable"/>
              <w:spacing w:after="40"/>
            </w:pPr>
            <w:r>
              <w:t>18 of 2005</w:t>
            </w:r>
          </w:p>
        </w:tc>
        <w:tc>
          <w:tcPr>
            <w:tcW w:w="1239" w:type="dxa"/>
          </w:tcPr>
          <w:p>
            <w:pPr>
              <w:pStyle w:val="nTable"/>
              <w:spacing w:after="40"/>
            </w:pPr>
            <w:r>
              <w:t>13 Oct 2005</w:t>
            </w:r>
          </w:p>
        </w:tc>
        <w:tc>
          <w:tcPr>
            <w:tcW w:w="2447" w:type="dxa"/>
          </w:tcPr>
          <w:p>
            <w:pPr>
              <w:pStyle w:val="nTable"/>
              <w:spacing w:after="40"/>
              <w:rPr>
                <w:spacing w:val="-2"/>
              </w:rPr>
            </w:pPr>
            <w:r>
              <w:rPr>
                <w:spacing w:val="-2"/>
              </w:rPr>
              <w:t xml:space="preserve">1 Apr 2006 (see s. 2(2) and </w:t>
            </w:r>
            <w:r>
              <w:rPr>
                <w:i/>
                <w:spacing w:val="-2"/>
              </w:rPr>
              <w:t>Gazette</w:t>
            </w:r>
            <w:r>
              <w:rPr>
                <w:spacing w:val="-2"/>
              </w:rPr>
              <w:t xml:space="preserve"> 31 Mar 2006 p. 1153)</w:t>
            </w:r>
          </w:p>
        </w:tc>
      </w:tr>
      <w:tr>
        <w:trPr>
          <w:gridAfter w:val="1"/>
          <w:wAfter w:w="12" w:type="dxa"/>
          <w:cantSplit/>
        </w:trPr>
        <w:tc>
          <w:tcPr>
            <w:tcW w:w="7097" w:type="dxa"/>
            <w:gridSpan w:val="4"/>
          </w:tcPr>
          <w:p>
            <w:pPr>
              <w:pStyle w:val="nTable"/>
              <w:spacing w:after="40"/>
              <w:rPr>
                <w:spacing w:val="-2"/>
              </w:rPr>
            </w:pPr>
            <w:r>
              <w:rPr>
                <w:b/>
                <w:bCs/>
                <w:spacing w:val="-2"/>
              </w:rPr>
              <w:t xml:space="preserve">Reprint 1:  The </w:t>
            </w:r>
            <w:r>
              <w:rPr>
                <w:b/>
                <w:bCs/>
                <w:i/>
              </w:rPr>
              <w:t>Electricity Industry Act 2004</w:t>
            </w:r>
            <w:r>
              <w:rPr>
                <w:b/>
                <w:bCs/>
                <w:spacing w:val="-2"/>
              </w:rPr>
              <w:t xml:space="preserve"> as at 16 Jun 2006</w:t>
            </w:r>
            <w:r>
              <w:rPr>
                <w:spacing w:val="-2"/>
              </w:rPr>
              <w:t xml:space="preserve"> (includes amendments listed above)</w:t>
            </w:r>
          </w:p>
        </w:tc>
      </w:tr>
      <w:tr>
        <w:trPr>
          <w:gridAfter w:val="1"/>
          <w:wAfter w:w="12" w:type="dxa"/>
        </w:trPr>
        <w:tc>
          <w:tcPr>
            <w:tcW w:w="2273" w:type="dxa"/>
          </w:tcPr>
          <w:p>
            <w:pPr>
              <w:pStyle w:val="nTable"/>
              <w:spacing w:after="40"/>
            </w:pPr>
            <w:r>
              <w:rPr>
                <w:i/>
                <w:snapToGrid w:val="0"/>
              </w:rPr>
              <w:t xml:space="preserve">Financial Legislation Amendment and Repeal Act 2006 </w:t>
            </w:r>
            <w:r>
              <w:rPr>
                <w:iCs/>
                <w:snapToGrid w:val="0"/>
              </w:rPr>
              <w:t>Sch. 1 cl. 54</w:t>
            </w:r>
          </w:p>
        </w:tc>
        <w:tc>
          <w:tcPr>
            <w:tcW w:w="1138" w:type="dxa"/>
          </w:tcPr>
          <w:p>
            <w:pPr>
              <w:pStyle w:val="nTable"/>
              <w:spacing w:after="40"/>
            </w:pPr>
            <w:r>
              <w:rPr>
                <w:snapToGrid w:val="0"/>
              </w:rPr>
              <w:t xml:space="preserve">77 of 2006 </w:t>
            </w:r>
          </w:p>
        </w:tc>
        <w:tc>
          <w:tcPr>
            <w:tcW w:w="1239" w:type="dxa"/>
          </w:tcPr>
          <w:p>
            <w:pPr>
              <w:pStyle w:val="nTable"/>
              <w:spacing w:after="40"/>
            </w:pPr>
            <w:r>
              <w:rPr>
                <w:snapToGrid w:val="0"/>
              </w:rPr>
              <w:t>21 Dec 2006</w:t>
            </w:r>
          </w:p>
        </w:tc>
        <w:tc>
          <w:tcPr>
            <w:tcW w:w="2447" w:type="dxa"/>
          </w:tcPr>
          <w:p>
            <w:pPr>
              <w:pStyle w:val="nTable"/>
              <w:spacing w:after="40"/>
              <w:rPr>
                <w:spacing w:val="-2"/>
              </w:rPr>
            </w:pPr>
            <w:r>
              <w:rPr>
                <w:snapToGrid w:val="0"/>
              </w:rPr>
              <w:t xml:space="preserve">1 Feb 2007 (see s. 2(1) and </w:t>
            </w:r>
            <w:r>
              <w:rPr>
                <w:i/>
                <w:iCs/>
                <w:snapToGrid w:val="0"/>
              </w:rPr>
              <w:t>Gazette</w:t>
            </w:r>
            <w:r>
              <w:rPr>
                <w:snapToGrid w:val="0"/>
              </w:rPr>
              <w:t xml:space="preserve"> 19 Jan 2007 p. 137)</w:t>
            </w:r>
          </w:p>
        </w:tc>
      </w:tr>
      <w:tr>
        <w:trPr>
          <w:gridAfter w:val="1"/>
          <w:wAfter w:w="12" w:type="dxa"/>
        </w:trPr>
        <w:tc>
          <w:tcPr>
            <w:tcW w:w="2273" w:type="dxa"/>
          </w:tcPr>
          <w:p>
            <w:pPr>
              <w:pStyle w:val="nTable"/>
              <w:spacing w:after="40"/>
              <w:rPr>
                <w:i/>
                <w:snapToGrid w:val="0"/>
              </w:rPr>
            </w:pPr>
            <w:r>
              <w:rPr>
                <w:i/>
              </w:rPr>
              <w:t>Electricity Industry Amendment Act 2007</w:t>
            </w:r>
          </w:p>
        </w:tc>
        <w:tc>
          <w:tcPr>
            <w:tcW w:w="1138" w:type="dxa"/>
          </w:tcPr>
          <w:p>
            <w:pPr>
              <w:pStyle w:val="nTable"/>
              <w:spacing w:after="40"/>
              <w:rPr>
                <w:snapToGrid w:val="0"/>
              </w:rPr>
            </w:pPr>
            <w:r>
              <w:rPr>
                <w:snapToGrid w:val="0"/>
              </w:rPr>
              <w:t>32 of 2007</w:t>
            </w:r>
          </w:p>
        </w:tc>
        <w:tc>
          <w:tcPr>
            <w:tcW w:w="1239" w:type="dxa"/>
          </w:tcPr>
          <w:p>
            <w:pPr>
              <w:pStyle w:val="nTable"/>
              <w:spacing w:after="40"/>
              <w:rPr>
                <w:snapToGrid w:val="0"/>
              </w:rPr>
            </w:pPr>
            <w:r>
              <w:rPr>
                <w:snapToGrid w:val="0"/>
              </w:rPr>
              <w:t>21 Dec 2007</w:t>
            </w:r>
          </w:p>
        </w:tc>
        <w:tc>
          <w:tcPr>
            <w:tcW w:w="2447" w:type="dxa"/>
          </w:tcPr>
          <w:p>
            <w:pPr>
              <w:pStyle w:val="nTable"/>
              <w:spacing w:after="40"/>
              <w:rPr>
                <w:snapToGrid w:val="0"/>
              </w:rPr>
            </w:pPr>
            <w:r>
              <w:rPr>
                <w:snapToGrid w:val="0"/>
              </w:rPr>
              <w:t>s. 1 and 2: 21 Dec 2007 (see s. 2(a));</w:t>
            </w:r>
            <w:r>
              <w:rPr>
                <w:snapToGrid w:val="0"/>
              </w:rPr>
              <w:br/>
              <w:t>Act other than s. 1 and 2: 22 Dec 2007 (see s. 2(b))</w:t>
            </w:r>
          </w:p>
        </w:tc>
      </w:tr>
      <w:tr>
        <w:trPr>
          <w:gridAfter w:val="1"/>
          <w:wAfter w:w="12" w:type="dxa"/>
        </w:trPr>
        <w:tc>
          <w:tcPr>
            <w:tcW w:w="2273" w:type="dxa"/>
          </w:tcPr>
          <w:p>
            <w:pPr>
              <w:pStyle w:val="nTable"/>
              <w:keepNext/>
              <w:spacing w:after="40"/>
              <w:rPr>
                <w:i/>
              </w:rPr>
            </w:pPr>
            <w:r>
              <w:rPr>
                <w:i/>
              </w:rPr>
              <w:lastRenderedPageBreak/>
              <w:t>National Gas Access (WA) Act 2009</w:t>
            </w:r>
            <w:r>
              <w:rPr>
                <w:iCs/>
              </w:rPr>
              <w:t xml:space="preserve"> Pt. 7 Div. 3</w:t>
            </w:r>
          </w:p>
        </w:tc>
        <w:tc>
          <w:tcPr>
            <w:tcW w:w="1138" w:type="dxa"/>
          </w:tcPr>
          <w:p>
            <w:pPr>
              <w:pStyle w:val="nTable"/>
              <w:keepNext/>
              <w:spacing w:after="40"/>
              <w:rPr>
                <w:snapToGrid w:val="0"/>
              </w:rPr>
            </w:pPr>
            <w:r>
              <w:t>16 of 2009</w:t>
            </w:r>
          </w:p>
        </w:tc>
        <w:tc>
          <w:tcPr>
            <w:tcW w:w="1239" w:type="dxa"/>
          </w:tcPr>
          <w:p>
            <w:pPr>
              <w:pStyle w:val="nTable"/>
              <w:keepNext/>
              <w:spacing w:after="40"/>
              <w:rPr>
                <w:snapToGrid w:val="0"/>
              </w:rPr>
            </w:pPr>
            <w:r>
              <w:t>1 Sep 2009</w:t>
            </w:r>
          </w:p>
        </w:tc>
        <w:tc>
          <w:tcPr>
            <w:tcW w:w="2447" w:type="dxa"/>
          </w:tcPr>
          <w:p>
            <w:pPr>
              <w:pStyle w:val="nTable"/>
              <w:keepNext/>
              <w:spacing w:after="40"/>
              <w:rPr>
                <w:snapToGrid w:val="0"/>
              </w:rPr>
            </w:pPr>
            <w:r>
              <w:t xml:space="preserve">1 Jan 2010 (see s. 2(b) and </w:t>
            </w:r>
            <w:r>
              <w:rPr>
                <w:i/>
                <w:iCs/>
              </w:rPr>
              <w:t>Gazette</w:t>
            </w:r>
            <w:r>
              <w:t xml:space="preserve"> 31 Dec 2009 p. 5327)</w:t>
            </w:r>
          </w:p>
        </w:tc>
      </w:tr>
      <w:tr>
        <w:trPr>
          <w:gridAfter w:val="1"/>
          <w:wAfter w:w="12" w:type="dxa"/>
          <w:cantSplit/>
        </w:trPr>
        <w:tc>
          <w:tcPr>
            <w:tcW w:w="2273" w:type="dxa"/>
          </w:tcPr>
          <w:p>
            <w:pPr>
              <w:pStyle w:val="nTable"/>
              <w:spacing w:after="40"/>
              <w:ind w:right="113"/>
              <w:rPr>
                <w:i/>
              </w:rPr>
            </w:pPr>
            <w:r>
              <w:rPr>
                <w:i/>
              </w:rPr>
              <w:t>Statutes (Repeals and Minor Amendments) Act 2009</w:t>
            </w:r>
            <w:r>
              <w:rPr>
                <w:iCs/>
              </w:rPr>
              <w:t xml:space="preserve"> s. 17</w:t>
            </w:r>
          </w:p>
        </w:tc>
        <w:tc>
          <w:tcPr>
            <w:tcW w:w="1138" w:type="dxa"/>
          </w:tcPr>
          <w:p>
            <w:pPr>
              <w:pStyle w:val="nTable"/>
              <w:spacing w:after="40"/>
            </w:pPr>
            <w:r>
              <w:t>46 of 2009</w:t>
            </w:r>
          </w:p>
        </w:tc>
        <w:tc>
          <w:tcPr>
            <w:tcW w:w="1239" w:type="dxa"/>
          </w:tcPr>
          <w:p>
            <w:pPr>
              <w:pStyle w:val="nTable"/>
              <w:spacing w:after="40"/>
            </w:pPr>
            <w:r>
              <w:t>3 Dec 2009</w:t>
            </w:r>
          </w:p>
        </w:tc>
        <w:tc>
          <w:tcPr>
            <w:tcW w:w="2447" w:type="dxa"/>
          </w:tcPr>
          <w:p>
            <w:pPr>
              <w:pStyle w:val="nTable"/>
              <w:spacing w:after="40"/>
            </w:pPr>
            <w:r>
              <w:t>4 Dec 2009 (see s. 2(b))</w:t>
            </w:r>
          </w:p>
        </w:tc>
      </w:tr>
      <w:tr>
        <w:trPr>
          <w:gridAfter w:val="1"/>
          <w:wAfter w:w="12" w:type="dxa"/>
          <w:cantSplit/>
        </w:trPr>
        <w:tc>
          <w:tcPr>
            <w:tcW w:w="7097" w:type="dxa"/>
            <w:gridSpan w:val="4"/>
          </w:tcPr>
          <w:p>
            <w:pPr>
              <w:pStyle w:val="nTable"/>
              <w:spacing w:after="40"/>
            </w:pPr>
            <w:r>
              <w:rPr>
                <w:b/>
                <w:bCs/>
                <w:spacing w:val="-2"/>
              </w:rPr>
              <w:t xml:space="preserve">Reprint 2:  The </w:t>
            </w:r>
            <w:r>
              <w:rPr>
                <w:b/>
                <w:bCs/>
                <w:i/>
              </w:rPr>
              <w:t>Electricity Industry Act 2004</w:t>
            </w:r>
            <w:r>
              <w:rPr>
                <w:b/>
                <w:bCs/>
                <w:spacing w:val="-2"/>
              </w:rPr>
              <w:t xml:space="preserve"> as at 9 Apr 2010</w:t>
            </w:r>
            <w:r>
              <w:rPr>
                <w:spacing w:val="-2"/>
              </w:rPr>
              <w:t xml:space="preserve"> (includes amendments listed above)</w:t>
            </w:r>
          </w:p>
        </w:tc>
      </w:tr>
      <w:tr>
        <w:trPr>
          <w:gridAfter w:val="1"/>
          <w:wAfter w:w="12" w:type="dxa"/>
          <w:cantSplit/>
        </w:trPr>
        <w:tc>
          <w:tcPr>
            <w:tcW w:w="2273" w:type="dxa"/>
          </w:tcPr>
          <w:p>
            <w:pPr>
              <w:pStyle w:val="nTable"/>
              <w:spacing w:after="40"/>
              <w:ind w:right="113"/>
              <w:rPr>
                <w:iCs/>
                <w:snapToGrid w:val="0"/>
              </w:rPr>
            </w:pPr>
            <w:r>
              <w:rPr>
                <w:i/>
                <w:snapToGrid w:val="0"/>
              </w:rPr>
              <w:t>Standardisation of Formatting Act 2010</w:t>
            </w:r>
            <w:r>
              <w:rPr>
                <w:iCs/>
                <w:snapToGrid w:val="0"/>
              </w:rPr>
              <w:t xml:space="preserve"> s. 51</w:t>
            </w:r>
          </w:p>
        </w:tc>
        <w:tc>
          <w:tcPr>
            <w:tcW w:w="1138" w:type="dxa"/>
          </w:tcPr>
          <w:p>
            <w:pPr>
              <w:pStyle w:val="nTable"/>
              <w:spacing w:after="40"/>
              <w:rPr>
                <w:snapToGrid w:val="0"/>
              </w:rPr>
            </w:pPr>
            <w:r>
              <w:rPr>
                <w:snapToGrid w:val="0"/>
              </w:rPr>
              <w:t>19 of 2010</w:t>
            </w:r>
          </w:p>
        </w:tc>
        <w:tc>
          <w:tcPr>
            <w:tcW w:w="1239" w:type="dxa"/>
          </w:tcPr>
          <w:p>
            <w:pPr>
              <w:pStyle w:val="nTable"/>
              <w:spacing w:after="40"/>
              <w:rPr>
                <w:snapToGrid w:val="0"/>
              </w:rPr>
            </w:pPr>
            <w:r>
              <w:rPr>
                <w:snapToGrid w:val="0"/>
              </w:rPr>
              <w:t>28 Jun 2010</w:t>
            </w:r>
          </w:p>
        </w:tc>
        <w:tc>
          <w:tcPr>
            <w:tcW w:w="2447"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gridAfter w:val="1"/>
          <w:wAfter w:w="12" w:type="dxa"/>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8" w:type="dxa"/>
          </w:tcPr>
          <w:p>
            <w:pPr>
              <w:pStyle w:val="nTable"/>
              <w:spacing w:after="40"/>
              <w:rPr>
                <w:snapToGrid w:val="0"/>
              </w:rPr>
            </w:pPr>
            <w:r>
              <w:rPr>
                <w:snapToGrid w:val="0"/>
              </w:rPr>
              <w:t>39 of 2010</w:t>
            </w:r>
          </w:p>
        </w:tc>
        <w:tc>
          <w:tcPr>
            <w:tcW w:w="1239" w:type="dxa"/>
          </w:tcPr>
          <w:p>
            <w:pPr>
              <w:pStyle w:val="nTable"/>
              <w:spacing w:after="40"/>
              <w:rPr>
                <w:snapToGrid w:val="0"/>
              </w:rPr>
            </w:pPr>
            <w:r>
              <w:rPr>
                <w:snapToGrid w:val="0"/>
              </w:rPr>
              <w:t>1 Oct 2010</w:t>
            </w:r>
          </w:p>
        </w:tc>
        <w:tc>
          <w:tcPr>
            <w:tcW w:w="2447"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rPr>
          <w:gridAfter w:val="1"/>
          <w:wAfter w:w="12" w:type="dxa"/>
          <w:cantSplit/>
        </w:trPr>
        <w:tc>
          <w:tcPr>
            <w:tcW w:w="2273" w:type="dxa"/>
          </w:tcPr>
          <w:p>
            <w:pPr>
              <w:pStyle w:val="nTable"/>
              <w:spacing w:after="40"/>
              <w:ind w:right="113"/>
              <w:rPr>
                <w:i/>
                <w:iCs/>
                <w:snapToGrid w:val="0"/>
              </w:rPr>
            </w:pPr>
            <w:r>
              <w:rPr>
                <w:i/>
                <w:snapToGrid w:val="0"/>
              </w:rPr>
              <w:t>Personal Property Securities (Consequential Repeals and Amendments) Act 2011</w:t>
            </w:r>
            <w:r>
              <w:rPr>
                <w:snapToGrid w:val="0"/>
              </w:rPr>
              <w:t xml:space="preserve"> Pt. 5 Div. 1</w:t>
            </w:r>
          </w:p>
        </w:tc>
        <w:tc>
          <w:tcPr>
            <w:tcW w:w="1138" w:type="dxa"/>
          </w:tcPr>
          <w:p>
            <w:pPr>
              <w:pStyle w:val="nTable"/>
              <w:spacing w:after="40"/>
              <w:rPr>
                <w:snapToGrid w:val="0"/>
              </w:rPr>
            </w:pPr>
            <w:r>
              <w:rPr>
                <w:snapToGrid w:val="0"/>
              </w:rPr>
              <w:t>42 of 2011</w:t>
            </w:r>
          </w:p>
        </w:tc>
        <w:tc>
          <w:tcPr>
            <w:tcW w:w="1239" w:type="dxa"/>
          </w:tcPr>
          <w:p>
            <w:pPr>
              <w:pStyle w:val="nTable"/>
              <w:spacing w:after="40"/>
              <w:rPr>
                <w:snapToGrid w:val="0"/>
              </w:rPr>
            </w:pPr>
            <w:r>
              <w:t>4 Oct 2011</w:t>
            </w:r>
          </w:p>
        </w:tc>
        <w:tc>
          <w:tcPr>
            <w:tcW w:w="2447" w:type="dxa"/>
          </w:tcPr>
          <w:p>
            <w:pPr>
              <w:pStyle w:val="nTable"/>
              <w:spacing w:after="40"/>
              <w:rPr>
                <w:snapToGrid w:val="0"/>
              </w:rPr>
            </w:pPr>
            <w:r>
              <w:rPr>
                <w:snapToGrid w:val="0"/>
              </w:rPr>
              <w:t>30 Jan 2012 (see s. 2(c) and Cwlth Legislative Instrument No. F2011L02397 cl. 5 registered 21 Nov 2011)</w:t>
            </w:r>
          </w:p>
        </w:tc>
      </w:tr>
      <w:tr>
        <w:trPr>
          <w:gridAfter w:val="1"/>
          <w:wAfter w:w="12" w:type="dxa"/>
          <w:cantSplit/>
        </w:trPr>
        <w:tc>
          <w:tcPr>
            <w:tcW w:w="2273" w:type="dxa"/>
          </w:tcPr>
          <w:p>
            <w:pPr>
              <w:pStyle w:val="nTable"/>
              <w:spacing w:after="40"/>
              <w:ind w:right="113"/>
              <w:rPr>
                <w:snapToGrid w:val="0"/>
              </w:rPr>
            </w:pPr>
            <w:r>
              <w:rPr>
                <w:i/>
                <w:snapToGrid w:val="0"/>
              </w:rPr>
              <w:t>Electricity Corporations Amendment Act 2013</w:t>
            </w:r>
            <w:r>
              <w:rPr>
                <w:snapToGrid w:val="0"/>
              </w:rPr>
              <w:t xml:space="preserve"> s. 39</w:t>
            </w:r>
          </w:p>
        </w:tc>
        <w:tc>
          <w:tcPr>
            <w:tcW w:w="1138" w:type="dxa"/>
          </w:tcPr>
          <w:p>
            <w:pPr>
              <w:pStyle w:val="nTable"/>
              <w:spacing w:after="40"/>
              <w:rPr>
                <w:snapToGrid w:val="0"/>
              </w:rPr>
            </w:pPr>
            <w:r>
              <w:rPr>
                <w:snapToGrid w:val="0"/>
              </w:rPr>
              <w:t>25 of 2013</w:t>
            </w:r>
          </w:p>
        </w:tc>
        <w:tc>
          <w:tcPr>
            <w:tcW w:w="1239" w:type="dxa"/>
          </w:tcPr>
          <w:p>
            <w:pPr>
              <w:pStyle w:val="nTable"/>
              <w:spacing w:after="40"/>
            </w:pPr>
            <w:r>
              <w:rPr>
                <w:snapToGrid w:val="0"/>
              </w:rPr>
              <w:t>18 Dec 2013</w:t>
            </w:r>
          </w:p>
        </w:tc>
        <w:tc>
          <w:tcPr>
            <w:tcW w:w="2447" w:type="dxa"/>
          </w:tcPr>
          <w:p>
            <w:pPr>
              <w:pStyle w:val="nTable"/>
              <w:spacing w:after="40"/>
              <w:rPr>
                <w:i/>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gridAfter w:val="1"/>
          <w:wAfter w:w="12" w:type="dxa"/>
          <w:cantSplit/>
        </w:trPr>
        <w:tc>
          <w:tcPr>
            <w:tcW w:w="7097" w:type="dxa"/>
            <w:gridSpan w:val="4"/>
            <w:shd w:val="clear" w:color="auto" w:fill="auto"/>
          </w:tcPr>
          <w:p>
            <w:pPr>
              <w:pStyle w:val="nTable"/>
              <w:spacing w:after="40"/>
              <w:rPr>
                <w:snapToGrid w:val="0"/>
                <w:color w:val="000000"/>
              </w:rPr>
            </w:pPr>
            <w:r>
              <w:rPr>
                <w:b/>
                <w:snapToGrid w:val="0"/>
                <w:color w:val="000000"/>
              </w:rPr>
              <w:t xml:space="preserve">Reprint 3: The </w:t>
            </w:r>
            <w:r>
              <w:rPr>
                <w:b/>
                <w:i/>
                <w:noProof/>
                <w:snapToGrid w:val="0"/>
                <w:color w:val="000000"/>
              </w:rPr>
              <w:t>Electricity Industry Act 2004</w:t>
            </w:r>
            <w:r>
              <w:rPr>
                <w:b/>
                <w:snapToGrid w:val="0"/>
                <w:color w:val="000000"/>
              </w:rPr>
              <w:t xml:space="preserve"> as at 29 Mar 2018</w:t>
            </w:r>
            <w:r>
              <w:rPr>
                <w:snapToGrid w:val="0"/>
                <w:color w:val="000000"/>
              </w:rPr>
              <w:t xml:space="preserve"> (includes amendments listed above)</w:t>
            </w:r>
          </w:p>
        </w:tc>
      </w:tr>
      <w:tr>
        <w:trPr>
          <w:gridAfter w:val="1"/>
          <w:wAfter w:w="12" w:type="dxa"/>
          <w:cantSplit/>
        </w:trPr>
        <w:tc>
          <w:tcPr>
            <w:tcW w:w="2273" w:type="dxa"/>
          </w:tcPr>
          <w:p>
            <w:pPr>
              <w:pStyle w:val="nTable"/>
              <w:spacing w:after="40"/>
              <w:ind w:right="113"/>
              <w:rPr>
                <w:snapToGrid w:val="0"/>
              </w:rPr>
            </w:pPr>
            <w:r>
              <w:rPr>
                <w:i/>
                <w:snapToGrid w:val="0"/>
              </w:rPr>
              <w:t>Electricity Industry Amendment Act 2020</w:t>
            </w:r>
            <w:r>
              <w:rPr>
                <w:snapToGrid w:val="0"/>
              </w:rPr>
              <w:t xml:space="preserve"> Pt. 2</w:t>
            </w:r>
          </w:p>
        </w:tc>
        <w:tc>
          <w:tcPr>
            <w:tcW w:w="1138" w:type="dxa"/>
          </w:tcPr>
          <w:p>
            <w:pPr>
              <w:pStyle w:val="nTable"/>
              <w:spacing w:after="40"/>
              <w:rPr>
                <w:snapToGrid w:val="0"/>
              </w:rPr>
            </w:pPr>
            <w:r>
              <w:rPr>
                <w:snapToGrid w:val="0"/>
              </w:rPr>
              <w:t>9 of 2020</w:t>
            </w:r>
          </w:p>
        </w:tc>
        <w:tc>
          <w:tcPr>
            <w:tcW w:w="1239" w:type="dxa"/>
          </w:tcPr>
          <w:p>
            <w:pPr>
              <w:pStyle w:val="nTable"/>
              <w:spacing w:after="40"/>
            </w:pPr>
            <w:r>
              <w:t>6 Apr 2020</w:t>
            </w:r>
          </w:p>
        </w:tc>
        <w:tc>
          <w:tcPr>
            <w:tcW w:w="2447" w:type="dxa"/>
          </w:tcPr>
          <w:p>
            <w:pPr>
              <w:pStyle w:val="nTable"/>
              <w:spacing w:after="40"/>
              <w:rPr>
                <w:i/>
                <w:snapToGrid w:val="0"/>
              </w:rPr>
            </w:pPr>
            <w:r>
              <w:rPr>
                <w:snapToGrid w:val="0"/>
                <w:color w:val="000000"/>
              </w:rPr>
              <w:t>7 Apr 2020 (see s. 2(b))</w:t>
            </w:r>
          </w:p>
        </w:tc>
      </w:tr>
      <w:tr>
        <w:trPr>
          <w:gridAfter w:val="1"/>
          <w:wAfter w:w="12" w:type="dxa"/>
          <w:cantSplit/>
        </w:trPr>
        <w:tc>
          <w:tcPr>
            <w:tcW w:w="2273" w:type="dxa"/>
          </w:tcPr>
          <w:p>
            <w:pPr>
              <w:pStyle w:val="nTable"/>
              <w:spacing w:after="40"/>
              <w:ind w:right="113"/>
              <w:rPr>
                <w:iCs/>
                <w:snapToGrid w:val="0"/>
              </w:rPr>
            </w:pPr>
            <w:r>
              <w:rPr>
                <w:i/>
                <w:snapToGrid w:val="0"/>
              </w:rPr>
              <w:t xml:space="preserve">Electricity Industry Amendment (Alternative Electricity Services) Act 2024 </w:t>
            </w:r>
            <w:r>
              <w:rPr>
                <w:iCs/>
                <w:snapToGrid w:val="0"/>
              </w:rPr>
              <w:t>Pt. 2</w:t>
            </w:r>
          </w:p>
        </w:tc>
        <w:tc>
          <w:tcPr>
            <w:tcW w:w="1138" w:type="dxa"/>
          </w:tcPr>
          <w:p>
            <w:pPr>
              <w:pStyle w:val="nTable"/>
              <w:spacing w:after="40"/>
              <w:rPr>
                <w:snapToGrid w:val="0"/>
              </w:rPr>
            </w:pPr>
            <w:r>
              <w:rPr>
                <w:snapToGrid w:val="0"/>
              </w:rPr>
              <w:t>10 of 2024</w:t>
            </w:r>
          </w:p>
        </w:tc>
        <w:tc>
          <w:tcPr>
            <w:tcW w:w="1239" w:type="dxa"/>
          </w:tcPr>
          <w:p>
            <w:pPr>
              <w:pStyle w:val="nTable"/>
              <w:spacing w:after="40"/>
            </w:pPr>
            <w:r>
              <w:t>22 Apr 2024</w:t>
            </w:r>
          </w:p>
        </w:tc>
        <w:tc>
          <w:tcPr>
            <w:tcW w:w="2447" w:type="dxa"/>
          </w:tcPr>
          <w:p>
            <w:pPr>
              <w:pStyle w:val="nTable"/>
              <w:spacing w:after="40"/>
              <w:rPr>
                <w:snapToGrid w:val="0"/>
                <w:color w:val="000000"/>
              </w:rPr>
            </w:pPr>
            <w:r>
              <w:rPr>
                <w:snapToGrid w:val="0"/>
                <w:color w:val="000000"/>
              </w:rPr>
              <w:t>23 Apr 2024 (see s. 2(1)(d))</w:t>
            </w:r>
          </w:p>
        </w:tc>
      </w:tr>
    </w:tbl>
    <w:p>
      <w:pPr>
        <w:pStyle w:val="nHeading3"/>
      </w:pPr>
      <w:bookmarkStart w:id="663" w:name="_Toc164842914"/>
      <w:r>
        <w:t>Uncommenced provisions table</w:t>
      </w:r>
      <w:bookmarkEnd w:id="663"/>
    </w:p>
    <w:p>
      <w:pPr>
        <w:pStyle w:val="nStatement"/>
        <w:keepNext/>
        <w:spacing w:after="240"/>
      </w:pPr>
      <w:r>
        <w:t xml:space="preserve">To view the text of the uncommenced provisions see </w:t>
      </w:r>
      <w:r>
        <w:rPr>
          <w:i/>
        </w:rPr>
        <w:t>Acts as passed</w:t>
      </w:r>
      <w:r>
        <w:t xml:space="preserve"> on the WA Legislation website.</w:t>
      </w:r>
    </w:p>
    <w:tbl>
      <w:tblPr>
        <w:tblW w:w="7097"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7"/>
        <w:gridCol w:w="1244"/>
        <w:gridCol w:w="2438"/>
        <w:gridCol w:w="9"/>
      </w:tblGrid>
      <w:tr>
        <w:trPr>
          <w:gridAfter w:val="1"/>
          <w:wAfter w:w="9" w:type="dxa"/>
          <w:tblHeader/>
        </w:trPr>
        <w:tc>
          <w:tcPr>
            <w:tcW w:w="2269" w:type="dxa"/>
            <w:tcBorders>
              <w:bottom w:val="single" w:sz="8" w:space="0" w:color="auto"/>
            </w:tcBorders>
          </w:tcPr>
          <w:p>
            <w:pPr>
              <w:pStyle w:val="nTable"/>
              <w:spacing w:after="40"/>
              <w:rPr>
                <w:b/>
              </w:rPr>
            </w:pPr>
            <w:r>
              <w:rPr>
                <w:b/>
              </w:rPr>
              <w:t>Short title</w:t>
            </w:r>
          </w:p>
        </w:tc>
        <w:tc>
          <w:tcPr>
            <w:tcW w:w="1137" w:type="dxa"/>
            <w:tcBorders>
              <w:bottom w:val="single" w:sz="8" w:space="0" w:color="auto"/>
            </w:tcBorders>
          </w:tcPr>
          <w:p>
            <w:pPr>
              <w:pStyle w:val="nTable"/>
              <w:spacing w:after="40"/>
              <w:rPr>
                <w:b/>
              </w:rPr>
            </w:pPr>
            <w:r>
              <w:rPr>
                <w:b/>
              </w:rPr>
              <w:t>Number and year</w:t>
            </w:r>
          </w:p>
        </w:tc>
        <w:tc>
          <w:tcPr>
            <w:tcW w:w="1244" w:type="dxa"/>
            <w:tcBorders>
              <w:bottom w:val="single" w:sz="8" w:space="0" w:color="auto"/>
            </w:tcBorders>
          </w:tcPr>
          <w:p>
            <w:pPr>
              <w:pStyle w:val="nTable"/>
              <w:spacing w:after="40"/>
              <w:rPr>
                <w:b/>
              </w:rPr>
            </w:pPr>
            <w:r>
              <w:rPr>
                <w:b/>
              </w:rPr>
              <w:t>Assent</w:t>
            </w:r>
          </w:p>
        </w:tc>
        <w:tc>
          <w:tcPr>
            <w:tcW w:w="2438" w:type="dxa"/>
            <w:tcBorders>
              <w:bottom w:val="single" w:sz="8" w:space="0" w:color="auto"/>
            </w:tcBorders>
          </w:tcPr>
          <w:p>
            <w:pPr>
              <w:pStyle w:val="nTable"/>
              <w:spacing w:after="40"/>
              <w:rPr>
                <w:b/>
              </w:rPr>
            </w:pPr>
            <w:r>
              <w:rPr>
                <w:b/>
              </w:rPr>
              <w:t>Commencement</w:t>
            </w:r>
          </w:p>
        </w:tc>
      </w:tr>
      <w:tr>
        <w:trPr>
          <w:gridAfter w:val="1"/>
          <w:wAfter w:w="9" w:type="dxa"/>
        </w:trPr>
        <w:tc>
          <w:tcPr>
            <w:tcW w:w="2269" w:type="dxa"/>
            <w:tcBorders>
              <w:bottom w:val="nil"/>
            </w:tcBorders>
          </w:tcPr>
          <w:p>
            <w:pPr>
              <w:pStyle w:val="nTable"/>
              <w:spacing w:after="40"/>
              <w:rPr>
                <w:vertAlign w:val="superscript"/>
              </w:rPr>
            </w:pPr>
            <w:r>
              <w:rPr>
                <w:i/>
                <w:iCs/>
              </w:rPr>
              <w:t>Electricity Industry Amendment (Distributed Energy Resources) Act 2024</w:t>
            </w:r>
            <w:r>
              <w:t xml:space="preserve"> Pt. 2 Div. 1 and Pt. 3 Div. 1 </w:t>
            </w:r>
            <w:r>
              <w:rPr>
                <w:vertAlign w:val="superscript"/>
              </w:rPr>
              <w:t>5</w:t>
            </w:r>
          </w:p>
        </w:tc>
        <w:tc>
          <w:tcPr>
            <w:tcW w:w="1137" w:type="dxa"/>
            <w:tcBorders>
              <w:bottom w:val="nil"/>
            </w:tcBorders>
          </w:tcPr>
          <w:p>
            <w:pPr>
              <w:pStyle w:val="nTable"/>
              <w:spacing w:after="40"/>
            </w:pPr>
            <w:r>
              <w:t>1 of 2024 (as amended by No. 10 of 2024 s. 27)</w:t>
            </w:r>
          </w:p>
        </w:tc>
        <w:tc>
          <w:tcPr>
            <w:tcW w:w="1244" w:type="dxa"/>
            <w:tcBorders>
              <w:bottom w:val="nil"/>
            </w:tcBorders>
          </w:tcPr>
          <w:p>
            <w:pPr>
              <w:pStyle w:val="nTable"/>
              <w:spacing w:after="40"/>
            </w:pPr>
            <w:r>
              <w:t>7 Mar 2024</w:t>
            </w:r>
          </w:p>
        </w:tc>
        <w:tc>
          <w:tcPr>
            <w:tcW w:w="2438" w:type="dxa"/>
            <w:tcBorders>
              <w:bottom w:val="nil"/>
            </w:tcBorders>
          </w:tcPr>
          <w:p>
            <w:pPr>
              <w:pStyle w:val="nTable"/>
              <w:spacing w:after="40"/>
            </w:pPr>
            <w:r>
              <w:t>To be proclaimed (see s. 2(b))</w:t>
            </w:r>
          </w:p>
        </w:tc>
      </w:tr>
      <w:tr>
        <w:tblPrEx>
          <w:tblBorders>
            <w:insideH w:val="none" w:sz="0" w:space="0" w:color="auto"/>
          </w:tblBorders>
        </w:tblPrEx>
        <w:trPr>
          <w:cantSplit/>
        </w:trPr>
        <w:tc>
          <w:tcPr>
            <w:tcW w:w="2269" w:type="dxa"/>
          </w:tcPr>
          <w:p>
            <w:pPr>
              <w:pStyle w:val="nTable"/>
              <w:spacing w:after="40"/>
              <w:ind w:right="113"/>
              <w:rPr>
                <w:iCs/>
                <w:snapToGrid w:val="0"/>
              </w:rPr>
            </w:pPr>
            <w:r>
              <w:rPr>
                <w:i/>
                <w:snapToGrid w:val="0"/>
              </w:rPr>
              <w:lastRenderedPageBreak/>
              <w:t xml:space="preserve">Electricity Industry Amendment (Alternative Electricity Services) Act 2024 </w:t>
            </w:r>
            <w:r>
              <w:rPr>
                <w:iCs/>
                <w:snapToGrid w:val="0"/>
              </w:rPr>
              <w:t>s. 26(2) and (3)</w:t>
            </w:r>
          </w:p>
        </w:tc>
        <w:tc>
          <w:tcPr>
            <w:tcW w:w="1137" w:type="dxa"/>
          </w:tcPr>
          <w:p>
            <w:pPr>
              <w:pStyle w:val="nTable"/>
              <w:spacing w:after="40"/>
              <w:rPr>
                <w:snapToGrid w:val="0"/>
              </w:rPr>
            </w:pPr>
            <w:r>
              <w:rPr>
                <w:snapToGrid w:val="0"/>
              </w:rPr>
              <w:t>10 of 2024</w:t>
            </w:r>
          </w:p>
        </w:tc>
        <w:tc>
          <w:tcPr>
            <w:tcW w:w="1244" w:type="dxa"/>
          </w:tcPr>
          <w:p>
            <w:pPr>
              <w:pStyle w:val="nTable"/>
              <w:spacing w:after="40"/>
            </w:pPr>
            <w:r>
              <w:t>22 Apr 2024</w:t>
            </w:r>
          </w:p>
        </w:tc>
        <w:tc>
          <w:tcPr>
            <w:tcW w:w="2447" w:type="dxa"/>
            <w:gridSpan w:val="2"/>
          </w:tcPr>
          <w:p>
            <w:pPr>
              <w:pStyle w:val="nTable"/>
              <w:spacing w:after="40"/>
              <w:rPr>
                <w:snapToGrid w:val="0"/>
                <w:color w:val="000000"/>
              </w:rPr>
            </w:pPr>
            <w:r>
              <w:rPr>
                <w:snapToGrid w:val="0"/>
                <w:color w:val="000000"/>
              </w:rPr>
              <w:t xml:space="preserve">s. 26(2): operative immediately after the </w:t>
            </w:r>
            <w:r>
              <w:rPr>
                <w:i/>
                <w:iCs/>
              </w:rPr>
              <w:t xml:space="preserve">Electricity Industry Amendment (Distributed Energy Resources) Act 2024 </w:t>
            </w:r>
            <w:r>
              <w:t>s. 5 comes into operation (see s. 2(1)(b)(ii))</w:t>
            </w:r>
            <w:r>
              <w:rPr>
                <w:snapToGrid w:val="0"/>
                <w:color w:val="000000"/>
              </w:rPr>
              <w:t>;</w:t>
            </w:r>
            <w:r>
              <w:rPr>
                <w:snapToGrid w:val="0"/>
                <w:color w:val="000000"/>
              </w:rPr>
              <w:br/>
              <w:t xml:space="preserve">s. 26(3): operative immediately after the </w:t>
            </w:r>
            <w:r>
              <w:rPr>
                <w:i/>
                <w:iCs/>
              </w:rPr>
              <w:t xml:space="preserve">Electricity Industry Amendment (Distributed Energy Resources) Act 2024 </w:t>
            </w:r>
            <w:r>
              <w:t>s. 24 comes into operation (see s. 2(1)(c)(ii))</w:t>
            </w:r>
          </w:p>
        </w:tc>
      </w:tr>
    </w:tbl>
    <w:p>
      <w:pPr>
        <w:pStyle w:val="nHeading3"/>
      </w:pPr>
      <w:bookmarkStart w:id="664" w:name="_Toc164842915"/>
      <w:r>
        <w:t>Other notes</w:t>
      </w:r>
      <w:bookmarkEnd w:id="664"/>
    </w:p>
    <w:p>
      <w:pPr>
        <w:pStyle w:val="nNote"/>
        <w:spacing w:before="120"/>
      </w:pPr>
      <w:r>
        <w:rPr>
          <w:vertAlign w:val="superscript"/>
        </w:rPr>
        <w:t>1</w:t>
      </w:r>
      <w:r>
        <w:tab/>
        <w:t>The</w:t>
      </w:r>
      <w:r>
        <w:rPr>
          <w:i/>
          <w:iCs/>
        </w:rPr>
        <w:t xml:space="preserve"> Electricity Corporation Act 1994 </w:t>
      </w:r>
      <w:r>
        <w:t>was renamed as the</w:t>
      </w:r>
      <w:r>
        <w:rPr>
          <w:i/>
          <w:iCs/>
        </w:rPr>
        <w:t xml:space="preserve"> Electricity Transmission and Distribution Systems (Access) Act 1994 </w:t>
      </w:r>
      <w:r>
        <w:t>by the</w:t>
      </w:r>
      <w:r>
        <w:rPr>
          <w:i/>
          <w:iCs/>
        </w:rPr>
        <w:t xml:space="preserve"> Electricity Corporations Act 2005 </w:t>
      </w:r>
      <w:r>
        <w:t>Sch. 5 cl. 9.</w:t>
      </w:r>
      <w:r>
        <w:rPr>
          <w:i/>
          <w:iCs/>
        </w:rPr>
        <w:t xml:space="preserve"> </w:t>
      </w:r>
    </w:p>
    <w:p>
      <w:pPr>
        <w:pStyle w:val="nNote"/>
        <w:spacing w:before="120"/>
      </w:pPr>
      <w:r>
        <w:rPr>
          <w:vertAlign w:val="superscript"/>
        </w:rPr>
        <w:t>2</w:t>
      </w:r>
      <w:r>
        <w:tab/>
        <w:t xml:space="preserve">The </w:t>
      </w:r>
      <w:r>
        <w:rPr>
          <w:i/>
          <w:iCs/>
        </w:rPr>
        <w:t>Electricity Corporations Act 2005</w:t>
      </w:r>
      <w:r>
        <w:t xml:space="preserve"> Sch. 5 cl. 11 came into operation on 1 Apr 2006, see </w:t>
      </w:r>
      <w:r>
        <w:rPr>
          <w:i/>
          <w:iCs/>
        </w:rPr>
        <w:t>Gazette</w:t>
      </w:r>
      <w:r>
        <w:t xml:space="preserve"> 31 Mar 2006 p. 1153. </w:t>
      </w:r>
    </w:p>
    <w:p>
      <w:pPr>
        <w:pStyle w:val="nNote"/>
        <w:spacing w:before="120"/>
        <w:rPr>
          <w:vertAlign w:val="superscript"/>
        </w:rPr>
      </w:pPr>
      <w:r>
        <w:rPr>
          <w:vertAlign w:val="superscript"/>
        </w:rPr>
        <w:t>3</w:t>
      </w:r>
      <w:r>
        <w:tab/>
        <w:t xml:space="preserve">The </w:t>
      </w:r>
      <w:r>
        <w:rPr>
          <w:i/>
          <w:iCs/>
        </w:rPr>
        <w:t>National Gas Access (WA) Act 2009</w:t>
      </w:r>
      <w:r>
        <w:t xml:space="preserve"> s. 59(1) came into operation on 1 Jan 2010, see </w:t>
      </w:r>
      <w:r>
        <w:rPr>
          <w:i/>
          <w:iCs/>
        </w:rPr>
        <w:t>Gazette</w:t>
      </w:r>
      <w:r>
        <w:t xml:space="preserve"> 31 Dec 2009 p. 5327.</w:t>
      </w:r>
    </w:p>
    <w:p>
      <w:pPr>
        <w:pStyle w:val="nNote"/>
        <w:spacing w:before="120"/>
      </w:pPr>
      <w:r>
        <w:rPr>
          <w:vertAlign w:val="superscript"/>
        </w:rPr>
        <w:t>4</w:t>
      </w:r>
      <w:r>
        <w:tab/>
        <w:t xml:space="preserve">The </w:t>
      </w:r>
      <w:r>
        <w:rPr>
          <w:i/>
          <w:iCs/>
        </w:rPr>
        <w:t>Gas Pipelines Access (Western Australia) Act 1998</w:t>
      </w:r>
      <w:r>
        <w:t xml:space="preserve"> was renamed as the </w:t>
      </w:r>
      <w:r>
        <w:rPr>
          <w:i/>
          <w:iCs/>
        </w:rPr>
        <w:t>Energy Arbitration and Review Act 1998</w:t>
      </w:r>
      <w:r>
        <w:t xml:space="preserve"> by the</w:t>
      </w:r>
      <w:r>
        <w:rPr>
          <w:i/>
          <w:iCs/>
        </w:rPr>
        <w:t xml:space="preserve"> National Gas Access (WA) Act 2009 </w:t>
      </w:r>
      <w:r>
        <w:t>s. 26.</w:t>
      </w:r>
    </w:p>
    <w:p>
      <w:pPr>
        <w:pStyle w:val="nNote"/>
        <w:spacing w:before="120"/>
      </w:pPr>
      <w:r>
        <w:rPr>
          <w:vertAlign w:val="superscript"/>
        </w:rPr>
        <w:t>5</w:t>
      </w:r>
      <w:r>
        <w:tab/>
        <w:t xml:space="preserve">The </w:t>
      </w:r>
      <w:r>
        <w:rPr>
          <w:i/>
          <w:iCs/>
        </w:rPr>
        <w:t>Electricity Industry Amendment (Distributed Energy Resources) Act 2024</w:t>
      </w:r>
      <w:r>
        <w:t xml:space="preserve"> s. 4 (to the extent it inserts the definition of Coordinator) and s. 9 were deleted by the </w:t>
      </w:r>
      <w:r>
        <w:rPr>
          <w:i/>
          <w:snapToGrid w:val="0"/>
        </w:rPr>
        <w:t xml:space="preserve">Electricity Industry Amendment (Alternative Electricity Services) Act 2024 </w:t>
      </w:r>
      <w:r>
        <w:rPr>
          <w:iCs/>
          <w:snapToGrid w:val="0"/>
        </w:rPr>
        <w:t>s. 27 before they purported to come into operation.</w:t>
      </w:r>
    </w:p>
    <w:p/>
    <w:p>
      <w:pPr>
        <w:sectPr>
          <w:headerReference w:type="even" r:id="rId29"/>
          <w:headerReference w:type="default" r:id="rId30"/>
          <w:pgSz w:w="11907" w:h="16840" w:code="9"/>
          <w:pgMar w:top="2376" w:right="2405" w:bottom="3542" w:left="2405" w:header="706" w:footer="3544" w:gutter="0"/>
          <w:cols w:space="720"/>
          <w:noEndnote/>
          <w:docGrid w:linePitch="326"/>
        </w:sectPr>
      </w:pPr>
    </w:p>
    <w:p>
      <w:pPr>
        <w:pStyle w:val="nHeading2"/>
        <w:rPr>
          <w:sz w:val="28"/>
        </w:rPr>
      </w:pPr>
      <w:bookmarkStart w:id="666" w:name="_Toc164679756"/>
      <w:bookmarkStart w:id="667" w:name="_Toc164842916"/>
      <w:r>
        <w:rPr>
          <w:sz w:val="28"/>
        </w:rPr>
        <w:lastRenderedPageBreak/>
        <w:t>Defined terms</w:t>
      </w:r>
      <w:bookmarkEnd w:id="666"/>
      <w:bookmarkEnd w:id="66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access</w:t>
      </w:r>
      <w:r>
        <w:tab/>
        <w:t>3(1)</w:t>
      </w:r>
    </w:p>
    <w:p>
      <w:pPr>
        <w:pStyle w:val="DefinedTerms"/>
      </w:pPr>
      <w:r>
        <w:t>access agreement</w:t>
      </w:r>
      <w:r>
        <w:tab/>
        <w:t>103</w:t>
      </w:r>
    </w:p>
    <w:p>
      <w:pPr>
        <w:pStyle w:val="DefinedTerms"/>
      </w:pPr>
      <w:r>
        <w:t>access arrangement</w:t>
      </w:r>
      <w:r>
        <w:tab/>
        <w:t>39A(1), 103</w:t>
      </w:r>
    </w:p>
    <w:p>
      <w:pPr>
        <w:pStyle w:val="DefinedTerms"/>
      </w:pPr>
      <w:r>
        <w:t>AES code of practice</w:t>
      </w:r>
      <w:r>
        <w:tab/>
        <w:t>3(1)</w:t>
      </w:r>
    </w:p>
    <w:p>
      <w:pPr>
        <w:pStyle w:val="DefinedTerms"/>
      </w:pPr>
      <w:r>
        <w:t>AES customer contract</w:t>
      </w:r>
      <w:r>
        <w:tab/>
        <w:t>3(1)</w:t>
      </w:r>
    </w:p>
    <w:p>
      <w:pPr>
        <w:pStyle w:val="DefinedTerms"/>
      </w:pPr>
      <w:r>
        <w:t>affected person</w:t>
      </w:r>
      <w:r>
        <w:tab/>
        <w:t>59B, 59U(1)</w:t>
      </w:r>
    </w:p>
    <w:p>
      <w:pPr>
        <w:pStyle w:val="DefinedTerms"/>
      </w:pPr>
      <w:r>
        <w:t>alternative electricity service</w:t>
      </w:r>
      <w:r>
        <w:tab/>
        <w:t>3(1)</w:t>
      </w:r>
    </w:p>
    <w:p>
      <w:pPr>
        <w:pStyle w:val="DefinedTerms"/>
      </w:pPr>
      <w:r>
        <w:t>appropriate amendment</w:t>
      </w:r>
      <w:r>
        <w:tab/>
        <w:t>53(3), 64(3)</w:t>
      </w:r>
    </w:p>
    <w:p>
      <w:pPr>
        <w:pStyle w:val="DefinedTerms"/>
      </w:pPr>
      <w:r>
        <w:t>approved policy</w:t>
      </w:r>
      <w:r>
        <w:tab/>
        <w:t>60</w:t>
      </w:r>
    </w:p>
    <w:p>
      <w:pPr>
        <w:pStyle w:val="DefinedTerms"/>
      </w:pPr>
      <w:r>
        <w:t>approved scheme</w:t>
      </w:r>
      <w:r>
        <w:tab/>
        <w:t>90</w:t>
      </w:r>
    </w:p>
    <w:p>
      <w:pPr>
        <w:pStyle w:val="DefinedTerms"/>
      </w:pPr>
      <w:r>
        <w:t>arbitrator</w:t>
      </w:r>
      <w:r>
        <w:tab/>
        <w:t>3(1)</w:t>
      </w:r>
    </w:p>
    <w:p>
      <w:pPr>
        <w:pStyle w:val="DefinedTerms"/>
      </w:pPr>
      <w:r>
        <w:t>arrangement</w:t>
      </w:r>
      <w:r>
        <w:tab/>
        <w:t>120ZF(1), 127(1)</w:t>
      </w:r>
    </w:p>
    <w:p>
      <w:pPr>
        <w:pStyle w:val="DefinedTerms"/>
      </w:pPr>
      <w:r>
        <w:t>associate</w:t>
      </w:r>
      <w:r>
        <w:tab/>
        <w:t>115(6), 120S(1)</w:t>
      </w:r>
    </w:p>
    <w:p>
      <w:pPr>
        <w:pStyle w:val="DefinedTerms"/>
      </w:pPr>
      <w:r>
        <w:t>Authority</w:t>
      </w:r>
      <w:r>
        <w:tab/>
        <w:t>3(1)</w:t>
      </w:r>
    </w:p>
    <w:p>
      <w:pPr>
        <w:pStyle w:val="DefinedTerms"/>
      </w:pPr>
      <w:r>
        <w:t>Board</w:t>
      </w:r>
      <w:r>
        <w:tab/>
        <w:t>3(1)</w:t>
      </w:r>
    </w:p>
    <w:p>
      <w:pPr>
        <w:pStyle w:val="DefinedTerms"/>
      </w:pPr>
      <w:r>
        <w:t>civil monetary liability</w:t>
      </w:r>
      <w:r>
        <w:tab/>
        <w:t>120ZA(1), 126(1)</w:t>
      </w:r>
    </w:p>
    <w:p>
      <w:pPr>
        <w:pStyle w:val="DefinedTerms"/>
      </w:pPr>
      <w:r>
        <w:t>class</w:t>
      </w:r>
      <w:r>
        <w:tab/>
        <w:t>59B</w:t>
      </w:r>
    </w:p>
    <w:p>
      <w:pPr>
        <w:pStyle w:val="DefinedTerms"/>
      </w:pPr>
      <w:r>
        <w:t>Code</w:t>
      </w:r>
      <w:r>
        <w:tab/>
        <w:t>3(1), 107(1)</w:t>
      </w:r>
    </w:p>
    <w:p>
      <w:pPr>
        <w:pStyle w:val="DefinedTerms"/>
      </w:pPr>
      <w:r>
        <w:t>code matter</w:t>
      </w:r>
      <w:r>
        <w:tab/>
        <w:t>39(2c)</w:t>
      </w:r>
    </w:p>
    <w:p>
      <w:pPr>
        <w:pStyle w:val="DefinedTerms"/>
      </w:pPr>
      <w:r>
        <w:t>code of conduct</w:t>
      </w:r>
      <w:r>
        <w:tab/>
        <w:t>78</w:t>
      </w:r>
    </w:p>
    <w:p>
      <w:pPr>
        <w:pStyle w:val="DefinedTerms"/>
      </w:pPr>
      <w:r>
        <w:t>commencement day</w:t>
      </w:r>
      <w:r>
        <w:tab/>
        <w:t>46(1)</w:t>
      </w:r>
    </w:p>
    <w:p>
      <w:pPr>
        <w:pStyle w:val="DefinedTerms"/>
      </w:pPr>
      <w:r>
        <w:t>committee</w:t>
      </w:r>
      <w:r>
        <w:tab/>
        <w:t>78</w:t>
      </w:r>
    </w:p>
    <w:p>
      <w:pPr>
        <w:pStyle w:val="DefinedTerms"/>
      </w:pPr>
      <w:r>
        <w:t>Competition Principles Agreement</w:t>
      </w:r>
      <w:r>
        <w:tab/>
        <w:t>3(1)</w:t>
      </w:r>
    </w:p>
    <w:p>
      <w:pPr>
        <w:pStyle w:val="DefinedTerms"/>
      </w:pPr>
      <w:r>
        <w:t>confer</w:t>
      </w:r>
      <w:r>
        <w:tab/>
        <w:t>121(1)</w:t>
      </w:r>
    </w:p>
    <w:p>
      <w:pPr>
        <w:pStyle w:val="DefinedTerms"/>
      </w:pPr>
      <w:r>
        <w:t>connect</w:t>
      </w:r>
      <w:r>
        <w:tab/>
        <w:t>57</w:t>
      </w:r>
    </w:p>
    <w:p>
      <w:pPr>
        <w:pStyle w:val="DefinedTerms"/>
      </w:pPr>
      <w:r>
        <w:t>contestable annual volume</w:t>
      </w:r>
      <w:r>
        <w:tab/>
        <w:t>129L</w:t>
      </w:r>
    </w:p>
    <w:p>
      <w:pPr>
        <w:pStyle w:val="DefinedTerms"/>
      </w:pPr>
      <w:r>
        <w:t>contestable proportion</w:t>
      </w:r>
      <w:r>
        <w:tab/>
        <w:t>129L</w:t>
      </w:r>
    </w:p>
    <w:p>
      <w:pPr>
        <w:pStyle w:val="DefinedTerms"/>
      </w:pPr>
      <w:r>
        <w:t>contestable supply</w:t>
      </w:r>
      <w:r>
        <w:tab/>
        <w:t>129L</w:t>
      </w:r>
    </w:p>
    <w:p>
      <w:pPr>
        <w:pStyle w:val="DefinedTerms"/>
      </w:pPr>
      <w:r>
        <w:t>cooling-off period</w:t>
      </w:r>
      <w:r>
        <w:tab/>
        <w:t>48(1)</w:t>
      </w:r>
    </w:p>
    <w:p>
      <w:pPr>
        <w:pStyle w:val="DefinedTerms"/>
      </w:pPr>
      <w:r>
        <w:t>Coordinator</w:t>
      </w:r>
      <w:r>
        <w:tab/>
        <w:t>3(1)</w:t>
      </w:r>
    </w:p>
    <w:p>
      <w:pPr>
        <w:pStyle w:val="DefinedTerms"/>
      </w:pPr>
      <w:r>
        <w:t>corporation</w:t>
      </w:r>
      <w:r>
        <w:tab/>
        <w:t>54A(1), 60</w:t>
      </w:r>
    </w:p>
    <w:p>
      <w:pPr>
        <w:pStyle w:val="DefinedTerms"/>
      </w:pPr>
      <w:r>
        <w:t>costs</w:t>
      </w:r>
      <w:r>
        <w:tab/>
        <w:t>129L</w:t>
      </w:r>
    </w:p>
    <w:p>
      <w:pPr>
        <w:pStyle w:val="DefinedTerms"/>
      </w:pPr>
      <w:r>
        <w:t>covered network</w:t>
      </w:r>
      <w:r>
        <w:tab/>
        <w:t>3(1)</w:t>
      </w:r>
    </w:p>
    <w:p>
      <w:pPr>
        <w:pStyle w:val="DefinedTerms"/>
      </w:pPr>
      <w:r>
        <w:t>covered Pilbara network</w:t>
      </w:r>
      <w:r>
        <w:tab/>
        <w:t>3(1)</w:t>
      </w:r>
    </w:p>
    <w:p>
      <w:pPr>
        <w:pStyle w:val="DefinedTerms"/>
      </w:pPr>
      <w:r>
        <w:t>customer</w:t>
      </w:r>
      <w:r>
        <w:tab/>
        <w:t>3(1), 90</w:t>
      </w:r>
    </w:p>
    <w:p>
      <w:pPr>
        <w:pStyle w:val="DefinedTerms"/>
      </w:pPr>
      <w:r>
        <w:t>customer contract</w:t>
      </w:r>
      <w:r>
        <w:tab/>
        <w:t>90</w:t>
      </w:r>
    </w:p>
    <w:p>
      <w:pPr>
        <w:pStyle w:val="DefinedTerms"/>
      </w:pPr>
      <w:r>
        <w:t>daily amount</w:t>
      </w:r>
      <w:r>
        <w:tab/>
        <w:t>118(3), 120V(3), 124(6)</w:t>
      </w:r>
    </w:p>
    <w:p>
      <w:pPr>
        <w:pStyle w:val="DefinedTerms"/>
      </w:pPr>
      <w:r>
        <w:t>designated area</w:t>
      </w:r>
      <w:r>
        <w:tab/>
        <w:t>67</w:t>
      </w:r>
    </w:p>
    <w:p>
      <w:pPr>
        <w:pStyle w:val="DefinedTerms"/>
      </w:pPr>
      <w:r>
        <w:t>distribution licence</w:t>
      </w:r>
      <w:r>
        <w:tab/>
        <w:t>3(1)</w:t>
      </w:r>
    </w:p>
    <w:p>
      <w:pPr>
        <w:pStyle w:val="DefinedTerms"/>
      </w:pPr>
      <w:r>
        <w:lastRenderedPageBreak/>
        <w:t>distribution system</w:t>
      </w:r>
      <w:r>
        <w:tab/>
        <w:t>3(1)</w:t>
      </w:r>
    </w:p>
    <w:p>
      <w:pPr>
        <w:pStyle w:val="DefinedTerms"/>
      </w:pPr>
      <w:r>
        <w:t>efficient cost of supply</w:t>
      </w:r>
      <w:r>
        <w:tab/>
        <w:t>129B</w:t>
      </w:r>
    </w:p>
    <w:p>
      <w:pPr>
        <w:pStyle w:val="DefinedTerms"/>
      </w:pPr>
      <w:r>
        <w:t>electricity</w:t>
      </w:r>
      <w:r>
        <w:tab/>
        <w:t>3(1)</w:t>
      </w:r>
    </w:p>
    <w:p>
      <w:pPr>
        <w:pStyle w:val="DefinedTerms"/>
      </w:pPr>
      <w:r>
        <w:t>electricity corporation</w:t>
      </w:r>
      <w:r>
        <w:tab/>
        <w:t>3(1)</w:t>
      </w:r>
    </w:p>
    <w:p>
      <w:pPr>
        <w:pStyle w:val="DefinedTerms"/>
      </w:pPr>
      <w:r>
        <w:t>Electricity Generation and Retail Corporation</w:t>
      </w:r>
      <w:r>
        <w:tab/>
        <w:t>3(1)</w:t>
      </w:r>
    </w:p>
    <w:p>
      <w:pPr>
        <w:pStyle w:val="DefinedTerms"/>
      </w:pPr>
      <w:r>
        <w:t>electricity infrastructure</w:t>
      </w:r>
      <w:r>
        <w:tab/>
        <w:t>3(1)</w:t>
      </w:r>
    </w:p>
    <w:p>
      <w:pPr>
        <w:pStyle w:val="DefinedTerms"/>
      </w:pPr>
      <w:r>
        <w:t>electricity marketing agent</w:t>
      </w:r>
      <w:r>
        <w:tab/>
        <w:t>78, 90</w:t>
      </w:r>
    </w:p>
    <w:p>
      <w:pPr>
        <w:pStyle w:val="DefinedTerms"/>
      </w:pPr>
      <w:r>
        <w:t>electricity network</w:t>
      </w:r>
      <w:r>
        <w:tab/>
        <w:t>3(1)</w:t>
      </w:r>
    </w:p>
    <w:p>
      <w:pPr>
        <w:pStyle w:val="DefinedTerms"/>
      </w:pPr>
      <w:r>
        <w:t>Electricity Networks Corporation</w:t>
      </w:r>
      <w:r>
        <w:tab/>
        <w:t>3(1)</w:t>
      </w:r>
    </w:p>
    <w:p>
      <w:pPr>
        <w:pStyle w:val="DefinedTerms"/>
      </w:pPr>
      <w:r>
        <w:t>electricity ombudsman</w:t>
      </w:r>
      <w:r>
        <w:tab/>
        <w:t>90, 92(1)</w:t>
      </w:r>
    </w:p>
    <w:p>
      <w:pPr>
        <w:pStyle w:val="DefinedTerms"/>
      </w:pPr>
      <w:r>
        <w:t>entity</w:t>
      </w:r>
      <w:r>
        <w:tab/>
        <w:t>120ZA(1)</w:t>
      </w:r>
    </w:p>
    <w:p>
      <w:pPr>
        <w:pStyle w:val="DefinedTerms"/>
      </w:pPr>
      <w:r>
        <w:t>existing operator</w:t>
      </w:r>
      <w:r>
        <w:tab/>
        <w:t>46(2)</w:t>
      </w:r>
    </w:p>
    <w:p>
      <w:pPr>
        <w:pStyle w:val="DefinedTerms"/>
      </w:pPr>
      <w:r>
        <w:t>extension and expansion policy</w:t>
      </w:r>
      <w:r>
        <w:tab/>
        <w:t>60</w:t>
      </w:r>
    </w:p>
    <w:p>
      <w:pPr>
        <w:pStyle w:val="DefinedTerms"/>
      </w:pPr>
      <w:r>
        <w:t>gas pipelines access provisions</w:t>
      </w:r>
      <w:r>
        <w:tab/>
        <w:t>130(1)</w:t>
      </w:r>
    </w:p>
    <w:p>
      <w:pPr>
        <w:pStyle w:val="DefinedTerms"/>
      </w:pPr>
      <w:r>
        <w:t>generating works</w:t>
      </w:r>
      <w:r>
        <w:tab/>
        <w:t>3(1)</w:t>
      </w:r>
    </w:p>
    <w:p>
      <w:pPr>
        <w:pStyle w:val="DefinedTerms"/>
      </w:pPr>
      <w:r>
        <w:t>generation costs</w:t>
      </w:r>
      <w:r>
        <w:tab/>
        <w:t>129L</w:t>
      </w:r>
    </w:p>
    <w:p>
      <w:pPr>
        <w:pStyle w:val="DefinedTerms"/>
      </w:pPr>
      <w:r>
        <w:t>generation licence</w:t>
      </w:r>
      <w:r>
        <w:tab/>
        <w:t>3(1)</w:t>
      </w:r>
    </w:p>
    <w:p>
      <w:pPr>
        <w:pStyle w:val="DefinedTerms"/>
      </w:pPr>
      <w:r>
        <w:t>historical generation costs</w:t>
      </w:r>
      <w:r>
        <w:tab/>
        <w:t>129L</w:t>
      </w:r>
    </w:p>
    <w:p>
      <w:pPr>
        <w:pStyle w:val="DefinedTerms"/>
      </w:pPr>
      <w:r>
        <w:t>integrated regional licence</w:t>
      </w:r>
      <w:r>
        <w:tab/>
        <w:t>3(1)</w:t>
      </w:r>
    </w:p>
    <w:p>
      <w:pPr>
        <w:pStyle w:val="DefinedTerms"/>
      </w:pPr>
      <w:r>
        <w:t>interconnected Pilbara network</w:t>
      </w:r>
      <w:r>
        <w:tab/>
        <w:t>120</w:t>
      </w:r>
    </w:p>
    <w:p>
      <w:pPr>
        <w:pStyle w:val="DefinedTerms"/>
      </w:pPr>
      <w:r>
        <w:t>interconnected Pilbara system</w:t>
      </w:r>
      <w:r>
        <w:tab/>
        <w:t>120</w:t>
      </w:r>
    </w:p>
    <w:p>
      <w:pPr>
        <w:pStyle w:val="DefinedTerms"/>
      </w:pPr>
      <w:r>
        <w:t>issue</w:t>
      </w:r>
      <w:r>
        <w:tab/>
        <w:t>120ZH(1), 129(1)</w:t>
      </w:r>
    </w:p>
    <w:p>
      <w:pPr>
        <w:pStyle w:val="DefinedTerms"/>
      </w:pPr>
      <w:r>
        <w:t>last resort supply plan</w:t>
      </w:r>
      <w:r>
        <w:tab/>
        <w:t>67</w:t>
      </w:r>
    </w:p>
    <w:p>
      <w:pPr>
        <w:pStyle w:val="DefinedTerms"/>
      </w:pPr>
      <w:r>
        <w:t>licence</w:t>
      </w:r>
      <w:r>
        <w:tab/>
        <w:t>3(1), 60</w:t>
      </w:r>
    </w:p>
    <w:p>
      <w:pPr>
        <w:pStyle w:val="DefinedTerms"/>
      </w:pPr>
      <w:r>
        <w:t>licence area</w:t>
      </w:r>
      <w:r>
        <w:tab/>
        <w:t>3(1)</w:t>
      </w:r>
    </w:p>
    <w:p>
      <w:pPr>
        <w:pStyle w:val="DefinedTerms"/>
      </w:pPr>
      <w:r>
        <w:t>licensee</w:t>
      </w:r>
      <w:r>
        <w:tab/>
        <w:t>3(1), 45(5), 71(1), 90</w:t>
      </w:r>
    </w:p>
    <w:p>
      <w:pPr>
        <w:pStyle w:val="DefinedTerms"/>
      </w:pPr>
      <w:r>
        <w:t>market</w:t>
      </w:r>
      <w:r>
        <w:tab/>
        <w:t>121(1), 122(1)</w:t>
      </w:r>
    </w:p>
    <w:p>
      <w:pPr>
        <w:pStyle w:val="DefinedTerms"/>
      </w:pPr>
      <w:r>
        <w:t>market governance participant</w:t>
      </w:r>
      <w:r>
        <w:tab/>
        <w:t>126(1)</w:t>
      </w:r>
    </w:p>
    <w:p>
      <w:pPr>
        <w:pStyle w:val="DefinedTerms"/>
      </w:pPr>
      <w:r>
        <w:t>marketing</w:t>
      </w:r>
      <w:r>
        <w:tab/>
        <w:t>78</w:t>
      </w:r>
    </w:p>
    <w:p>
      <w:pPr>
        <w:pStyle w:val="DefinedTerms"/>
      </w:pPr>
      <w:r>
        <w:t>market rules</w:t>
      </w:r>
      <w:r>
        <w:tab/>
        <w:t>121(1), 123(1), 134(1)</w:t>
      </w:r>
    </w:p>
    <w:p>
      <w:pPr>
        <w:pStyle w:val="DefinedTerms"/>
      </w:pPr>
      <w:r>
        <w:t>matter</w:t>
      </w:r>
      <w:r>
        <w:tab/>
        <w:t>134(1)</w:t>
      </w:r>
    </w:p>
    <w:p>
      <w:pPr>
        <w:pStyle w:val="DefinedTerms"/>
      </w:pPr>
      <w:r>
        <w:t>NBU</w:t>
      </w:r>
      <w:r>
        <w:tab/>
        <w:t>129L</w:t>
      </w:r>
    </w:p>
    <w:p>
      <w:pPr>
        <w:pStyle w:val="DefinedTerms"/>
      </w:pPr>
      <w:r>
        <w:t>network infrastructure facilities</w:t>
      </w:r>
      <w:r>
        <w:tab/>
        <w:t>3(1)</w:t>
      </w:r>
    </w:p>
    <w:p>
      <w:pPr>
        <w:pStyle w:val="DefinedTerms"/>
      </w:pPr>
      <w:r>
        <w:t>network service provider</w:t>
      </w:r>
      <w:r>
        <w:tab/>
        <w:t>103</w:t>
      </w:r>
    </w:p>
    <w:p>
      <w:pPr>
        <w:pStyle w:val="DefinedTerms"/>
      </w:pPr>
      <w:r>
        <w:t>network user</w:t>
      </w:r>
      <w:r>
        <w:tab/>
        <w:t>103</w:t>
      </w:r>
    </w:p>
    <w:p>
      <w:pPr>
        <w:pStyle w:val="DefinedTerms"/>
      </w:pPr>
      <w:r>
        <w:t>non-standard contract</w:t>
      </w:r>
      <w:r>
        <w:tab/>
        <w:t>3(1)</w:t>
      </w:r>
    </w:p>
    <w:p>
      <w:pPr>
        <w:pStyle w:val="DefinedTerms"/>
      </w:pPr>
      <w:r>
        <w:t>officer</w:t>
      </w:r>
      <w:r>
        <w:tab/>
        <w:t>120ZA(1), 126(1)</w:t>
      </w:r>
    </w:p>
    <w:p>
      <w:pPr>
        <w:pStyle w:val="DefinedTerms"/>
      </w:pPr>
      <w:r>
        <w:t>operate</w:t>
      </w:r>
      <w:r>
        <w:tab/>
        <w:t>3(1)</w:t>
      </w:r>
    </w:p>
    <w:p>
      <w:pPr>
        <w:pStyle w:val="DefinedTerms"/>
      </w:pPr>
      <w:r>
        <w:t>participant</w:t>
      </w:r>
      <w:r>
        <w:tab/>
        <w:t>120ZA(1), 121(2)</w:t>
      </w:r>
    </w:p>
    <w:p>
      <w:pPr>
        <w:pStyle w:val="DefinedTerms"/>
      </w:pPr>
      <w:r>
        <w:t>period of exclusivity</w:t>
      </w:r>
      <w:r>
        <w:tab/>
        <w:t>26(3)</w:t>
      </w:r>
    </w:p>
    <w:p>
      <w:pPr>
        <w:pStyle w:val="DefinedTerms"/>
      </w:pPr>
      <w:r>
        <w:t>Pilbara access agreement</w:t>
      </w:r>
      <w:r>
        <w:tab/>
        <w:t>120</w:t>
      </w:r>
    </w:p>
    <w:p>
      <w:pPr>
        <w:pStyle w:val="DefinedTerms"/>
      </w:pPr>
      <w:r>
        <w:t>Pilbara electricity objective</w:t>
      </w:r>
      <w:r>
        <w:tab/>
        <w:t>119(2), 120</w:t>
      </w:r>
    </w:p>
    <w:p>
      <w:pPr>
        <w:pStyle w:val="DefinedTerms"/>
      </w:pPr>
      <w:r>
        <w:t>Pilbara ISO</w:t>
      </w:r>
      <w:r>
        <w:tab/>
        <w:t>120, 120W(1)</w:t>
      </w:r>
    </w:p>
    <w:p>
      <w:pPr>
        <w:pStyle w:val="DefinedTerms"/>
      </w:pPr>
      <w:r>
        <w:t>Pilbara network</w:t>
      </w:r>
      <w:r>
        <w:tab/>
        <w:t>3(1)</w:t>
      </w:r>
    </w:p>
    <w:p>
      <w:pPr>
        <w:pStyle w:val="DefinedTerms"/>
      </w:pPr>
      <w:r>
        <w:lastRenderedPageBreak/>
        <w:t>Pilbara Networks Access Code</w:t>
      </w:r>
      <w:r>
        <w:tab/>
        <w:t>3(1), 120G(1)</w:t>
      </w:r>
    </w:p>
    <w:p>
      <w:pPr>
        <w:pStyle w:val="DefinedTerms"/>
      </w:pPr>
      <w:r>
        <w:t>Pilbara network service provider</w:t>
      </w:r>
      <w:r>
        <w:tab/>
        <w:t>120</w:t>
      </w:r>
    </w:p>
    <w:p>
      <w:pPr>
        <w:pStyle w:val="DefinedTerms"/>
      </w:pPr>
      <w:r>
        <w:t>Pilbara networks participant</w:t>
      </w:r>
      <w:r>
        <w:tab/>
        <w:t>120</w:t>
      </w:r>
    </w:p>
    <w:p>
      <w:pPr>
        <w:pStyle w:val="DefinedTerms"/>
      </w:pPr>
      <w:r>
        <w:t>Pilbara networks rules</w:t>
      </w:r>
      <w:r>
        <w:tab/>
        <w:t>3(1), 120K(1)</w:t>
      </w:r>
    </w:p>
    <w:p>
      <w:pPr>
        <w:pStyle w:val="DefinedTerms"/>
      </w:pPr>
      <w:r>
        <w:t>Pilbara network user</w:t>
      </w:r>
      <w:r>
        <w:tab/>
        <w:t>120</w:t>
      </w:r>
    </w:p>
    <w:p>
      <w:pPr>
        <w:pStyle w:val="DefinedTerms"/>
      </w:pPr>
      <w:r>
        <w:t>Pilbara region</w:t>
      </w:r>
      <w:r>
        <w:tab/>
        <w:t>3(1)</w:t>
      </w:r>
    </w:p>
    <w:p>
      <w:pPr>
        <w:pStyle w:val="DefinedTerms"/>
      </w:pPr>
      <w:r>
        <w:t>premises</w:t>
      </w:r>
      <w:r>
        <w:tab/>
        <w:t>57</w:t>
      </w:r>
    </w:p>
    <w:p>
      <w:pPr>
        <w:pStyle w:val="DefinedTerms"/>
      </w:pPr>
      <w:r>
        <w:t>preparing entity</w:t>
      </w:r>
      <w:r>
        <w:tab/>
        <w:t>120ZA(1)</w:t>
      </w:r>
    </w:p>
    <w:p>
      <w:pPr>
        <w:pStyle w:val="DefinedTerms"/>
      </w:pPr>
      <w:r>
        <w:t>prescribed customer</w:t>
      </w:r>
      <w:r>
        <w:tab/>
        <w:t>129L</w:t>
      </w:r>
    </w:p>
    <w:p>
      <w:pPr>
        <w:pStyle w:val="DefinedTerms"/>
      </w:pPr>
      <w:r>
        <w:t>prescribed form of contract</w:t>
      </w:r>
      <w:r>
        <w:tab/>
        <w:t>54A(1)</w:t>
      </w:r>
    </w:p>
    <w:p>
      <w:pPr>
        <w:pStyle w:val="DefinedTerms"/>
      </w:pPr>
      <w:r>
        <w:t>prescribed period</w:t>
      </w:r>
      <w:r>
        <w:tab/>
        <w:t>61(1)</w:t>
      </w:r>
    </w:p>
    <w:p>
      <w:pPr>
        <w:pStyle w:val="DefinedTerms"/>
      </w:pPr>
      <w:r>
        <w:t>prescribed provision</w:t>
      </w:r>
      <w:r>
        <w:tab/>
        <w:t>45(1)</w:t>
      </w:r>
    </w:p>
    <w:p>
      <w:pPr>
        <w:pStyle w:val="DefinedTerms"/>
      </w:pPr>
      <w:r>
        <w:t>public authority</w:t>
      </w:r>
      <w:r>
        <w:tab/>
        <w:t>40(1)</w:t>
      </w:r>
    </w:p>
    <w:p>
      <w:pPr>
        <w:pStyle w:val="DefinedTerms"/>
      </w:pPr>
      <w:r>
        <w:t>Regional Power Corporation</w:t>
      </w:r>
      <w:r>
        <w:tab/>
        <w:t>3(1)</w:t>
      </w:r>
    </w:p>
    <w:p>
      <w:pPr>
        <w:pStyle w:val="DefinedTerms"/>
      </w:pPr>
      <w:r>
        <w:t>registration</w:t>
      </w:r>
      <w:r>
        <w:tab/>
        <w:t>3(1)</w:t>
      </w:r>
    </w:p>
    <w:p>
      <w:pPr>
        <w:pStyle w:val="DefinedTerms"/>
      </w:pPr>
      <w:r>
        <w:t>registration framework</w:t>
      </w:r>
      <w:r>
        <w:tab/>
        <w:t>59B</w:t>
      </w:r>
    </w:p>
    <w:p>
      <w:pPr>
        <w:pStyle w:val="DefinedTerms"/>
      </w:pPr>
      <w:r>
        <w:t>registration holder</w:t>
      </w:r>
      <w:r>
        <w:tab/>
        <w:t>3(1)</w:t>
      </w:r>
    </w:p>
    <w:p>
      <w:pPr>
        <w:pStyle w:val="DefinedTerms"/>
      </w:pPr>
      <w:r>
        <w:t>regulated retail tariffs</w:t>
      </w:r>
      <w:r>
        <w:tab/>
        <w:t>129B</w:t>
      </w:r>
    </w:p>
    <w:p>
      <w:pPr>
        <w:pStyle w:val="DefinedTerms"/>
      </w:pPr>
      <w:r>
        <w:t>relevant contract</w:t>
      </w:r>
      <w:r>
        <w:tab/>
        <w:t>54A(1)</w:t>
      </w:r>
    </w:p>
    <w:p>
      <w:pPr>
        <w:pStyle w:val="DefinedTerms"/>
      </w:pPr>
      <w:r>
        <w:t>relevant corporation</w:t>
      </w:r>
      <w:r>
        <w:tab/>
        <w:t>45(5)</w:t>
      </w:r>
    </w:p>
    <w:p>
      <w:pPr>
        <w:pStyle w:val="DefinedTerms"/>
      </w:pPr>
      <w:r>
        <w:t>relevant day</w:t>
      </w:r>
      <w:r>
        <w:tab/>
        <w:t>39A(1), 54A(1)</w:t>
      </w:r>
    </w:p>
    <w:p>
      <w:pPr>
        <w:pStyle w:val="DefinedTerms"/>
      </w:pPr>
      <w:r>
        <w:t>relevant interest</w:t>
      </w:r>
      <w:r>
        <w:tab/>
        <w:t>40(1)</w:t>
      </w:r>
    </w:p>
    <w:p>
      <w:pPr>
        <w:pStyle w:val="DefinedTerms"/>
      </w:pPr>
      <w:r>
        <w:t>retail licence</w:t>
      </w:r>
      <w:r>
        <w:tab/>
        <w:t>3(1), 67</w:t>
      </w:r>
    </w:p>
    <w:p>
      <w:pPr>
        <w:pStyle w:val="DefinedTerms"/>
      </w:pPr>
      <w:r>
        <w:t>retail licensee</w:t>
      </w:r>
      <w:r>
        <w:tab/>
        <w:t>47</w:t>
      </w:r>
    </w:p>
    <w:p>
      <w:pPr>
        <w:pStyle w:val="DefinedTerms"/>
      </w:pPr>
      <w:r>
        <w:t>reviewable decision</w:t>
      </w:r>
      <w:r>
        <w:tab/>
        <w:t>59B, 59U(1)</w:t>
      </w:r>
    </w:p>
    <w:p>
      <w:pPr>
        <w:pStyle w:val="DefinedTerms"/>
      </w:pPr>
      <w:r>
        <w:t>RPC standards</w:t>
      </w:r>
      <w:r>
        <w:tab/>
        <w:t>39A(1)</w:t>
      </w:r>
    </w:p>
    <w:p>
      <w:pPr>
        <w:pStyle w:val="DefinedTerms"/>
      </w:pPr>
      <w:r>
        <w:t>services</w:t>
      </w:r>
      <w:r>
        <w:tab/>
        <w:t>3(1)</w:t>
      </w:r>
    </w:p>
    <w:p>
      <w:pPr>
        <w:pStyle w:val="DefinedTerms"/>
      </w:pPr>
      <w:r>
        <w:t>service standards</w:t>
      </w:r>
      <w:r>
        <w:tab/>
        <w:t>39A(1), 129D(4), 129N(5)</w:t>
      </w:r>
    </w:p>
    <w:p>
      <w:pPr>
        <w:pStyle w:val="DefinedTerms"/>
      </w:pPr>
      <w:r>
        <w:t>small use customer</w:t>
      </w:r>
      <w:r>
        <w:tab/>
        <w:t>3(1)</w:t>
      </w:r>
    </w:p>
    <w:p>
      <w:pPr>
        <w:pStyle w:val="DefinedTerms"/>
      </w:pPr>
      <w:r>
        <w:t>South West interconnected system</w:t>
      </w:r>
      <w:r>
        <w:tab/>
        <w:t>3(1)</w:t>
      </w:r>
    </w:p>
    <w:p>
      <w:pPr>
        <w:pStyle w:val="DefinedTerms"/>
      </w:pPr>
      <w:r>
        <w:t>stand-alone power system</w:t>
      </w:r>
      <w:r>
        <w:tab/>
        <w:t>3(1)</w:t>
      </w:r>
    </w:p>
    <w:p>
      <w:pPr>
        <w:pStyle w:val="DefinedTerms"/>
      </w:pPr>
      <w:r>
        <w:t>standard form contract</w:t>
      </w:r>
      <w:r>
        <w:tab/>
        <w:t>3(1)</w:t>
      </w:r>
    </w:p>
    <w:p>
      <w:pPr>
        <w:pStyle w:val="DefinedTerms"/>
      </w:pPr>
      <w:r>
        <w:t>storage activity</w:t>
      </w:r>
      <w:r>
        <w:tab/>
        <w:t>3(1)</w:t>
      </w:r>
    </w:p>
    <w:p>
      <w:pPr>
        <w:pStyle w:val="DefinedTerms"/>
      </w:pPr>
      <w:r>
        <w:t>storage works</w:t>
      </w:r>
      <w:r>
        <w:tab/>
        <w:t>3(1)</w:t>
      </w:r>
    </w:p>
    <w:p>
      <w:pPr>
        <w:pStyle w:val="DefinedTerms"/>
      </w:pPr>
      <w:r>
        <w:t>subsidiary</w:t>
      </w:r>
      <w:r>
        <w:tab/>
        <w:t>3(1)</w:t>
      </w:r>
    </w:p>
    <w:p>
      <w:pPr>
        <w:pStyle w:val="DefinedTerms"/>
      </w:pPr>
      <w:r>
        <w:t>supplier of last resort</w:t>
      </w:r>
      <w:r>
        <w:tab/>
        <w:t>67, 69(1)</w:t>
      </w:r>
    </w:p>
    <w:p>
      <w:pPr>
        <w:pStyle w:val="DefinedTerms"/>
      </w:pPr>
      <w:r>
        <w:t>supply</w:t>
      </w:r>
      <w:r>
        <w:tab/>
        <w:t>3(1)</w:t>
      </w:r>
    </w:p>
    <w:p>
      <w:pPr>
        <w:pStyle w:val="DefinedTerms"/>
      </w:pPr>
      <w:r>
        <w:t>system</w:t>
      </w:r>
      <w:r>
        <w:tab/>
        <w:t>60</w:t>
      </w:r>
    </w:p>
    <w:p>
      <w:pPr>
        <w:pStyle w:val="DefinedTerms"/>
      </w:pPr>
      <w:r>
        <w:t>system management participant</w:t>
      </w:r>
      <w:r>
        <w:tab/>
        <w:t>126(1)</w:t>
      </w:r>
    </w:p>
    <w:p>
      <w:pPr>
        <w:pStyle w:val="DefinedTerms"/>
      </w:pPr>
      <w:r>
        <w:t>tariff customers</w:t>
      </w:r>
      <w:r>
        <w:tab/>
        <w:t>Sch. 1 cl. 1</w:t>
      </w:r>
    </w:p>
    <w:p>
      <w:pPr>
        <w:pStyle w:val="DefinedTerms"/>
      </w:pPr>
      <w:r>
        <w:t>Tariff Equalisation Account</w:t>
      </w:r>
      <w:r>
        <w:tab/>
        <w:t>129B</w:t>
      </w:r>
    </w:p>
    <w:p>
      <w:pPr>
        <w:pStyle w:val="DefinedTerms"/>
      </w:pPr>
      <w:r>
        <w:t>tariff equalisation contribution</w:t>
      </w:r>
      <w:r>
        <w:tab/>
        <w:t>129B</w:t>
      </w:r>
    </w:p>
    <w:p>
      <w:pPr>
        <w:pStyle w:val="DefinedTerms"/>
      </w:pPr>
      <w:r>
        <w:t>temporary access contribution</w:t>
      </w:r>
      <w:r>
        <w:tab/>
        <w:t>129L</w:t>
      </w:r>
    </w:p>
    <w:p>
      <w:pPr>
        <w:pStyle w:val="DefinedTerms"/>
      </w:pPr>
      <w:r>
        <w:t>Temporary Access Contribution Account</w:t>
      </w:r>
      <w:r>
        <w:tab/>
        <w:t>129L</w:t>
      </w:r>
    </w:p>
    <w:p>
      <w:pPr>
        <w:pStyle w:val="DefinedTerms"/>
      </w:pPr>
      <w:r>
        <w:lastRenderedPageBreak/>
        <w:t>termination date</w:t>
      </w:r>
      <w:r>
        <w:tab/>
        <w:t>129L</w:t>
      </w:r>
    </w:p>
    <w:p>
      <w:pPr>
        <w:pStyle w:val="DefinedTerms"/>
      </w:pPr>
      <w:r>
        <w:t>total annual volume</w:t>
      </w:r>
      <w:r>
        <w:tab/>
        <w:t>129L</w:t>
      </w:r>
    </w:p>
    <w:p>
      <w:pPr>
        <w:pStyle w:val="DefinedTerms"/>
      </w:pPr>
      <w:r>
        <w:t>transmission licence</w:t>
      </w:r>
      <w:r>
        <w:tab/>
        <w:t>3(1)</w:t>
      </w:r>
    </w:p>
    <w:p>
      <w:pPr>
        <w:pStyle w:val="DefinedTerms"/>
      </w:pPr>
      <w:r>
        <w:t>transmission system</w:t>
      </w:r>
      <w:r>
        <w:tab/>
        <w:t>3(1)</w:t>
      </w:r>
    </w:p>
    <w:p>
      <w:pPr>
        <w:pStyle w:val="DefinedTerms"/>
      </w:pPr>
      <w:r>
        <w:t>user</w:t>
      </w:r>
      <w:r>
        <w:tab/>
        <w:t>129B, 129F(5), 129L</w:t>
      </w:r>
    </w:p>
    <w:p>
      <w:pPr>
        <w:pStyle w:val="DefinedTerms"/>
      </w:pPr>
      <w:r>
        <w:t>Western Power Corporation</w:t>
      </w:r>
      <w:r>
        <w:tab/>
        <w:t>46(1)</w:t>
      </w:r>
    </w:p>
    <w:p/>
    <w:p>
      <w:pPr>
        <w:sectPr>
          <w:headerReference w:type="even" r:id="rId31"/>
          <w:headerReference w:type="default" r:id="rId32"/>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ECF2F5A"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1B908D00" w14:textId="4C2F5C0A" w:rsidR="00CA32DF" w:rsidRDefault="00A5052D">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083D0A">
                        <w:rPr>
                          <w:sz w:val="16"/>
                        </w:rPr>
                        <w:t>2024</w:t>
                      </w:r>
                      <w:r>
                        <w:rPr>
                          <w:sz w:val="16"/>
                        </w:rPr>
                        <w:fldChar w:fldCharType="end"/>
                      </w:r>
                      <w:r>
                        <w:rPr>
                          <w:sz w:val="16"/>
                        </w:rPr>
                        <w:t>.</w:t>
                      </w:r>
                    </w:p>
                    <w:p w14:paraId="137E04D5" w14:textId="77777777" w:rsidR="00CA32DF" w:rsidRDefault="00A5052D">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48C0BF6" w14:textId="7BEBAD08" w:rsidR="00CA32DF" w:rsidRDefault="00A5052D">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083D0A">
                        <w:rPr>
                          <w:sz w:val="16"/>
                        </w:rPr>
                        <w:t>2024</w:t>
                      </w:r>
                      <w:r>
                        <w:rPr>
                          <w:sz w:val="16"/>
                        </w:rPr>
                        <w:fldChar w:fldCharType="end"/>
                      </w:r>
                      <w:r>
                        <w:rPr>
                          <w:sz w:val="16"/>
                        </w:rPr>
                        <w:t>.</w:t>
                      </w:r>
                    </w:p>
                    <w:p w14:paraId="6BB3B920" w14:textId="77777777" w:rsidR="00CA32DF" w:rsidRDefault="00A5052D">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Electricity Industry Act 2004</w:t>
              </w:r>
            </w:fldSimple>
          </w:p>
        </w:tc>
      </w:tr>
      <w:tr>
        <w:tc>
          <w:tcPr>
            <w:tcW w:w="1548" w:type="dxa"/>
          </w:tcPr>
          <w:p>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r>
              <w:fldChar w:fldCharType="begin"/>
            </w:r>
            <w:r>
              <w:instrText xml:space="preserve"> styleref CharPartText </w:instrText>
            </w:r>
            <w:r>
              <w:fldChar w:fldCharType="end"/>
            </w:r>
          </w:p>
        </w:tc>
      </w:tr>
      <w:tr>
        <w:tc>
          <w:tcPr>
            <w:tcW w:w="1548" w:type="dxa"/>
          </w:tcPr>
          <w:p>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r>
              <w:fldChar w:fldCharType="begin"/>
            </w:r>
            <w:r>
              <w:instrText xml:space="preserve"> styleref CharDivText </w:instrText>
            </w:r>
            <w:r>
              <w:fldChar w:fldCharType="end"/>
            </w:r>
          </w:p>
        </w:tc>
      </w:tr>
      <w:tr>
        <w:trPr>
          <w:cantSplit/>
        </w:trPr>
        <w:tc>
          <w:tcPr>
            <w:tcW w:w="7263" w:type="dxa"/>
            <w:gridSpan w:val="2"/>
          </w:tcPr>
          <w:p>
            <w:pPr>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ind w:right="17"/>
            </w:pPr>
            <w:fldSimple w:instr=" STYLEREF &quot;Name of Act/Reg&quot; \* MERGEFORMAT ">
              <w:r>
                <w:rPr>
                  <w:noProof/>
                </w:rPr>
                <w:t>Electricity Industry Act 2004</w:t>
              </w:r>
            </w:fldSimple>
          </w:p>
        </w:tc>
      </w:tr>
      <w:tr>
        <w:tc>
          <w:tcPr>
            <w:tcW w:w="5715" w:type="dxa"/>
          </w:tcPr>
          <w:p>
            <w:r>
              <w:fldChar w:fldCharType="begin"/>
            </w:r>
            <w:r>
              <w:instrText xml:space="preserve"> styleref CharPartText </w:instrText>
            </w:r>
            <w:r>
              <w:fldChar w:fldCharType="end"/>
            </w:r>
          </w:p>
        </w:tc>
        <w:tc>
          <w:tcPr>
            <w:tcW w:w="1548" w:type="dxa"/>
          </w:tcPr>
          <w:p>
            <w:pPr>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r>
              <w:fldChar w:fldCharType="begin"/>
            </w:r>
            <w:r>
              <w:instrText xml:space="preserve"> styleref CharDivText </w:instrText>
            </w:r>
            <w:r>
              <w:fldChar w:fldCharType="end"/>
            </w:r>
          </w:p>
        </w:tc>
        <w:tc>
          <w:tcPr>
            <w:tcW w:w="1548" w:type="dxa"/>
          </w:tcPr>
          <w:p>
            <w:pPr>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tabs>
          <w:tab w:val="right" w:pos="5669"/>
          <w:tab w:val="right" w:pos="7087"/>
        </w:tabs>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Electricity Industry Act 2004</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Electricity Industry Act 2004</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Apr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03-d0-02</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Apr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03-d0-02</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Apr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03-d0-02</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Apr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03-d0-02</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Apr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03-d0-02</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Apr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03-d0-02</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Objectives to be met by the electricity ombudsman scheme</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Objectives to be met by the electricity ombudsman scheme</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665" w:name="Compilation"/>
    <w:bookmarkEnd w:id="665"/>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68" w:name="DefinedTerms"/>
    <w:bookmarkEnd w:id="668"/>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69" w:name="Coversheet"/>
    <w:bookmarkEnd w:id="66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9229E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84B5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1DE65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86C59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7C64D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72E2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5EC8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30644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2A457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1C16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FD0A28C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6553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419130737"/>
    <w:docVar w:name="WAFER_20131218143854" w:val="RemoveTocBookmarks,RemoveUnusedBookmarks,RemoveLanguageTags,UsedStyles,ResetPageSize,UpdateArrangement"/>
    <w:docVar w:name="WAFER_20131218143854_GUID" w:val="5317335d-3404-4977-af35-6e2c3cefb4d4"/>
    <w:docVar w:name="WAFER_20131231111018" w:val="RemoveTocBookmarks,RemoveUnusedBookmarks,RemoveLanguageTags,UsedStyles,ResetPageSize,UpdateArrangement"/>
    <w:docVar w:name="WAFER_20131231111018_GUID" w:val="0f53b1ed-b1a3-4ca5-abcd-047600b63396"/>
    <w:docVar w:name="WAFER_20131231133822" w:val="RemoveTocBookmarks,RunningHeaders"/>
    <w:docVar w:name="WAFER_20131231133822_GUID" w:val="e8a9b990-cc25-40a7-82e7-9e69e79d59f4"/>
    <w:docVar w:name="WAFER_20150414134932" w:val="ResetPageSize,UpdateArrangement,UpdateNTable"/>
    <w:docVar w:name="WAFER_20150414134932_GUID" w:val="9a8e74f7-b0a6-407e-af89-f9cb0b159462"/>
    <w:docVar w:name="WAFER_20151102133931" w:val="UpdateStyles"/>
    <w:docVar w:name="WAFER_20151102133931_GUID" w:val="b4e99816-32ef-45b6-86ae-e264083b0c5c"/>
    <w:docVar w:name="WAFER_20151102135254" w:val="UsedStyles"/>
    <w:docVar w:name="WAFER_20151102135254_GUID" w:val="fcc875cd-2e9b-418c-a096-614ac362d255"/>
    <w:docVar w:name="WAFER_20151201104908" w:val="RemoveTrackChanges"/>
    <w:docVar w:name="WAFER_20151201104908_GUID" w:val="e74d99b4-e59f-494f-8430-1c706341cc0e"/>
    <w:docVar w:name="WAFER_20180219102039" w:val="RemoveTocBookmarks,RemoveUnusedBookmarks,RemoveLanguageTags,UsedStyles,ResetPageSize,RemoveCustomizations"/>
    <w:docVar w:name="WAFER_20180219102039_GUID" w:val="ccdfc063-2b48-4105-8bbe-83047cbf8941"/>
    <w:docVar w:name="WAFER_202004071349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134941_GUID" w:val="219ea160-22b6-4649-9529-64c4faebed4b"/>
    <w:docVar w:name="WAFER_202403061428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306142834_GUID" w:val="0fae30df-5050-46ad-b8a2-ba7c45d9d65f"/>
    <w:docVar w:name="WAFER_202404191307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9130737_GUID" w:val="5a848b61-e050-4a54-a7a9-4d1088bbb43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5:docId w15:val="{AD6FAAA5-24F9-49BA-B4EC-36132D30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Heading5Char">
    <w:name w:val="Heading 5 Char"/>
    <w:basedOn w:val="DefaultParagraphFont"/>
    <w:link w:val="Heading5"/>
    <w:rPr>
      <w:b/>
      <w:sz w:val="24"/>
    </w:rPr>
  </w:style>
  <w:style w:type="character" w:customStyle="1" w:styleId="CommentTextChar">
    <w:name w:val="Comment Text Char"/>
    <w:basedOn w:val="DefaultParagraphFont"/>
    <w:link w:val="CommentText"/>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85C2A-12DB-4385-A9F8-CA2DADA4C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45247</Words>
  <Characters>227597</Characters>
  <Application>Microsoft Office Word</Application>
  <DocSecurity>0</DocSecurity>
  <Lines>6151</Lines>
  <Paragraphs>3737</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269107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2004 - 03-d0-02</dc:title>
  <dc:subject/>
  <dc:creator/>
  <cp:keywords/>
  <dc:description/>
  <cp:lastModifiedBy>Master Repository Process</cp:lastModifiedBy>
  <cp:revision>4</cp:revision>
  <cp:lastPrinted>2018-02-19T02:32:00Z</cp:lastPrinted>
  <dcterms:created xsi:type="dcterms:W3CDTF">2025-06-18T07:35:00Z</dcterms:created>
  <dcterms:modified xsi:type="dcterms:W3CDTF">2025-06-18T07:36:00Z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DocumentType">
    <vt:lpwstr>Act</vt:lpwstr>
  </property>
  <property fmtid="{D5CDD505-2E9C-101B-9397-08002B2CF9AE}" pid="4" name="OwlsUID">
    <vt:i4>7017</vt:i4>
  </property>
  <property fmtid="{D5CDD505-2E9C-101B-9397-08002B2CF9AE}" pid="5" name="ThisVersion">
    <vt:lpwstr>02-f0-00</vt:lpwstr>
  </property>
  <property fmtid="{D5CDD505-2E9C-101B-9397-08002B2CF9AE}" pid="6" name="ReprintedAsAt">
    <vt:filetime>2018-03-28T16:00:00Z</vt:filetime>
  </property>
  <property fmtid="{D5CDD505-2E9C-101B-9397-08002B2CF9AE}" pid="7" name="ReprintNo">
    <vt:lpwstr>3</vt:lpwstr>
  </property>
  <property fmtid="{D5CDD505-2E9C-101B-9397-08002B2CF9AE}" pid="8" name="AsAtDate">
    <vt:lpwstr>23 Apr 2024</vt:lpwstr>
  </property>
  <property fmtid="{D5CDD505-2E9C-101B-9397-08002B2CF9AE}" pid="9" name="Suffix">
    <vt:lpwstr>03-d0-02</vt:lpwstr>
  </property>
  <property fmtid="{D5CDD505-2E9C-101B-9397-08002B2CF9AE}" pid="10" name="Official">
    <vt:lpwstr/>
  </property>
  <property fmtid="{D5CDD505-2E9C-101B-9397-08002B2CF9AE}" pid="11" name="CommencementDate">
    <vt:lpwstr>20240423</vt:lpwstr>
  </property>
  <property fmtid="{D5CDD505-2E9C-101B-9397-08002B2CF9AE}" pid="12" name="CommencementAsAt">
    <vt:filetime>2024-04-22T16:00:00Z</vt:filetime>
  </property>
  <property fmtid="{D5CDD505-2E9C-101B-9397-08002B2CF9AE}" pid="13" name="CommencementYear">
    <vt:lpwstr>2024</vt:lpwstr>
  </property>
</Properties>
</file>