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Tenancies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_Toc164757226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_Toc164757227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_Toc164757228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Position of Crown</w:t>
      </w:r>
      <w:r>
        <w:tab/>
      </w:r>
      <w:r>
        <w:fldChar w:fldCharType="begin"/>
      </w:r>
      <w:r>
        <w:instrText xml:space="preserve"> PAGEREF _Toc164757229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_Toc164757230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Modification of application of Act by regulation</w:t>
      </w:r>
      <w:r>
        <w:tab/>
      </w:r>
      <w:r>
        <w:fldChar w:fldCharType="begin"/>
      </w:r>
      <w:r>
        <w:instrText xml:space="preserve"> PAGEREF _Toc164757231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rPr>
          <w:bCs/>
        </w:rPr>
        <w:t>Transitional provisions relating to commencement of this Act</w:t>
      </w:r>
      <w:r>
        <w:tab/>
      </w:r>
      <w:r>
        <w:fldChar w:fldCharType="begin"/>
      </w:r>
      <w:r>
        <w:instrText xml:space="preserve"> PAGEREF _Toc164757232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_Toc164757234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_Toc164757235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_Toc164757236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Commissioner</w:t>
      </w:r>
      <w:r>
        <w:tab/>
      </w:r>
      <w:r>
        <w:fldChar w:fldCharType="begin"/>
      </w:r>
      <w:r>
        <w:instrText xml:space="preserve"> PAGEREF _Toc164757237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officers</w:t>
      </w:r>
      <w:r>
        <w:tab/>
      </w:r>
      <w:r>
        <w:fldChar w:fldCharType="begin"/>
      </w:r>
      <w:r>
        <w:instrText xml:space="preserve"> PAGEREF _Toc164757238 \h </w:instrText>
      </w:r>
      <w:r>
        <w:fldChar w:fldCharType="separate"/>
      </w:r>
      <w:r>
        <w:t>14</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_Toc164757239 \h </w:instrText>
      </w:r>
      <w:r>
        <w:fldChar w:fldCharType="separate"/>
      </w:r>
      <w:r>
        <w:t>15</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_Toc164757240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 — Determination of disputes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_Toc164757242 \h </w:instrText>
      </w:r>
      <w:r>
        <w:fldChar w:fldCharType="separate"/>
      </w:r>
      <w:r>
        <w:t>16</w:t>
      </w:r>
      <w:r>
        <w:fldChar w:fldCharType="end"/>
      </w:r>
    </w:p>
    <w:p>
      <w:pPr>
        <w:pStyle w:val="TOC8"/>
        <w:rPr>
          <w:rFonts w:asciiTheme="minorHAnsi" w:eastAsiaTheme="minorEastAsia" w:hAnsiTheme="minorHAnsi" w:cstheme="minorBidi"/>
          <w:szCs w:val="22"/>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_Toc164757243 \h </w:instrText>
      </w:r>
      <w:r>
        <w:fldChar w:fldCharType="separate"/>
      </w:r>
      <w:r>
        <w:t>16</w:t>
      </w:r>
      <w:r>
        <w:fldChar w:fldCharType="end"/>
      </w:r>
    </w:p>
    <w:p>
      <w:pPr>
        <w:pStyle w:val="TOC8"/>
        <w:rPr>
          <w:rFonts w:asciiTheme="minorHAnsi" w:eastAsiaTheme="minorEastAsia" w:hAnsiTheme="minorHAnsi" w:cstheme="minorBidi"/>
          <w:szCs w:val="22"/>
        </w:rPr>
      </w:pPr>
      <w:r>
        <w:t>13.</w:t>
      </w:r>
      <w:r>
        <w:tab/>
        <w:t>Jurisdiction over other disputes</w:t>
      </w:r>
      <w:r>
        <w:tab/>
      </w:r>
      <w:r>
        <w:fldChar w:fldCharType="begin"/>
      </w:r>
      <w:r>
        <w:instrText xml:space="preserve"> PAGEREF _Toc164757244 \h </w:instrText>
      </w:r>
      <w:r>
        <w:fldChar w:fldCharType="separate"/>
      </w:r>
      <w:r>
        <w:t>16</w:t>
      </w:r>
      <w:r>
        <w:fldChar w:fldCharType="end"/>
      </w:r>
    </w:p>
    <w:p>
      <w:pPr>
        <w:pStyle w:val="TOC8"/>
        <w:rPr>
          <w:rFonts w:asciiTheme="minorHAnsi" w:eastAsiaTheme="minorEastAsia" w:hAnsiTheme="minorHAnsi" w:cstheme="minorBidi"/>
          <w:szCs w:val="22"/>
        </w:rPr>
      </w:pPr>
      <w:r>
        <w:t>13A.</w:t>
      </w:r>
      <w:r>
        <w:tab/>
      </w:r>
      <w:r>
        <w:rPr>
          <w:snapToGrid w:val="0"/>
        </w:rPr>
        <w:t>Magistrates</w:t>
      </w:r>
      <w:r>
        <w:t xml:space="preserve"> Court’s jurisdiction</w:t>
      </w:r>
      <w:r>
        <w:tab/>
      </w:r>
      <w:r>
        <w:fldChar w:fldCharType="begin"/>
      </w:r>
      <w:r>
        <w:instrText xml:space="preserve"> PAGEREF _Toc164757245 \h </w:instrText>
      </w:r>
      <w:r>
        <w:fldChar w:fldCharType="separate"/>
      </w:r>
      <w:r>
        <w:t>17</w:t>
      </w:r>
      <w:r>
        <w:fldChar w:fldCharType="end"/>
      </w:r>
    </w:p>
    <w:p>
      <w:pPr>
        <w:pStyle w:val="TOC8"/>
        <w:rPr>
          <w:rFonts w:asciiTheme="minorHAnsi" w:eastAsiaTheme="minorEastAsia" w:hAnsiTheme="minorHAnsi" w:cstheme="minorBidi"/>
          <w:szCs w:val="22"/>
        </w:rPr>
      </w:pPr>
      <w:r>
        <w:t>13B.</w:t>
      </w:r>
      <w:r>
        <w:tab/>
        <w:t>Appeals from decisions of registrar</w:t>
      </w:r>
      <w:r>
        <w:tab/>
      </w:r>
      <w:r>
        <w:fldChar w:fldCharType="begin"/>
      </w:r>
      <w:r>
        <w:instrText xml:space="preserve"> PAGEREF _Toc164757246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Time for determination of proceedings</w:t>
      </w:r>
      <w:r>
        <w:tab/>
      </w:r>
      <w:r>
        <w:fldChar w:fldCharType="begin"/>
      </w:r>
      <w:r>
        <w:instrText xml:space="preserve"> PAGEREF _Toc164757247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Applications for relief and orders that may be made</w:t>
      </w:r>
      <w:r>
        <w:tab/>
      </w:r>
      <w:r>
        <w:fldChar w:fldCharType="begin"/>
      </w:r>
      <w:r>
        <w:instrText xml:space="preserve"> PAGEREF _Toc164757248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_Toc164757249 \h </w:instrText>
      </w:r>
      <w:r>
        <w:fldChar w:fldCharType="separate"/>
      </w:r>
      <w:r>
        <w:t>20</w:t>
      </w:r>
      <w:r>
        <w:fldChar w:fldCharType="end"/>
      </w:r>
    </w:p>
    <w:p>
      <w:pPr>
        <w:pStyle w:val="TOC8"/>
        <w:rPr>
          <w:rFonts w:asciiTheme="minorHAnsi" w:eastAsiaTheme="minorEastAsia" w:hAnsiTheme="minorHAnsi" w:cstheme="minorBidi"/>
          <w:szCs w:val="22"/>
        </w:rPr>
      </w:pPr>
      <w:r>
        <w:t>17A.</w:t>
      </w:r>
      <w:r>
        <w:tab/>
        <w:t>Disputes between tenants</w:t>
      </w:r>
      <w:r>
        <w:tab/>
      </w:r>
      <w:r>
        <w:fldChar w:fldCharType="begin"/>
      </w:r>
      <w:r>
        <w:instrText xml:space="preserve"> PAGEREF _Toc164757250 \h </w:instrText>
      </w:r>
      <w:r>
        <w:fldChar w:fldCharType="separate"/>
      </w:r>
      <w:r>
        <w:t>20</w:t>
      </w:r>
      <w:r>
        <w:fldChar w:fldCharType="end"/>
      </w:r>
    </w:p>
    <w:p>
      <w:pPr>
        <w:pStyle w:val="TOC8"/>
        <w:rPr>
          <w:rFonts w:asciiTheme="minorHAnsi" w:eastAsiaTheme="minorEastAsia" w:hAnsiTheme="minorHAnsi" w:cstheme="minorBidi"/>
          <w:szCs w:val="22"/>
        </w:rPr>
      </w:pPr>
      <w:r>
        <w:t>17B.</w:t>
      </w:r>
      <w:r>
        <w:tab/>
        <w:t>Determination of rights and liabilities after termination of tenant’s interest on grounds of family violence</w:t>
      </w:r>
      <w:r>
        <w:tab/>
      </w:r>
      <w:r>
        <w:fldChar w:fldCharType="begin"/>
      </w:r>
      <w:r>
        <w:instrText xml:space="preserve"> PAGEREF _Toc164757251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to vary or set aside order</w:t>
      </w:r>
      <w:r>
        <w:tab/>
      </w:r>
      <w:r>
        <w:fldChar w:fldCharType="begin"/>
      </w:r>
      <w:r>
        <w:instrText xml:space="preserve"> PAGEREF _Toc164757252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applications and notice of hearing</w:t>
      </w:r>
      <w:r>
        <w:tab/>
      </w:r>
      <w:r>
        <w:fldChar w:fldCharType="begin"/>
      </w:r>
      <w:r>
        <w:instrText xml:space="preserve"> PAGEREF _Toc164757253 \h </w:instrText>
      </w:r>
      <w:r>
        <w:fldChar w:fldCharType="separate"/>
      </w:r>
      <w:r>
        <w:t>23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Witnesses and inspection of documents</w:t>
      </w:r>
      <w:r>
        <w:tab/>
      </w:r>
      <w:r>
        <w:fldChar w:fldCharType="begin"/>
      </w:r>
      <w:r>
        <w:instrText xml:space="preserve"> PAGEREF _Toc164757254 \h </w:instrText>
      </w:r>
      <w:r>
        <w:fldChar w:fldCharType="separate"/>
      </w:r>
      <w:r>
        <w:t>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General powers in proceedings</w:t>
      </w:r>
      <w:r>
        <w:tab/>
      </w:r>
      <w:r>
        <w:fldChar w:fldCharType="begin"/>
      </w:r>
      <w:r>
        <w:instrText xml:space="preserve"> PAGEREF _Toc164757255 \h </w:instrText>
      </w:r>
      <w:r>
        <w:fldChar w:fldCharType="separate"/>
      </w:r>
      <w:r>
        <w:t>24</w:t>
      </w:r>
      <w:r>
        <w:fldChar w:fldCharType="end"/>
      </w:r>
    </w:p>
    <w:p>
      <w:pPr>
        <w:pStyle w:val="TOC8"/>
        <w:rPr>
          <w:rFonts w:asciiTheme="minorHAnsi" w:eastAsiaTheme="minorEastAsia" w:hAnsiTheme="minorHAnsi" w:cstheme="minorBidi"/>
          <w:szCs w:val="22"/>
        </w:rPr>
      </w:pPr>
      <w:r>
        <w:t>21.</w:t>
      </w:r>
      <w:r>
        <w:tab/>
        <w:t>Evidence</w:t>
      </w:r>
      <w:r>
        <w:tab/>
      </w:r>
      <w:r>
        <w:fldChar w:fldCharType="begin"/>
      </w:r>
      <w:r>
        <w:instrText xml:space="preserve"> PAGEREF _Toc164757256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Presentation of cases</w:t>
      </w:r>
      <w:r>
        <w:tab/>
      </w:r>
      <w:r>
        <w:fldChar w:fldCharType="begin"/>
      </w:r>
      <w:r>
        <w:instrText xml:space="preserve"> PAGEREF _Toc164757257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Settlement by conciliation</w:t>
      </w:r>
      <w:r>
        <w:tab/>
      </w:r>
      <w:r>
        <w:fldChar w:fldCharType="begin"/>
      </w:r>
      <w:r>
        <w:instrText xml:space="preserve"> PAGEREF _Toc164757258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_Toc164757259 \h </w:instrText>
      </w:r>
      <w:r>
        <w:fldChar w:fldCharType="separate"/>
      </w:r>
      <w:r>
        <w:t>29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Reservation of question of law</w:t>
      </w:r>
      <w:r>
        <w:tab/>
      </w:r>
      <w:r>
        <w:fldChar w:fldCharType="begin"/>
      </w:r>
      <w:r>
        <w:instrText xml:space="preserve"> PAGEREF _Toc164757260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Finality of proceedings</w:t>
      </w:r>
      <w:r>
        <w:tab/>
      </w:r>
      <w:r>
        <w:fldChar w:fldCharType="begin"/>
      </w:r>
      <w:r>
        <w:instrText xml:space="preserve"> PAGEREF _Toc164757261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IV — Residential tenancy agreements</w:t>
      </w:r>
    </w:p>
    <w:p>
      <w:pPr>
        <w:pStyle w:val="TOC4"/>
        <w:tabs>
          <w:tab w:val="right" w:leader="dot" w:pos="7077"/>
        </w:tabs>
        <w:rPr>
          <w:rFonts w:asciiTheme="minorHAnsi" w:eastAsiaTheme="minorEastAsia" w:hAnsiTheme="minorHAnsi" w:cstheme="minorBidi"/>
          <w:b w:val="0"/>
          <w:szCs w:val="22"/>
        </w:rPr>
      </w:pPr>
      <w:r>
        <w:t>Division 1A — Form of residential tenancy agreement and associated documents</w:t>
      </w:r>
    </w:p>
    <w:p>
      <w:pPr>
        <w:pStyle w:val="TOC8"/>
        <w:rPr>
          <w:rFonts w:asciiTheme="minorHAnsi" w:eastAsiaTheme="minorEastAsia" w:hAnsiTheme="minorHAnsi" w:cstheme="minorBidi"/>
          <w:szCs w:val="22"/>
        </w:rPr>
      </w:pPr>
      <w:r>
        <w:t>27A.</w:t>
      </w:r>
      <w:r>
        <w:tab/>
        <w:t>Written residential tenancy agreement to be in prescribed form</w:t>
      </w:r>
      <w:r>
        <w:tab/>
      </w:r>
      <w:r>
        <w:fldChar w:fldCharType="begin"/>
      </w:r>
      <w:r>
        <w:instrText xml:space="preserve"> PAGEREF _Toc164757264 \h </w:instrText>
      </w:r>
      <w:r>
        <w:fldChar w:fldCharType="separate"/>
      </w:r>
      <w:r>
        <w:t>31</w:t>
      </w:r>
      <w:r>
        <w:fldChar w:fldCharType="end"/>
      </w:r>
    </w:p>
    <w:p>
      <w:pPr>
        <w:pStyle w:val="TOC8"/>
        <w:rPr>
          <w:rFonts w:asciiTheme="minorHAnsi" w:eastAsiaTheme="minorEastAsia" w:hAnsiTheme="minorHAnsi" w:cstheme="minorBidi"/>
          <w:szCs w:val="22"/>
        </w:rPr>
      </w:pPr>
      <w:r>
        <w:t>27B.</w:t>
      </w:r>
      <w:r>
        <w:tab/>
        <w:t>Information to be given to tenant by lessor</w:t>
      </w:r>
      <w:r>
        <w:tab/>
      </w:r>
      <w:r>
        <w:fldChar w:fldCharType="begin"/>
      </w:r>
      <w:r>
        <w:instrText xml:space="preserve"> PAGEREF _Toc164757265 \h </w:instrText>
      </w:r>
      <w:r>
        <w:fldChar w:fldCharType="separate"/>
      </w:r>
      <w:r>
        <w:t>31</w:t>
      </w:r>
      <w:r>
        <w:fldChar w:fldCharType="end"/>
      </w:r>
    </w:p>
    <w:p>
      <w:pPr>
        <w:pStyle w:val="TOC8"/>
        <w:rPr>
          <w:rFonts w:asciiTheme="minorHAnsi" w:eastAsiaTheme="minorEastAsia" w:hAnsiTheme="minorHAnsi" w:cstheme="minorBidi"/>
          <w:szCs w:val="22"/>
        </w:rPr>
      </w:pPr>
      <w:r>
        <w:t>27C.</w:t>
      </w:r>
      <w:r>
        <w:tab/>
      </w:r>
      <w:r>
        <w:rPr>
          <w:snapToGrid w:val="0"/>
        </w:rPr>
        <w:t>Property condition report at start and end of tenancy</w:t>
      </w:r>
      <w:r>
        <w:tab/>
      </w:r>
      <w:r>
        <w:fldChar w:fldCharType="begin"/>
      </w:r>
      <w:r>
        <w:instrText xml:space="preserve"> PAGEREF _Toc164757266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Rent and security bonds</w:t>
      </w:r>
    </w:p>
    <w:p>
      <w:pPr>
        <w:pStyle w:val="TOC8"/>
        <w:rPr>
          <w:rFonts w:asciiTheme="minorHAnsi" w:eastAsiaTheme="minorEastAsia" w:hAnsiTheme="minorHAnsi" w:cstheme="minorBidi"/>
          <w:szCs w:val="22"/>
        </w:rPr>
      </w:pPr>
      <w:r>
        <w:t>27</w:t>
      </w:r>
      <w:r>
        <w:rPr>
          <w:snapToGrid w:val="0"/>
        </w:rPr>
        <w:t>.</w:t>
      </w:r>
      <w:r>
        <w:rPr>
          <w:snapToGrid w:val="0"/>
        </w:rPr>
        <w:tab/>
        <w:t>Restriction on consideration for tenancy agreement</w:t>
      </w:r>
      <w:r>
        <w:tab/>
      </w:r>
      <w:r>
        <w:fldChar w:fldCharType="begin"/>
      </w:r>
      <w:r>
        <w:instrText xml:space="preserve"> PAGEREF _Toc164757268 \h </w:instrText>
      </w:r>
      <w:r>
        <w:fldChar w:fldCharType="separate"/>
      </w:r>
      <w:r>
        <w:t>33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Rent in advance</w:t>
      </w:r>
      <w:r>
        <w:tab/>
      </w:r>
      <w:r>
        <w:fldChar w:fldCharType="begin"/>
      </w:r>
      <w:r>
        <w:instrText xml:space="preserve"> PAGEREF _Toc164757269 \h </w:instrText>
      </w:r>
      <w:r>
        <w:fldChar w:fldCharType="separate"/>
      </w:r>
      <w:r>
        <w:t>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Security bonds</w:t>
      </w:r>
      <w:r>
        <w:tab/>
      </w:r>
      <w:r>
        <w:fldChar w:fldCharType="begin"/>
      </w:r>
      <w:r>
        <w:instrText xml:space="preserve"> PAGEREF _Toc164757270 \h </w:instrText>
      </w:r>
      <w:r>
        <w:fldChar w:fldCharType="separate"/>
      </w:r>
      <w:r>
        <w:t>34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Variation of rent (except where calculated by reference to tenant’s income)</w:t>
      </w:r>
      <w:r>
        <w:tab/>
      </w:r>
      <w:r>
        <w:fldChar w:fldCharType="begin"/>
      </w:r>
      <w:r>
        <w:instrText xml:space="preserve"> PAGEREF _Toc164757271 \h </w:instrText>
      </w:r>
      <w:r>
        <w:fldChar w:fldCharType="separate"/>
      </w:r>
      <w:r>
        <w:t>36</w:t>
      </w:r>
      <w:r>
        <w:fldChar w:fldCharType="end"/>
      </w:r>
    </w:p>
    <w:p>
      <w:pPr>
        <w:pStyle w:val="TOC8"/>
        <w:rPr>
          <w:rFonts w:asciiTheme="minorHAnsi" w:eastAsiaTheme="minorEastAsia" w:hAnsiTheme="minorHAnsi" w:cstheme="minorBidi"/>
          <w:szCs w:val="22"/>
        </w:rPr>
      </w:pPr>
      <w:r>
        <w:t>31A.</w:t>
      </w:r>
      <w:r>
        <w:tab/>
        <w:t>Variation of rent where calculated by reference to tenant’s income</w:t>
      </w:r>
      <w:r>
        <w:tab/>
      </w:r>
      <w:r>
        <w:fldChar w:fldCharType="begin"/>
      </w:r>
      <w:r>
        <w:instrText xml:space="preserve"> PAGEREF _Toc164757272 \h </w:instrText>
      </w:r>
      <w:r>
        <w:fldChar w:fldCharType="separate"/>
      </w:r>
      <w:r>
        <w:t>37</w:t>
      </w:r>
      <w:r>
        <w:fldChar w:fldCharType="end"/>
      </w:r>
    </w:p>
    <w:p>
      <w:pPr>
        <w:pStyle w:val="TOC8"/>
        <w:rPr>
          <w:rFonts w:asciiTheme="minorHAnsi" w:eastAsiaTheme="minorEastAsia" w:hAnsiTheme="minorHAnsi" w:cstheme="minorBidi"/>
          <w:szCs w:val="22"/>
        </w:rPr>
      </w:pPr>
      <w:r>
        <w:t>31B.</w:t>
      </w:r>
      <w:r>
        <w:tab/>
        <w:t>Increase in rent after renegotiating lease</w:t>
      </w:r>
      <w:r>
        <w:tab/>
      </w:r>
      <w:r>
        <w:fldChar w:fldCharType="begin"/>
      </w:r>
      <w:r>
        <w:instrText xml:space="preserve"> PAGEREF _Toc164757273 \h </w:instrText>
      </w:r>
      <w:r>
        <w:fldChar w:fldCharType="separate"/>
      </w:r>
      <w:r>
        <w:t>38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Increase in security bond</w:t>
      </w:r>
      <w:r>
        <w:tab/>
      </w:r>
      <w:r>
        <w:fldChar w:fldCharType="begin"/>
      </w:r>
      <w:r>
        <w:instrText xml:space="preserve"> PAGEREF _Toc164757274 \h </w:instrText>
      </w:r>
      <w:r>
        <w:fldChar w:fldCharType="separate"/>
      </w:r>
      <w:r>
        <w:t>38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Limitation of excessive rents in certain circumstances</w:t>
      </w:r>
      <w:r>
        <w:tab/>
      </w:r>
      <w:r>
        <w:fldChar w:fldCharType="begin"/>
      </w:r>
      <w:r>
        <w:instrText xml:space="preserve"> PAGEREF _Toc164757275 \h </w:instrText>
      </w:r>
      <w:r>
        <w:fldChar w:fldCharType="separate"/>
      </w:r>
      <w:r>
        <w:t>39</w:t>
      </w:r>
      <w:r>
        <w:fldChar w:fldCharType="end"/>
      </w:r>
    </w:p>
    <w:p>
      <w:pPr>
        <w:pStyle w:val="TOC8"/>
        <w:rPr>
          <w:rFonts w:asciiTheme="minorHAnsi" w:eastAsiaTheme="minorEastAsia" w:hAnsiTheme="minorHAnsi" w:cstheme="minorBidi"/>
          <w:szCs w:val="22"/>
        </w:rPr>
      </w:pPr>
      <w:r>
        <w:lastRenderedPageBreak/>
        <w:t>33</w:t>
      </w:r>
      <w:r>
        <w:rPr>
          <w:snapToGrid w:val="0"/>
        </w:rPr>
        <w:t>.</w:t>
      </w:r>
      <w:r>
        <w:rPr>
          <w:snapToGrid w:val="0"/>
        </w:rPr>
        <w:tab/>
        <w:t>Duty to give receipt for rent</w:t>
      </w:r>
      <w:r>
        <w:tab/>
      </w:r>
      <w:r>
        <w:fldChar w:fldCharType="begin"/>
      </w:r>
      <w:r>
        <w:instrText xml:space="preserve"> PAGEREF _Toc164757276 \h </w:instrText>
      </w:r>
      <w:r>
        <w:fldChar w:fldCharType="separate"/>
      </w:r>
      <w:r>
        <w:t>41</w:t>
      </w:r>
      <w:r>
        <w:fldChar w:fldCharType="end"/>
      </w:r>
    </w:p>
    <w:p>
      <w:pPr>
        <w:pStyle w:val="TOC8"/>
        <w:rPr>
          <w:rFonts w:asciiTheme="minorHAnsi" w:eastAsiaTheme="minorEastAsia" w:hAnsiTheme="minorHAnsi" w:cstheme="minorBidi"/>
          <w:szCs w:val="22"/>
        </w:rPr>
      </w:pPr>
      <w:r>
        <w:t>34A.</w:t>
      </w:r>
      <w:r>
        <w:tab/>
        <w:t>Manner of payment of rent</w:t>
      </w:r>
      <w:r>
        <w:tab/>
      </w:r>
      <w:r>
        <w:fldChar w:fldCharType="begin"/>
      </w:r>
      <w:r>
        <w:instrText xml:space="preserve"> PAGEREF _Toc164757277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Proper records of rent to be kept</w:t>
      </w:r>
      <w:r>
        <w:tab/>
      </w:r>
      <w:r>
        <w:fldChar w:fldCharType="begin"/>
      </w:r>
      <w:r>
        <w:instrText xml:space="preserve"> PAGEREF _Toc164757278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_Toc164757279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Apportionment of rent</w:t>
      </w:r>
      <w:r>
        <w:tab/>
      </w:r>
      <w:r>
        <w:fldChar w:fldCharType="begin"/>
      </w:r>
      <w:r>
        <w:instrText xml:space="preserve"> PAGEREF _Toc164757280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Standard terms</w:t>
      </w:r>
    </w:p>
    <w:p>
      <w:pPr>
        <w:pStyle w:val="TOC8"/>
        <w:rPr>
          <w:rFonts w:asciiTheme="minorHAnsi" w:eastAsiaTheme="minorEastAsia" w:hAnsiTheme="minorHAnsi" w:cstheme="minorBidi"/>
          <w:szCs w:val="22"/>
        </w:rPr>
      </w:pPr>
      <w:r>
        <w:t>38</w:t>
      </w:r>
      <w:r>
        <w:rPr>
          <w:snapToGrid w:val="0"/>
        </w:rPr>
        <w:t>.</w:t>
      </w:r>
      <w:r>
        <w:rPr>
          <w:snapToGrid w:val="0"/>
        </w:rPr>
        <w:tab/>
        <w:t>Tenant’s responsibility for cleanliness and damage</w:t>
      </w:r>
      <w:r>
        <w:tab/>
      </w:r>
      <w:r>
        <w:fldChar w:fldCharType="begin"/>
      </w:r>
      <w:r>
        <w:instrText xml:space="preserve"> PAGEREF _Toc164757282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Tenant’s conduct on premises</w:t>
      </w:r>
      <w:r>
        <w:tab/>
      </w:r>
      <w:r>
        <w:fldChar w:fldCharType="begin"/>
      </w:r>
      <w:r>
        <w:instrText xml:space="preserve"> PAGEREF _Toc164757283 \h </w:instrText>
      </w:r>
      <w:r>
        <w:fldChar w:fldCharType="separate"/>
      </w:r>
      <w:r>
        <w:t>44</w:t>
      </w:r>
      <w:r>
        <w:fldChar w:fldCharType="end"/>
      </w:r>
    </w:p>
    <w:p>
      <w:pPr>
        <w:pStyle w:val="TOC8"/>
        <w:rPr>
          <w:rFonts w:asciiTheme="minorHAnsi" w:eastAsiaTheme="minorEastAsia" w:hAnsiTheme="minorHAnsi" w:cstheme="minorBidi"/>
          <w:szCs w:val="22"/>
        </w:rPr>
      </w:pPr>
      <w:r>
        <w:t>40.</w:t>
      </w:r>
      <w:r>
        <w:tab/>
        <w:t>Vacant possession</w:t>
      </w:r>
      <w:r>
        <w:tab/>
      </w:r>
      <w:r>
        <w:fldChar w:fldCharType="begin"/>
      </w:r>
      <w:r>
        <w:instrText xml:space="preserve"> PAGEREF _Toc164757284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Legal impediments to occupation as residence</w:t>
      </w:r>
      <w:r>
        <w:tab/>
      </w:r>
      <w:r>
        <w:fldChar w:fldCharType="begin"/>
      </w:r>
      <w:r>
        <w:instrText xml:space="preserve"> PAGEREF _Toc164757285 \h </w:instrText>
      </w:r>
      <w:r>
        <w:fldChar w:fldCharType="separate"/>
      </w:r>
      <w:r>
        <w:t>45</w:t>
      </w:r>
      <w:r>
        <w:fldChar w:fldCharType="end"/>
      </w:r>
    </w:p>
    <w:p>
      <w:pPr>
        <w:pStyle w:val="TOC8"/>
        <w:rPr>
          <w:rFonts w:asciiTheme="minorHAnsi" w:eastAsiaTheme="minorEastAsia" w:hAnsiTheme="minorHAnsi" w:cstheme="minorBidi"/>
          <w:szCs w:val="22"/>
        </w:rPr>
      </w:pPr>
      <w:r>
        <w:t>42.</w:t>
      </w:r>
      <w:r>
        <w:tab/>
        <w:t>Lessor’s responsibility for cleanliness and repairs</w:t>
      </w:r>
      <w:r>
        <w:tab/>
      </w:r>
      <w:r>
        <w:fldChar w:fldCharType="begin"/>
      </w:r>
      <w:r>
        <w:instrText xml:space="preserve"> PAGEREF _Toc164757286 \h </w:instrText>
      </w:r>
      <w:r>
        <w:fldChar w:fldCharType="separate"/>
      </w:r>
      <w:r>
        <w:t>45</w:t>
      </w:r>
      <w:r>
        <w:fldChar w:fldCharType="end"/>
      </w:r>
    </w:p>
    <w:p>
      <w:pPr>
        <w:pStyle w:val="TOC8"/>
        <w:rPr>
          <w:rFonts w:asciiTheme="minorHAnsi" w:eastAsiaTheme="minorEastAsia" w:hAnsiTheme="minorHAnsi" w:cstheme="minorBidi"/>
          <w:szCs w:val="22"/>
        </w:rPr>
      </w:pPr>
      <w:r>
        <w:t>43.</w:t>
      </w:r>
      <w:r>
        <w:tab/>
        <w:t>Urgent repairs</w:t>
      </w:r>
      <w:r>
        <w:tab/>
      </w:r>
      <w:r>
        <w:fldChar w:fldCharType="begin"/>
      </w:r>
      <w:r>
        <w:instrText xml:space="preserve"> PAGEREF _Toc164757287 \h </w:instrText>
      </w:r>
      <w:r>
        <w:fldChar w:fldCharType="separate"/>
      </w:r>
      <w:r>
        <w:t>46</w:t>
      </w:r>
      <w:r>
        <w:fldChar w:fldCharType="end"/>
      </w:r>
    </w:p>
    <w:p>
      <w:pPr>
        <w:pStyle w:val="TOC8"/>
        <w:rPr>
          <w:rFonts w:asciiTheme="minorHAnsi" w:eastAsiaTheme="minorEastAsia" w:hAnsiTheme="minorHAnsi" w:cstheme="minorBidi"/>
          <w:szCs w:val="22"/>
        </w:rPr>
      </w:pPr>
      <w:r>
        <w:t>44.</w:t>
      </w:r>
      <w:r>
        <w:tab/>
        <w:t>Quiet enjoyment</w:t>
      </w:r>
      <w:r>
        <w:tab/>
      </w:r>
      <w:r>
        <w:fldChar w:fldCharType="begin"/>
      </w:r>
      <w:r>
        <w:instrText xml:space="preserve"> PAGEREF _Toc164757288 \h </w:instrText>
      </w:r>
      <w:r>
        <w:fldChar w:fldCharType="separate"/>
      </w:r>
      <w:r>
        <w:t>47</w:t>
      </w:r>
      <w:r>
        <w:fldChar w:fldCharType="end"/>
      </w:r>
    </w:p>
    <w:p>
      <w:pPr>
        <w:pStyle w:val="TOC8"/>
        <w:rPr>
          <w:rFonts w:asciiTheme="minorHAnsi" w:eastAsiaTheme="minorEastAsia" w:hAnsiTheme="minorHAnsi" w:cstheme="minorBidi"/>
          <w:szCs w:val="22"/>
        </w:rPr>
      </w:pPr>
      <w:r>
        <w:t>45.</w:t>
      </w:r>
      <w:r>
        <w:tab/>
        <w:t>Securing premises</w:t>
      </w:r>
      <w:r>
        <w:tab/>
      </w:r>
      <w:r>
        <w:fldChar w:fldCharType="begin"/>
      </w:r>
      <w:r>
        <w:instrText xml:space="preserve"> PAGEREF _Toc164757289 \h </w:instrText>
      </w:r>
      <w:r>
        <w:fldChar w:fldCharType="separate"/>
      </w:r>
      <w:r>
        <w:t>48</w:t>
      </w:r>
      <w:r>
        <w:fldChar w:fldCharType="end"/>
      </w:r>
    </w:p>
    <w:p>
      <w:pPr>
        <w:pStyle w:val="TOC8"/>
        <w:rPr>
          <w:rFonts w:asciiTheme="minorHAnsi" w:eastAsiaTheme="minorEastAsia" w:hAnsiTheme="minorHAnsi" w:cstheme="minorBidi"/>
          <w:szCs w:val="22"/>
        </w:rPr>
      </w:pPr>
      <w:r>
        <w:t>46.</w:t>
      </w:r>
      <w:r>
        <w:tab/>
        <w:t>Lessor’s right of entry</w:t>
      </w:r>
      <w:r>
        <w:tab/>
      </w:r>
      <w:r>
        <w:fldChar w:fldCharType="begin"/>
      </w:r>
      <w:r>
        <w:instrText xml:space="preserve"> PAGEREF _Toc164757290 \h </w:instrText>
      </w:r>
      <w:r>
        <w:fldChar w:fldCharType="separate"/>
      </w:r>
      <w:r>
        <w:t>49</w:t>
      </w:r>
      <w:r>
        <w:fldChar w:fldCharType="end"/>
      </w:r>
    </w:p>
    <w:p>
      <w:pPr>
        <w:pStyle w:val="TOC8"/>
        <w:rPr>
          <w:rFonts w:asciiTheme="minorHAnsi" w:eastAsiaTheme="minorEastAsia" w:hAnsiTheme="minorHAnsi" w:cstheme="minorBidi"/>
          <w:szCs w:val="22"/>
        </w:rPr>
      </w:pPr>
      <w:r>
        <w:t>47.</w:t>
      </w:r>
      <w:r>
        <w:tab/>
        <w:t>Right of tenant to affix and remove fixtures etc.</w:t>
      </w:r>
      <w:r>
        <w:tab/>
      </w:r>
      <w:r>
        <w:fldChar w:fldCharType="begin"/>
      </w:r>
      <w:r>
        <w:instrText xml:space="preserve"> PAGEREF _Toc164757291 \h </w:instrText>
      </w:r>
      <w:r>
        <w:fldChar w:fldCharType="separate"/>
      </w:r>
      <w:r>
        <w:t>52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Lessor to bear outgoings in respect of premises</w:t>
      </w:r>
      <w:r>
        <w:tab/>
      </w:r>
      <w:r>
        <w:fldChar w:fldCharType="begin"/>
      </w:r>
      <w:r>
        <w:instrText xml:space="preserve"> PAGEREF _Toc164757292 \h </w:instrText>
      </w:r>
      <w:r>
        <w:fldChar w:fldCharType="separate"/>
      </w:r>
      <w:r>
        <w:t>56</w:t>
      </w:r>
      <w:r>
        <w:fldChar w:fldCharType="end"/>
      </w:r>
    </w:p>
    <w:p>
      <w:pPr>
        <w:pStyle w:val="TOC8"/>
        <w:rPr>
          <w:rFonts w:asciiTheme="minorHAnsi" w:eastAsiaTheme="minorEastAsia" w:hAnsiTheme="minorHAnsi" w:cstheme="minorBidi"/>
          <w:szCs w:val="22"/>
        </w:rPr>
      </w:pPr>
      <w:r>
        <w:t>49A.</w:t>
      </w:r>
      <w:r>
        <w:tab/>
        <w:t>Lessor’s and tenant’s responsibilities in respect of public utility services</w:t>
      </w:r>
      <w:r>
        <w:tab/>
      </w:r>
      <w:r>
        <w:fldChar w:fldCharType="begin"/>
      </w:r>
      <w:r>
        <w:instrText xml:space="preserve"> PAGEREF _Toc164757293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_Toc164757294 \h </w:instrText>
      </w:r>
      <w:r>
        <w:fldChar w:fldCharType="separate"/>
      </w:r>
      <w:r>
        <w:t>59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Vicarious responsibility of tenant for breach by other person lawfully on premises</w:t>
      </w:r>
      <w:r>
        <w:tab/>
      </w:r>
      <w:r>
        <w:fldChar w:fldCharType="begin"/>
      </w:r>
      <w:r>
        <w:instrText xml:space="preserve"> PAGEREF _Toc164757295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51.</w:t>
      </w:r>
      <w:r>
        <w:tab/>
        <w:t>Tenant to be notified of lessor’s name and address</w:t>
      </w:r>
      <w:r>
        <w:tab/>
      </w:r>
      <w:r>
        <w:fldChar w:fldCharType="begin"/>
      </w:r>
      <w:r>
        <w:instrText xml:space="preserve"> PAGEREF _Toc164757297 \h </w:instrText>
      </w:r>
      <w:r>
        <w:fldChar w:fldCharType="separate"/>
      </w:r>
      <w:r>
        <w:t>60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Failure to pay rent with intention it be recovered from security bond</w:t>
      </w:r>
      <w:r>
        <w:tab/>
      </w:r>
      <w:r>
        <w:fldChar w:fldCharType="begin"/>
      </w:r>
      <w:r>
        <w:instrText xml:space="preserve"> PAGEREF _Toc164757298 \h </w:instrText>
      </w:r>
      <w:r>
        <w:fldChar w:fldCharType="separate"/>
      </w:r>
      <w:r>
        <w:t>61</w:t>
      </w:r>
      <w:r>
        <w:fldChar w:fldCharType="end"/>
      </w:r>
    </w:p>
    <w:p>
      <w:pPr>
        <w:pStyle w:val="TOC8"/>
        <w:rPr>
          <w:rFonts w:asciiTheme="minorHAnsi" w:eastAsiaTheme="minorEastAsia" w:hAnsiTheme="minorHAnsi" w:cstheme="minorBidi"/>
          <w:szCs w:val="22"/>
        </w:rPr>
      </w:pPr>
      <w:r>
        <w:t>53.</w:t>
      </w:r>
      <w:r>
        <w:tab/>
        <w:t>Tenant’s name, place of employment and forwarding address</w:t>
      </w:r>
      <w:r>
        <w:tab/>
      </w:r>
      <w:r>
        <w:fldChar w:fldCharType="begin"/>
      </w:r>
      <w:r>
        <w:instrText xml:space="preserve"> PAGEREF _Toc164757299 \h </w:instrText>
      </w:r>
      <w:r>
        <w:fldChar w:fldCharType="separate"/>
      </w:r>
      <w:r>
        <w:t>61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Lessor to deliver copy of agreement to tenant</w:t>
      </w:r>
      <w:r>
        <w:tab/>
      </w:r>
      <w:r>
        <w:fldChar w:fldCharType="begin"/>
      </w:r>
      <w:r>
        <w:instrText xml:space="preserve"> PAGEREF _Toc164757300 \h </w:instrText>
      </w:r>
      <w:r>
        <w:fldChar w:fldCharType="separate"/>
      </w:r>
      <w:r>
        <w:t>62</w:t>
      </w:r>
      <w:r>
        <w:fldChar w:fldCharType="end"/>
      </w:r>
    </w:p>
    <w:p>
      <w:pPr>
        <w:pStyle w:val="TOC8"/>
        <w:rPr>
          <w:rFonts w:asciiTheme="minorHAnsi" w:eastAsiaTheme="minorEastAsia" w:hAnsiTheme="minorHAnsi" w:cstheme="minorBidi"/>
          <w:szCs w:val="22"/>
        </w:rPr>
      </w:pPr>
      <w:r>
        <w:t>55.</w:t>
      </w:r>
      <w:r>
        <w:tab/>
        <w:t>Cost of written agreement to be borne by lessor</w:t>
      </w:r>
      <w:r>
        <w:tab/>
      </w:r>
      <w:r>
        <w:fldChar w:fldCharType="begin"/>
      </w:r>
      <w:r>
        <w:instrText xml:space="preserve"> PAGEREF _Toc164757301 \h </w:instrText>
      </w:r>
      <w:r>
        <w:fldChar w:fldCharType="separate"/>
      </w:r>
      <w:r>
        <w:t>63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Discrimination against tenants with children</w:t>
      </w:r>
      <w:r>
        <w:tab/>
      </w:r>
      <w:r>
        <w:fldChar w:fldCharType="begin"/>
      </w:r>
      <w:r>
        <w:instrText xml:space="preserve"> PAGEREF _Toc164757302 \h </w:instrText>
      </w:r>
      <w:r>
        <w:fldChar w:fldCharType="separate"/>
      </w:r>
      <w:r>
        <w:t>63</w:t>
      </w:r>
      <w:r>
        <w:fldChar w:fldCharType="end"/>
      </w:r>
    </w:p>
    <w:p>
      <w:pPr>
        <w:pStyle w:val="TOC8"/>
        <w:rPr>
          <w:rFonts w:asciiTheme="minorHAnsi" w:eastAsiaTheme="minorEastAsia" w:hAnsiTheme="minorHAnsi" w:cstheme="minorBidi"/>
          <w:szCs w:val="22"/>
        </w:rPr>
      </w:pPr>
      <w:r>
        <w:t>56A.</w:t>
      </w:r>
      <w:r>
        <w:tab/>
        <w:t>Discrimination against tenants subjected or exposed to family violence</w:t>
      </w:r>
      <w:r>
        <w:tab/>
      </w:r>
      <w:r>
        <w:fldChar w:fldCharType="begin"/>
      </w:r>
      <w:r>
        <w:instrText xml:space="preserve"> PAGEREF _Toc164757303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Accelerated rent and liquidated damages prohibited</w:t>
      </w:r>
      <w:r>
        <w:tab/>
      </w:r>
      <w:r>
        <w:fldChar w:fldCharType="begin"/>
      </w:r>
      <w:r>
        <w:instrText xml:space="preserve"> PAGEREF _Toc164757304 \h </w:instrText>
      </w:r>
      <w:r>
        <w:fldChar w:fldCharType="separate"/>
      </w:r>
      <w:r>
        <w:t>64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mitigation</w:t>
      </w:r>
      <w:r>
        <w:tab/>
      </w:r>
      <w:r>
        <w:fldChar w:fldCharType="begin"/>
      </w:r>
      <w:r>
        <w:instrText xml:space="preserve"> PAGEREF _Toc164757305 \h </w:instrText>
      </w:r>
      <w:r>
        <w:fldChar w:fldCharType="separate"/>
      </w:r>
      <w:r>
        <w:t>64</w:t>
      </w:r>
      <w:r>
        <w:fldChar w:fldCharType="end"/>
      </w:r>
    </w:p>
    <w:p>
      <w:pPr>
        <w:pStyle w:val="TOC8"/>
        <w:rPr>
          <w:rFonts w:asciiTheme="minorHAnsi" w:eastAsiaTheme="minorEastAsia" w:hAnsiTheme="minorHAnsi" w:cstheme="minorBidi"/>
          <w:szCs w:val="22"/>
        </w:rPr>
      </w:pPr>
      <w:r>
        <w:t>59A.</w:t>
      </w:r>
      <w:r>
        <w:tab/>
        <w:t>Minors</w:t>
      </w:r>
      <w:r>
        <w:tab/>
      </w:r>
      <w:r>
        <w:fldChar w:fldCharType="begin"/>
      </w:r>
      <w:r>
        <w:instrText xml:space="preserve"> PAGEREF _Toc164757306 \h </w:instrText>
      </w:r>
      <w:r>
        <w:fldChar w:fldCharType="separate"/>
      </w:r>
      <w:r>
        <w:t>65</w:t>
      </w:r>
      <w:r>
        <w:fldChar w:fldCharType="end"/>
      </w:r>
    </w:p>
    <w:p>
      <w:pPr>
        <w:pStyle w:val="TOC8"/>
        <w:rPr>
          <w:rFonts w:asciiTheme="minorHAnsi" w:eastAsiaTheme="minorEastAsia" w:hAnsiTheme="minorHAnsi" w:cstheme="minorBidi"/>
          <w:szCs w:val="22"/>
        </w:rPr>
      </w:pPr>
      <w:r>
        <w:t>59B.</w:t>
      </w:r>
      <w:r>
        <w:tab/>
        <w:t>Death of one of 2 or more tenants</w:t>
      </w:r>
      <w:r>
        <w:tab/>
      </w:r>
      <w:r>
        <w:fldChar w:fldCharType="begin"/>
      </w:r>
      <w:r>
        <w:instrText xml:space="preserve"> PAGEREF _Toc164757307 \h </w:instrText>
      </w:r>
      <w:r>
        <w:fldChar w:fldCharType="separate"/>
      </w:r>
      <w:r>
        <w:t>65</w:t>
      </w:r>
      <w:r>
        <w:fldChar w:fldCharType="end"/>
      </w:r>
    </w:p>
    <w:p>
      <w:pPr>
        <w:pStyle w:val="TOC8"/>
        <w:rPr>
          <w:rFonts w:asciiTheme="minorHAnsi" w:eastAsiaTheme="minorEastAsia" w:hAnsiTheme="minorHAnsi" w:cstheme="minorBidi"/>
          <w:szCs w:val="22"/>
        </w:rPr>
      </w:pPr>
      <w:r>
        <w:lastRenderedPageBreak/>
        <w:t>59C.</w:t>
      </w:r>
      <w:r>
        <w:tab/>
        <w:t>Recognition of certain persons as tenants</w:t>
      </w:r>
      <w:r>
        <w:tab/>
      </w:r>
      <w:r>
        <w:fldChar w:fldCharType="begin"/>
      </w:r>
      <w:r>
        <w:instrText xml:space="preserve"> PAGEREF _Toc164757308 \h </w:instrText>
      </w:r>
      <w:r>
        <w:fldChar w:fldCharType="separate"/>
      </w:r>
      <w:r>
        <w:t>66</w:t>
      </w:r>
      <w:r>
        <w:fldChar w:fldCharType="end"/>
      </w:r>
    </w:p>
    <w:p>
      <w:pPr>
        <w:pStyle w:val="TOC8"/>
        <w:rPr>
          <w:rFonts w:asciiTheme="minorHAnsi" w:eastAsiaTheme="minorEastAsia" w:hAnsiTheme="minorHAnsi" w:cstheme="minorBidi"/>
          <w:szCs w:val="22"/>
        </w:rPr>
      </w:pPr>
      <w:r>
        <w:t>59D.</w:t>
      </w:r>
      <w:r>
        <w:tab/>
        <w:t>Tenant compensation bonds</w:t>
      </w:r>
      <w:r>
        <w:tab/>
      </w:r>
      <w:r>
        <w:fldChar w:fldCharType="begin"/>
      </w:r>
      <w:r>
        <w:instrText xml:space="preserve"> PAGEREF _Toc164757309 \h </w:instrText>
      </w:r>
      <w:r>
        <w:fldChar w:fldCharType="separate"/>
      </w:r>
      <w:r>
        <w:t>66</w:t>
      </w:r>
      <w:r>
        <w:fldChar w:fldCharType="end"/>
      </w:r>
    </w:p>
    <w:p>
      <w:pPr>
        <w:pStyle w:val="TOC8"/>
        <w:rPr>
          <w:rFonts w:asciiTheme="minorHAnsi" w:eastAsiaTheme="minorEastAsia" w:hAnsiTheme="minorHAnsi" w:cstheme="minorBidi"/>
          <w:szCs w:val="22"/>
        </w:rPr>
      </w:pPr>
      <w:r>
        <w:t>59E.</w:t>
      </w:r>
      <w:r>
        <w:tab/>
      </w:r>
      <w:r>
        <w:rPr>
          <w:snapToGrid w:val="0"/>
        </w:rPr>
        <w:t>Interference with quiet enjoyment</w:t>
      </w:r>
      <w:r>
        <w:tab/>
      </w:r>
      <w:r>
        <w:fldChar w:fldCharType="begin"/>
      </w:r>
      <w:r>
        <w:instrText xml:space="preserve"> PAGEREF _Toc164757310 \h </w:instrText>
      </w:r>
      <w:r>
        <w:fldChar w:fldCharType="separate"/>
      </w:r>
      <w:r>
        <w:t>67</w:t>
      </w:r>
      <w:r>
        <w:fldChar w:fldCharType="end"/>
      </w:r>
    </w:p>
    <w:p>
      <w:pPr>
        <w:pStyle w:val="TOC8"/>
        <w:rPr>
          <w:rFonts w:asciiTheme="minorHAnsi" w:eastAsiaTheme="minorEastAsia" w:hAnsiTheme="minorHAnsi" w:cstheme="minorBidi"/>
          <w:szCs w:val="22"/>
        </w:rPr>
      </w:pPr>
      <w:r>
        <w:t>59F.</w:t>
      </w:r>
      <w:r>
        <w:tab/>
      </w:r>
      <w:r>
        <w:rPr>
          <w:snapToGrid w:val="0"/>
        </w:rPr>
        <w:t>Offences relating to security of residential premises</w:t>
      </w:r>
      <w:r>
        <w:tab/>
      </w:r>
      <w:r>
        <w:fldChar w:fldCharType="begin"/>
      </w:r>
      <w:r>
        <w:instrText xml:space="preserve"> PAGEREF _Toc164757311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V — Termination of residential tenancy agreements</w:t>
      </w:r>
    </w:p>
    <w:p>
      <w:pPr>
        <w:pStyle w:val="TOC4"/>
        <w:tabs>
          <w:tab w:val="right" w:leader="dot" w:pos="7077"/>
        </w:tabs>
        <w:rPr>
          <w:rFonts w:asciiTheme="minorHAnsi" w:eastAsiaTheme="minorEastAsia" w:hAnsiTheme="minorHAnsi" w:cstheme="minorBidi"/>
          <w:b w:val="0"/>
          <w:szCs w:val="22"/>
        </w:rPr>
      </w:pPr>
      <w:r>
        <w:t>Division 1 — How residential tenancy agreements are terminated</w:t>
      </w:r>
    </w:p>
    <w:p>
      <w:pPr>
        <w:pStyle w:val="TOC8"/>
        <w:rPr>
          <w:rFonts w:asciiTheme="minorHAnsi" w:eastAsiaTheme="minorEastAsia" w:hAnsiTheme="minorHAnsi" w:cstheme="minorBidi"/>
          <w:szCs w:val="22"/>
        </w:rPr>
      </w:pPr>
      <w:r>
        <w:t>60</w:t>
      </w:r>
      <w:r>
        <w:rPr>
          <w:snapToGrid w:val="0"/>
        </w:rPr>
        <w:t>.</w:t>
      </w:r>
      <w:r>
        <w:rPr>
          <w:snapToGrid w:val="0"/>
        </w:rPr>
        <w:tab/>
        <w:t>How residential tenancy agreements and tenant’s interests in agreements are terminated</w:t>
      </w:r>
      <w:r>
        <w:tab/>
      </w:r>
      <w:r>
        <w:fldChar w:fldCharType="begin"/>
      </w:r>
      <w:r>
        <w:instrText xml:space="preserve"> PAGEREF _Toc164757314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Notices of termination</w:t>
      </w:r>
    </w:p>
    <w:p>
      <w:pPr>
        <w:pStyle w:val="TOC8"/>
        <w:rPr>
          <w:rFonts w:asciiTheme="minorHAnsi" w:eastAsiaTheme="minorEastAsia" w:hAnsiTheme="minorHAnsi" w:cstheme="minorBidi"/>
          <w:szCs w:val="22"/>
        </w:rPr>
      </w:pPr>
      <w:r>
        <w:t>61.</w:t>
      </w:r>
      <w:r>
        <w:tab/>
        <w:t>Form of notice of termination by lessor</w:t>
      </w:r>
      <w:r>
        <w:tab/>
      </w:r>
      <w:r>
        <w:fldChar w:fldCharType="begin"/>
      </w:r>
      <w:r>
        <w:instrText xml:space="preserve"> PAGEREF _Toc164757316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of termination by lessor upon ground of breach of term of agreement</w:t>
      </w:r>
      <w:r>
        <w:tab/>
      </w:r>
      <w:r>
        <w:fldChar w:fldCharType="begin"/>
      </w:r>
      <w:r>
        <w:instrText xml:space="preserve"> PAGEREF _Toc164757317 \h </w:instrText>
      </w:r>
      <w:r>
        <w:fldChar w:fldCharType="separate"/>
      </w:r>
      <w:r>
        <w:t>71</w:t>
      </w:r>
      <w:r>
        <w:fldChar w:fldCharType="end"/>
      </w:r>
    </w:p>
    <w:p>
      <w:pPr>
        <w:pStyle w:val="TOC8"/>
        <w:rPr>
          <w:rFonts w:asciiTheme="minorHAnsi" w:eastAsiaTheme="minorEastAsia" w:hAnsiTheme="minorHAnsi" w:cstheme="minorBidi"/>
          <w:szCs w:val="22"/>
        </w:rPr>
      </w:pPr>
      <w:r>
        <w:t>63.</w:t>
      </w:r>
      <w:r>
        <w:tab/>
        <w:t>Notice of termination by lessor who has entered into contract of sale</w:t>
      </w:r>
      <w:r>
        <w:tab/>
      </w:r>
      <w:r>
        <w:fldChar w:fldCharType="begin"/>
      </w:r>
      <w:r>
        <w:instrText xml:space="preserve"> PAGEREF _Toc164757318 \h </w:instrText>
      </w:r>
      <w:r>
        <w:fldChar w:fldCharType="separate"/>
      </w:r>
      <w:r>
        <w:t>73</w:t>
      </w:r>
      <w:r>
        <w:fldChar w:fldCharType="end"/>
      </w:r>
    </w:p>
    <w:p>
      <w:pPr>
        <w:pStyle w:val="TOC8"/>
        <w:rPr>
          <w:rFonts w:asciiTheme="minorHAnsi" w:eastAsiaTheme="minorEastAsia" w:hAnsiTheme="minorHAnsi" w:cstheme="minorBidi"/>
          <w:szCs w:val="22"/>
        </w:rPr>
      </w:pPr>
      <w:r>
        <w:t>64.</w:t>
      </w:r>
      <w:r>
        <w:tab/>
        <w:t>Notice of termination by lessor without any ground</w:t>
      </w:r>
      <w:r>
        <w:tab/>
      </w:r>
      <w:r>
        <w:fldChar w:fldCharType="begin"/>
      </w:r>
      <w:r>
        <w:instrText xml:space="preserve"> PAGEREF _Toc164757319 \h </w:instrText>
      </w:r>
      <w:r>
        <w:fldChar w:fldCharType="separate"/>
      </w:r>
      <w:r>
        <w:t>74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Termination by lessor where s. 32 invoked</w:t>
      </w:r>
      <w:r>
        <w:tab/>
      </w:r>
      <w:r>
        <w:fldChar w:fldCharType="begin"/>
      </w:r>
      <w:r>
        <w:instrText xml:space="preserve"> PAGEREF _Toc164757320 \h </w:instrText>
      </w:r>
      <w:r>
        <w:fldChar w:fldCharType="separate"/>
      </w:r>
      <w:r>
        <w:t>75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Notice by lessor not waived by acceptance of rent</w:t>
      </w:r>
      <w:r>
        <w:tab/>
      </w:r>
      <w:r>
        <w:fldChar w:fldCharType="begin"/>
      </w:r>
      <w:r>
        <w:instrText xml:space="preserve"> PAGEREF _Toc164757321 \h </w:instrText>
      </w:r>
      <w:r>
        <w:fldChar w:fldCharType="separate"/>
      </w:r>
      <w:r>
        <w:t>75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Form of notice of termination by tenant</w:t>
      </w:r>
      <w:r>
        <w:tab/>
      </w:r>
      <w:r>
        <w:fldChar w:fldCharType="begin"/>
      </w:r>
      <w:r>
        <w:instrText xml:space="preserve"> PAGEREF _Toc164757322 \h </w:instrText>
      </w:r>
      <w:r>
        <w:fldChar w:fldCharType="separate"/>
      </w:r>
      <w:r>
        <w:t>76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termination by tenant</w:t>
      </w:r>
      <w:r>
        <w:tab/>
      </w:r>
      <w:r>
        <w:fldChar w:fldCharType="begin"/>
      </w:r>
      <w:r>
        <w:instrText xml:space="preserve"> PAGEREF _Toc164757323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Notice of termination by lessor or tenant where agreement frustrated</w:t>
      </w:r>
      <w:r>
        <w:tab/>
      </w:r>
      <w:r>
        <w:fldChar w:fldCharType="begin"/>
      </w:r>
      <w:r>
        <w:instrText xml:space="preserve"> PAGEREF _Toc164757324 \h </w:instrText>
      </w:r>
      <w:r>
        <w:fldChar w:fldCharType="separate"/>
      </w:r>
      <w:r>
        <w:t>76</w:t>
      </w:r>
      <w:r>
        <w:fldChar w:fldCharType="end"/>
      </w:r>
    </w:p>
    <w:p>
      <w:pPr>
        <w:pStyle w:val="TOC8"/>
        <w:rPr>
          <w:rFonts w:asciiTheme="minorHAnsi" w:eastAsiaTheme="minorEastAsia" w:hAnsiTheme="minorHAnsi" w:cstheme="minorBidi"/>
          <w:szCs w:val="22"/>
        </w:rPr>
      </w:pPr>
      <w:r>
        <w:t>70A.</w:t>
      </w:r>
      <w:r>
        <w:tab/>
        <w:t>Notice of termination by lessor or tenant at end of fixed term tenancy</w:t>
      </w:r>
      <w:r>
        <w:tab/>
      </w:r>
      <w:r>
        <w:fldChar w:fldCharType="begin"/>
      </w:r>
      <w:r>
        <w:instrText xml:space="preserve"> PAGEREF _Toc164757325 \h </w:instrText>
      </w:r>
      <w:r>
        <w:fldChar w:fldCharType="separate"/>
      </w:r>
      <w:r>
        <w:t>77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Effect of notice of termination of periodic tenancy</w:t>
      </w:r>
      <w:r>
        <w:tab/>
      </w:r>
      <w:r>
        <w:fldChar w:fldCharType="begin"/>
      </w:r>
      <w:r>
        <w:instrText xml:space="preserve"> PAGEREF _Toc164757326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2A — Special provisions about terminating tenant’s interest on grounds of family violence</w:t>
      </w:r>
    </w:p>
    <w:p>
      <w:pPr>
        <w:pStyle w:val="TOC8"/>
        <w:rPr>
          <w:rFonts w:asciiTheme="minorHAnsi" w:eastAsiaTheme="minorEastAsia" w:hAnsiTheme="minorHAnsi" w:cstheme="minorBidi"/>
          <w:szCs w:val="22"/>
        </w:rPr>
      </w:pPr>
      <w:r>
        <w:t>71AA.</w:t>
      </w:r>
      <w:r>
        <w:tab/>
        <w:t>Terms used</w:t>
      </w:r>
      <w:r>
        <w:tab/>
      </w:r>
      <w:r>
        <w:fldChar w:fldCharType="begin"/>
      </w:r>
      <w:r>
        <w:instrText xml:space="preserve"> PAGEREF _Toc164757328 \h </w:instrText>
      </w:r>
      <w:r>
        <w:fldChar w:fldCharType="separate"/>
      </w:r>
      <w:r>
        <w:t>79</w:t>
      </w:r>
      <w:r>
        <w:fldChar w:fldCharType="end"/>
      </w:r>
    </w:p>
    <w:p>
      <w:pPr>
        <w:pStyle w:val="TOC8"/>
        <w:rPr>
          <w:rFonts w:asciiTheme="minorHAnsi" w:eastAsiaTheme="minorEastAsia" w:hAnsiTheme="minorHAnsi" w:cstheme="minorBidi"/>
          <w:szCs w:val="22"/>
        </w:rPr>
      </w:pPr>
      <w:r>
        <w:t>71AB.</w:t>
      </w:r>
      <w:r>
        <w:tab/>
        <w:t>Notice of termination of tenant’s interest on ground that tenant subject to family violence</w:t>
      </w:r>
      <w:r>
        <w:tab/>
      </w:r>
      <w:r>
        <w:fldChar w:fldCharType="begin"/>
      </w:r>
      <w:r>
        <w:instrText xml:space="preserve"> PAGEREF _Toc164757329 \h </w:instrText>
      </w:r>
      <w:r>
        <w:fldChar w:fldCharType="separate"/>
      </w:r>
      <w:r>
        <w:t>79</w:t>
      </w:r>
      <w:r>
        <w:fldChar w:fldCharType="end"/>
      </w:r>
    </w:p>
    <w:p>
      <w:pPr>
        <w:pStyle w:val="TOC8"/>
        <w:rPr>
          <w:rFonts w:asciiTheme="minorHAnsi" w:eastAsiaTheme="minorEastAsia" w:hAnsiTheme="minorHAnsi" w:cstheme="minorBidi"/>
          <w:szCs w:val="22"/>
        </w:rPr>
      </w:pPr>
      <w:r>
        <w:t>71AC.</w:t>
      </w:r>
      <w:r>
        <w:tab/>
        <w:t>Review of notice of termination under s. 71AB</w:t>
      </w:r>
      <w:r>
        <w:tab/>
      </w:r>
      <w:r>
        <w:fldChar w:fldCharType="begin"/>
      </w:r>
      <w:r>
        <w:instrText xml:space="preserve"> PAGEREF _Toc164757330 \h </w:instrText>
      </w:r>
      <w:r>
        <w:fldChar w:fldCharType="separate"/>
      </w:r>
      <w:r>
        <w:t>81</w:t>
      </w:r>
      <w:r>
        <w:fldChar w:fldCharType="end"/>
      </w:r>
    </w:p>
    <w:p>
      <w:pPr>
        <w:pStyle w:val="TOC8"/>
        <w:rPr>
          <w:rFonts w:asciiTheme="minorHAnsi" w:eastAsiaTheme="minorEastAsia" w:hAnsiTheme="minorHAnsi" w:cstheme="minorBidi"/>
          <w:szCs w:val="22"/>
        </w:rPr>
      </w:pPr>
      <w:r>
        <w:t>71AD.</w:t>
      </w:r>
      <w:r>
        <w:tab/>
        <w:t>Rights of co</w:t>
      </w:r>
      <w:r>
        <w:noBreakHyphen/>
        <w:t>tenants after notice under s. 71AB</w:t>
      </w:r>
      <w:r>
        <w:tab/>
      </w:r>
      <w:r>
        <w:fldChar w:fldCharType="begin"/>
      </w:r>
      <w:r>
        <w:instrText xml:space="preserve"> PAGEREF _Toc164757331 \h </w:instrText>
      </w:r>
      <w:r>
        <w:fldChar w:fldCharType="separate"/>
      </w:r>
      <w:r>
        <w:t>81</w:t>
      </w:r>
      <w:r>
        <w:fldChar w:fldCharType="end"/>
      </w:r>
    </w:p>
    <w:p>
      <w:pPr>
        <w:pStyle w:val="TOC8"/>
        <w:rPr>
          <w:rFonts w:asciiTheme="minorHAnsi" w:eastAsiaTheme="minorEastAsia" w:hAnsiTheme="minorHAnsi" w:cstheme="minorBidi"/>
          <w:szCs w:val="22"/>
        </w:rPr>
      </w:pPr>
      <w:r>
        <w:t>71AE.</w:t>
      </w:r>
      <w:r>
        <w:tab/>
        <w:t>Termination of tenant’s interest by court on grounds of family violence</w:t>
      </w:r>
      <w:r>
        <w:tab/>
      </w:r>
      <w:r>
        <w:fldChar w:fldCharType="begin"/>
      </w:r>
      <w:r>
        <w:instrText xml:space="preserve"> PAGEREF _Toc164757332 \h </w:instrText>
      </w:r>
      <w:r>
        <w:fldChar w:fldCharType="separate"/>
      </w:r>
      <w:r>
        <w:t>82</w:t>
      </w:r>
      <w:r>
        <w:fldChar w:fldCharType="end"/>
      </w:r>
    </w:p>
    <w:p>
      <w:pPr>
        <w:pStyle w:val="TOC8"/>
        <w:rPr>
          <w:rFonts w:asciiTheme="minorHAnsi" w:eastAsiaTheme="minorEastAsia" w:hAnsiTheme="minorHAnsi" w:cstheme="minorBidi"/>
          <w:szCs w:val="22"/>
        </w:rPr>
      </w:pPr>
      <w:r>
        <w:t>71AF.</w:t>
      </w:r>
      <w:r>
        <w:tab/>
        <w:t>Review of Division</w:t>
      </w:r>
      <w:r>
        <w:tab/>
      </w:r>
      <w:r>
        <w:fldChar w:fldCharType="begin"/>
      </w:r>
      <w:r>
        <w:instrText xml:space="preserve"> PAGEREF _Toc164757333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Special provisions about terminating social housing tenancy agreements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71A.</w:t>
      </w:r>
      <w:r>
        <w:tab/>
        <w:t>Terms used</w:t>
      </w:r>
      <w:r>
        <w:tab/>
      </w:r>
      <w:r>
        <w:fldChar w:fldCharType="begin"/>
      </w:r>
      <w:r>
        <w:instrText xml:space="preserve"> PAGEREF _Toc164757336 \h </w:instrText>
      </w:r>
      <w:r>
        <w:fldChar w:fldCharType="separate"/>
      </w:r>
      <w:r>
        <w:t>85</w:t>
      </w:r>
      <w:r>
        <w:fldChar w:fldCharType="end"/>
      </w:r>
    </w:p>
    <w:p>
      <w:pPr>
        <w:pStyle w:val="TOC8"/>
        <w:rPr>
          <w:rFonts w:asciiTheme="minorHAnsi" w:eastAsiaTheme="minorEastAsia" w:hAnsiTheme="minorHAnsi" w:cstheme="minorBidi"/>
          <w:szCs w:val="22"/>
        </w:rPr>
      </w:pPr>
      <w:r>
        <w:t>71B.</w:t>
      </w:r>
      <w:r>
        <w:tab/>
        <w:t>Application of Division</w:t>
      </w:r>
      <w:r>
        <w:tab/>
      </w:r>
      <w:r>
        <w:fldChar w:fldCharType="begin"/>
      </w:r>
      <w:r>
        <w:instrText xml:space="preserve"> PAGEREF _Toc164757337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termination where tenant not eligible for social housing premises</w:t>
      </w:r>
    </w:p>
    <w:p>
      <w:pPr>
        <w:pStyle w:val="TOC8"/>
        <w:rPr>
          <w:rFonts w:asciiTheme="minorHAnsi" w:eastAsiaTheme="minorEastAsia" w:hAnsiTheme="minorHAnsi" w:cstheme="minorBidi"/>
          <w:szCs w:val="22"/>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_Toc164757339 \h </w:instrText>
      </w:r>
      <w:r>
        <w:fldChar w:fldCharType="separate"/>
      </w:r>
      <w:r>
        <w:t>86</w:t>
      </w:r>
      <w:r>
        <w:fldChar w:fldCharType="end"/>
      </w:r>
    </w:p>
    <w:p>
      <w:pPr>
        <w:pStyle w:val="TOC8"/>
        <w:rPr>
          <w:rFonts w:asciiTheme="minorHAnsi" w:eastAsiaTheme="minorEastAsia" w:hAnsiTheme="minorHAnsi" w:cstheme="minorBidi"/>
          <w:szCs w:val="22"/>
        </w:rPr>
      </w:pPr>
      <w:r>
        <w:t>71D.</w:t>
      </w:r>
      <w:r>
        <w:tab/>
        <w:t>Assessment of tenants eligibility for social housing premises</w:t>
      </w:r>
      <w:r>
        <w:tab/>
      </w:r>
      <w:r>
        <w:fldChar w:fldCharType="begin"/>
      </w:r>
      <w:r>
        <w:instrText xml:space="preserve"> PAGEREF _Toc164757340 \h </w:instrText>
      </w:r>
      <w:r>
        <w:fldChar w:fldCharType="separate"/>
      </w:r>
      <w:r>
        <w:t>87</w:t>
      </w:r>
      <w:r>
        <w:fldChar w:fldCharType="end"/>
      </w:r>
    </w:p>
    <w:p>
      <w:pPr>
        <w:pStyle w:val="TOC8"/>
        <w:rPr>
          <w:rFonts w:asciiTheme="minorHAnsi" w:eastAsiaTheme="minorEastAsia" w:hAnsiTheme="minorHAnsi" w:cstheme="minorBidi"/>
          <w:szCs w:val="22"/>
        </w:rPr>
      </w:pPr>
      <w:r>
        <w:t>71E.</w:t>
      </w:r>
      <w:r>
        <w:tab/>
        <w:t>Criteria for assessing eligibility of tenants for social housing premises under s. 71D</w:t>
      </w:r>
      <w:r>
        <w:tab/>
      </w:r>
      <w:r>
        <w:fldChar w:fldCharType="begin"/>
      </w:r>
      <w:r>
        <w:instrText xml:space="preserve"> PAGEREF _Toc164757341 \h </w:instrText>
      </w:r>
      <w:r>
        <w:fldChar w:fldCharType="separate"/>
      </w:r>
      <w:r>
        <w:t>87</w:t>
      </w:r>
      <w:r>
        <w:fldChar w:fldCharType="end"/>
      </w:r>
    </w:p>
    <w:p>
      <w:pPr>
        <w:pStyle w:val="TOC8"/>
        <w:rPr>
          <w:rFonts w:asciiTheme="minorHAnsi" w:eastAsiaTheme="minorEastAsia" w:hAnsiTheme="minorHAnsi" w:cstheme="minorBidi"/>
          <w:szCs w:val="22"/>
        </w:rPr>
      </w:pPr>
      <w:r>
        <w:t>71F.</w:t>
      </w:r>
      <w:r>
        <w:tab/>
        <w:t>Review of decision to give notice on ground that tenant not eligible for social housing premises</w:t>
      </w:r>
      <w:r>
        <w:tab/>
      </w:r>
      <w:r>
        <w:fldChar w:fldCharType="begin"/>
      </w:r>
      <w:r>
        <w:instrText xml:space="preserve"> PAGEREF _Toc164757342 \h </w:instrText>
      </w:r>
      <w:r>
        <w:fldChar w:fldCharType="separate"/>
      </w:r>
      <w:r>
        <w:t>88</w:t>
      </w:r>
      <w:r>
        <w:fldChar w:fldCharType="end"/>
      </w:r>
    </w:p>
    <w:p>
      <w:pPr>
        <w:pStyle w:val="TOC8"/>
        <w:rPr>
          <w:rFonts w:asciiTheme="minorHAnsi" w:eastAsiaTheme="minorEastAsia" w:hAnsiTheme="minorHAnsi" w:cstheme="minorBidi"/>
          <w:szCs w:val="22"/>
        </w:rPr>
      </w:pPr>
      <w:r>
        <w:t>71G.</w:t>
      </w:r>
      <w:r>
        <w:tab/>
        <w:t xml:space="preserve">Time </w:t>
      </w:r>
      <w:r>
        <w:rPr>
          <w:snapToGrid w:val="0"/>
        </w:rPr>
        <w:t>periods to be observed where notice of termination given under this Subdivision</w:t>
      </w:r>
      <w:r>
        <w:tab/>
      </w:r>
      <w:r>
        <w:fldChar w:fldCharType="begin"/>
      </w:r>
      <w:r>
        <w:instrText xml:space="preserve"> PAGEREF _Toc164757343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termination where tenant offered alternative social housing premises</w:t>
      </w:r>
    </w:p>
    <w:p>
      <w:pPr>
        <w:pStyle w:val="TOC8"/>
        <w:rPr>
          <w:rFonts w:asciiTheme="minorHAnsi" w:eastAsiaTheme="minorEastAsia" w:hAnsiTheme="minorHAnsi" w:cstheme="minorBidi"/>
          <w:szCs w:val="22"/>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_Toc164757345 \h </w:instrText>
      </w:r>
      <w:r>
        <w:fldChar w:fldCharType="separate"/>
      </w:r>
      <w:r>
        <w:t>90</w:t>
      </w:r>
      <w:r>
        <w:fldChar w:fldCharType="end"/>
      </w:r>
    </w:p>
    <w:p>
      <w:pPr>
        <w:pStyle w:val="TOC8"/>
        <w:rPr>
          <w:rFonts w:asciiTheme="minorHAnsi" w:eastAsiaTheme="minorEastAsia" w:hAnsiTheme="minorHAnsi" w:cstheme="minorBidi"/>
          <w:szCs w:val="22"/>
        </w:rPr>
      </w:pPr>
      <w:r>
        <w:t>71I.</w:t>
      </w:r>
      <w:r>
        <w:tab/>
        <w:t>Review of decision to give notice on ground that tenant offered alternative social housing premises</w:t>
      </w:r>
      <w:r>
        <w:tab/>
      </w:r>
      <w:r>
        <w:fldChar w:fldCharType="begin"/>
      </w:r>
      <w:r>
        <w:instrText xml:space="preserve"> PAGEREF _Toc164757346 \h </w:instrText>
      </w:r>
      <w:r>
        <w:fldChar w:fldCharType="separate"/>
      </w:r>
      <w:r>
        <w:t>90</w:t>
      </w:r>
      <w:r>
        <w:fldChar w:fldCharType="end"/>
      </w:r>
    </w:p>
    <w:p>
      <w:pPr>
        <w:pStyle w:val="TOC8"/>
        <w:rPr>
          <w:rFonts w:asciiTheme="minorHAnsi" w:eastAsiaTheme="minorEastAsia" w:hAnsiTheme="minorHAnsi" w:cstheme="minorBidi"/>
          <w:szCs w:val="22"/>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_Toc164757347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 — Orders for termination of residential tenancy agreement</w:t>
      </w:r>
    </w:p>
    <w:p>
      <w:pPr>
        <w:pStyle w:val="TOC8"/>
        <w:rPr>
          <w:rFonts w:asciiTheme="minorHAnsi" w:eastAsiaTheme="minorEastAsia" w:hAnsiTheme="minorHAnsi" w:cstheme="minorBidi"/>
          <w:szCs w:val="22"/>
        </w:rPr>
      </w:pPr>
      <w:r>
        <w:t>71</w:t>
      </w:r>
      <w:r>
        <w:rPr>
          <w:snapToGrid w:val="0"/>
        </w:rPr>
        <w:t>.</w:t>
      </w:r>
      <w:r>
        <w:rPr>
          <w:snapToGrid w:val="0"/>
        </w:rPr>
        <w:tab/>
        <w:t>Application by lessor for termination and order for possession</w:t>
      </w:r>
      <w:r>
        <w:tab/>
      </w:r>
      <w:r>
        <w:fldChar w:fldCharType="begin"/>
      </w:r>
      <w:r>
        <w:instrText xml:space="preserve"> PAGEREF _Toc164757349 \h </w:instrText>
      </w:r>
      <w:r>
        <w:fldChar w:fldCharType="separate"/>
      </w:r>
      <w:r>
        <w:t>93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_Toc164757350 \h </w:instrText>
      </w:r>
      <w:r>
        <w:fldChar w:fldCharType="separate"/>
      </w:r>
      <w:r>
        <w:t>96</w:t>
      </w:r>
      <w:r>
        <w:fldChar w:fldCharType="end"/>
      </w:r>
    </w:p>
    <w:p>
      <w:pPr>
        <w:pStyle w:val="TOC8"/>
        <w:rPr>
          <w:rFonts w:asciiTheme="minorHAnsi" w:eastAsiaTheme="minorEastAsia" w:hAnsiTheme="minorHAnsi" w:cstheme="minorBidi"/>
          <w:szCs w:val="22"/>
        </w:rPr>
      </w:pPr>
      <w:r>
        <w:t>73A.</w:t>
      </w:r>
      <w:r>
        <w:tab/>
        <w:t>Notice of termination not required in certain cases</w:t>
      </w:r>
      <w:r>
        <w:tab/>
      </w:r>
      <w:r>
        <w:fldChar w:fldCharType="begin"/>
      </w:r>
      <w:r>
        <w:instrText xml:space="preserve"> PAGEREF _Toc164757351 \h </w:instrText>
      </w:r>
      <w:r>
        <w:fldChar w:fldCharType="separate"/>
      </w:r>
      <w:r>
        <w:t>98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Termination of agreement where tenant causing serious damage or injury</w:t>
      </w:r>
      <w:r>
        <w:tab/>
      </w:r>
      <w:r>
        <w:fldChar w:fldCharType="begin"/>
      </w:r>
      <w:r>
        <w:instrText xml:space="preserve"> PAGEREF _Toc164757352 \h </w:instrText>
      </w:r>
      <w:r>
        <w:fldChar w:fldCharType="separate"/>
      </w:r>
      <w:r>
        <w:t>98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Termination of agreement where lessor or tenant would otherwise suffer undue hardship</w:t>
      </w:r>
      <w:r>
        <w:tab/>
      </w:r>
      <w:r>
        <w:fldChar w:fldCharType="begin"/>
      </w:r>
      <w:r>
        <w:instrText xml:space="preserve"> PAGEREF _Toc164757353 \h </w:instrText>
      </w:r>
      <w:r>
        <w:fldChar w:fldCharType="separate"/>
      </w:r>
      <w:r>
        <w:t>99</w:t>
      </w:r>
      <w:r>
        <w:fldChar w:fldCharType="end"/>
      </w:r>
    </w:p>
    <w:p>
      <w:pPr>
        <w:pStyle w:val="TOC8"/>
        <w:rPr>
          <w:rFonts w:asciiTheme="minorHAnsi" w:eastAsiaTheme="minorEastAsia" w:hAnsiTheme="minorHAnsi" w:cstheme="minorBidi"/>
          <w:szCs w:val="22"/>
        </w:rPr>
      </w:pPr>
      <w:r>
        <w:t>75A.</w:t>
      </w:r>
      <w:r>
        <w:tab/>
        <w:t>Termination of social housing tenancy agreement due to objectionable behaviour</w:t>
      </w:r>
      <w:r>
        <w:tab/>
      </w:r>
      <w:r>
        <w:fldChar w:fldCharType="begin"/>
      </w:r>
      <w:r>
        <w:instrText xml:space="preserve"> PAGEREF _Toc164757354 \h </w:instrText>
      </w:r>
      <w:r>
        <w:fldChar w:fldCharType="separate"/>
      </w:r>
      <w:r>
        <w:t>99</w:t>
      </w:r>
      <w:r>
        <w:fldChar w:fldCharType="end"/>
      </w:r>
    </w:p>
    <w:p>
      <w:pPr>
        <w:pStyle w:val="TOC8"/>
        <w:rPr>
          <w:rFonts w:asciiTheme="minorHAnsi" w:eastAsiaTheme="minorEastAsia" w:hAnsiTheme="minorHAnsi" w:cstheme="minorBidi"/>
          <w:szCs w:val="22"/>
        </w:rPr>
      </w:pPr>
      <w:r>
        <w:lastRenderedPageBreak/>
        <w:t>75</w:t>
      </w:r>
      <w:r>
        <w:rPr>
          <w:snapToGrid w:val="0"/>
        </w:rPr>
        <w:t>.</w:t>
      </w:r>
      <w:r>
        <w:rPr>
          <w:snapToGrid w:val="0"/>
        </w:rPr>
        <w:tab/>
        <w:t>Termination of agreement for breach by lessor</w:t>
      </w:r>
      <w:r>
        <w:tab/>
      </w:r>
      <w:r>
        <w:fldChar w:fldCharType="begin"/>
      </w:r>
      <w:r>
        <w:instrText xml:space="preserve"> PAGEREF _Toc164757355 \h </w:instrText>
      </w:r>
      <w:r>
        <w:fldChar w:fldCharType="separate"/>
      </w:r>
      <w:r>
        <w:t>100</w:t>
      </w:r>
      <w:r>
        <w:fldChar w:fldCharType="end"/>
      </w:r>
    </w:p>
    <w:p>
      <w:pPr>
        <w:pStyle w:val="TOC8"/>
        <w:rPr>
          <w:rFonts w:asciiTheme="minorHAnsi" w:eastAsiaTheme="minorEastAsia" w:hAnsiTheme="minorHAnsi" w:cstheme="minorBidi"/>
          <w:szCs w:val="22"/>
        </w:rPr>
      </w:pPr>
      <w:r>
        <w:t>76A.</w:t>
      </w:r>
      <w:r>
        <w:tab/>
        <w:t>Termination of agreement by lessor if premises abandoned</w:t>
      </w:r>
      <w:r>
        <w:tab/>
      </w:r>
      <w:r>
        <w:fldChar w:fldCharType="begin"/>
      </w:r>
      <w:r>
        <w:instrText xml:space="preserve"> PAGEREF _Toc164757356 \h </w:instrText>
      </w:r>
      <w:r>
        <w:fldChar w:fldCharType="separate"/>
      </w:r>
      <w:r>
        <w:t>101</w:t>
      </w:r>
      <w:r>
        <w:fldChar w:fldCharType="end"/>
      </w:r>
    </w:p>
    <w:p>
      <w:pPr>
        <w:pStyle w:val="TOC8"/>
        <w:rPr>
          <w:rFonts w:asciiTheme="minorHAnsi" w:eastAsiaTheme="minorEastAsia" w:hAnsiTheme="minorHAnsi" w:cstheme="minorBidi"/>
          <w:szCs w:val="22"/>
        </w:rPr>
      </w:pPr>
      <w:r>
        <w:t>76B.</w:t>
      </w:r>
      <w:r>
        <w:tab/>
        <w:t>Dispute about s. 76A notice</w:t>
      </w:r>
      <w:r>
        <w:tab/>
      </w:r>
      <w:r>
        <w:fldChar w:fldCharType="begin"/>
      </w:r>
      <w:r>
        <w:instrText xml:space="preserve"> PAGEREF _Toc164757357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76C.</w:t>
      </w:r>
      <w:r>
        <w:tab/>
        <w:t>Fixed term tenancies continued as periodic tenancies</w:t>
      </w:r>
      <w:r>
        <w:tab/>
      </w:r>
      <w:r>
        <w:fldChar w:fldCharType="begin"/>
      </w:r>
      <w:r>
        <w:instrText xml:space="preserve"> PAGEREF _Toc164757359 \h </w:instrText>
      </w:r>
      <w:r>
        <w:fldChar w:fldCharType="separate"/>
      </w:r>
      <w:r>
        <w:t>102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Compensation to lessor for holding over</w:t>
      </w:r>
      <w:r>
        <w:tab/>
      </w:r>
      <w:r>
        <w:fldChar w:fldCharType="begin"/>
      </w:r>
      <w:r>
        <w:instrText xml:space="preserve"> PAGEREF _Toc164757360 \h </w:instrText>
      </w:r>
      <w:r>
        <w:fldChar w:fldCharType="separate"/>
      </w:r>
      <w:r>
        <w:t>102</w:t>
      </w:r>
      <w:r>
        <w:fldChar w:fldCharType="end"/>
      </w:r>
    </w:p>
    <w:p>
      <w:pPr>
        <w:pStyle w:val="TOC8"/>
        <w:rPr>
          <w:rFonts w:asciiTheme="minorHAnsi" w:eastAsiaTheme="minorEastAsia" w:hAnsiTheme="minorHAnsi" w:cstheme="minorBidi"/>
          <w:szCs w:val="22"/>
        </w:rPr>
      </w:pPr>
      <w:r>
        <w:t>77.</w:t>
      </w:r>
      <w:r>
        <w:tab/>
        <w:t>Abandonment of premises</w:t>
      </w:r>
      <w:r>
        <w:tab/>
      </w:r>
      <w:r>
        <w:fldChar w:fldCharType="begin"/>
      </w:r>
      <w:r>
        <w:instrText xml:space="preserve"> PAGEREF _Toc164757361 \h </w:instrText>
      </w:r>
      <w:r>
        <w:fldChar w:fldCharType="separate"/>
      </w:r>
      <w:r>
        <w:t>103</w:t>
      </w:r>
      <w:r>
        <w:fldChar w:fldCharType="end"/>
      </w:r>
    </w:p>
    <w:p>
      <w:pPr>
        <w:pStyle w:val="TOC8"/>
        <w:rPr>
          <w:rFonts w:asciiTheme="minorHAnsi" w:eastAsiaTheme="minorEastAsia" w:hAnsiTheme="minorHAnsi" w:cstheme="minorBidi"/>
          <w:szCs w:val="22"/>
        </w:rPr>
      </w:pPr>
      <w:r>
        <w:t>78A.</w:t>
      </w:r>
      <w:r>
        <w:tab/>
        <w:t>Order about abandonment</w:t>
      </w:r>
      <w:r>
        <w:tab/>
      </w:r>
      <w:r>
        <w:fldChar w:fldCharType="begin"/>
      </w:r>
      <w:r>
        <w:instrText xml:space="preserve"> PAGEREF _Toc164757362 \h </w:instrText>
      </w:r>
      <w:r>
        <w:fldChar w:fldCharType="separate"/>
      </w:r>
      <w:r>
        <w:t>104</w:t>
      </w:r>
      <w:r>
        <w:fldChar w:fldCharType="end"/>
      </w:r>
    </w:p>
    <w:p>
      <w:pPr>
        <w:pStyle w:val="TOC8"/>
        <w:rPr>
          <w:rFonts w:asciiTheme="minorHAnsi" w:eastAsiaTheme="minorEastAsia" w:hAnsiTheme="minorHAnsi" w:cstheme="minorBidi"/>
          <w:szCs w:val="22"/>
        </w:rPr>
      </w:pPr>
      <w:r>
        <w:t>78B.</w:t>
      </w:r>
      <w:r>
        <w:tab/>
        <w:t>Review of abandonment order</w:t>
      </w:r>
      <w:r>
        <w:tab/>
      </w:r>
      <w:r>
        <w:fldChar w:fldCharType="begin"/>
      </w:r>
      <w:r>
        <w:instrText xml:space="preserve"> PAGEREF _Toc164757363 \h </w:instrText>
      </w:r>
      <w:r>
        <w:fldChar w:fldCharType="separate"/>
      </w:r>
      <w:r>
        <w:t>104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r>
      <w:r>
        <w:rPr>
          <w:bCs/>
        </w:rPr>
        <w:t>Right of lessor to compensation where tenant abandons premises</w:t>
      </w:r>
      <w:r>
        <w:tab/>
      </w:r>
      <w:r>
        <w:fldChar w:fldCharType="begin"/>
      </w:r>
      <w:r>
        <w:instrText xml:space="preserve"> PAGEREF _Toc164757364 \h </w:instrText>
      </w:r>
      <w:r>
        <w:fldChar w:fldCharType="separate"/>
      </w:r>
      <w:r>
        <w:t>105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Abandoned goods</w:t>
      </w:r>
      <w:r>
        <w:tab/>
      </w:r>
      <w:r>
        <w:fldChar w:fldCharType="begin"/>
      </w:r>
      <w:r>
        <w:instrText xml:space="preserve"> PAGEREF _Toc164757365 \h </w:instrText>
      </w:r>
      <w:r>
        <w:fldChar w:fldCharType="separate"/>
      </w:r>
      <w:r>
        <w:t>105</w:t>
      </w:r>
      <w:r>
        <w:fldChar w:fldCharType="end"/>
      </w:r>
    </w:p>
    <w:p>
      <w:pPr>
        <w:pStyle w:val="TOC8"/>
        <w:rPr>
          <w:rFonts w:asciiTheme="minorHAnsi" w:eastAsiaTheme="minorEastAsia" w:hAnsiTheme="minorHAnsi" w:cstheme="minorBidi"/>
          <w:szCs w:val="22"/>
        </w:rPr>
      </w:pPr>
      <w:r>
        <w:t>80A.</w:t>
      </w:r>
      <w:r>
        <w:tab/>
        <w:t>Abandoned documents</w:t>
      </w:r>
      <w:r>
        <w:tab/>
      </w:r>
      <w:r>
        <w:fldChar w:fldCharType="begin"/>
      </w:r>
      <w:r>
        <w:instrText xml:space="preserve"> PAGEREF _Toc164757366 \h </w:instrText>
      </w:r>
      <w:r>
        <w:fldChar w:fldCharType="separate"/>
      </w:r>
      <w:r>
        <w:t>109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Recovery of possession of premises prohibited except by court order</w:t>
      </w:r>
      <w:r>
        <w:tab/>
      </w:r>
      <w:r>
        <w:fldChar w:fldCharType="begin"/>
      </w:r>
      <w:r>
        <w:instrText xml:space="preserve"> PAGEREF _Toc164757367 \h </w:instrText>
      </w:r>
      <w:r>
        <w:fldChar w:fldCharType="separate"/>
      </w:r>
      <w:r>
        <w:t>110</w:t>
      </w:r>
      <w:r>
        <w:fldChar w:fldCharType="end"/>
      </w:r>
    </w:p>
    <w:p>
      <w:pPr>
        <w:pStyle w:val="TOC8"/>
        <w:rPr>
          <w:rFonts w:asciiTheme="minorHAnsi" w:eastAsiaTheme="minorEastAsia" w:hAnsiTheme="minorHAnsi" w:cstheme="minorBidi"/>
          <w:szCs w:val="22"/>
        </w:rPr>
      </w:pPr>
      <w:r>
        <w:t>81A.</w:t>
      </w:r>
      <w:r>
        <w:tab/>
        <w:t>Mortgagee repossessions of rented properties</w:t>
      </w:r>
      <w:r>
        <w:tab/>
      </w:r>
      <w:r>
        <w:fldChar w:fldCharType="begin"/>
      </w:r>
      <w:r>
        <w:instrText xml:space="preserve"> PAGEREF _Toc164757368 \h </w:instrText>
      </w:r>
      <w:r>
        <w:fldChar w:fldCharType="separate"/>
      </w:r>
      <w:r>
        <w:t>111</w:t>
      </w:r>
      <w:r>
        <w:fldChar w:fldCharType="end"/>
      </w:r>
    </w:p>
    <w:p>
      <w:pPr>
        <w:pStyle w:val="TOC8"/>
        <w:rPr>
          <w:rFonts w:asciiTheme="minorHAnsi" w:eastAsiaTheme="minorEastAsia" w:hAnsiTheme="minorHAnsi" w:cstheme="minorBidi"/>
          <w:szCs w:val="22"/>
        </w:rPr>
      </w:pPr>
      <w:r>
        <w:t>81B.</w:t>
      </w:r>
      <w:r>
        <w:tab/>
        <w:t>Notice of proposed recovery of premises by person with superior title</w:t>
      </w:r>
      <w:r>
        <w:tab/>
      </w:r>
      <w:r>
        <w:fldChar w:fldCharType="begin"/>
      </w:r>
      <w:r>
        <w:instrText xml:space="preserve"> PAGEREF _Toc164757369 \h </w:instrText>
      </w:r>
      <w:r>
        <w:fldChar w:fldCharType="separate"/>
      </w:r>
      <w:r>
        <w:t>113</w:t>
      </w:r>
      <w:r>
        <w:fldChar w:fldCharType="end"/>
      </w:r>
    </w:p>
    <w:p>
      <w:pPr>
        <w:pStyle w:val="TOC8"/>
        <w:rPr>
          <w:rFonts w:asciiTheme="minorHAnsi" w:eastAsiaTheme="minorEastAsia" w:hAnsiTheme="minorHAnsi" w:cstheme="minorBidi"/>
          <w:szCs w:val="22"/>
        </w:rPr>
      </w:pPr>
      <w:r>
        <w:t>81.</w:t>
      </w:r>
      <w:r>
        <w:tab/>
        <w:t>Order for tenancy against person with superior title</w:t>
      </w:r>
      <w:r>
        <w:tab/>
      </w:r>
      <w:r>
        <w:fldChar w:fldCharType="begin"/>
      </w:r>
      <w:r>
        <w:instrText xml:space="preserve"> PAGEREF _Toc164757370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VIA — Residential tenancy databases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82A.</w:t>
      </w:r>
      <w:r>
        <w:tab/>
        <w:t>Terms used</w:t>
      </w:r>
      <w:r>
        <w:tab/>
      </w:r>
      <w:r>
        <w:fldChar w:fldCharType="begin"/>
      </w:r>
      <w:r>
        <w:instrText xml:space="preserve"> PAGEREF _Toc164757373 \h </w:instrText>
      </w:r>
      <w:r>
        <w:fldChar w:fldCharType="separate"/>
      </w:r>
      <w:r>
        <w:t>115</w:t>
      </w:r>
      <w:r>
        <w:fldChar w:fldCharType="end"/>
      </w:r>
    </w:p>
    <w:p>
      <w:pPr>
        <w:pStyle w:val="TOC8"/>
        <w:rPr>
          <w:rFonts w:asciiTheme="minorHAnsi" w:eastAsiaTheme="minorEastAsia" w:hAnsiTheme="minorHAnsi" w:cstheme="minorBidi"/>
          <w:szCs w:val="22"/>
        </w:rPr>
      </w:pPr>
      <w:r>
        <w:t>82B.</w:t>
      </w:r>
      <w:r>
        <w:tab/>
        <w:t>Application of Part</w:t>
      </w:r>
      <w:r>
        <w:tab/>
      </w:r>
      <w:r>
        <w:fldChar w:fldCharType="begin"/>
      </w:r>
      <w:r>
        <w:instrText xml:space="preserve"> PAGEREF _Toc164757374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Tenancy database information</w:t>
      </w:r>
    </w:p>
    <w:p>
      <w:pPr>
        <w:pStyle w:val="TOC8"/>
        <w:rPr>
          <w:rFonts w:asciiTheme="minorHAnsi" w:eastAsiaTheme="minorEastAsia" w:hAnsiTheme="minorHAnsi" w:cstheme="minorBidi"/>
          <w:szCs w:val="22"/>
        </w:rPr>
      </w:pPr>
      <w:r>
        <w:t>82C.</w:t>
      </w:r>
      <w:r>
        <w:tab/>
        <w:t>Notice of usual use of database</w:t>
      </w:r>
      <w:r>
        <w:tab/>
      </w:r>
      <w:r>
        <w:fldChar w:fldCharType="begin"/>
      </w:r>
      <w:r>
        <w:instrText xml:space="preserve"> PAGEREF _Toc164757376 \h </w:instrText>
      </w:r>
      <w:r>
        <w:fldChar w:fldCharType="separate"/>
      </w:r>
      <w:r>
        <w:t>117</w:t>
      </w:r>
      <w:r>
        <w:fldChar w:fldCharType="end"/>
      </w:r>
    </w:p>
    <w:p>
      <w:pPr>
        <w:pStyle w:val="TOC8"/>
        <w:rPr>
          <w:rFonts w:asciiTheme="minorHAnsi" w:eastAsiaTheme="minorEastAsia" w:hAnsiTheme="minorHAnsi" w:cstheme="minorBidi"/>
          <w:szCs w:val="22"/>
        </w:rPr>
      </w:pPr>
      <w:r>
        <w:t>82D.</w:t>
      </w:r>
      <w:r>
        <w:tab/>
        <w:t>Notice of listing if database used</w:t>
      </w:r>
      <w:r>
        <w:tab/>
      </w:r>
      <w:r>
        <w:fldChar w:fldCharType="begin"/>
      </w:r>
      <w:r>
        <w:instrText xml:space="preserve"> PAGEREF _Toc164757377 \h </w:instrText>
      </w:r>
      <w:r>
        <w:fldChar w:fldCharType="separate"/>
      </w:r>
      <w:r>
        <w:t>119</w:t>
      </w:r>
      <w:r>
        <w:fldChar w:fldCharType="end"/>
      </w:r>
    </w:p>
    <w:p>
      <w:pPr>
        <w:pStyle w:val="TOC8"/>
        <w:rPr>
          <w:rFonts w:asciiTheme="minorHAnsi" w:eastAsiaTheme="minorEastAsia" w:hAnsiTheme="minorHAnsi" w:cstheme="minorBidi"/>
          <w:szCs w:val="22"/>
        </w:rPr>
      </w:pPr>
      <w:r>
        <w:t>82E.</w:t>
      </w:r>
      <w:r>
        <w:tab/>
        <w:t>Listing can be made only for particular breaches by particular persons</w:t>
      </w:r>
      <w:r>
        <w:tab/>
      </w:r>
      <w:r>
        <w:fldChar w:fldCharType="begin"/>
      </w:r>
      <w:r>
        <w:instrText xml:space="preserve"> PAGEREF _Toc164757378 \h </w:instrText>
      </w:r>
      <w:r>
        <w:fldChar w:fldCharType="separate"/>
      </w:r>
      <w:r>
        <w:t>120</w:t>
      </w:r>
      <w:r>
        <w:fldChar w:fldCharType="end"/>
      </w:r>
    </w:p>
    <w:p>
      <w:pPr>
        <w:pStyle w:val="TOC8"/>
        <w:rPr>
          <w:rFonts w:asciiTheme="minorHAnsi" w:eastAsiaTheme="minorEastAsia" w:hAnsiTheme="minorHAnsi" w:cstheme="minorBidi"/>
          <w:szCs w:val="22"/>
        </w:rPr>
      </w:pPr>
      <w:r>
        <w:t>82F.</w:t>
      </w:r>
      <w:r>
        <w:tab/>
        <w:t>Further restriction on listing</w:t>
      </w:r>
      <w:r>
        <w:tab/>
      </w:r>
      <w:r>
        <w:fldChar w:fldCharType="begin"/>
      </w:r>
      <w:r>
        <w:instrText xml:space="preserve"> PAGEREF _Toc164757379 \h </w:instrText>
      </w:r>
      <w:r>
        <w:fldChar w:fldCharType="separate"/>
      </w:r>
      <w:r>
        <w:t>121</w:t>
      </w:r>
      <w:r>
        <w:fldChar w:fldCharType="end"/>
      </w:r>
    </w:p>
    <w:p>
      <w:pPr>
        <w:pStyle w:val="TOC8"/>
        <w:rPr>
          <w:rFonts w:asciiTheme="minorHAnsi" w:eastAsiaTheme="minorEastAsia" w:hAnsiTheme="minorHAnsi" w:cstheme="minorBidi"/>
          <w:szCs w:val="22"/>
        </w:rPr>
      </w:pPr>
      <w:r>
        <w:t>82G.</w:t>
      </w:r>
      <w:r>
        <w:tab/>
        <w:t>Ensuring quality of listing — lessor’s or agent’s obligation</w:t>
      </w:r>
      <w:r>
        <w:tab/>
      </w:r>
      <w:r>
        <w:fldChar w:fldCharType="begin"/>
      </w:r>
      <w:r>
        <w:instrText xml:space="preserve"> PAGEREF _Toc164757380 \h </w:instrText>
      </w:r>
      <w:r>
        <w:fldChar w:fldCharType="separate"/>
      </w:r>
      <w:r>
        <w:t>122</w:t>
      </w:r>
      <w:r>
        <w:fldChar w:fldCharType="end"/>
      </w:r>
    </w:p>
    <w:p>
      <w:pPr>
        <w:pStyle w:val="TOC8"/>
        <w:rPr>
          <w:rFonts w:asciiTheme="minorHAnsi" w:eastAsiaTheme="minorEastAsia" w:hAnsiTheme="minorHAnsi" w:cstheme="minorBidi"/>
          <w:szCs w:val="22"/>
        </w:rPr>
      </w:pPr>
      <w:r>
        <w:t>82H.</w:t>
      </w:r>
      <w:r>
        <w:tab/>
        <w:t>Ensuring quality of listing — database operator’s obligation</w:t>
      </w:r>
      <w:r>
        <w:tab/>
      </w:r>
      <w:r>
        <w:fldChar w:fldCharType="begin"/>
      </w:r>
      <w:r>
        <w:instrText xml:space="preserve"> PAGEREF _Toc164757381 \h </w:instrText>
      </w:r>
      <w:r>
        <w:fldChar w:fldCharType="separate"/>
      </w:r>
      <w:r>
        <w:t>122</w:t>
      </w:r>
      <w:r>
        <w:fldChar w:fldCharType="end"/>
      </w:r>
    </w:p>
    <w:p>
      <w:pPr>
        <w:pStyle w:val="TOC8"/>
        <w:rPr>
          <w:rFonts w:asciiTheme="minorHAnsi" w:eastAsiaTheme="minorEastAsia" w:hAnsiTheme="minorHAnsi" w:cstheme="minorBidi"/>
          <w:szCs w:val="22"/>
        </w:rPr>
      </w:pPr>
      <w:r>
        <w:t>82I.</w:t>
      </w:r>
      <w:r>
        <w:tab/>
        <w:t>Providing copy of personal information listed</w:t>
      </w:r>
      <w:r>
        <w:tab/>
      </w:r>
      <w:r>
        <w:fldChar w:fldCharType="begin"/>
      </w:r>
      <w:r>
        <w:instrText xml:space="preserve"> PAGEREF _Toc164757382 \h </w:instrText>
      </w:r>
      <w:r>
        <w:fldChar w:fldCharType="separate"/>
      </w:r>
      <w:r>
        <w:t>123</w:t>
      </w:r>
      <w:r>
        <w:fldChar w:fldCharType="end"/>
      </w:r>
    </w:p>
    <w:p>
      <w:pPr>
        <w:pStyle w:val="TOC8"/>
        <w:rPr>
          <w:rFonts w:asciiTheme="minorHAnsi" w:eastAsiaTheme="minorEastAsia" w:hAnsiTheme="minorHAnsi" w:cstheme="minorBidi"/>
          <w:szCs w:val="22"/>
        </w:rPr>
      </w:pPr>
      <w:r>
        <w:t>82J.</w:t>
      </w:r>
      <w:r>
        <w:tab/>
        <w:t>Disputes about listings</w:t>
      </w:r>
      <w:r>
        <w:tab/>
      </w:r>
      <w:r>
        <w:fldChar w:fldCharType="begin"/>
      </w:r>
      <w:r>
        <w:instrText xml:space="preserve"> PAGEREF _Toc164757383 \h </w:instrText>
      </w:r>
      <w:r>
        <w:fldChar w:fldCharType="separate"/>
      </w:r>
      <w:r>
        <w:t>124</w:t>
      </w:r>
      <w:r>
        <w:fldChar w:fldCharType="end"/>
      </w:r>
    </w:p>
    <w:p>
      <w:pPr>
        <w:pStyle w:val="TOC8"/>
        <w:rPr>
          <w:rFonts w:asciiTheme="minorHAnsi" w:eastAsiaTheme="minorEastAsia" w:hAnsiTheme="minorHAnsi" w:cstheme="minorBidi"/>
          <w:szCs w:val="22"/>
        </w:rPr>
      </w:pPr>
      <w:r>
        <w:lastRenderedPageBreak/>
        <w:t>82K.</w:t>
      </w:r>
      <w:r>
        <w:tab/>
        <w:t>Keeping personal information listed</w:t>
      </w:r>
      <w:r>
        <w:tab/>
      </w:r>
      <w:r>
        <w:fldChar w:fldCharType="begin"/>
      </w:r>
      <w:r>
        <w:instrText xml:space="preserve"> PAGEREF _Toc164757384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Contracting out</w:t>
      </w:r>
      <w:r>
        <w:tab/>
      </w:r>
      <w:r>
        <w:fldChar w:fldCharType="begin"/>
      </w:r>
      <w:r>
        <w:instrText xml:space="preserve"> PAGEREF _Toc164757386 \h </w:instrText>
      </w:r>
      <w:r>
        <w:fldChar w:fldCharType="separate"/>
      </w:r>
      <w:r>
        <w:t>127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Recovery of amounts paid under mistake of law or fact</w:t>
      </w:r>
      <w:r>
        <w:tab/>
      </w:r>
      <w:r>
        <w:fldChar w:fldCharType="begin"/>
      </w:r>
      <w:r>
        <w:instrText xml:space="preserve"> PAGEREF _Toc164757387 \h </w:instrText>
      </w:r>
      <w:r>
        <w:fldChar w:fldCharType="separate"/>
      </w:r>
      <w:r>
        <w:t>127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Exemption of tenancy agreement or premises from provision of Act</w:t>
      </w:r>
      <w:r>
        <w:tab/>
      </w:r>
      <w:r>
        <w:fldChar w:fldCharType="begin"/>
      </w:r>
      <w:r>
        <w:instrText xml:space="preserve"> PAGEREF _Toc164757388 \h </w:instrText>
      </w:r>
      <w:r>
        <w:fldChar w:fldCharType="separate"/>
      </w:r>
      <w:r>
        <w:t>127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Service</w:t>
      </w:r>
      <w:r>
        <w:tab/>
      </w:r>
      <w:r>
        <w:fldChar w:fldCharType="begin"/>
      </w:r>
      <w:r>
        <w:instrText xml:space="preserve"> PAGEREF _Toc164757389 \h </w:instrText>
      </w:r>
      <w:r>
        <w:fldChar w:fldCharType="separate"/>
      </w:r>
      <w:r>
        <w:t>128</w:t>
      </w:r>
      <w:r>
        <w:fldChar w:fldCharType="end"/>
      </w:r>
    </w:p>
    <w:p>
      <w:pPr>
        <w:pStyle w:val="TOC8"/>
        <w:rPr>
          <w:rFonts w:asciiTheme="minorHAnsi" w:eastAsiaTheme="minorEastAsia" w:hAnsiTheme="minorHAnsi" w:cstheme="minorBidi"/>
          <w:szCs w:val="22"/>
        </w:rPr>
      </w:pPr>
      <w:r>
        <w:t>86.</w:t>
      </w:r>
      <w:r>
        <w:tab/>
        <w:t>Court may refer matter to Commissioner for investigation</w:t>
      </w:r>
      <w:r>
        <w:tab/>
      </w:r>
      <w:r>
        <w:fldChar w:fldCharType="begin"/>
      </w:r>
      <w:r>
        <w:instrText xml:space="preserve"> PAGEREF _Toc164757390 \h </w:instrText>
      </w:r>
      <w:r>
        <w:fldChar w:fldCharType="separate"/>
      </w:r>
      <w:r>
        <w:t>129</w:t>
      </w:r>
      <w:r>
        <w:fldChar w:fldCharType="end"/>
      </w:r>
    </w:p>
    <w:p>
      <w:pPr>
        <w:pStyle w:val="TOC8"/>
        <w:rPr>
          <w:rFonts w:asciiTheme="minorHAnsi" w:eastAsiaTheme="minorEastAsia" w:hAnsiTheme="minorHAnsi" w:cstheme="minorBidi"/>
          <w:szCs w:val="22"/>
        </w:rPr>
      </w:pPr>
      <w:r>
        <w:t>87A.</w:t>
      </w:r>
      <w:r>
        <w:tab/>
        <w:t>Defence where lessor and property manager are both charged with the same offence</w:t>
      </w:r>
      <w:r>
        <w:tab/>
      </w:r>
      <w:r>
        <w:fldChar w:fldCharType="begin"/>
      </w:r>
      <w:r>
        <w:instrText xml:space="preserve"> PAGEREF _Toc164757391 \h </w:instrText>
      </w:r>
      <w:r>
        <w:fldChar w:fldCharType="separate"/>
      </w:r>
      <w:r>
        <w:t>130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for bringing proceedings</w:t>
      </w:r>
      <w:r>
        <w:tab/>
      </w:r>
      <w:r>
        <w:fldChar w:fldCharType="begin"/>
      </w:r>
      <w:r>
        <w:instrText xml:space="preserve"> PAGEREF _Toc164757392 \h </w:instrText>
      </w:r>
      <w:r>
        <w:fldChar w:fldCharType="separate"/>
      </w:r>
      <w:r>
        <w:t>130</w:t>
      </w:r>
      <w:r>
        <w:fldChar w:fldCharType="end"/>
      </w:r>
    </w:p>
    <w:p>
      <w:pPr>
        <w:pStyle w:val="TOC8"/>
        <w:rPr>
          <w:rFonts w:asciiTheme="minorHAnsi" w:eastAsiaTheme="minorEastAsia" w:hAnsiTheme="minorHAnsi" w:cstheme="minorBidi"/>
          <w:szCs w:val="22"/>
        </w:rPr>
      </w:pPr>
      <w:r>
        <w:t>88A.</w:t>
      </w:r>
      <w:r>
        <w:tab/>
        <w:t>Infringement notices</w:t>
      </w:r>
      <w:r>
        <w:tab/>
      </w:r>
      <w:r>
        <w:fldChar w:fldCharType="begin"/>
      </w:r>
      <w:r>
        <w:instrText xml:space="preserve"> PAGEREF _Toc164757393 \h </w:instrText>
      </w:r>
      <w:r>
        <w:fldChar w:fldCharType="separate"/>
      </w:r>
      <w:r>
        <w:t>130</w:t>
      </w:r>
      <w:r>
        <w:fldChar w:fldCharType="end"/>
      </w:r>
    </w:p>
    <w:p>
      <w:pPr>
        <w:pStyle w:val="TOC8"/>
        <w:rPr>
          <w:rFonts w:asciiTheme="minorHAnsi" w:eastAsiaTheme="minorEastAsia" w:hAnsiTheme="minorHAnsi" w:cstheme="minorBidi"/>
          <w:szCs w:val="22"/>
        </w:rPr>
      </w:pPr>
      <w:r>
        <w:t>88B.</w:t>
      </w:r>
      <w:r>
        <w:tab/>
        <w:t>Cross</w:t>
      </w:r>
      <w:r>
        <w:noBreakHyphen/>
        <w:t>examination of persons in proceedings involving family violence</w:t>
      </w:r>
      <w:r>
        <w:tab/>
      </w:r>
      <w:r>
        <w:fldChar w:fldCharType="begin"/>
      </w:r>
      <w:r>
        <w:instrText xml:space="preserve"> PAGEREF _Toc164757394 \h </w:instrText>
      </w:r>
      <w:r>
        <w:fldChar w:fldCharType="separate"/>
      </w:r>
      <w:r>
        <w:t>133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Regulations</w:t>
      </w:r>
      <w:r>
        <w:tab/>
      </w:r>
      <w:r>
        <w:fldChar w:fldCharType="begin"/>
      </w:r>
      <w:r>
        <w:instrText xml:space="preserve"> PAGEREF _Toc164757395 \h </w:instrText>
      </w:r>
      <w:r>
        <w:fldChar w:fldCharType="separate"/>
      </w:r>
      <w:r>
        <w:t>133</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Review of Act</w:t>
      </w:r>
      <w:r>
        <w:tab/>
      </w:r>
      <w:r>
        <w:fldChar w:fldCharType="begin"/>
      </w:r>
      <w:r>
        <w:instrText xml:space="preserve"> PAGEREF _Toc164757396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VII — Savings and transitional provisions relating to the </w:t>
      </w:r>
      <w:r>
        <w:rPr>
          <w:i/>
        </w:rPr>
        <w:t>Residential Tenancies Amendment Act 2011</w:t>
      </w:r>
    </w:p>
    <w:p>
      <w:pPr>
        <w:pStyle w:val="TOC4"/>
        <w:tabs>
          <w:tab w:val="right" w:leader="dot" w:pos="7077"/>
        </w:tabs>
        <w:rPr>
          <w:rFonts w:asciiTheme="minorHAnsi" w:eastAsiaTheme="minorEastAsia" w:hAnsiTheme="minorHAnsi" w:cstheme="minorBidi"/>
          <w:b w:val="0"/>
          <w:szCs w:val="22"/>
        </w:rPr>
      </w:pPr>
      <w:r>
        <w:t>Division 1 — Contracting out</w:t>
      </w:r>
    </w:p>
    <w:p>
      <w:pPr>
        <w:pStyle w:val="TOC8"/>
        <w:rPr>
          <w:rFonts w:asciiTheme="minorHAnsi" w:eastAsiaTheme="minorEastAsia" w:hAnsiTheme="minorHAnsi" w:cstheme="minorBidi"/>
          <w:szCs w:val="22"/>
        </w:rPr>
      </w:pPr>
      <w:r>
        <w:t>91.</w:t>
      </w:r>
      <w:r>
        <w:tab/>
        <w:t>Savings in relation to contracting out of standard terms</w:t>
      </w:r>
      <w:r>
        <w:tab/>
      </w:r>
      <w:r>
        <w:fldChar w:fldCharType="begin"/>
      </w:r>
      <w:r>
        <w:instrText xml:space="preserve"> PAGEREF _Toc164757399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2 — Security bonds held in AFI</w:t>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_Toc164757401 \h </w:instrText>
      </w:r>
      <w:r>
        <w:fldChar w:fldCharType="separate"/>
      </w:r>
      <w:r>
        <w:t>135</w:t>
      </w:r>
      <w:r>
        <w:fldChar w:fldCharType="end"/>
      </w:r>
    </w:p>
    <w:p>
      <w:pPr>
        <w:pStyle w:val="TOC8"/>
        <w:rPr>
          <w:rFonts w:asciiTheme="minorHAnsi" w:eastAsiaTheme="minorEastAsia" w:hAnsiTheme="minorHAnsi" w:cstheme="minorBidi"/>
          <w:szCs w:val="22"/>
        </w:rPr>
      </w:pPr>
      <w:r>
        <w:t>93.</w:t>
      </w:r>
      <w:r>
        <w:tab/>
        <w:t>All security bonds to be transferred to bond administrator after renewal of agreement or within 18 months</w:t>
      </w:r>
      <w:r>
        <w:tab/>
      </w:r>
      <w:r>
        <w:fldChar w:fldCharType="begin"/>
      </w:r>
      <w:r>
        <w:instrText xml:space="preserve"> PAGEREF _Toc164757402 \h </w:instrText>
      </w:r>
      <w:r>
        <w:fldChar w:fldCharType="separate"/>
      </w:r>
      <w:r>
        <w:t>136</w:t>
      </w:r>
      <w:r>
        <w:fldChar w:fldCharType="end"/>
      </w:r>
    </w:p>
    <w:p>
      <w:pPr>
        <w:pStyle w:val="TOC8"/>
        <w:rPr>
          <w:rFonts w:asciiTheme="minorHAnsi" w:eastAsiaTheme="minorEastAsia" w:hAnsiTheme="minorHAnsi" w:cstheme="minorBidi"/>
          <w:szCs w:val="22"/>
        </w:rPr>
      </w:pPr>
      <w:r>
        <w:t>94.</w:t>
      </w:r>
      <w:r>
        <w:tab/>
        <w:t>Requirements for AFI holding security bonds</w:t>
      </w:r>
      <w:r>
        <w:tab/>
      </w:r>
      <w:r>
        <w:fldChar w:fldCharType="begin"/>
      </w:r>
      <w:r>
        <w:instrText xml:space="preserve"> PAGEREF _Toc164757403 \h </w:instrText>
      </w:r>
      <w:r>
        <w:fldChar w:fldCharType="separate"/>
      </w:r>
      <w:r>
        <w:t>137</w:t>
      </w:r>
      <w:r>
        <w:fldChar w:fldCharType="end"/>
      </w:r>
    </w:p>
    <w:p>
      <w:pPr>
        <w:pStyle w:val="TOC8"/>
        <w:rPr>
          <w:rFonts w:asciiTheme="minorHAnsi" w:eastAsiaTheme="minorEastAsia" w:hAnsiTheme="minorHAnsi" w:cstheme="minorBidi"/>
          <w:szCs w:val="22"/>
        </w:rPr>
      </w:pPr>
      <w:r>
        <w:t>95.</w:t>
      </w:r>
      <w:r>
        <w:tab/>
        <w:t>Power of Commissioner to obtain information relating to AFI security bond accounts</w:t>
      </w:r>
      <w:r>
        <w:tab/>
      </w:r>
      <w:r>
        <w:fldChar w:fldCharType="begin"/>
      </w:r>
      <w:r>
        <w:instrText xml:space="preserve"> PAGEREF _Toc164757404 \h </w:instrText>
      </w:r>
      <w:r>
        <w:fldChar w:fldCharType="separate"/>
      </w:r>
      <w:r>
        <w:t>138</w:t>
      </w:r>
      <w:r>
        <w:fldChar w:fldCharType="end"/>
      </w:r>
    </w:p>
    <w:p>
      <w:pPr>
        <w:pStyle w:val="TOC8"/>
        <w:rPr>
          <w:rFonts w:asciiTheme="minorHAnsi" w:eastAsiaTheme="minorEastAsia" w:hAnsiTheme="minorHAnsi" w:cstheme="minorBidi"/>
          <w:szCs w:val="22"/>
        </w:rPr>
      </w:pPr>
      <w:r>
        <w:t>96.</w:t>
      </w:r>
      <w:r>
        <w:tab/>
        <w:t>Disposal of security bond held in AFIs</w:t>
      </w:r>
      <w:r>
        <w:tab/>
      </w:r>
      <w:r>
        <w:fldChar w:fldCharType="begin"/>
      </w:r>
      <w:r>
        <w:instrText xml:space="preserve"> PAGEREF _Toc164757405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Residential tenancy databases</w:t>
      </w:r>
    </w:p>
    <w:p>
      <w:pPr>
        <w:pStyle w:val="TOC8"/>
        <w:rPr>
          <w:rFonts w:asciiTheme="minorHAnsi" w:eastAsiaTheme="minorEastAsia" w:hAnsiTheme="minorHAnsi" w:cstheme="minorBidi"/>
          <w:szCs w:val="22"/>
        </w:rPr>
      </w:pPr>
      <w:r>
        <w:t>97.</w:t>
      </w:r>
      <w:r>
        <w:tab/>
        <w:t>Application of Part VIA to listings existing before commencement day</w:t>
      </w:r>
      <w:r>
        <w:tab/>
      </w:r>
      <w:r>
        <w:fldChar w:fldCharType="begin"/>
      </w:r>
      <w:r>
        <w:instrText xml:space="preserve"> PAGEREF _Toc164757407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 relating to the </w:t>
      </w:r>
      <w:r>
        <w:rPr>
          <w:i/>
        </w:rPr>
        <w:t>Consumer Protection Legislation Amendment Act 2019</w:t>
      </w:r>
    </w:p>
    <w:p>
      <w:pPr>
        <w:pStyle w:val="TOC8"/>
        <w:rPr>
          <w:rFonts w:asciiTheme="minorHAnsi" w:eastAsiaTheme="minorEastAsia" w:hAnsiTheme="minorHAnsi" w:cstheme="minorBidi"/>
          <w:szCs w:val="22"/>
        </w:rPr>
      </w:pPr>
      <w:r>
        <w:t>98.</w:t>
      </w:r>
      <w:r>
        <w:tab/>
        <w:t>Application of s. 49A to residential tenancy agreements and utility charges</w:t>
      </w:r>
      <w:r>
        <w:tab/>
      </w:r>
      <w:r>
        <w:fldChar w:fldCharType="begin"/>
      </w:r>
      <w:r>
        <w:instrText xml:space="preserve"> PAGEREF _Toc164757409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Provisions relating to holding and disposal of bonds and income from bonds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r>
      <w:r>
        <w:t>Term</w:t>
      </w:r>
      <w:r>
        <w:rPr>
          <w:snapToGrid w:val="0"/>
        </w:rPr>
        <w:t xml:space="preserve"> used: authorised agent</w:t>
      </w:r>
      <w:r>
        <w:tab/>
      </w:r>
      <w:r>
        <w:fldChar w:fldCharType="begin"/>
      </w:r>
      <w:r>
        <w:instrText xml:space="preserve"> PAGEREF _Toc164757412 \h </w:instrText>
      </w:r>
      <w:r>
        <w:fldChar w:fldCharType="separate"/>
      </w:r>
      <w:r>
        <w:t>143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Rental Accommodation Account</w:t>
      </w:r>
      <w:r>
        <w:tab/>
      </w:r>
      <w:r>
        <w:fldChar w:fldCharType="begin"/>
      </w:r>
      <w:r>
        <w:instrText xml:space="preserve"> PAGEREF _Toc164757413 \h </w:instrText>
      </w:r>
      <w:r>
        <w:fldChar w:fldCharType="separate"/>
      </w:r>
      <w:r>
        <w:t>143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Duties of bond administrator</w:t>
      </w:r>
      <w:r>
        <w:tab/>
      </w:r>
      <w:r>
        <w:fldChar w:fldCharType="begin"/>
      </w:r>
      <w:r>
        <w:instrText xml:space="preserve"> PAGEREF _Toc164757414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5A.</w:t>
      </w:r>
      <w:r>
        <w:tab/>
        <w:t>Security bond moneys to be paid to bond administrator</w:t>
      </w:r>
      <w:r>
        <w:tab/>
      </w:r>
      <w:r>
        <w:fldChar w:fldCharType="begin"/>
      </w:r>
      <w:r>
        <w:instrText xml:space="preserve"> PAGEREF _Toc164757416 \h </w:instrText>
      </w:r>
      <w:r>
        <w:fldChar w:fldCharType="separate"/>
      </w:r>
      <w:r>
        <w:t>146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Disposal of </w:t>
      </w:r>
      <w:r>
        <w:t>security</w:t>
      </w:r>
      <w:r>
        <w:rPr>
          <w:snapToGrid w:val="0"/>
        </w:rPr>
        <w:t xml:space="preserve"> bond by bond administrator</w:t>
      </w:r>
      <w:r>
        <w:tab/>
      </w:r>
      <w:r>
        <w:fldChar w:fldCharType="begin"/>
      </w:r>
      <w:r>
        <w:instrText xml:space="preserve"> PAGEREF _Toc164757417 \h </w:instrText>
      </w:r>
      <w:r>
        <w:fldChar w:fldCharType="separate"/>
      </w:r>
      <w:r>
        <w:t>146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Court</w:t>
      </w:r>
      <w:r>
        <w:rPr>
          <w:snapToGrid w:val="0"/>
        </w:rPr>
        <w:t xml:space="preserve"> may determine disposal of security bond</w:t>
      </w:r>
      <w:r>
        <w:tab/>
      </w:r>
      <w:r>
        <w:fldChar w:fldCharType="begin"/>
      </w:r>
      <w:r>
        <w:instrText xml:space="preserve"> PAGEREF _Toc164757418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 — Tenant compensation bonds</w:t>
      </w:r>
    </w:p>
    <w:p>
      <w:pPr>
        <w:pStyle w:val="TOC8"/>
        <w:rPr>
          <w:rFonts w:asciiTheme="minorHAnsi" w:eastAsiaTheme="minorEastAsia" w:hAnsiTheme="minorHAnsi" w:cstheme="minorBidi"/>
          <w:szCs w:val="22"/>
        </w:rPr>
      </w:pPr>
      <w:r>
        <w:t>9.</w:t>
      </w:r>
      <w:r>
        <w:tab/>
        <w:t>Application of Division</w:t>
      </w:r>
      <w:r>
        <w:tab/>
      </w:r>
      <w:r>
        <w:fldChar w:fldCharType="begin"/>
      </w:r>
      <w:r>
        <w:instrText xml:space="preserve"> PAGEREF _Toc164757420 \h </w:instrText>
      </w:r>
      <w:r>
        <w:fldChar w:fldCharType="separate"/>
      </w:r>
      <w:r>
        <w:t>149</w:t>
      </w:r>
      <w:r>
        <w:fldChar w:fldCharType="end"/>
      </w:r>
    </w:p>
    <w:p>
      <w:pPr>
        <w:pStyle w:val="TOC8"/>
        <w:rPr>
          <w:rFonts w:asciiTheme="minorHAnsi" w:eastAsiaTheme="minorEastAsia" w:hAnsiTheme="minorHAnsi" w:cstheme="minorBidi"/>
          <w:szCs w:val="22"/>
        </w:rPr>
      </w:pPr>
      <w:r>
        <w:t>10.</w:t>
      </w:r>
      <w:r>
        <w:tab/>
        <w:t>Disposal of tenant compensation bond to tenant by bond administrator</w:t>
      </w:r>
      <w:r>
        <w:tab/>
      </w:r>
      <w:r>
        <w:fldChar w:fldCharType="begin"/>
      </w:r>
      <w:r>
        <w:instrText xml:space="preserve"> PAGEREF _Toc164757421 \h </w:instrText>
      </w:r>
      <w:r>
        <w:fldChar w:fldCharType="separate"/>
      </w:r>
      <w:r>
        <w:t>149</w:t>
      </w:r>
      <w:r>
        <w:fldChar w:fldCharType="end"/>
      </w:r>
    </w:p>
    <w:p>
      <w:pPr>
        <w:pStyle w:val="TOC8"/>
        <w:rPr>
          <w:rFonts w:asciiTheme="minorHAnsi" w:eastAsiaTheme="minorEastAsia" w:hAnsiTheme="minorHAnsi" w:cstheme="minorBidi"/>
          <w:szCs w:val="22"/>
        </w:rPr>
      </w:pPr>
      <w:r>
        <w:t>11.</w:t>
      </w:r>
      <w:r>
        <w:tab/>
        <w:t>Disposal of tenant compensation bond to lessor by bond administrator</w:t>
      </w:r>
      <w:r>
        <w:tab/>
      </w:r>
      <w:r>
        <w:fldChar w:fldCharType="begin"/>
      </w:r>
      <w:r>
        <w:instrText xml:space="preserve"> PAGEREF _Toc164757422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_Toc164757424 \h </w:instrText>
      </w:r>
      <w:r>
        <w:fldChar w:fldCharType="separate"/>
      </w:r>
      <w:r>
        <w:t>152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_Toc164757425 \h </w:instrText>
      </w:r>
      <w:r>
        <w:fldChar w:fldCharType="separate"/>
      </w:r>
      <w:r>
        <w:t>155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_Toc164757426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1</w:t>
      </w:r>
      <w:r>
        <w:rPr>
          <w:snapToGrid w:val="0"/>
        </w:rPr>
        <w:t xml:space="preserve">, and for connected purposes. </w:t>
      </w:r>
    </w:p>
    <w:p>
      <w:pPr>
        <w:pStyle w:val="Footnotelongtitle"/>
      </w:pPr>
      <w:r>
        <w:tab/>
        <w:t xml:space="preserve">[Long title amended: No. 60 of 2011 s. 4.] </w:t>
      </w:r>
    </w:p>
    <w:p>
      <w:pPr>
        <w:pStyle w:val="Heading2"/>
      </w:pPr>
      <w:bookmarkStart w:id="2" w:name="_Toc164681532"/>
      <w:bookmarkStart w:id="3" w:name="_Toc164681734"/>
      <w:bookmarkStart w:id="4" w:name="_Toc164757225"/>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64757226"/>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w:t>
      </w:r>
    </w:p>
    <w:p>
      <w:pPr>
        <w:pStyle w:val="Heading5"/>
        <w:rPr>
          <w:snapToGrid w:val="0"/>
        </w:rPr>
      </w:pPr>
      <w:bookmarkStart w:id="6" w:name="_Toc164757227"/>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7" w:name="_Toc164757228"/>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bond</w:t>
      </w:r>
      <w:r>
        <w:t xml:space="preserve"> 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tab/>
      </w:r>
      <w:r>
        <w:rPr>
          <w:rStyle w:val="CharDefText"/>
        </w:rPr>
        <w:t>common area</w:t>
      </w:r>
      <w:r>
        <w:t xml:space="preserve"> — </w:t>
      </w:r>
    </w:p>
    <w:p>
      <w:pPr>
        <w:pStyle w:val="Defpara"/>
      </w:pPr>
      <w:r>
        <w:tab/>
        <w:t>(a)</w:t>
      </w:r>
      <w:r>
        <w:tab/>
        <w:t>means an area accessible to, or provided for the common use of, tenants; and</w:t>
      </w:r>
    </w:p>
    <w:p>
      <w:pPr>
        <w:pStyle w:val="Defpara"/>
      </w:pPr>
      <w:r>
        <w:tab/>
        <w:t>(b)</w:t>
      </w:r>
      <w:r>
        <w:tab/>
        <w:t xml:space="preserve">includes common property (as defined in the </w:t>
      </w:r>
      <w:r>
        <w:rPr>
          <w:i/>
        </w:rPr>
        <w:t>Strata Titles Act 1985</w:t>
      </w:r>
      <w:r>
        <w:t xml:space="preserve"> section 3) of a strata scheme or survey strata scheme;</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lastRenderedPageBreak/>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prescribed</w:t>
      </w:r>
      <w:r>
        <w:t xml:space="preserve"> means prescribed in the regulations;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lastRenderedPageBreak/>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the tenancy period or part of the tenancy period;</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Defstart"/>
      </w:pPr>
      <w:r>
        <w:tab/>
      </w:r>
      <w:r>
        <w:rPr>
          <w:rStyle w:val="CharDefText"/>
        </w:rPr>
        <w:t>tenant</w:t>
      </w:r>
      <w:r>
        <w:t xml:space="preserve"> — </w:t>
      </w:r>
    </w:p>
    <w:p>
      <w:pPr>
        <w:pStyle w:val="Defpara"/>
      </w:pPr>
      <w:r>
        <w:lastRenderedPageBreak/>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No. 3 of 2019 s. 4; No. 25 of 2019 s. 64.] </w:t>
      </w:r>
    </w:p>
    <w:p>
      <w:pPr>
        <w:pStyle w:val="Heading5"/>
        <w:rPr>
          <w:snapToGrid w:val="0"/>
        </w:rPr>
      </w:pPr>
      <w:bookmarkStart w:id="8" w:name="_Toc164757229"/>
      <w:r>
        <w:rPr>
          <w:rStyle w:val="CharSectno"/>
        </w:rPr>
        <w:t>4</w:t>
      </w:r>
      <w:r>
        <w:rPr>
          <w:snapToGrid w:val="0"/>
        </w:rPr>
        <w:t>.</w:t>
      </w:r>
      <w:r>
        <w:rPr>
          <w:snapToGrid w:val="0"/>
        </w:rPr>
        <w:tab/>
        <w:t>Position of Crown</w:t>
      </w:r>
      <w:bookmarkEnd w:id="8"/>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9" w:name="_Toc164757230"/>
      <w:r>
        <w:rPr>
          <w:rStyle w:val="CharSectno"/>
        </w:rPr>
        <w:t>5</w:t>
      </w:r>
      <w:r>
        <w:rPr>
          <w:snapToGrid w:val="0"/>
        </w:rPr>
        <w:t>.</w:t>
      </w:r>
      <w:r>
        <w:rPr>
          <w:snapToGrid w:val="0"/>
        </w:rPr>
        <w:tab/>
        <w:t>Application of Act</w:t>
      </w:r>
      <w:bookmarkEnd w:id="9"/>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pPr>
      <w:r>
        <w:tab/>
        <w:t>(1A)</w:t>
      </w:r>
      <w:r>
        <w:tab/>
        <w:t xml:space="preserve">This Act does not apply to a residential tenancy agreement that is a strata lease, within the meaning of the </w:t>
      </w:r>
      <w:r>
        <w:rPr>
          <w:i/>
          <w:snapToGrid w:val="0"/>
        </w:rPr>
        <w:t>Strata Titles Act 1985</w:t>
      </w:r>
      <w:r>
        <w:t>.</w:t>
      </w:r>
    </w:p>
    <w:p>
      <w:pPr>
        <w:pStyle w:val="PermNoteHeading"/>
      </w:pPr>
      <w:r>
        <w:tab/>
        <w:t>Note for this subsection:</w:t>
      </w:r>
    </w:p>
    <w:p>
      <w:pPr>
        <w:pStyle w:val="PermNoteText"/>
      </w:pPr>
      <w:r>
        <w:tab/>
      </w:r>
      <w:r>
        <w:tab/>
        <w:t>This subsection does not affect the application of this Act to a residential tenancy agreement that is a sublease of a strata lease.</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lastRenderedPageBreak/>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lastRenderedPageBreak/>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 No. 30 of 2018 s. 182.]</w:t>
      </w:r>
    </w:p>
    <w:p>
      <w:pPr>
        <w:pStyle w:val="Heading5"/>
        <w:rPr>
          <w:snapToGrid w:val="0"/>
        </w:rPr>
      </w:pPr>
      <w:bookmarkStart w:id="10" w:name="_Toc164757231"/>
      <w:r>
        <w:rPr>
          <w:rStyle w:val="CharSectno"/>
        </w:rPr>
        <w:t>6</w:t>
      </w:r>
      <w:r>
        <w:rPr>
          <w:snapToGrid w:val="0"/>
        </w:rPr>
        <w:t>.</w:t>
      </w:r>
      <w:r>
        <w:rPr>
          <w:snapToGrid w:val="0"/>
        </w:rPr>
        <w:tab/>
        <w:t>Modification of application of Act by regulation</w:t>
      </w:r>
      <w:bookmarkEnd w:id="10"/>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lastRenderedPageBreak/>
        <w:tab/>
        <w:t>(c)</w:t>
      </w:r>
      <w:r>
        <w:rPr>
          <w:snapToGrid w:val="0"/>
        </w:rPr>
        <w:tab/>
        <w:t>any prescribed person or agency being a person or agency that is acting on behalf of the Crown.</w:t>
      </w:r>
    </w:p>
    <w:p>
      <w:pPr>
        <w:pStyle w:val="Heading5"/>
        <w:rPr>
          <w:snapToGrid w:val="0"/>
        </w:rPr>
      </w:pPr>
      <w:bookmarkStart w:id="11" w:name="_Toc164757232"/>
      <w:r>
        <w:rPr>
          <w:rStyle w:val="CharSectno"/>
        </w:rPr>
        <w:t>7</w:t>
      </w:r>
      <w:r>
        <w:rPr>
          <w:snapToGrid w:val="0"/>
        </w:rPr>
        <w:t>.</w:t>
      </w:r>
      <w:r>
        <w:rPr>
          <w:snapToGrid w:val="0"/>
        </w:rPr>
        <w:tab/>
      </w:r>
      <w:r>
        <w:rPr>
          <w:bCs/>
        </w:rPr>
        <w:t>Transitional provisions relating to commencement of this Act</w:t>
      </w:r>
      <w:bookmarkEnd w:id="1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lastRenderedPageBreak/>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12" w:name="_Toc164681540"/>
      <w:bookmarkStart w:id="13" w:name="_Toc164681742"/>
      <w:bookmarkStart w:id="14" w:name="_Toc164757233"/>
      <w:r>
        <w:rPr>
          <w:rStyle w:val="CharPartNo"/>
        </w:rPr>
        <w:lastRenderedPageBreak/>
        <w:t>Part II</w:t>
      </w:r>
      <w:r>
        <w:rPr>
          <w:rStyle w:val="CharDivNo"/>
        </w:rPr>
        <w:t> </w:t>
      </w:r>
      <w:r>
        <w:t>—</w:t>
      </w:r>
      <w:r>
        <w:rPr>
          <w:rStyle w:val="CharDivText"/>
        </w:rPr>
        <w:t> </w:t>
      </w:r>
      <w:r>
        <w:rPr>
          <w:rStyle w:val="CharPartText"/>
        </w:rPr>
        <w:t>Administration</w:t>
      </w:r>
      <w:bookmarkEnd w:id="12"/>
      <w:bookmarkEnd w:id="13"/>
      <w:bookmarkEnd w:id="14"/>
    </w:p>
    <w:p>
      <w:pPr>
        <w:pStyle w:val="Heading5"/>
      </w:pPr>
      <w:bookmarkStart w:id="15" w:name="_Toc164757234"/>
      <w:r>
        <w:rPr>
          <w:rStyle w:val="CharSectno"/>
        </w:rPr>
        <w:t>7A</w:t>
      </w:r>
      <w:r>
        <w:t>.</w:t>
      </w:r>
      <w:r>
        <w:tab/>
        <w:t>Commissioner</w:t>
      </w:r>
      <w:bookmarkEnd w:id="15"/>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16" w:name="_Toc164757235"/>
      <w:r>
        <w:rPr>
          <w:rStyle w:val="CharSectno"/>
        </w:rPr>
        <w:t>8</w:t>
      </w:r>
      <w:r>
        <w:rPr>
          <w:snapToGrid w:val="0"/>
        </w:rPr>
        <w:t>.</w:t>
      </w:r>
      <w:r>
        <w:rPr>
          <w:snapToGrid w:val="0"/>
        </w:rPr>
        <w:tab/>
        <w:t>Functions of Commissioner</w:t>
      </w:r>
      <w:bookmarkEnd w:id="16"/>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lastRenderedPageBreak/>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No. 28 of 2006 s. 135.]</w:t>
      </w:r>
    </w:p>
    <w:p>
      <w:pPr>
        <w:pStyle w:val="Heading5"/>
        <w:rPr>
          <w:snapToGrid w:val="0"/>
        </w:rPr>
      </w:pPr>
      <w:bookmarkStart w:id="17" w:name="_Toc164757236"/>
      <w:r>
        <w:rPr>
          <w:rStyle w:val="CharSectno"/>
        </w:rPr>
        <w:t>9</w:t>
      </w:r>
      <w:r>
        <w:rPr>
          <w:snapToGrid w:val="0"/>
        </w:rPr>
        <w:t>.</w:t>
      </w:r>
      <w:r>
        <w:rPr>
          <w:snapToGrid w:val="0"/>
        </w:rPr>
        <w:tab/>
        <w:t>Commissioner may institute or defend proceedings for party</w:t>
      </w:r>
      <w:bookmarkEnd w:id="17"/>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lastRenderedPageBreak/>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 xml:space="preserve">any moneys (excluding costs) recovered by the Commissioner shall belong and be paid to the party without deduction and any amount awarded against the party shall be paid by and recoverable from the party, but in all cases the costs of the proceedings shall be </w:t>
      </w:r>
      <w:r>
        <w:rPr>
          <w:snapToGrid w:val="0"/>
        </w:rPr>
        <w:lastRenderedPageBreak/>
        <w:t>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 xml:space="preserve">a document purporting to be the consent of the party to the residential tenancy agreement to the Commissioner </w:t>
      </w:r>
      <w:r>
        <w:rPr>
          <w:snapToGrid w:val="0"/>
        </w:rPr>
        <w:lastRenderedPageBreak/>
        <w:t>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w:t>
      </w:r>
    </w:p>
    <w:p>
      <w:pPr>
        <w:pStyle w:val="Heading5"/>
        <w:rPr>
          <w:snapToGrid w:val="0"/>
        </w:rPr>
      </w:pPr>
      <w:bookmarkStart w:id="18" w:name="_Toc164757237"/>
      <w:r>
        <w:rPr>
          <w:rStyle w:val="CharSectno"/>
        </w:rPr>
        <w:t>10</w:t>
      </w:r>
      <w:r>
        <w:rPr>
          <w:snapToGrid w:val="0"/>
        </w:rPr>
        <w:t>.</w:t>
      </w:r>
      <w:r>
        <w:rPr>
          <w:snapToGrid w:val="0"/>
        </w:rPr>
        <w:tab/>
        <w:t>Delegation by Commissioner</w:t>
      </w:r>
      <w:bookmarkEnd w:id="18"/>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No. 60 of 2011 s. 9.] </w:t>
      </w:r>
    </w:p>
    <w:p>
      <w:pPr>
        <w:pStyle w:val="Heading5"/>
        <w:rPr>
          <w:snapToGrid w:val="0"/>
        </w:rPr>
      </w:pPr>
      <w:bookmarkStart w:id="19" w:name="_Toc164757238"/>
      <w:r>
        <w:rPr>
          <w:rStyle w:val="CharSectno"/>
        </w:rPr>
        <w:t>11</w:t>
      </w:r>
      <w:r>
        <w:rPr>
          <w:snapToGrid w:val="0"/>
        </w:rPr>
        <w:t>.</w:t>
      </w:r>
      <w:r>
        <w:rPr>
          <w:snapToGrid w:val="0"/>
        </w:rPr>
        <w:tab/>
        <w:t>Protection of officers</w:t>
      </w:r>
      <w:bookmarkEnd w:id="19"/>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20" w:name="_Toc164757239"/>
      <w:r>
        <w:rPr>
          <w:rStyle w:val="CharSectno"/>
        </w:rPr>
        <w:lastRenderedPageBreak/>
        <w:t>11A</w:t>
      </w:r>
      <w:r>
        <w:t>.</w:t>
      </w:r>
      <w:r>
        <w:tab/>
        <w:t>Information officially obtained to be confidential</w:t>
      </w:r>
      <w:bookmarkEnd w:id="20"/>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 No. 3 of 2019 s. 25.]</w:t>
      </w:r>
    </w:p>
    <w:p>
      <w:pPr>
        <w:pStyle w:val="Heading5"/>
      </w:pPr>
      <w:bookmarkStart w:id="21" w:name="_Toc164757240"/>
      <w:r>
        <w:rPr>
          <w:rStyle w:val="CharSectno"/>
        </w:rPr>
        <w:t>11B</w:t>
      </w:r>
      <w:r>
        <w:t>.</w:t>
      </w:r>
      <w:r>
        <w:tab/>
        <w:t>Powers of investigation</w:t>
      </w:r>
      <w:bookmarkEnd w:id="21"/>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22" w:name="_Toc164681548"/>
      <w:bookmarkStart w:id="23" w:name="_Toc164681750"/>
      <w:bookmarkStart w:id="24" w:name="_Toc164757241"/>
      <w:r>
        <w:rPr>
          <w:rStyle w:val="CharPartNo"/>
        </w:rPr>
        <w:lastRenderedPageBreak/>
        <w:t>Part III</w:t>
      </w:r>
      <w:r>
        <w:rPr>
          <w:rStyle w:val="CharDivNo"/>
        </w:rPr>
        <w:t> </w:t>
      </w:r>
      <w:r>
        <w:t>—</w:t>
      </w:r>
      <w:r>
        <w:rPr>
          <w:rStyle w:val="CharDivText"/>
        </w:rPr>
        <w:t> </w:t>
      </w:r>
      <w:r>
        <w:rPr>
          <w:rStyle w:val="CharPartText"/>
        </w:rPr>
        <w:t>Determination of disputes</w:t>
      </w:r>
      <w:bookmarkEnd w:id="22"/>
      <w:bookmarkEnd w:id="23"/>
      <w:bookmarkEnd w:id="24"/>
      <w:r>
        <w:rPr>
          <w:rStyle w:val="CharPartText"/>
        </w:rPr>
        <w:t xml:space="preserve"> </w:t>
      </w:r>
    </w:p>
    <w:p>
      <w:pPr>
        <w:pStyle w:val="Heading5"/>
      </w:pPr>
      <w:bookmarkStart w:id="25" w:name="_Toc164757242"/>
      <w:r>
        <w:rPr>
          <w:rStyle w:val="CharSectno"/>
        </w:rPr>
        <w:t>12</w:t>
      </w:r>
      <w:r>
        <w:t>.</w:t>
      </w:r>
      <w:r>
        <w:tab/>
        <w:t>Terms used</w:t>
      </w:r>
      <w:bookmarkEnd w:id="25"/>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w:t>
      </w:r>
    </w:p>
    <w:p>
      <w:pPr>
        <w:pStyle w:val="Heading5"/>
      </w:pPr>
      <w:bookmarkStart w:id="26" w:name="_Toc164757243"/>
      <w:r>
        <w:rPr>
          <w:rStyle w:val="CharSectno"/>
        </w:rPr>
        <w:t>12A</w:t>
      </w:r>
      <w:r>
        <w:t>.</w:t>
      </w:r>
      <w:r>
        <w:tab/>
      </w:r>
      <w:r>
        <w:rPr>
          <w:snapToGrid w:val="0"/>
        </w:rPr>
        <w:t>Jurisdiction</w:t>
      </w:r>
      <w:r>
        <w:t xml:space="preserve"> over </w:t>
      </w:r>
      <w:r>
        <w:rPr>
          <w:snapToGrid w:val="0"/>
        </w:rPr>
        <w:t>prescribed</w:t>
      </w:r>
      <w:r>
        <w:t xml:space="preserve"> disputes</w:t>
      </w:r>
      <w:bookmarkEnd w:id="26"/>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27" w:name="_Toc164757244"/>
      <w:r>
        <w:rPr>
          <w:rStyle w:val="CharSectno"/>
        </w:rPr>
        <w:t>13</w:t>
      </w:r>
      <w:r>
        <w:t>.</w:t>
      </w:r>
      <w:r>
        <w:tab/>
        <w:t>Jurisdiction over other disputes</w:t>
      </w:r>
      <w:bookmarkEnd w:id="27"/>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lastRenderedPageBreak/>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28" w:name="_Toc164757245"/>
      <w:r>
        <w:rPr>
          <w:rStyle w:val="CharSectno"/>
        </w:rPr>
        <w:t>13A</w:t>
      </w:r>
      <w:r>
        <w:t>.</w:t>
      </w:r>
      <w:r>
        <w:tab/>
      </w:r>
      <w:r>
        <w:rPr>
          <w:snapToGrid w:val="0"/>
        </w:rPr>
        <w:t>Magistrates</w:t>
      </w:r>
      <w:r>
        <w:t xml:space="preserve"> Court’s jurisdiction</w:t>
      </w:r>
      <w:bookmarkEnd w:id="28"/>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lastRenderedPageBreak/>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w:t>
      </w:r>
    </w:p>
    <w:p>
      <w:pPr>
        <w:pStyle w:val="Subsection"/>
      </w:pPr>
      <w:r>
        <w:tab/>
        <w:t>(4)</w:t>
      </w:r>
      <w:r>
        <w:tab/>
        <w:t xml:space="preserve">Subsection (3) does not prevent the Magistrates Court from making an order under the </w:t>
      </w:r>
      <w:r>
        <w:rPr>
          <w:i/>
          <w:iCs/>
        </w:rPr>
        <w:t>Magistrates Court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29" w:name="_Toc164757246"/>
      <w:r>
        <w:rPr>
          <w:rStyle w:val="CharSectno"/>
        </w:rPr>
        <w:t>13B</w:t>
      </w:r>
      <w:r>
        <w:t>.</w:t>
      </w:r>
      <w:r>
        <w:tab/>
        <w:t>Appeals from decisions of registrar</w:t>
      </w:r>
      <w:bookmarkEnd w:id="29"/>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No. 69 of 2006 s. 29.]</w:t>
      </w:r>
    </w:p>
    <w:p>
      <w:pPr>
        <w:pStyle w:val="Heading5"/>
        <w:rPr>
          <w:snapToGrid w:val="0"/>
        </w:rPr>
      </w:pPr>
      <w:bookmarkStart w:id="30" w:name="_Toc164757247"/>
      <w:r>
        <w:rPr>
          <w:rStyle w:val="CharSectno"/>
        </w:rPr>
        <w:t>14</w:t>
      </w:r>
      <w:r>
        <w:rPr>
          <w:snapToGrid w:val="0"/>
        </w:rPr>
        <w:t>.</w:t>
      </w:r>
      <w:r>
        <w:rPr>
          <w:snapToGrid w:val="0"/>
        </w:rPr>
        <w:tab/>
        <w:t>Time for determination of proceedings</w:t>
      </w:r>
      <w:bookmarkEnd w:id="30"/>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31" w:name="_Toc164757248"/>
      <w:r>
        <w:rPr>
          <w:rStyle w:val="CharSectno"/>
        </w:rPr>
        <w:t>15</w:t>
      </w:r>
      <w:r>
        <w:rPr>
          <w:snapToGrid w:val="0"/>
        </w:rPr>
        <w:t>.</w:t>
      </w:r>
      <w:r>
        <w:rPr>
          <w:snapToGrid w:val="0"/>
        </w:rPr>
        <w:tab/>
        <w:t>Applications for relief and orders that may be made</w:t>
      </w:r>
      <w:bookmarkEnd w:id="31"/>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w:t>
      </w:r>
      <w:r>
        <w:rPr>
          <w:snapToGrid w:val="0"/>
        </w:rPr>
        <w:lastRenderedPageBreak/>
        <w:t xml:space="preserve">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lastRenderedPageBreak/>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No. 50 of 1988 s. 8 and 18; No. 59 of 2004 s. 120 and 121; No. 60 of 2011 s. 13 and 89; No. 17 of 2014 s. 5.] </w:t>
      </w:r>
    </w:p>
    <w:p>
      <w:pPr>
        <w:pStyle w:val="Heading5"/>
        <w:rPr>
          <w:snapToGrid w:val="0"/>
        </w:rPr>
      </w:pPr>
      <w:bookmarkStart w:id="32" w:name="_Toc164757249"/>
      <w:r>
        <w:rPr>
          <w:rStyle w:val="CharSectno"/>
        </w:rPr>
        <w:t>16</w:t>
      </w:r>
      <w:r>
        <w:rPr>
          <w:snapToGrid w:val="0"/>
        </w:rPr>
        <w:t>.</w:t>
      </w:r>
      <w:r>
        <w:rPr>
          <w:snapToGrid w:val="0"/>
        </w:rPr>
        <w:tab/>
        <w:t>Enforcement</w:t>
      </w:r>
      <w:bookmarkEnd w:id="32"/>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for this subsection: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No. 3 of 2019 s. 25.] </w:t>
      </w:r>
    </w:p>
    <w:p>
      <w:pPr>
        <w:pStyle w:val="Heading5"/>
      </w:pPr>
      <w:bookmarkStart w:id="33" w:name="_Toc164757250"/>
      <w:r>
        <w:rPr>
          <w:rStyle w:val="CharSectno"/>
        </w:rPr>
        <w:t>17A</w:t>
      </w:r>
      <w:r>
        <w:t>.</w:t>
      </w:r>
      <w:r>
        <w:tab/>
        <w:t>Disputes between tenants</w:t>
      </w:r>
      <w:bookmarkEnd w:id="33"/>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 xml:space="preserve">order the payment of compensation to the first tenant by the other tenant for loss or injury, other than personal </w:t>
      </w:r>
      <w:r>
        <w:lastRenderedPageBreak/>
        <w:t>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No. 60 of 2011 s. 15.] </w:t>
      </w:r>
    </w:p>
    <w:p>
      <w:pPr>
        <w:pStyle w:val="Heading5"/>
      </w:pPr>
      <w:bookmarkStart w:id="34" w:name="_Toc164757251"/>
      <w:r>
        <w:rPr>
          <w:rStyle w:val="CharSectno"/>
        </w:rPr>
        <w:t>17B</w:t>
      </w:r>
      <w:r>
        <w:t>.</w:t>
      </w:r>
      <w:r>
        <w:tab/>
        <w:t>Determination of rights and liabilities after termination of tenant’s interest on grounds of family violence</w:t>
      </w:r>
      <w:bookmarkEnd w:id="34"/>
    </w:p>
    <w:p>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pPr>
        <w:pStyle w:val="Subsection"/>
      </w:pPr>
      <w:r>
        <w:tab/>
        <w:t>(2)</w:t>
      </w:r>
      <w:r>
        <w:tab/>
        <w:t xml:space="preserve">When hearing an application under subsection (1) or section 71AE(3), the court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other than personal injury, relating to the termination.</w:t>
      </w:r>
    </w:p>
    <w:p>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Subsection"/>
      </w:pPr>
      <w:r>
        <w:tab/>
        <w:t>(5)</w:t>
      </w:r>
      <w:r>
        <w:tab/>
        <w:t>In making a determination or order under subsection (2), the court must have regard to all of the following principles —</w:t>
      </w:r>
    </w:p>
    <w:p>
      <w:pPr>
        <w:pStyle w:val="Indenta"/>
      </w:pPr>
      <w:r>
        <w:lastRenderedPageBreak/>
        <w:tab/>
        <w:t>(a)</w:t>
      </w:r>
      <w:r>
        <w:tab/>
        <w:t xml:space="preserve">that family violence is a fundamental violation of human rights and is unacceptable in any form; </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court to order compensation for early termination of a residential tenancy agreement.</w:t>
      </w:r>
    </w:p>
    <w:p>
      <w:pPr>
        <w:pStyle w:val="Footnotesection"/>
      </w:pPr>
      <w:r>
        <w:tab/>
        <w:t xml:space="preserve">[Section 17B inserted: No. 3 of 2019 s. 5.] </w:t>
      </w:r>
    </w:p>
    <w:p>
      <w:pPr>
        <w:pStyle w:val="Heading5"/>
        <w:rPr>
          <w:snapToGrid w:val="0"/>
        </w:rPr>
      </w:pPr>
      <w:bookmarkStart w:id="35" w:name="_Toc164757252"/>
      <w:r>
        <w:rPr>
          <w:rStyle w:val="CharSectno"/>
        </w:rPr>
        <w:t>17</w:t>
      </w:r>
      <w:r>
        <w:rPr>
          <w:snapToGrid w:val="0"/>
        </w:rPr>
        <w:t>.</w:t>
      </w:r>
      <w:r>
        <w:rPr>
          <w:snapToGrid w:val="0"/>
        </w:rPr>
        <w:tab/>
        <w:t>Application to vary or set aside order</w:t>
      </w:r>
      <w:bookmarkEnd w:id="35"/>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36" w:name="_Toc164757253"/>
      <w:r>
        <w:rPr>
          <w:rStyle w:val="CharSectno"/>
        </w:rPr>
        <w:lastRenderedPageBreak/>
        <w:t>18</w:t>
      </w:r>
      <w:r>
        <w:rPr>
          <w:snapToGrid w:val="0"/>
        </w:rPr>
        <w:t>.</w:t>
      </w:r>
      <w:r>
        <w:rPr>
          <w:snapToGrid w:val="0"/>
        </w:rPr>
        <w:tab/>
        <w:t>Form of applications and notice of hearing</w:t>
      </w:r>
      <w:bookmarkEnd w:id="36"/>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37" w:name="_Toc164757254"/>
      <w:r>
        <w:rPr>
          <w:rStyle w:val="CharSectno"/>
        </w:rPr>
        <w:t>19</w:t>
      </w:r>
      <w:r>
        <w:rPr>
          <w:snapToGrid w:val="0"/>
        </w:rPr>
        <w:t>.</w:t>
      </w:r>
      <w:r>
        <w:rPr>
          <w:snapToGrid w:val="0"/>
        </w:rPr>
        <w:tab/>
        <w:t>Witnesses and inspection of documents</w:t>
      </w:r>
      <w:bookmarkEnd w:id="37"/>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lastRenderedPageBreak/>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for this subsection: a fine of $10 000.</w:t>
      </w:r>
    </w:p>
    <w:p>
      <w:pPr>
        <w:pStyle w:val="Footnotesection"/>
      </w:pPr>
      <w:r>
        <w:tab/>
        <w:t xml:space="preserve">[Section 19 amended: No. 50 of 1988 s. 11 and 18; No. 59 of 2004 s. 120(2) and 121; No. 60 of 2011 s. 17; No. 3 of 2019 s. 25.] </w:t>
      </w:r>
    </w:p>
    <w:p>
      <w:pPr>
        <w:pStyle w:val="Heading5"/>
        <w:rPr>
          <w:snapToGrid w:val="0"/>
        </w:rPr>
      </w:pPr>
      <w:bookmarkStart w:id="38" w:name="_Toc164757255"/>
      <w:r>
        <w:rPr>
          <w:rStyle w:val="CharSectno"/>
        </w:rPr>
        <w:t>20</w:t>
      </w:r>
      <w:r>
        <w:rPr>
          <w:snapToGrid w:val="0"/>
        </w:rPr>
        <w:t>.</w:t>
      </w:r>
      <w:r>
        <w:rPr>
          <w:snapToGrid w:val="0"/>
        </w:rPr>
        <w:tab/>
        <w:t>General powers in proceedings</w:t>
      </w:r>
      <w:bookmarkEnd w:id="38"/>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lastRenderedPageBreak/>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39" w:name="_Toc164757256"/>
      <w:r>
        <w:rPr>
          <w:rStyle w:val="CharSectno"/>
        </w:rPr>
        <w:t>21</w:t>
      </w:r>
      <w:r>
        <w:t>.</w:t>
      </w:r>
      <w:r>
        <w:tab/>
        <w:t>Evidence</w:t>
      </w:r>
      <w:bookmarkEnd w:id="39"/>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40" w:name="_Toc164757257"/>
      <w:r>
        <w:rPr>
          <w:rStyle w:val="CharSectno"/>
        </w:rPr>
        <w:lastRenderedPageBreak/>
        <w:t>22</w:t>
      </w:r>
      <w:r>
        <w:rPr>
          <w:snapToGrid w:val="0"/>
        </w:rPr>
        <w:t>.</w:t>
      </w:r>
      <w:r>
        <w:rPr>
          <w:snapToGrid w:val="0"/>
        </w:rPr>
        <w:tab/>
        <w:t>Presentation of cases</w:t>
      </w:r>
      <w:bookmarkEnd w:id="40"/>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 </w:t>
      </w:r>
    </w:p>
    <w:p>
      <w:pPr>
        <w:pStyle w:val="Indenta"/>
      </w:pPr>
      <w:r>
        <w:tab/>
        <w:t>(a)</w:t>
      </w:r>
      <w:r>
        <w:tab/>
        <w:t xml:space="preserve">the agent is authorised by the party to do so and is — </w:t>
      </w:r>
    </w:p>
    <w:p>
      <w:pPr>
        <w:pStyle w:val="Indenti"/>
      </w:pPr>
      <w:r>
        <w:tab/>
        <w:t>(i)</w:t>
      </w:r>
      <w:r>
        <w:tab/>
        <w:t>the property manager of the premises the subject of the proceedings; or</w:t>
      </w:r>
    </w:p>
    <w:p>
      <w:pPr>
        <w:pStyle w:val="Indenti"/>
      </w:pPr>
      <w:r>
        <w:tab/>
        <w:t>(ii)</w:t>
      </w:r>
      <w:r>
        <w:tab/>
        <w:t>employed or engaged by a non</w:t>
      </w:r>
      <w:r>
        <w:noBreakHyphen/>
        <w:t>profit association or similar body to act as an advocate for tenants or lessors in proceedings;</w:t>
      </w:r>
    </w:p>
    <w:p>
      <w:pPr>
        <w:pStyle w:val="Indenta"/>
      </w:pPr>
      <w:r>
        <w:tab/>
      </w:r>
      <w:r>
        <w:tab/>
        <w:t>or</w:t>
      </w:r>
    </w:p>
    <w:p>
      <w:pPr>
        <w:pStyle w:val="Indenta"/>
      </w:pPr>
      <w:r>
        <w:tab/>
        <w:t>(b)</w:t>
      </w:r>
      <w:r>
        <w:tab/>
        <w:t>the court makes an order under subsection (3C).</w:t>
      </w:r>
    </w:p>
    <w:p>
      <w:pPr>
        <w:pStyle w:val="Subsection"/>
      </w:pPr>
      <w:r>
        <w:tab/>
        <w:t>(3A)</w:t>
      </w:r>
      <w:r>
        <w:tab/>
        <w:t xml:space="preserve">The authorisation mentioned in subsection (2)(a)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pPr>
      <w:r>
        <w:tab/>
        <w:t>(3B)</w:t>
      </w:r>
      <w:r>
        <w:tab/>
        <w:t xml:space="preserve">Without limiting how an agent representing or assisting a party under subsection (2)(a) may represent or assist the party, the agent may initiate proceedings on behalf of the party. </w:t>
      </w:r>
    </w:p>
    <w:p>
      <w:pPr>
        <w:pStyle w:val="Subsection"/>
        <w:keepNext/>
      </w:pPr>
      <w:r>
        <w:tab/>
        <w:t>(3C)</w:t>
      </w:r>
      <w:r>
        <w:tab/>
        <w:t xml:space="preserve">The court may order that a party to proceedings may be represented or assisted by an agent in the presentation of the </w:t>
      </w:r>
      <w:r>
        <w:lastRenderedPageBreak/>
        <w:t xml:space="preserve">party’s case if the court hearing the proceeding is satisfied that — </w:t>
      </w:r>
    </w:p>
    <w:p>
      <w:pPr>
        <w:pStyle w:val="Indenta"/>
      </w:pPr>
      <w:r>
        <w:tab/>
        <w:t>(a)</w:t>
      </w:r>
      <w:r>
        <w:tab/>
        <w:t>the party is unable to appear personally or conduct the proceedings on the party’s own behalf; and</w:t>
      </w:r>
    </w:p>
    <w:p>
      <w:pPr>
        <w:pStyle w:val="Indenta"/>
      </w:pPr>
      <w:r>
        <w:tab/>
        <w:t>(b)</w:t>
      </w:r>
      <w:r>
        <w:tab/>
        <w:t>another party to the proceedings will not be disadvantaged by the party being represented by, or assisted by, the agent.</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keepNext/>
        <w:spacing w:before="200"/>
        <w:rPr>
          <w:snapToGrid w:val="0"/>
        </w:rPr>
      </w:pPr>
      <w:r>
        <w:rPr>
          <w:snapToGrid w:val="0"/>
        </w:rPr>
        <w:lastRenderedPageBreak/>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for this subsection: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pPr>
      <w:r>
        <w:tab/>
      </w:r>
      <w:r>
        <w:rPr>
          <w:rStyle w:val="CharDefText"/>
        </w:rPr>
        <w:t>legally qualified person</w:t>
      </w:r>
      <w:r>
        <w:t xml:space="preserve"> means a lawyer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No. 3 of 2019 s. 25; No. 25 of 2019 s. 65; No. 9 of 2022 s. 424.] </w:t>
      </w:r>
    </w:p>
    <w:p>
      <w:pPr>
        <w:pStyle w:val="Heading5"/>
        <w:rPr>
          <w:snapToGrid w:val="0"/>
        </w:rPr>
      </w:pPr>
      <w:bookmarkStart w:id="41" w:name="_Toc164757258"/>
      <w:r>
        <w:rPr>
          <w:rStyle w:val="CharSectno"/>
        </w:rPr>
        <w:t>23</w:t>
      </w:r>
      <w:r>
        <w:rPr>
          <w:snapToGrid w:val="0"/>
        </w:rPr>
        <w:t>.</w:t>
      </w:r>
      <w:r>
        <w:rPr>
          <w:snapToGrid w:val="0"/>
        </w:rPr>
        <w:tab/>
        <w:t>Settlement by conciliation</w:t>
      </w:r>
      <w:bookmarkEnd w:id="41"/>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lastRenderedPageBreak/>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42" w:name="_Toc164757259"/>
      <w:r>
        <w:rPr>
          <w:rStyle w:val="CharSectno"/>
        </w:rPr>
        <w:t>24</w:t>
      </w:r>
      <w:r>
        <w:rPr>
          <w:snapToGrid w:val="0"/>
        </w:rPr>
        <w:t>.</w:t>
      </w:r>
      <w:r>
        <w:rPr>
          <w:snapToGrid w:val="0"/>
        </w:rPr>
        <w:tab/>
        <w:t>Costs</w:t>
      </w:r>
      <w:bookmarkEnd w:id="42"/>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 xml:space="preserve">all parties to the proceedings were represented by </w:t>
      </w:r>
      <w:r>
        <w:t>legal practitioners</w:t>
      </w:r>
      <w:r>
        <w:rPr>
          <w:snapToGrid w:val="0"/>
        </w:rPr>
        <w:t>;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No. 9 of 2022 s. 424.] </w:t>
      </w:r>
    </w:p>
    <w:p>
      <w:pPr>
        <w:pStyle w:val="Heading5"/>
        <w:rPr>
          <w:snapToGrid w:val="0"/>
        </w:rPr>
      </w:pPr>
      <w:bookmarkStart w:id="43" w:name="_Toc164757260"/>
      <w:r>
        <w:rPr>
          <w:rStyle w:val="CharSectno"/>
        </w:rPr>
        <w:t>25</w:t>
      </w:r>
      <w:r>
        <w:rPr>
          <w:snapToGrid w:val="0"/>
        </w:rPr>
        <w:t>.</w:t>
      </w:r>
      <w:r>
        <w:rPr>
          <w:snapToGrid w:val="0"/>
        </w:rPr>
        <w:tab/>
        <w:t>Reservation of question of law</w:t>
      </w:r>
      <w:bookmarkEnd w:id="43"/>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 xml:space="preserve">Any costs arising from the reservation of any question under this section, including any costs incurred by the parties to the </w:t>
      </w:r>
      <w:r>
        <w:rPr>
          <w:snapToGrid w:val="0"/>
        </w:rPr>
        <w:lastRenderedPageBreak/>
        <w:t>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44" w:name="_Toc164757261"/>
      <w:r>
        <w:rPr>
          <w:rStyle w:val="CharSectno"/>
        </w:rPr>
        <w:t>26</w:t>
      </w:r>
      <w:r>
        <w:rPr>
          <w:snapToGrid w:val="0"/>
        </w:rPr>
        <w:t>.</w:t>
      </w:r>
      <w:r>
        <w:rPr>
          <w:snapToGrid w:val="0"/>
        </w:rPr>
        <w:tab/>
        <w:t>Finality of proceedings</w:t>
      </w:r>
      <w:bookmarkEnd w:id="44"/>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No. 50 of 1988 s. 13; No. 59 of 2004 s. 120(3) and 121; No. 69 of 2006 s. 30.] </w:t>
      </w:r>
    </w:p>
    <w:p>
      <w:pPr>
        <w:pStyle w:val="Heading2"/>
      </w:pPr>
      <w:bookmarkStart w:id="45" w:name="_Toc164681569"/>
      <w:bookmarkStart w:id="46" w:name="_Toc164681771"/>
      <w:bookmarkStart w:id="47" w:name="_Toc164757262"/>
      <w:r>
        <w:rPr>
          <w:rStyle w:val="CharPartNo"/>
        </w:rPr>
        <w:lastRenderedPageBreak/>
        <w:t>Part IV</w:t>
      </w:r>
      <w:r>
        <w:t> — </w:t>
      </w:r>
      <w:r>
        <w:rPr>
          <w:rStyle w:val="CharPartText"/>
        </w:rPr>
        <w:t>Residential tenancy agreements</w:t>
      </w:r>
      <w:bookmarkEnd w:id="45"/>
      <w:bookmarkEnd w:id="46"/>
      <w:bookmarkEnd w:id="47"/>
    </w:p>
    <w:p>
      <w:pPr>
        <w:pStyle w:val="Footnoteheading"/>
      </w:pPr>
      <w:r>
        <w:tab/>
        <w:t>[Heading inserted: No. 60 of 2011 s. 21.]</w:t>
      </w:r>
    </w:p>
    <w:p>
      <w:pPr>
        <w:pStyle w:val="Heading3"/>
      </w:pPr>
      <w:bookmarkStart w:id="48" w:name="_Toc164681570"/>
      <w:bookmarkStart w:id="49" w:name="_Toc164681772"/>
      <w:bookmarkStart w:id="50" w:name="_Toc164757263"/>
      <w:r>
        <w:rPr>
          <w:rStyle w:val="CharDivNo"/>
        </w:rPr>
        <w:t>Division 1A</w:t>
      </w:r>
      <w:r>
        <w:t> — </w:t>
      </w:r>
      <w:r>
        <w:rPr>
          <w:rStyle w:val="CharDivText"/>
        </w:rPr>
        <w:t>Form of residential tenancy agreement and associated documents</w:t>
      </w:r>
      <w:bookmarkEnd w:id="48"/>
      <w:bookmarkEnd w:id="49"/>
      <w:bookmarkEnd w:id="50"/>
    </w:p>
    <w:p>
      <w:pPr>
        <w:pStyle w:val="Footnoteheading"/>
      </w:pPr>
      <w:r>
        <w:tab/>
        <w:t>[Heading inserted: No. 60 of 2011 s. 22.]</w:t>
      </w:r>
    </w:p>
    <w:p>
      <w:pPr>
        <w:pStyle w:val="Heading5"/>
      </w:pPr>
      <w:bookmarkStart w:id="51" w:name="_Toc164757264"/>
      <w:r>
        <w:rPr>
          <w:rStyle w:val="CharSectno"/>
        </w:rPr>
        <w:t>27A</w:t>
      </w:r>
      <w:r>
        <w:t>.</w:t>
      </w:r>
      <w:r>
        <w:tab/>
        <w:t>Written residential tenancy agreement to be in prescribed form</w:t>
      </w:r>
      <w:bookmarkEnd w:id="51"/>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No. 60 of 2011 s. 22.] </w:t>
      </w:r>
    </w:p>
    <w:p>
      <w:pPr>
        <w:pStyle w:val="Heading5"/>
      </w:pPr>
      <w:bookmarkStart w:id="52" w:name="_Toc164757265"/>
      <w:r>
        <w:rPr>
          <w:rStyle w:val="CharSectno"/>
        </w:rPr>
        <w:t>27B</w:t>
      </w:r>
      <w:r>
        <w:t>.</w:t>
      </w:r>
      <w:r>
        <w:tab/>
        <w:t>Information to be given to tenant by lessor</w:t>
      </w:r>
      <w:bookmarkEnd w:id="52"/>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w:t>
      </w:r>
    </w:p>
    <w:p>
      <w:pPr>
        <w:pStyle w:val="Heading5"/>
      </w:pPr>
      <w:bookmarkStart w:id="53" w:name="_Toc164757266"/>
      <w:r>
        <w:rPr>
          <w:rStyle w:val="CharSectno"/>
        </w:rPr>
        <w:t>27C</w:t>
      </w:r>
      <w:r>
        <w:t>.</w:t>
      </w:r>
      <w:r>
        <w:tab/>
      </w:r>
      <w:r>
        <w:rPr>
          <w:snapToGrid w:val="0"/>
        </w:rPr>
        <w:t>Property condition report at start and end of tenancy</w:t>
      </w:r>
      <w:bookmarkEnd w:id="53"/>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lastRenderedPageBreak/>
        <w:tab/>
      </w:r>
      <w:r>
        <w:t>Penalty for this subsection:</w:t>
      </w:r>
      <w:r>
        <w:rPr>
          <w:snapToGrid w:val="0"/>
        </w:rPr>
        <w:t xml:space="preserve">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 xml:space="preserve">as soon as practicable, and in any event within 14 days, after the termination of a </w:t>
      </w:r>
      <w:r>
        <w:t>tenancy or tenant’s interest in a residential tenancy agreement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 for this subsection:</w:t>
      </w:r>
      <w:r>
        <w:rPr>
          <w:snapToGrid w:val="0"/>
        </w:rPr>
        <w:t xml:space="preserve"> a fine of </w:t>
      </w:r>
      <w:r>
        <w:t>$5 000.</w:t>
      </w:r>
    </w:p>
    <w:p>
      <w:pPr>
        <w:pStyle w:val="Subsection"/>
      </w:pPr>
      <w:r>
        <w:tab/>
        <w:t>(4A)</w:t>
      </w:r>
      <w:r>
        <w:tab/>
        <w:t xml:space="preserve">A lessor is taken to comply with subsection (4) if, before the termination of a tenant’s interest, the lessor — </w:t>
      </w:r>
    </w:p>
    <w:p>
      <w:pPr>
        <w:pStyle w:val="Indenta"/>
      </w:pPr>
      <w:r>
        <w:tab/>
        <w:t>(a)</w:t>
      </w:r>
      <w:r>
        <w:tab/>
        <w:t>enters residential premises under section 46(6B); and</w:t>
      </w:r>
    </w:p>
    <w:p>
      <w:pPr>
        <w:pStyle w:val="Indenta"/>
      </w:pPr>
      <w:r>
        <w:tab/>
        <w:t>(b)</w:t>
      </w:r>
      <w:r>
        <w:tab/>
        <w:t xml:space="preserve">in relation to that entry — </w:t>
      </w:r>
    </w:p>
    <w:p>
      <w:pPr>
        <w:pStyle w:val="Indenti"/>
      </w:pPr>
      <w:r>
        <w:tab/>
        <w:t>(i)</w:t>
      </w:r>
      <w:r>
        <w:tab/>
        <w:t xml:space="preserve">conducts an inspection of the premises; and </w:t>
      </w:r>
    </w:p>
    <w:p>
      <w:pPr>
        <w:pStyle w:val="Indenti"/>
      </w:pPr>
      <w:r>
        <w:tab/>
        <w:t>(ii)</w:t>
      </w:r>
      <w:r>
        <w:tab/>
        <w:t xml:space="preserve">prepares a report describing the condition of the premises; and </w:t>
      </w:r>
    </w:p>
    <w:p>
      <w:pPr>
        <w:pStyle w:val="Indenti"/>
      </w:pPr>
      <w:r>
        <w:tab/>
        <w:t>(iii)</w:t>
      </w:r>
      <w:r>
        <w:tab/>
        <w:t>provides a copy of the report to the tenant.</w:t>
      </w:r>
    </w:p>
    <w:p>
      <w:pPr>
        <w:pStyle w:val="Subsection"/>
      </w:pPr>
      <w:r>
        <w:tab/>
        <w:t>(5)</w:t>
      </w:r>
      <w:r>
        <w:tab/>
        <w:t>The tenant is to be given a reasonable opportunity to be present at the inspection conducted under subsection (4)(a) or (4A)(a).</w:t>
      </w:r>
    </w:p>
    <w:p>
      <w:pPr>
        <w:pStyle w:val="Subsection"/>
        <w:keepNext/>
      </w:pPr>
      <w:r>
        <w:lastRenderedPageBreak/>
        <w:tab/>
        <w:t>(6)</w:t>
      </w:r>
      <w:r>
        <w:tab/>
        <w:t>The regulations may prescribe information that must be included in a property condition report.</w:t>
      </w:r>
    </w:p>
    <w:p>
      <w:pPr>
        <w:pStyle w:val="Footnotesection"/>
      </w:pPr>
      <w:r>
        <w:tab/>
        <w:t xml:space="preserve">[Section 27C inserted: No. 60 of 2011 s. 22; amended: No. 3 of 2019 s. 6 and 25.] </w:t>
      </w:r>
    </w:p>
    <w:p>
      <w:pPr>
        <w:pStyle w:val="Heading3"/>
        <w:rPr>
          <w:snapToGrid w:val="0"/>
        </w:rPr>
      </w:pPr>
      <w:bookmarkStart w:id="54" w:name="_Toc164681574"/>
      <w:bookmarkStart w:id="55" w:name="_Toc164681776"/>
      <w:bookmarkStart w:id="56" w:name="_Toc164757267"/>
      <w:r>
        <w:rPr>
          <w:rStyle w:val="CharDivNo"/>
        </w:rPr>
        <w:t>Division 1</w:t>
      </w:r>
      <w:r>
        <w:rPr>
          <w:snapToGrid w:val="0"/>
        </w:rPr>
        <w:t> — </w:t>
      </w:r>
      <w:r>
        <w:rPr>
          <w:rStyle w:val="CharDivText"/>
        </w:rPr>
        <w:t>Rent and security bonds</w:t>
      </w:r>
      <w:bookmarkEnd w:id="54"/>
      <w:bookmarkEnd w:id="55"/>
      <w:bookmarkEnd w:id="56"/>
    </w:p>
    <w:p>
      <w:pPr>
        <w:pStyle w:val="Heading5"/>
        <w:spacing w:before="160"/>
        <w:rPr>
          <w:snapToGrid w:val="0"/>
        </w:rPr>
      </w:pPr>
      <w:bookmarkStart w:id="57" w:name="_Toc164757268"/>
      <w:r>
        <w:rPr>
          <w:rStyle w:val="CharSectno"/>
        </w:rPr>
        <w:t>27</w:t>
      </w:r>
      <w:r>
        <w:rPr>
          <w:snapToGrid w:val="0"/>
        </w:rPr>
        <w:t>.</w:t>
      </w:r>
      <w:r>
        <w:rPr>
          <w:snapToGrid w:val="0"/>
        </w:rPr>
        <w:tab/>
        <w:t>Restriction on consideration for tenancy agreement</w:t>
      </w:r>
      <w:bookmarkEnd w:id="57"/>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for this subsection: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No. 3 of 2019 s. 25.] </w:t>
      </w:r>
    </w:p>
    <w:p>
      <w:pPr>
        <w:pStyle w:val="Heading5"/>
        <w:rPr>
          <w:snapToGrid w:val="0"/>
        </w:rPr>
      </w:pPr>
      <w:bookmarkStart w:id="58" w:name="_Toc164757269"/>
      <w:r>
        <w:rPr>
          <w:rStyle w:val="CharSectno"/>
        </w:rPr>
        <w:lastRenderedPageBreak/>
        <w:t>28</w:t>
      </w:r>
      <w:r>
        <w:rPr>
          <w:snapToGrid w:val="0"/>
        </w:rPr>
        <w:t>.</w:t>
      </w:r>
      <w:r>
        <w:rPr>
          <w:snapToGrid w:val="0"/>
        </w:rPr>
        <w:tab/>
        <w:t>Rent in advance</w:t>
      </w:r>
      <w:bookmarkEnd w:id="58"/>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for this subsection: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for this subsection: a fine of $5 000.</w:t>
      </w:r>
    </w:p>
    <w:p>
      <w:pPr>
        <w:pStyle w:val="Footnotesection"/>
      </w:pPr>
      <w:r>
        <w:tab/>
        <w:t xml:space="preserve">[Section 28 amended: No. 59 of 1995 s. 55; No. 60 of 2011 s. 24; No. 3 of 2019 s. 25.] </w:t>
      </w:r>
    </w:p>
    <w:p>
      <w:pPr>
        <w:pStyle w:val="Heading5"/>
        <w:rPr>
          <w:snapToGrid w:val="0"/>
        </w:rPr>
      </w:pPr>
      <w:bookmarkStart w:id="59" w:name="_Toc164757270"/>
      <w:r>
        <w:rPr>
          <w:rStyle w:val="CharSectno"/>
        </w:rPr>
        <w:t>29</w:t>
      </w:r>
      <w:r>
        <w:rPr>
          <w:snapToGrid w:val="0"/>
        </w:rPr>
        <w:t>.</w:t>
      </w:r>
      <w:r>
        <w:rPr>
          <w:snapToGrid w:val="0"/>
        </w:rPr>
        <w:tab/>
        <w:t>Security bonds</w:t>
      </w:r>
      <w:bookmarkEnd w:id="59"/>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 xml:space="preserve">if the tenant is permitted to keep on the premises any pet capable of carrying parasites that can affect humans — a prescribed amount to meet </w:t>
      </w:r>
      <w:r>
        <w:lastRenderedPageBreak/>
        <w:t>the cost of any fumigation of the premises that may be required on the termination of the tenancy.</w:t>
      </w:r>
    </w:p>
    <w:p>
      <w:pPr>
        <w:pStyle w:val="Penstart"/>
      </w:pPr>
      <w:r>
        <w:tab/>
        <w:t>Penalty for this subsection: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lastRenderedPageBreak/>
        <w:tab/>
        <w:t>Penalty for this subsection: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for this subsection: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for this subsection: a fine of $5 000.</w:t>
      </w:r>
    </w:p>
    <w:p>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Footnotesection"/>
      </w:pPr>
      <w:r>
        <w:tab/>
        <w:t xml:space="preserve">[Section 29 amended: No. 59 of 1995 s. 47 and 55; No. 69 of 2006 s. 31; No. 60 of 2011 s. 25; No. 18 of 2013 s. 62; No. 3 of 2019 .s 7 and 25.] </w:t>
      </w:r>
    </w:p>
    <w:p>
      <w:pPr>
        <w:pStyle w:val="Ednotesection"/>
      </w:pPr>
      <w:r>
        <w:t>[</w:t>
      </w:r>
      <w:r>
        <w:rPr>
          <w:b/>
        </w:rPr>
        <w:t>29A.</w:t>
      </w:r>
      <w:r>
        <w:tab/>
        <w:t>Deleted: No. 60 of 2011 s. 26.]</w:t>
      </w:r>
    </w:p>
    <w:p>
      <w:pPr>
        <w:pStyle w:val="Heading5"/>
        <w:rPr>
          <w:snapToGrid w:val="0"/>
        </w:rPr>
      </w:pPr>
      <w:bookmarkStart w:id="60" w:name="_Toc164757271"/>
      <w:r>
        <w:rPr>
          <w:rStyle w:val="CharSectno"/>
        </w:rPr>
        <w:t>30</w:t>
      </w:r>
      <w:r>
        <w:rPr>
          <w:snapToGrid w:val="0"/>
        </w:rPr>
        <w:t>.</w:t>
      </w:r>
      <w:r>
        <w:rPr>
          <w:snapToGrid w:val="0"/>
        </w:rPr>
        <w:tab/>
        <w:t>Variation of rent (except where calculated by reference to tenant’s income)</w:t>
      </w:r>
      <w:bookmarkEnd w:id="60"/>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w:t>
      </w:r>
      <w:r>
        <w:lastRenderedPageBreak/>
        <w:t xml:space="preserve">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w:t>
      </w:r>
    </w:p>
    <w:p>
      <w:pPr>
        <w:pStyle w:val="Heading5"/>
      </w:pPr>
      <w:bookmarkStart w:id="61" w:name="_Toc164757272"/>
      <w:r>
        <w:rPr>
          <w:rStyle w:val="CharSectno"/>
        </w:rPr>
        <w:t>31A</w:t>
      </w:r>
      <w:r>
        <w:t>.</w:t>
      </w:r>
      <w:r>
        <w:tab/>
        <w:t>Variation of rent where calculated by reference to tenant’s income</w:t>
      </w:r>
      <w:bookmarkEnd w:id="61"/>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lastRenderedPageBreak/>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No. 60 of 2011 s. 28.] </w:t>
      </w:r>
    </w:p>
    <w:p>
      <w:pPr>
        <w:pStyle w:val="Heading5"/>
      </w:pPr>
      <w:bookmarkStart w:id="62" w:name="_Toc164757273"/>
      <w:r>
        <w:rPr>
          <w:rStyle w:val="CharSectno"/>
        </w:rPr>
        <w:t>31B</w:t>
      </w:r>
      <w:r>
        <w:t>.</w:t>
      </w:r>
      <w:r>
        <w:tab/>
        <w:t>Increase in rent after renegotiating lease</w:t>
      </w:r>
      <w:bookmarkEnd w:id="62"/>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No. 23 of 2014 s. 88.] </w:t>
      </w:r>
    </w:p>
    <w:p>
      <w:pPr>
        <w:pStyle w:val="Heading5"/>
        <w:rPr>
          <w:snapToGrid w:val="0"/>
        </w:rPr>
      </w:pPr>
      <w:bookmarkStart w:id="63" w:name="_Toc164757274"/>
      <w:r>
        <w:rPr>
          <w:rStyle w:val="CharSectno"/>
        </w:rPr>
        <w:t>31</w:t>
      </w:r>
      <w:r>
        <w:rPr>
          <w:snapToGrid w:val="0"/>
        </w:rPr>
        <w:t>.</w:t>
      </w:r>
      <w:r>
        <w:rPr>
          <w:snapToGrid w:val="0"/>
        </w:rPr>
        <w:tab/>
        <w:t>Increase in security bond</w:t>
      </w:r>
      <w:bookmarkEnd w:id="63"/>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w:t>
      </w:r>
      <w:r>
        <w:rPr>
          <w:snapToGrid w:val="0"/>
        </w:rPr>
        <w:lastRenderedPageBreak/>
        <w:t xml:space="preserve">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No. 60 of 2011 s. 29 and 89; No. 23 of 2014 s. 89.] </w:t>
      </w:r>
    </w:p>
    <w:p>
      <w:pPr>
        <w:pStyle w:val="Heading5"/>
        <w:rPr>
          <w:snapToGrid w:val="0"/>
        </w:rPr>
      </w:pPr>
      <w:bookmarkStart w:id="64" w:name="_Toc164757275"/>
      <w:r>
        <w:rPr>
          <w:rStyle w:val="CharSectno"/>
        </w:rPr>
        <w:t>32</w:t>
      </w:r>
      <w:r>
        <w:rPr>
          <w:snapToGrid w:val="0"/>
        </w:rPr>
        <w:t>.</w:t>
      </w:r>
      <w:r>
        <w:rPr>
          <w:snapToGrid w:val="0"/>
        </w:rPr>
        <w:tab/>
        <w:t>Limitation of excessive rents in certain circumstances</w:t>
      </w:r>
      <w:bookmarkEnd w:id="64"/>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lastRenderedPageBreak/>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lastRenderedPageBreak/>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for this subsection: a fine of $5 000.</w:t>
      </w:r>
    </w:p>
    <w:p>
      <w:pPr>
        <w:pStyle w:val="Footnotesection"/>
      </w:pPr>
      <w:r>
        <w:tab/>
        <w:t xml:space="preserve">[Section 32 amended: No. 50 of 1988 s. 18; No. 59 of 2004 s. 120 and 121; No. 60 of 2011 s. 30 and 89; No. 3 of 2019 s. 25.] </w:t>
      </w:r>
    </w:p>
    <w:p>
      <w:pPr>
        <w:pStyle w:val="Heading5"/>
        <w:rPr>
          <w:snapToGrid w:val="0"/>
        </w:rPr>
      </w:pPr>
      <w:bookmarkStart w:id="65" w:name="_Toc164757276"/>
      <w:r>
        <w:rPr>
          <w:rStyle w:val="CharSectno"/>
        </w:rPr>
        <w:t>33</w:t>
      </w:r>
      <w:r>
        <w:rPr>
          <w:snapToGrid w:val="0"/>
        </w:rPr>
        <w:t>.</w:t>
      </w:r>
      <w:r>
        <w:rPr>
          <w:snapToGrid w:val="0"/>
        </w:rPr>
        <w:tab/>
        <w:t>Duty to give receipt for rent</w:t>
      </w:r>
      <w:bookmarkEnd w:id="65"/>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lastRenderedPageBreak/>
        <w:tab/>
        <w:t>Penalty for this subsection: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No. 3 of 2019 s. 25.] </w:t>
      </w:r>
    </w:p>
    <w:p>
      <w:pPr>
        <w:pStyle w:val="Heading5"/>
      </w:pPr>
      <w:bookmarkStart w:id="66" w:name="_Toc164757277"/>
      <w:r>
        <w:rPr>
          <w:rStyle w:val="CharSectno"/>
        </w:rPr>
        <w:t>34A</w:t>
      </w:r>
      <w:r>
        <w:t>.</w:t>
      </w:r>
      <w:r>
        <w:tab/>
        <w:t>Manner of payment of rent</w:t>
      </w:r>
      <w:bookmarkEnd w:id="66"/>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67" w:name="_Toc164757278"/>
      <w:r>
        <w:rPr>
          <w:rStyle w:val="CharSectno"/>
        </w:rPr>
        <w:t>34</w:t>
      </w:r>
      <w:r>
        <w:rPr>
          <w:snapToGrid w:val="0"/>
        </w:rPr>
        <w:t>.</w:t>
      </w:r>
      <w:r>
        <w:rPr>
          <w:snapToGrid w:val="0"/>
        </w:rPr>
        <w:tab/>
        <w:t>Proper records of rent to be kept</w:t>
      </w:r>
      <w:bookmarkEnd w:id="67"/>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for this subsection: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keepNext/>
        <w:rPr>
          <w:snapToGrid w:val="0"/>
        </w:rPr>
      </w:pPr>
      <w:r>
        <w:rPr>
          <w:snapToGrid w:val="0"/>
        </w:rPr>
        <w:lastRenderedPageBreak/>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for this subsection: a fine of $5 000.</w:t>
      </w:r>
    </w:p>
    <w:p>
      <w:pPr>
        <w:pStyle w:val="Footnotesection"/>
      </w:pPr>
      <w:r>
        <w:tab/>
        <w:t xml:space="preserve">[Section 34 amended: No. 59 of 1995 s. 55; No. 60 of 2011 s. 33 and 89; No. 3 of 2019 s. 25.] </w:t>
      </w:r>
    </w:p>
    <w:p>
      <w:pPr>
        <w:pStyle w:val="Heading5"/>
        <w:rPr>
          <w:snapToGrid w:val="0"/>
        </w:rPr>
      </w:pPr>
      <w:bookmarkStart w:id="68" w:name="_Toc164757279"/>
      <w:r>
        <w:rPr>
          <w:rStyle w:val="CharSectno"/>
        </w:rPr>
        <w:t>35</w:t>
      </w:r>
      <w:r>
        <w:rPr>
          <w:snapToGrid w:val="0"/>
        </w:rPr>
        <w:t>.</w:t>
      </w:r>
      <w:r>
        <w:rPr>
          <w:snapToGrid w:val="0"/>
        </w:rPr>
        <w:tab/>
        <w:t>Payment of rent by post</w:t>
      </w:r>
      <w:r>
        <w:rPr>
          <w:snapToGrid w:val="0"/>
        </w:rPr>
        <w:noBreakHyphen/>
        <w:t>dated cheques etc. prohibited</w:t>
      </w:r>
      <w:bookmarkEnd w:id="68"/>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No. 59 of 1995 s. 55; No. 60 of 2011 s. 34.] </w:t>
      </w:r>
    </w:p>
    <w:p>
      <w:pPr>
        <w:pStyle w:val="Heading5"/>
        <w:rPr>
          <w:snapToGrid w:val="0"/>
        </w:rPr>
      </w:pPr>
      <w:bookmarkStart w:id="69" w:name="_Toc164757280"/>
      <w:r>
        <w:rPr>
          <w:rStyle w:val="CharSectno"/>
        </w:rPr>
        <w:t>36</w:t>
      </w:r>
      <w:r>
        <w:rPr>
          <w:snapToGrid w:val="0"/>
        </w:rPr>
        <w:t>.</w:t>
      </w:r>
      <w:r>
        <w:rPr>
          <w:snapToGrid w:val="0"/>
        </w:rPr>
        <w:tab/>
        <w:t>Apportionment of rent</w:t>
      </w:r>
      <w:bookmarkEnd w:id="69"/>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70" w:name="_Toc164681588"/>
      <w:bookmarkStart w:id="71" w:name="_Toc164681790"/>
      <w:bookmarkStart w:id="72" w:name="_Toc164757281"/>
      <w:r>
        <w:rPr>
          <w:rStyle w:val="CharDivNo"/>
        </w:rPr>
        <w:t>Division 2</w:t>
      </w:r>
      <w:r>
        <w:rPr>
          <w:snapToGrid w:val="0"/>
        </w:rPr>
        <w:t> — </w:t>
      </w:r>
      <w:r>
        <w:rPr>
          <w:rStyle w:val="CharDivText"/>
        </w:rPr>
        <w:t>Standard terms</w:t>
      </w:r>
      <w:bookmarkEnd w:id="70"/>
      <w:bookmarkEnd w:id="71"/>
      <w:bookmarkEnd w:id="72"/>
    </w:p>
    <w:p>
      <w:pPr>
        <w:pStyle w:val="Footnoteheading"/>
      </w:pPr>
      <w:r>
        <w:tab/>
        <w:t>[Heading amended: No. 60 of 2011 s. 35.]</w:t>
      </w:r>
    </w:p>
    <w:p>
      <w:pPr>
        <w:pStyle w:val="Ednotesection"/>
      </w:pPr>
      <w:r>
        <w:t>[</w:t>
      </w:r>
      <w:r>
        <w:rPr>
          <w:b/>
        </w:rPr>
        <w:t>37.</w:t>
      </w:r>
      <w:r>
        <w:tab/>
        <w:t>Deleted: No. 60 of 2011 s. 36.]</w:t>
      </w:r>
    </w:p>
    <w:p>
      <w:pPr>
        <w:pStyle w:val="Heading5"/>
        <w:rPr>
          <w:snapToGrid w:val="0"/>
        </w:rPr>
      </w:pPr>
      <w:bookmarkStart w:id="73" w:name="_Toc164757282"/>
      <w:r>
        <w:rPr>
          <w:rStyle w:val="CharSectno"/>
        </w:rPr>
        <w:t>38</w:t>
      </w:r>
      <w:r>
        <w:rPr>
          <w:snapToGrid w:val="0"/>
        </w:rPr>
        <w:t>.</w:t>
      </w:r>
      <w:r>
        <w:rPr>
          <w:snapToGrid w:val="0"/>
        </w:rPr>
        <w:tab/>
        <w:t>Tenant’s responsibility for cleanliness and damage</w:t>
      </w:r>
      <w:bookmarkEnd w:id="73"/>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keepNext/>
        <w:rPr>
          <w:snapToGrid w:val="0"/>
        </w:rPr>
      </w:pPr>
      <w:r>
        <w:rPr>
          <w:snapToGrid w:val="0"/>
        </w:rPr>
        <w:lastRenderedPageBreak/>
        <w:tab/>
        <w:t>(c)</w:t>
      </w:r>
      <w:r>
        <w:rPr>
          <w:snapToGrid w:val="0"/>
        </w:rPr>
        <w:tab/>
        <w:t xml:space="preserve">shall not intentionally or negligently cause or permit damage to the premises or, where relevant, a </w:t>
      </w:r>
      <w:r>
        <w:t>common area or chattels in the common area.</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 No. 25 of 2019 s. 66.]</w:t>
      </w:r>
    </w:p>
    <w:p>
      <w:pPr>
        <w:pStyle w:val="Heading5"/>
        <w:rPr>
          <w:snapToGrid w:val="0"/>
        </w:rPr>
      </w:pPr>
      <w:bookmarkStart w:id="74" w:name="_Toc164757283"/>
      <w:r>
        <w:rPr>
          <w:rStyle w:val="CharSectno"/>
        </w:rPr>
        <w:t>39</w:t>
      </w:r>
      <w:r>
        <w:rPr>
          <w:snapToGrid w:val="0"/>
        </w:rPr>
        <w:t>.</w:t>
      </w:r>
      <w:r>
        <w:rPr>
          <w:snapToGrid w:val="0"/>
        </w:rPr>
        <w:tab/>
        <w:t>Tenant’s conduct on premises</w:t>
      </w:r>
      <w:bookmarkEnd w:id="74"/>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75" w:name="_Toc164757284"/>
      <w:r>
        <w:rPr>
          <w:rStyle w:val="CharSectno"/>
        </w:rPr>
        <w:t>40</w:t>
      </w:r>
      <w:r>
        <w:t>.</w:t>
      </w:r>
      <w:r>
        <w:tab/>
        <w:t>Vacant possession</w:t>
      </w:r>
      <w:bookmarkEnd w:id="75"/>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76" w:name="_Toc164757285"/>
      <w:r>
        <w:rPr>
          <w:rStyle w:val="CharSectno"/>
        </w:rPr>
        <w:lastRenderedPageBreak/>
        <w:t>41</w:t>
      </w:r>
      <w:r>
        <w:rPr>
          <w:snapToGrid w:val="0"/>
        </w:rPr>
        <w:t>.</w:t>
      </w:r>
      <w:r>
        <w:rPr>
          <w:snapToGrid w:val="0"/>
        </w:rPr>
        <w:tab/>
        <w:t>Legal impediments to occupation as residence</w:t>
      </w:r>
      <w:bookmarkEnd w:id="76"/>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pPr>
        <w:pStyle w:val="Footnotesection"/>
      </w:pPr>
      <w:r>
        <w:tab/>
        <w:t>[Section 41 amended: No. 60 of 2011 s. 40 and 89; No. 3 of 2019 s. 8.]</w:t>
      </w:r>
    </w:p>
    <w:p>
      <w:pPr>
        <w:pStyle w:val="Heading5"/>
      </w:pPr>
      <w:bookmarkStart w:id="77" w:name="_Toc164757286"/>
      <w:r>
        <w:rPr>
          <w:rStyle w:val="CharSectno"/>
        </w:rPr>
        <w:t>42</w:t>
      </w:r>
      <w:r>
        <w:t>.</w:t>
      </w:r>
      <w:r>
        <w:tab/>
        <w:t>Lessor’s responsibility for cleanliness and repairs</w:t>
      </w:r>
      <w:bookmarkEnd w:id="77"/>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78" w:name="_Toc164757287"/>
      <w:r>
        <w:rPr>
          <w:rStyle w:val="CharSectno"/>
        </w:rPr>
        <w:lastRenderedPageBreak/>
        <w:t>43</w:t>
      </w:r>
      <w:r>
        <w:t>.</w:t>
      </w:r>
      <w:r>
        <w:tab/>
        <w:t>Urgent repairs</w:t>
      </w:r>
      <w:bookmarkEnd w:id="78"/>
    </w:p>
    <w:p>
      <w:pPr>
        <w:pStyle w:val="Subsection"/>
        <w:keepNext/>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as an essential service — 24 hours; or</w:t>
      </w:r>
    </w:p>
    <w:p>
      <w:pPr>
        <w:pStyle w:val="Defpara"/>
      </w:pPr>
      <w:r>
        <w:tab/>
        <w:t>(b)</w:t>
      </w:r>
      <w:r>
        <w:tab/>
        <w:t>in relation to any other urgent repairs — 48 hours or any prescribed longer period;</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keepNext/>
        <w:keepLines/>
      </w:pPr>
      <w:r>
        <w:lastRenderedPageBreak/>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 amended: No. 3 of 2019 s. 9.]</w:t>
      </w:r>
    </w:p>
    <w:p>
      <w:pPr>
        <w:pStyle w:val="Heading5"/>
      </w:pPr>
      <w:bookmarkStart w:id="79" w:name="_Toc164757288"/>
      <w:r>
        <w:rPr>
          <w:rStyle w:val="CharSectno"/>
        </w:rPr>
        <w:t>44</w:t>
      </w:r>
      <w:r>
        <w:t>.</w:t>
      </w:r>
      <w:r>
        <w:tab/>
        <w:t>Quiet enjoyment</w:t>
      </w:r>
      <w:bookmarkEnd w:id="79"/>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lastRenderedPageBreak/>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80" w:name="_Toc164757289"/>
      <w:r>
        <w:rPr>
          <w:rStyle w:val="CharSectno"/>
        </w:rPr>
        <w:t>45</w:t>
      </w:r>
      <w:r>
        <w:t>.</w:t>
      </w:r>
      <w:r>
        <w:tab/>
        <w:t>Securing premises</w:t>
      </w:r>
      <w:bookmarkEnd w:id="80"/>
    </w:p>
    <w:p>
      <w:pPr>
        <w:pStyle w:val="Subsection"/>
        <w:keepNext/>
      </w:pPr>
      <w:r>
        <w:tab/>
        <w:t>(1)</w:t>
      </w:r>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except as provided in subsection (2), the lessor or the tenant must not unreasonably withhold the consent referred to in paragraph (b).</w:t>
      </w:r>
    </w:p>
    <w:p>
      <w:pPr>
        <w:pStyle w:val="Subsection"/>
      </w:pPr>
      <w:r>
        <w:tab/>
        <w:t>(2)</w:t>
      </w:r>
      <w:r>
        <w:tab/>
        <w:t xml:space="preserve">It is a term of every residential tenancy agreement — </w:t>
      </w:r>
    </w:p>
    <w:p>
      <w:pPr>
        <w:pStyle w:val="Indenta"/>
      </w:pPr>
      <w:r>
        <w:tab/>
        <w:t>(a)</w:t>
      </w:r>
      <w:r>
        <w:tab/>
        <w:t xml:space="preserve">that a tenant may alter or add any lock or other means of securing the residential premises — </w:t>
      </w:r>
    </w:p>
    <w:p>
      <w:pPr>
        <w:pStyle w:val="Indenti"/>
      </w:pPr>
      <w:r>
        <w:tab/>
        <w:t>(i)</w:t>
      </w:r>
      <w:r>
        <w:tab/>
        <w:t>after the termination of a person’s interest in a residential tenancy agreement under section 60(1)(bc);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lastRenderedPageBreak/>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Indenta"/>
        <w:keepNext/>
      </w:pPr>
      <w:r>
        <w:tab/>
        <w:t>(c)</w:t>
      </w:r>
      <w:r>
        <w:tab/>
        <w:t xml:space="preserve">that the lessor must not give a copy of a key referred to in paragraph (b) — </w:t>
      </w:r>
    </w:p>
    <w:p>
      <w:pPr>
        <w:pStyle w:val="Indenti"/>
      </w:pPr>
      <w:r>
        <w:tab/>
        <w:t>(i)</w:t>
      </w:r>
      <w:r>
        <w:tab/>
        <w:t>to a person whose interest in the residential tenancy agreement has been terminated under section 60(1)(bc); or</w:t>
      </w:r>
    </w:p>
    <w:p>
      <w:pPr>
        <w:pStyle w:val="Indenti"/>
      </w:pPr>
      <w:r>
        <w:tab/>
        <w:t>(ii)</w:t>
      </w:r>
      <w:r>
        <w:tab/>
        <w:t>in any event, to a person who the tenant has instructed the lessor in writing not to give the copy of the key.</w:t>
      </w:r>
    </w:p>
    <w:p>
      <w:pPr>
        <w:pStyle w:val="Subsection"/>
      </w:pPr>
      <w:r>
        <w:tab/>
        <w:t>(3)</w:t>
      </w:r>
      <w:r>
        <w:tab/>
        <w:t>A tenant who breaches a term referred to in subsection (2)(b) without reasonable excuse, in addition to any civil liability that the tenant might incur, commits an offence.</w:t>
      </w:r>
    </w:p>
    <w:p>
      <w:pPr>
        <w:pStyle w:val="Penstart"/>
      </w:pPr>
      <w:r>
        <w:tab/>
        <w:t>Penalty for this subsection: a fine of $5 000.</w:t>
      </w:r>
    </w:p>
    <w:p>
      <w:pPr>
        <w:pStyle w:val="Subsection"/>
      </w:pPr>
      <w:r>
        <w:tab/>
        <w:t>(4)</w:t>
      </w:r>
      <w:r>
        <w:tab/>
        <w:t>Subsection (2)(b) does not apply if the lessor is a person reasonably suspected of being likely to commit the family violence referred to in subsection (2)(a)(ii).</w:t>
      </w:r>
    </w:p>
    <w:p>
      <w:pPr>
        <w:pStyle w:val="Footnotesection"/>
        <w:spacing w:before="100"/>
      </w:pPr>
      <w:r>
        <w:tab/>
        <w:t>[Section 45 inserted: No. 60 of 2011 s. 41; application modified: Residential Tenancies Regulations 1989 r. 7A; amended: No. 3 of 2019 s. 10.]</w:t>
      </w:r>
    </w:p>
    <w:p>
      <w:pPr>
        <w:pStyle w:val="Heading5"/>
      </w:pPr>
      <w:bookmarkStart w:id="81" w:name="_Toc164757290"/>
      <w:r>
        <w:rPr>
          <w:rStyle w:val="CharSectno"/>
        </w:rPr>
        <w:t>46</w:t>
      </w:r>
      <w:r>
        <w:t>.</w:t>
      </w:r>
      <w:r>
        <w:tab/>
        <w:t>Lessor’s right of entry</w:t>
      </w:r>
      <w:bookmarkEnd w:id="81"/>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a form approved by the Commissioner;</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lastRenderedPageBreak/>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keepNext/>
      </w:pPr>
      <w:r>
        <w:lastRenderedPageBreak/>
        <w:tab/>
        <w:t>(ga)</w:t>
      </w:r>
      <w:r>
        <w:tab/>
        <w:t xml:space="preserve">for the purpose of inspecting the premises and assessing any damage after the termination of a tenant’s interest under — </w:t>
      </w:r>
    </w:p>
    <w:p>
      <w:pPr>
        <w:pStyle w:val="Indenti"/>
      </w:pPr>
      <w:r>
        <w:tab/>
        <w:t>(i)</w:t>
      </w:r>
      <w:r>
        <w:tab/>
        <w:t>section 60(1)(ba) or (bb); or</w:t>
      </w:r>
    </w:p>
    <w:p>
      <w:pPr>
        <w:pStyle w:val="Indenti"/>
      </w:pPr>
      <w:r>
        <w:tab/>
        <w:t>(ii)</w:t>
      </w:r>
      <w:r>
        <w:tab/>
        <w:t>section 60(1)(bc);</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(6A)</w:t>
      </w:r>
      <w:r>
        <w:tab/>
        <w:t xml:space="preserve">It is a term of every residential tenancy agreement that the lessor may enter the premises under subsection (2)(ga)(i) — </w:t>
      </w:r>
    </w:p>
    <w:p>
      <w:pPr>
        <w:pStyle w:val="Indenta"/>
      </w:pPr>
      <w:r>
        <w:tab/>
        <w:t>(a)</w:t>
      </w:r>
      <w:r>
        <w:tab/>
        <w:t xml:space="preserve">not more than 7 days after receiving notice under section 71AB(1) or 71AD(4); and </w:t>
      </w:r>
    </w:p>
    <w:p>
      <w:pPr>
        <w:pStyle w:val="Indenta"/>
      </w:pPr>
      <w:r>
        <w:tab/>
        <w:t>(b)</w:t>
      </w:r>
      <w:r>
        <w:tab/>
        <w:t>not less than 3 days after giving notice to each tenant of the lessor’s intention to enter the premises.</w:t>
      </w:r>
    </w:p>
    <w:p>
      <w:pPr>
        <w:pStyle w:val="Subsection"/>
      </w:pPr>
      <w:r>
        <w:lastRenderedPageBreak/>
        <w:tab/>
        <w:t>(6B)</w:t>
      </w:r>
      <w:r>
        <w:tab/>
        <w:t xml:space="preserve">It is a term of every residential tenancy agreement that the lessor may enter the premises under subsection (2)(ga)(ii) — </w:t>
      </w:r>
    </w:p>
    <w:p>
      <w:pPr>
        <w:pStyle w:val="Indenta"/>
      </w:pPr>
      <w:r>
        <w:tab/>
        <w:t>(a)</w:t>
      </w:r>
      <w:r>
        <w:tab/>
        <w:t xml:space="preserve">not more than 10 days before the hearing of the application under section 71AE; and </w:t>
      </w:r>
    </w:p>
    <w:p>
      <w:pPr>
        <w:pStyle w:val="Indenta"/>
      </w:pPr>
      <w:r>
        <w:tab/>
        <w:t>(b)</w:t>
      </w:r>
      <w:r>
        <w:tab/>
        <w:t>not less than 3 days after giving notice to each tenant of the lessor’s intention to enter the premises.</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 No. 3 of 2019 s. 11.]</w:t>
      </w:r>
    </w:p>
    <w:p>
      <w:pPr>
        <w:pStyle w:val="Heading5"/>
      </w:pPr>
      <w:bookmarkStart w:id="82" w:name="_Toc164757291"/>
      <w:r>
        <w:rPr>
          <w:rStyle w:val="CharSectno"/>
        </w:rPr>
        <w:t>47</w:t>
      </w:r>
      <w:r>
        <w:t>.</w:t>
      </w:r>
      <w:r>
        <w:tab/>
        <w:t>Right of tenant to affix and remove fixtures etc.</w:t>
      </w:r>
      <w:bookmarkEnd w:id="82"/>
    </w:p>
    <w:p>
      <w:pPr>
        <w:pStyle w:val="Subsection"/>
      </w:pPr>
      <w:r>
        <w:tab/>
        <w:t>(1A)</w:t>
      </w:r>
      <w:r>
        <w:tab/>
        <w:t xml:space="preserve">In this section — </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Subsection"/>
        <w:rPr>
          <w:snapToGrid w:val="0"/>
        </w:rPr>
      </w:pPr>
      <w:r>
        <w:rPr>
          <w:snapToGrid w:val="0"/>
        </w:rPr>
        <w:lastRenderedPageBreak/>
        <w:tab/>
        <w:t>(1)</w:t>
      </w:r>
      <w:r>
        <w:rPr>
          <w:snapToGrid w:val="0"/>
        </w:rPr>
        <w:tab/>
      </w:r>
      <w:r>
        <w:t>Except as provided in subsections (2A) and (4), 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(2A)</w:t>
      </w:r>
      <w:r>
        <w:tab/>
        <w:t>It is a term of every residential tenancy agreement that —</w:t>
      </w:r>
    </w:p>
    <w:p>
      <w:pPr>
        <w:pStyle w:val="Indenta"/>
      </w:pPr>
      <w:r>
        <w:tab/>
        <w:t>(a)</w:t>
      </w:r>
      <w:r>
        <w:tab/>
        <w:t>a tenant may affix either or both of the following items to a wall of premises the subject of the agreement for the purpose of ensuring the safety of a child or a person with a disability, but only with the lessor’s consent —</w:t>
      </w:r>
    </w:p>
    <w:p>
      <w:pPr>
        <w:pStyle w:val="Indenti"/>
      </w:pPr>
      <w:r>
        <w:tab/>
        <w:t>(i)</w:t>
      </w:r>
      <w:r>
        <w:tab/>
        <w:t xml:space="preserve">furniture; </w:t>
      </w:r>
    </w:p>
    <w:p>
      <w:pPr>
        <w:pStyle w:val="Indenti"/>
      </w:pPr>
      <w:r>
        <w:tab/>
        <w:t>(ii)</w:t>
      </w:r>
      <w:r>
        <w:tab/>
        <w:t>a thing to affix the furniture to the wall;</w:t>
      </w:r>
    </w:p>
    <w:p>
      <w:pPr>
        <w:pStyle w:val="Indenta"/>
      </w:pPr>
      <w:r>
        <w:tab/>
      </w:r>
      <w:r>
        <w:tab/>
        <w:t>and</w:t>
      </w:r>
    </w:p>
    <w:p>
      <w:pPr>
        <w:pStyle w:val="Indenta"/>
        <w:keepNext/>
      </w:pPr>
      <w:r>
        <w:lastRenderedPageBreak/>
        <w:tab/>
        <w:t>(b)</w:t>
      </w:r>
      <w:r>
        <w:tab/>
        <w:t xml:space="preserve">the lessor may only refuse consent — </w:t>
      </w:r>
    </w:p>
    <w:p>
      <w:pPr>
        <w:pStyle w:val="Indenti"/>
      </w:pPr>
      <w:r>
        <w:tab/>
        <w:t>(i)</w:t>
      </w:r>
      <w:r>
        <w:tab/>
        <w:t>if affixing the item to the wall would disturb material containing asbestos; or</w:t>
      </w:r>
    </w:p>
    <w:p>
      <w:pPr>
        <w:pStyle w:val="Indenti"/>
      </w:pPr>
      <w:r>
        <w:tab/>
        <w:t>(ii)</w:t>
      </w:r>
      <w:r>
        <w:tab/>
        <w:t xml:space="preserve">if the premises are entered in the Register of Heritage Places compiled under the </w:t>
      </w:r>
      <w:r>
        <w:rPr>
          <w:i/>
        </w:rPr>
        <w:t>Heritage of Western Australia Act 1990</w:t>
      </w:r>
      <w:r>
        <w:t xml:space="preserve"> section 46; or</w:t>
      </w:r>
    </w:p>
    <w:p>
      <w:pPr>
        <w:pStyle w:val="Indenti"/>
      </w:pPr>
      <w:r>
        <w:tab/>
        <w:t>(iii)</w:t>
      </w:r>
      <w:r>
        <w:tab/>
        <w:t xml:space="preserve">if the premises is a lot in a scheme under the </w:t>
      </w:r>
      <w:r>
        <w:rPr>
          <w:i/>
        </w:rPr>
        <w:t>Strata Titles Act 1985</w:t>
      </w:r>
      <w:r>
        <w:t>, the by</w:t>
      </w:r>
      <w:r>
        <w:noBreakHyphen/>
        <w:t>laws for the scheme prohibit affixing the item to the wall of the premises; or</w:t>
      </w:r>
    </w:p>
    <w:p>
      <w:pPr>
        <w:pStyle w:val="Indenti"/>
      </w:pPr>
      <w:r>
        <w:tab/>
        <w:t>(iv)</w:t>
      </w:r>
      <w:r>
        <w:tab/>
        <w:t>for a prescribed reason;</w:t>
      </w:r>
    </w:p>
    <w:p>
      <w:pPr>
        <w:pStyle w:val="Indenta"/>
      </w:pPr>
      <w:r>
        <w:tab/>
      </w:r>
      <w:r>
        <w:tab/>
        <w:t>and</w:t>
      </w:r>
    </w:p>
    <w:p>
      <w:pPr>
        <w:pStyle w:val="Indenta"/>
      </w:pPr>
      <w:r>
        <w:tab/>
        <w:t>(c)</w:t>
      </w:r>
      <w:r>
        <w:tab/>
        <w:t xml:space="preserve">unless the lessor agrees otherwise in writing, the tenant must remove the item from the wall when the tenant vacates the premises and either — </w:t>
      </w:r>
    </w:p>
    <w:p>
      <w:pPr>
        <w:pStyle w:val="Indenti"/>
      </w:pPr>
      <w:r>
        <w:tab/>
        <w:t>(i)</w:t>
      </w:r>
      <w:r>
        <w:tab/>
        <w:t>restore the wall to its original condition; or</w:t>
      </w:r>
    </w:p>
    <w:p>
      <w:pPr>
        <w:pStyle w:val="Indenti"/>
      </w:pPr>
      <w:r>
        <w:tab/>
        <w:t>(ii)</w:t>
      </w:r>
      <w:r>
        <w:tab/>
        <w:t>compensate the lessor for any reasonable expenses incurred by the lessor in doing that restoration;</w:t>
      </w:r>
    </w:p>
    <w:p>
      <w:pPr>
        <w:pStyle w:val="Indenta"/>
      </w:pPr>
      <w:r>
        <w:tab/>
      </w:r>
      <w:r>
        <w:tab/>
        <w:t>and</w:t>
      </w:r>
    </w:p>
    <w:p>
      <w:pPr>
        <w:pStyle w:val="Indenta"/>
      </w:pPr>
      <w:r>
        <w:tab/>
        <w:t>(d)</w:t>
      </w:r>
      <w:r>
        <w:tab/>
        <w:t>the cost of affixing the item to the wall, removing it and restoring the wall to its original condition must be borne by the tenant; and</w:t>
      </w:r>
    </w:p>
    <w:p>
      <w:pPr>
        <w:pStyle w:val="Indenta"/>
      </w:pPr>
      <w:r>
        <w:tab/>
        <w:t>(e)</w:t>
      </w:r>
      <w:r>
        <w:tab/>
        <w:t xml:space="preserve">if the tenant causes damage to the premises when affixing or removing the item or restoring the wall to its original condition — </w:t>
      </w:r>
    </w:p>
    <w:p>
      <w:pPr>
        <w:pStyle w:val="Indenti"/>
      </w:pPr>
      <w:r>
        <w:tab/>
        <w:t>(i)</w:t>
      </w:r>
      <w:r>
        <w:tab/>
        <w:t>the tenant must notify the lessor in writing that damage has been caused to the premises; and</w:t>
      </w:r>
    </w:p>
    <w:p>
      <w:pPr>
        <w:pStyle w:val="Indenti"/>
      </w:pPr>
      <w:r>
        <w:tab/>
        <w:t>(ii)</w:t>
      </w:r>
      <w:r>
        <w:tab/>
        <w:t>the lessor may require the tenant to repair the damage and restore the premises to their original condition or compensate the lessor for the reasonable expenses incurred in doing the repair and restoration.</w:t>
      </w:r>
    </w:p>
    <w:p>
      <w:pPr>
        <w:pStyle w:val="Subsection"/>
      </w:pPr>
      <w:r>
        <w:lastRenderedPageBreak/>
        <w:tab/>
        <w:t>(2B)</w:t>
      </w:r>
      <w:r>
        <w:tab/>
        <w:t xml:space="preserve">The lessor is taken to have consented to affixing the furniture or thing to the wall of the premises under subsection (2A)(a) if, and only if — </w:t>
      </w:r>
    </w:p>
    <w:p>
      <w:pPr>
        <w:pStyle w:val="Indenta"/>
      </w:pPr>
      <w:r>
        <w:tab/>
        <w:t>(a)</w:t>
      </w:r>
      <w:r>
        <w:tab/>
        <w:t>the tenant has given the lessor a request, in a form approved by the Commissioner, seeking the lessor’s consent to affix the item to the wall; and</w:t>
      </w:r>
    </w:p>
    <w:p>
      <w:pPr>
        <w:pStyle w:val="Indenta"/>
      </w:pPr>
      <w:r>
        <w:tab/>
        <w:t>(b)</w:t>
      </w:r>
      <w:r>
        <w:tab/>
        <w:t>the lessor has not refused consent under subsection (2A)(b) within 14 days after the day on which the lessor receives the request.</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Subsection"/>
      </w:pPr>
      <w:r>
        <w:tab/>
        <w:t>(4)</w:t>
      </w:r>
      <w:r>
        <w:tab/>
        <w:t xml:space="preserve">It is a term of every residential tenancy agreement that a tenant may affix any prescribed fixture, or make any prescribed renovation, alteration or addition to the premises (the </w:t>
      </w:r>
      <w:r>
        <w:rPr>
          <w:rStyle w:val="CharDefText"/>
        </w:rPr>
        <w:t>prescribed alterations</w:t>
      </w:r>
      <w:r>
        <w:t xml:space="preserve">), necessary to prevent entry onto the premises of a person — </w:t>
      </w:r>
    </w:p>
    <w:p>
      <w:pPr>
        <w:pStyle w:val="Indenta"/>
      </w:pPr>
      <w:r>
        <w:tab/>
        <w:t>(a)</w:t>
      </w:r>
      <w:r>
        <w:tab/>
        <w:t>after the termination of the person’s interest in a residential tenancy agreement under section 60(1)(bc);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(5)</w:t>
      </w:r>
      <w:r>
        <w:tab/>
        <w:t xml:space="preserve">For the purposes of subsection (4) — </w:t>
      </w:r>
    </w:p>
    <w:p>
      <w:pPr>
        <w:pStyle w:val="Indenta"/>
      </w:pPr>
      <w:r>
        <w:tab/>
        <w:t>(a)</w:t>
      </w:r>
      <w:r>
        <w:tab/>
        <w:t>the cost of making the prescribed alterations must be borne by the tenant; and</w:t>
      </w:r>
    </w:p>
    <w:p>
      <w:pPr>
        <w:pStyle w:val="Indenta"/>
      </w:pPr>
      <w:r>
        <w:tab/>
        <w:t>(b)</w:t>
      </w:r>
      <w:r>
        <w:tab/>
        <w:t>the tenant must give written notice to the lessor of the tenant’s intention to make the prescribed alterations; and</w:t>
      </w:r>
    </w:p>
    <w:p>
      <w:pPr>
        <w:pStyle w:val="Indenta"/>
      </w:pPr>
      <w:r>
        <w:lastRenderedPageBreak/>
        <w:tab/>
        <w:t>(c)</w:t>
      </w:r>
      <w:r>
        <w:tab/>
        <w:t>work on the prescribed alterations must be undertaken by a qualified tradesperson, a copy of whose invoice the tenant must provide to the lessor within 14 days of the alterations being completed; and</w:t>
      </w:r>
    </w:p>
    <w:p>
      <w:pPr>
        <w:pStyle w:val="Indenta"/>
      </w:pPr>
      <w:r>
        <w:tab/>
        <w:t>(d)</w:t>
      </w:r>
      <w:r>
        <w:tab/>
        <w:t>the prescribed alterations must be effected having regard to the age and character of the property and any applicable strata company by</w:t>
      </w:r>
      <w:r>
        <w:noBreakHyphen/>
        <w:t>laws; and</w:t>
      </w:r>
    </w:p>
    <w:p>
      <w:pPr>
        <w:pStyle w:val="Indenta"/>
      </w:pPr>
      <w:r>
        <w:tab/>
        <w:t>(e)</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Subsection"/>
      </w:pPr>
      <w:r>
        <w:tab/>
        <w:t>(6)</w:t>
      </w:r>
      <w:r>
        <w:tab/>
        <w:t xml:space="preserve">Subsection (4) does not apply to premises entered into the Register as defined in the </w:t>
      </w:r>
      <w:r>
        <w:rPr>
          <w:i/>
        </w:rPr>
        <w:t>Heritage of Western Australia Act 1990</w:t>
      </w:r>
      <w:r>
        <w:t xml:space="preserve"> section 3(1) or in the register as defined in the </w:t>
      </w:r>
      <w:r>
        <w:rPr>
          <w:i/>
        </w:rPr>
        <w:t>Heritage Act 2018</w:t>
      </w:r>
      <w:r>
        <w:t xml:space="preserve"> section 4.</w:t>
      </w:r>
    </w:p>
    <w:p>
      <w:pPr>
        <w:pStyle w:val="Footnotesection"/>
      </w:pPr>
      <w:r>
        <w:tab/>
        <w:t xml:space="preserve">[Section 47 amended: No. 60 of 2011 s. 42, 88 and 89; No. 3 of 2019 s. 12; No. 25 of 2019 s. 67.] </w:t>
      </w:r>
    </w:p>
    <w:p>
      <w:pPr>
        <w:pStyle w:val="Heading5"/>
        <w:rPr>
          <w:snapToGrid w:val="0"/>
        </w:rPr>
      </w:pPr>
      <w:bookmarkStart w:id="83" w:name="_Toc164757292"/>
      <w:r>
        <w:rPr>
          <w:rStyle w:val="CharSectno"/>
        </w:rPr>
        <w:t>48</w:t>
      </w:r>
      <w:r>
        <w:rPr>
          <w:snapToGrid w:val="0"/>
        </w:rPr>
        <w:t>.</w:t>
      </w:r>
      <w:r>
        <w:rPr>
          <w:snapToGrid w:val="0"/>
        </w:rPr>
        <w:tab/>
        <w:t>Lessor to bear outgoings in respect of premises</w:t>
      </w:r>
      <w:bookmarkEnd w:id="83"/>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contributions payable to a community corporation under the </w:t>
      </w:r>
      <w:r>
        <w:rPr>
          <w:i/>
        </w:rPr>
        <w:lastRenderedPageBreak/>
        <w:t>Community Titles Act 2018</w:t>
      </w:r>
      <w:r>
        <w:t xml:space="preserve"> or a strata company under the </w:t>
      </w:r>
      <w:r>
        <w:rPr>
          <w:i/>
        </w:rPr>
        <w:t>Strata Titles Act 1985</w:t>
      </w:r>
      <w:r>
        <w:t xml:space="preserve"> cannot be passed on to a tenant.</w:t>
      </w:r>
    </w:p>
    <w:p>
      <w:pPr>
        <w:pStyle w:val="Footnotesection"/>
      </w:pPr>
      <w:r>
        <w:tab/>
        <w:t xml:space="preserve">[Section 48 amended: No. 73 of 1995 s. 188; No. 14 of 1996 s. 4; No. 45 of 2002 s. 21; No. 60 of 2011 s. 43 and 89; No. 32 of 2018 s. 237.] </w:t>
      </w:r>
    </w:p>
    <w:p>
      <w:pPr>
        <w:pStyle w:val="Heading5"/>
      </w:pPr>
      <w:bookmarkStart w:id="84" w:name="_Toc164757293"/>
      <w:r>
        <w:rPr>
          <w:rStyle w:val="CharSectno"/>
        </w:rPr>
        <w:t>49A</w:t>
      </w:r>
      <w:r>
        <w:t>.</w:t>
      </w:r>
      <w:r>
        <w:tab/>
        <w:t>Lessor’s and tenant’s responsibilities in respect of public utility services</w:t>
      </w:r>
      <w:bookmarkEnd w:id="84"/>
    </w:p>
    <w:p>
      <w:pPr>
        <w:pStyle w:val="Subsection"/>
        <w:keepNext/>
      </w:pPr>
      <w:r>
        <w:tab/>
        <w:t>(1)</w:t>
      </w:r>
      <w:r>
        <w:tab/>
        <w:t xml:space="preserve">In this section — </w:t>
      </w:r>
    </w:p>
    <w:p>
      <w:pPr>
        <w:pStyle w:val="Defstart"/>
      </w:pPr>
      <w:r>
        <w:tab/>
      </w:r>
      <w:r>
        <w:rPr>
          <w:rStyle w:val="CharDefText"/>
        </w:rPr>
        <w:t>consumption</w:t>
      </w:r>
      <w:r>
        <w:t>, in relation to a public utility service, means consumption of the utility that is calculated by metered unit;</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Defstart"/>
      </w:pPr>
      <w:r>
        <w:tab/>
      </w:r>
      <w:r>
        <w:rPr>
          <w:rStyle w:val="CharDefText"/>
        </w:rPr>
        <w:t>strata company</w:t>
      </w:r>
      <w:r>
        <w:t xml:space="preserve"> has the meaning given in the </w:t>
      </w:r>
      <w:r>
        <w:rPr>
          <w:i/>
        </w:rPr>
        <w:t>Strata Titles Act 1985</w:t>
      </w:r>
      <w:r>
        <w:t xml:space="preserve"> section 3(1).</w:t>
      </w:r>
    </w:p>
    <w:p>
      <w:pPr>
        <w:pStyle w:val="Subsection"/>
      </w:pPr>
      <w:r>
        <w:tab/>
        <w:t>(2)</w:t>
      </w:r>
      <w:r>
        <w:tab/>
        <w:t xml:space="preserve">It is a term of every residential tenancy agreement that subsections (3) to (5) are terms of the agreement if — </w:t>
      </w:r>
    </w:p>
    <w:p>
      <w:pPr>
        <w:pStyle w:val="Indenta"/>
      </w:pPr>
      <w:r>
        <w:tab/>
        <w:t>(a)</w:t>
      </w:r>
      <w:r>
        <w:tab/>
        <w:t xml:space="preserve">a public utility service is provided in relation to the premises the subject of the agreement; and </w:t>
      </w:r>
    </w:p>
    <w:p>
      <w:pPr>
        <w:pStyle w:val="Indenta"/>
      </w:pPr>
      <w:r>
        <w:tab/>
        <w:t>(b)</w:t>
      </w:r>
      <w:r>
        <w:tab/>
        <w:t>the public utility service is provided under a contract between the provider of the public utility service and the lessor or a strata company.</w:t>
      </w:r>
    </w:p>
    <w:p>
      <w:pPr>
        <w:pStyle w:val="Subsection"/>
      </w:pPr>
      <w:r>
        <w:tab/>
        <w:t>(3)</w:t>
      </w:r>
      <w:r>
        <w:tab/>
        <w:t xml:space="preserve">The tenant must pay a charge for the provision of the service only if — </w:t>
      </w:r>
    </w:p>
    <w:p>
      <w:pPr>
        <w:pStyle w:val="Indenta"/>
      </w:pPr>
      <w:r>
        <w:tab/>
        <w:t>(a)</w:t>
      </w:r>
      <w:r>
        <w:tab/>
        <w:t xml:space="preserve">the charge is for the tenant’s consumption of the utility at the premises; and </w:t>
      </w:r>
    </w:p>
    <w:p>
      <w:pPr>
        <w:pStyle w:val="Indenta"/>
      </w:pPr>
      <w:r>
        <w:tab/>
        <w:t>(b)</w:t>
      </w:r>
      <w:r>
        <w:tab/>
        <w:t xml:space="preserve">either — </w:t>
      </w:r>
    </w:p>
    <w:p>
      <w:pPr>
        <w:pStyle w:val="Indenti"/>
      </w:pPr>
      <w:r>
        <w:tab/>
        <w:t>(i)</w:t>
      </w:r>
      <w:r>
        <w:tab/>
        <w:t>the tenant’s consumption of the utility is separately metered; or</w:t>
      </w:r>
    </w:p>
    <w:p>
      <w:pPr>
        <w:pStyle w:val="Indenti"/>
      </w:pPr>
      <w:r>
        <w:lastRenderedPageBreak/>
        <w:tab/>
        <w:t>(ii)</w:t>
      </w:r>
      <w:r>
        <w:tab/>
        <w:t>although consumption at the premises is not separately metered, the charge is calculated in accordance with a method previously agreed to in writing by the lessor and the tenant;</w:t>
      </w:r>
    </w:p>
    <w:p>
      <w:pPr>
        <w:pStyle w:val="Indenta"/>
      </w:pPr>
      <w:r>
        <w:tab/>
      </w:r>
      <w:r>
        <w:tab/>
        <w:t>and</w:t>
      </w:r>
    </w:p>
    <w:p>
      <w:pPr>
        <w:pStyle w:val="Indenta"/>
      </w:pPr>
      <w:r>
        <w:tab/>
        <w:t>(c)</w:t>
      </w:r>
      <w:r>
        <w:tab/>
        <w:t xml:space="preserve">the lessor gives the tenant a written notice under subsection (4) within 30 days after the lessor receives an invoice for the public utility service. </w:t>
      </w:r>
    </w:p>
    <w:p>
      <w:pPr>
        <w:pStyle w:val="Subsection"/>
      </w:pPr>
      <w:r>
        <w:tab/>
        <w:t>(4)</w:t>
      </w:r>
      <w:r>
        <w:tab/>
        <w:t xml:space="preserve">The notice must be in writing and set out the full details of the account for the charge, including — </w:t>
      </w:r>
    </w:p>
    <w:p>
      <w:pPr>
        <w:pStyle w:val="Indenta"/>
      </w:pPr>
      <w:r>
        <w:tab/>
        <w:t>(a)</w:t>
      </w:r>
      <w:r>
        <w:tab/>
        <w:t>the total charge for the tenant’s consumption of the utility; and</w:t>
      </w:r>
    </w:p>
    <w:p>
      <w:pPr>
        <w:pStyle w:val="Indenta"/>
      </w:pPr>
      <w:r>
        <w:tab/>
        <w:t>(b)</w:t>
      </w:r>
      <w:r>
        <w:tab/>
        <w:t xml:space="preserve">if consumption at the premises is metered — </w:t>
      </w:r>
    </w:p>
    <w:p>
      <w:pPr>
        <w:pStyle w:val="Indenti"/>
      </w:pPr>
      <w:r>
        <w:tab/>
        <w:t>(i)</w:t>
      </w:r>
      <w:r>
        <w:tab/>
        <w:t xml:space="preserve">the meter readings; and </w:t>
      </w:r>
    </w:p>
    <w:p>
      <w:pPr>
        <w:pStyle w:val="Indenti"/>
      </w:pPr>
      <w:r>
        <w:tab/>
        <w:t>(ii)</w:t>
      </w:r>
      <w:r>
        <w:tab/>
        <w:t xml:space="preserve">the charge per metered unit; </w:t>
      </w:r>
    </w:p>
    <w:p>
      <w:pPr>
        <w:pStyle w:val="Indenta"/>
      </w:pPr>
      <w:r>
        <w:tab/>
      </w:r>
      <w:r>
        <w:tab/>
        <w:t xml:space="preserve">and </w:t>
      </w:r>
    </w:p>
    <w:p>
      <w:pPr>
        <w:pStyle w:val="Indenta"/>
      </w:pPr>
      <w:r>
        <w:tab/>
        <w:t>(c)</w:t>
      </w:r>
      <w:r>
        <w:tab/>
        <w:t>if consumption at the premises is not metered — the charge calculated by the method agreed to under subsection (3)(b)(ii); and</w:t>
      </w:r>
    </w:p>
    <w:p>
      <w:pPr>
        <w:pStyle w:val="Indenta"/>
      </w:pPr>
      <w:r>
        <w:tab/>
        <w:t>(d)</w:t>
      </w:r>
      <w:r>
        <w:tab/>
        <w:t>the amount of GST payable in respect of the provision of the service to the premises.</w:t>
      </w:r>
    </w:p>
    <w:p>
      <w:pPr>
        <w:pStyle w:val="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pPr>
        <w:pStyle w:val="Indenta"/>
      </w:pPr>
      <w:r>
        <w:tab/>
        <w:t>(a)</w:t>
      </w:r>
      <w:r>
        <w:tab/>
        <w:t xml:space="preserve">is not required to give the written notice under subsection (4) within 30 days after the lessor receives the invoice; and </w:t>
      </w:r>
    </w:p>
    <w:p>
      <w:pPr>
        <w:pStyle w:val="Indenta"/>
      </w:pPr>
      <w:r>
        <w:tab/>
        <w:t>(b)</w:t>
      </w:r>
      <w:r>
        <w:tab/>
        <w:t>may give the notice to the tenant (or former tenant) as soon as practicable after the lessor receives the notice and locates the tenant.</w:t>
      </w:r>
    </w:p>
    <w:p>
      <w:pPr>
        <w:pStyle w:val="Footnotesection"/>
      </w:pPr>
      <w:r>
        <w:lastRenderedPageBreak/>
        <w:tab/>
        <w:t xml:space="preserve">[Section 49A inserted: No. 60 of 2011 s. 44; amended: No. 25 of 2019 s. 68.] </w:t>
      </w:r>
    </w:p>
    <w:p>
      <w:pPr>
        <w:pStyle w:val="Heading5"/>
        <w:rPr>
          <w:snapToGrid w:val="0"/>
        </w:rPr>
      </w:pPr>
      <w:bookmarkStart w:id="85" w:name="_Toc164757294"/>
      <w:r>
        <w:rPr>
          <w:rStyle w:val="CharSectno"/>
        </w:rPr>
        <w:t>49</w:t>
      </w:r>
      <w:r>
        <w:rPr>
          <w:snapToGrid w:val="0"/>
        </w:rPr>
        <w:t>.</w:t>
      </w:r>
      <w:r>
        <w:rPr>
          <w:snapToGrid w:val="0"/>
        </w:rPr>
        <w:tab/>
        <w:t>Right of tenant to assign or sub</w:t>
      </w:r>
      <w:r>
        <w:rPr>
          <w:snapToGrid w:val="0"/>
        </w:rPr>
        <w:noBreakHyphen/>
        <w:t>let</w:t>
      </w:r>
      <w:bookmarkEnd w:id="85"/>
      <w:r>
        <w:rPr>
          <w:snapToGrid w:val="0"/>
        </w:rPr>
        <w:t xml:space="preserve"> </w:t>
      </w:r>
    </w:p>
    <w:p>
      <w:pPr>
        <w:pStyle w:val="Subsection"/>
        <w:keepNext/>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86" w:name="_Toc164757295"/>
      <w:r>
        <w:rPr>
          <w:rStyle w:val="CharSectno"/>
        </w:rPr>
        <w:t>50</w:t>
      </w:r>
      <w:r>
        <w:rPr>
          <w:snapToGrid w:val="0"/>
        </w:rPr>
        <w:t>.</w:t>
      </w:r>
      <w:r>
        <w:rPr>
          <w:snapToGrid w:val="0"/>
        </w:rPr>
        <w:tab/>
        <w:t>Vicarious responsibility of tenant for breach by other person lawfully on premises</w:t>
      </w:r>
      <w:bookmarkEnd w:id="86"/>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lastRenderedPageBreak/>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pPr>
      <w:bookmarkStart w:id="87" w:name="_Toc164681603"/>
      <w:bookmarkStart w:id="88" w:name="_Toc164681805"/>
      <w:bookmarkStart w:id="89" w:name="_Toc164757296"/>
      <w:r>
        <w:rPr>
          <w:rStyle w:val="CharDivNo"/>
        </w:rPr>
        <w:t>Division 3</w:t>
      </w:r>
      <w:r>
        <w:t> — </w:t>
      </w:r>
      <w:r>
        <w:rPr>
          <w:rStyle w:val="CharDivText"/>
        </w:rPr>
        <w:t>General</w:t>
      </w:r>
      <w:bookmarkEnd w:id="87"/>
      <w:bookmarkEnd w:id="88"/>
      <w:bookmarkEnd w:id="89"/>
    </w:p>
    <w:p>
      <w:pPr>
        <w:pStyle w:val="Footnoteheading"/>
      </w:pPr>
      <w:r>
        <w:tab/>
        <w:t xml:space="preserve">[Heading inserted: No. 60 of 2011 s. 47.] </w:t>
      </w:r>
    </w:p>
    <w:p>
      <w:pPr>
        <w:pStyle w:val="Heading5"/>
      </w:pPr>
      <w:bookmarkStart w:id="90" w:name="_Toc164757297"/>
      <w:r>
        <w:rPr>
          <w:rStyle w:val="CharSectno"/>
        </w:rPr>
        <w:t>51</w:t>
      </w:r>
      <w:r>
        <w:t>.</w:t>
      </w:r>
      <w:r>
        <w:tab/>
        <w:t>Tenant to be notified of lessor’s name and address</w:t>
      </w:r>
      <w:bookmarkEnd w:id="90"/>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for this subsection: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for this subsection: a fine of $5 000.</w:t>
      </w:r>
    </w:p>
    <w:p>
      <w:pPr>
        <w:pStyle w:val="Subsection"/>
      </w:pPr>
      <w:r>
        <w:tab/>
        <w:t>(3)</w:t>
      </w:r>
      <w:r>
        <w:tab/>
        <w:t xml:space="preserve">Where a person succeeds another person as the lessor under a residential tenancy agreement, the new lessor must, within </w:t>
      </w:r>
      <w:r>
        <w:lastRenderedPageBreak/>
        <w:t xml:space="preserve">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tab/>
        <w:t>(b)</w:t>
      </w:r>
      <w:r>
        <w:tab/>
        <w:t>where the new lessor is a body corporate, the full name and business address of the secretary of the body corporate.</w:t>
      </w:r>
    </w:p>
    <w:p>
      <w:pPr>
        <w:pStyle w:val="Penstart"/>
      </w:pPr>
      <w:r>
        <w:tab/>
        <w:t>Penalty for this subsection: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for this subsection: a fine of $5 000.</w:t>
      </w:r>
    </w:p>
    <w:p>
      <w:pPr>
        <w:pStyle w:val="Footnotesection"/>
        <w:spacing w:before="100"/>
      </w:pPr>
      <w:r>
        <w:tab/>
        <w:t xml:space="preserve">[Section 51 inserted: No. 60 of 2011 s. 48; amended: No. 3 of 2019 s. 25.] </w:t>
      </w:r>
    </w:p>
    <w:p>
      <w:pPr>
        <w:pStyle w:val="Heading5"/>
        <w:rPr>
          <w:snapToGrid w:val="0"/>
        </w:rPr>
      </w:pPr>
      <w:bookmarkStart w:id="91" w:name="_Toc164757298"/>
      <w:r>
        <w:rPr>
          <w:rStyle w:val="CharSectno"/>
        </w:rPr>
        <w:t>52</w:t>
      </w:r>
      <w:r>
        <w:rPr>
          <w:snapToGrid w:val="0"/>
        </w:rPr>
        <w:t>.</w:t>
      </w:r>
      <w:r>
        <w:rPr>
          <w:snapToGrid w:val="0"/>
        </w:rPr>
        <w:tab/>
        <w:t>Failure to pay rent with intention it be recovered from security bond</w:t>
      </w:r>
      <w:bookmarkEnd w:id="91"/>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92" w:name="_Toc164757299"/>
      <w:r>
        <w:rPr>
          <w:rStyle w:val="CharSectno"/>
        </w:rPr>
        <w:t>53</w:t>
      </w:r>
      <w:r>
        <w:t>.</w:t>
      </w:r>
      <w:r>
        <w:tab/>
        <w:t>Tenant’s name, place of employment and forwarding address</w:t>
      </w:r>
      <w:bookmarkEnd w:id="92"/>
    </w:p>
    <w:p>
      <w:pPr>
        <w:pStyle w:val="Subsection"/>
      </w:pPr>
      <w:r>
        <w:tab/>
        <w:t>(1)</w:t>
      </w:r>
      <w:r>
        <w:tab/>
        <w:t>A tenant under a residential tenancy agreement must not falsely state to the lessor the tenant’s name or place of employment.</w:t>
      </w:r>
    </w:p>
    <w:p>
      <w:pPr>
        <w:pStyle w:val="Penstart"/>
      </w:pPr>
      <w:r>
        <w:tab/>
        <w:t>Penalty for this subsection: a fine of $5 000.</w:t>
      </w:r>
    </w:p>
    <w:p>
      <w:pPr>
        <w:pStyle w:val="Subsection"/>
      </w:pPr>
      <w:r>
        <w:tab/>
        <w:t>(2)</w:t>
      </w:r>
      <w:r>
        <w:tab/>
        <w:t xml:space="preserve">Where a tenant has stated a place of employment to the lessor and that place is changed, the tenant must, within 14 days after </w:t>
      </w:r>
      <w:r>
        <w:lastRenderedPageBreak/>
        <w:t xml:space="preserve">the change, </w:t>
      </w:r>
      <w:r>
        <w:rPr>
          <w:snapToGrid w:val="0"/>
        </w:rPr>
        <w:t>notify the lessor, or cause the lessor to be notified, in writing of</w:t>
      </w:r>
      <w:r>
        <w:t xml:space="preserve"> the new place of employment.</w:t>
      </w:r>
    </w:p>
    <w:p>
      <w:pPr>
        <w:pStyle w:val="Penstart"/>
      </w:pPr>
      <w:r>
        <w:tab/>
        <w:t>Penalty for this subsection: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for this subsection: a fine of $5 000.</w:t>
      </w:r>
    </w:p>
    <w:p>
      <w:pPr>
        <w:pStyle w:val="Footnotesection"/>
      </w:pPr>
      <w:r>
        <w:tab/>
        <w:t xml:space="preserve">[Section 53 inserted: No. 60 of 2011 s. 50; amended: No. 3 of 2019 s. 25.] </w:t>
      </w:r>
    </w:p>
    <w:p>
      <w:pPr>
        <w:pStyle w:val="Heading5"/>
        <w:rPr>
          <w:snapToGrid w:val="0"/>
        </w:rPr>
      </w:pPr>
      <w:bookmarkStart w:id="93" w:name="_Toc164757300"/>
      <w:r>
        <w:rPr>
          <w:rStyle w:val="CharSectno"/>
        </w:rPr>
        <w:t>54</w:t>
      </w:r>
      <w:r>
        <w:rPr>
          <w:snapToGrid w:val="0"/>
        </w:rPr>
        <w:t>.</w:t>
      </w:r>
      <w:r>
        <w:rPr>
          <w:snapToGrid w:val="0"/>
        </w:rPr>
        <w:tab/>
        <w:t>Lessor to deliver copy of agreement to tenant</w:t>
      </w:r>
      <w:bookmarkEnd w:id="93"/>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for this subsection: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No. 3 of 2019 s. 25.] </w:t>
      </w:r>
    </w:p>
    <w:p>
      <w:pPr>
        <w:pStyle w:val="Heading5"/>
      </w:pPr>
      <w:bookmarkStart w:id="94" w:name="_Toc164757301"/>
      <w:r>
        <w:rPr>
          <w:rStyle w:val="CharSectno"/>
        </w:rPr>
        <w:lastRenderedPageBreak/>
        <w:t>55</w:t>
      </w:r>
      <w:r>
        <w:t>.</w:t>
      </w:r>
      <w:r>
        <w:tab/>
        <w:t>Cost of written agreement to be borne by lessor</w:t>
      </w:r>
      <w:bookmarkEnd w:id="94"/>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95" w:name="_Toc164757302"/>
      <w:r>
        <w:rPr>
          <w:rStyle w:val="CharSectno"/>
        </w:rPr>
        <w:t>56</w:t>
      </w:r>
      <w:r>
        <w:rPr>
          <w:snapToGrid w:val="0"/>
        </w:rPr>
        <w:t>.</w:t>
      </w:r>
      <w:r>
        <w:rPr>
          <w:snapToGrid w:val="0"/>
        </w:rPr>
        <w:tab/>
        <w:t>Discrimination against tenants with children</w:t>
      </w:r>
      <w:bookmarkEnd w:id="95"/>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for this subsection: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for this subsection: a fine of $5 000.</w:t>
      </w:r>
    </w:p>
    <w:p>
      <w:pPr>
        <w:pStyle w:val="Footnotesection"/>
      </w:pPr>
      <w:r>
        <w:tab/>
        <w:t xml:space="preserve">[Section 56 amended: No. 59 of 1995 s. 55; No. 60 of 2011 s. 53; No. 3 of 2019 s. 25.] </w:t>
      </w:r>
    </w:p>
    <w:p>
      <w:pPr>
        <w:pStyle w:val="Heading5"/>
      </w:pPr>
      <w:bookmarkStart w:id="96" w:name="_Toc164757303"/>
      <w:r>
        <w:rPr>
          <w:rStyle w:val="CharSectno"/>
        </w:rPr>
        <w:t>56A</w:t>
      </w:r>
      <w:r>
        <w:t>.</w:t>
      </w:r>
      <w:r>
        <w:tab/>
        <w:t>Discrimination against tenants subjected or exposed to family violence</w:t>
      </w:r>
      <w:bookmarkEnd w:id="96"/>
    </w:p>
    <w:p>
      <w:pPr>
        <w:pStyle w:val="Subsection"/>
      </w:pPr>
      <w:r>
        <w:tab/>
      </w:r>
      <w:r>
        <w:tab/>
        <w:t xml:space="preserve">A person must not refuse, or cause any person to refuse, to grant a tenancy to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spacing w:before="110"/>
      </w:pPr>
      <w:r>
        <w:lastRenderedPageBreak/>
        <w:tab/>
        <w:t xml:space="preserve">[Section 56A inserted: No. 3 of 2019 s. 13.] </w:t>
      </w:r>
    </w:p>
    <w:p>
      <w:pPr>
        <w:pStyle w:val="Heading5"/>
        <w:spacing w:before="200"/>
        <w:rPr>
          <w:snapToGrid w:val="0"/>
        </w:rPr>
      </w:pPr>
      <w:bookmarkStart w:id="97" w:name="_Toc164757304"/>
      <w:r>
        <w:rPr>
          <w:rStyle w:val="CharSectno"/>
        </w:rPr>
        <w:t>57</w:t>
      </w:r>
      <w:r>
        <w:rPr>
          <w:snapToGrid w:val="0"/>
        </w:rPr>
        <w:t>.</w:t>
      </w:r>
      <w:r>
        <w:rPr>
          <w:snapToGrid w:val="0"/>
        </w:rPr>
        <w:tab/>
        <w:t>Accelerated rent and liquidated damages prohibited</w:t>
      </w:r>
      <w:bookmarkEnd w:id="97"/>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for this subsection: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No. 3 of 2019 s. 25.] </w:t>
      </w:r>
    </w:p>
    <w:p>
      <w:pPr>
        <w:pStyle w:val="Heading5"/>
        <w:rPr>
          <w:snapToGrid w:val="0"/>
        </w:rPr>
      </w:pPr>
      <w:bookmarkStart w:id="98" w:name="_Toc164757305"/>
      <w:r>
        <w:rPr>
          <w:rStyle w:val="CharSectno"/>
        </w:rPr>
        <w:t>58</w:t>
      </w:r>
      <w:r>
        <w:rPr>
          <w:snapToGrid w:val="0"/>
        </w:rPr>
        <w:t>.</w:t>
      </w:r>
      <w:r>
        <w:rPr>
          <w:snapToGrid w:val="0"/>
        </w:rPr>
        <w:tab/>
        <w:t>Duty of mitigation</w:t>
      </w:r>
      <w:bookmarkEnd w:id="98"/>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lastRenderedPageBreak/>
        <w:tab/>
        <w:t xml:space="preserve">[Section 58 amended: No. 60 of 2011 s. 55.] </w:t>
      </w:r>
    </w:p>
    <w:p>
      <w:pPr>
        <w:pStyle w:val="Heading5"/>
      </w:pPr>
      <w:bookmarkStart w:id="99" w:name="_Toc164757306"/>
      <w:r>
        <w:rPr>
          <w:rStyle w:val="CharSectno"/>
        </w:rPr>
        <w:t>59A</w:t>
      </w:r>
      <w:r>
        <w:t>.</w:t>
      </w:r>
      <w:r>
        <w:tab/>
        <w:t>Minors</w:t>
      </w:r>
      <w:bookmarkEnd w:id="99"/>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100" w:name="_Toc164757307"/>
      <w:r>
        <w:rPr>
          <w:rStyle w:val="CharSectno"/>
        </w:rPr>
        <w:t>59B</w:t>
      </w:r>
      <w:r>
        <w:t>.</w:t>
      </w:r>
      <w:r>
        <w:tab/>
        <w:t>Death of one of 2 or more tenants</w:t>
      </w:r>
      <w:bookmarkEnd w:id="100"/>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lastRenderedPageBreak/>
        <w:tab/>
        <w:t>[Section 59B inserted: No. 60 of 2011 s. 56.]</w:t>
      </w:r>
    </w:p>
    <w:p>
      <w:pPr>
        <w:pStyle w:val="Heading5"/>
      </w:pPr>
      <w:bookmarkStart w:id="101" w:name="_Toc164757308"/>
      <w:r>
        <w:rPr>
          <w:rStyle w:val="CharSectno"/>
        </w:rPr>
        <w:t>59C</w:t>
      </w:r>
      <w:r>
        <w:t>.</w:t>
      </w:r>
      <w:r>
        <w:tab/>
        <w:t>Recognition of certain persons as tenants</w:t>
      </w:r>
      <w:bookmarkEnd w:id="101"/>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102" w:name="_Toc164757309"/>
      <w:r>
        <w:rPr>
          <w:rStyle w:val="CharSectno"/>
        </w:rPr>
        <w:t>59D</w:t>
      </w:r>
      <w:r>
        <w:t>.</w:t>
      </w:r>
      <w:r>
        <w:tab/>
        <w:t>Tenant compensation bonds</w:t>
      </w:r>
      <w:bookmarkEnd w:id="102"/>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lastRenderedPageBreak/>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103" w:name="_Toc164757310"/>
      <w:r>
        <w:rPr>
          <w:rStyle w:val="CharSectno"/>
        </w:rPr>
        <w:t>59E</w:t>
      </w:r>
      <w:r>
        <w:t>.</w:t>
      </w:r>
      <w:r>
        <w:tab/>
      </w:r>
      <w:r>
        <w:rPr>
          <w:snapToGrid w:val="0"/>
        </w:rPr>
        <w:t>Interference with quiet enjoyment</w:t>
      </w:r>
      <w:bookmarkEnd w:id="103"/>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for this subsection: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pPr>
      <w:r>
        <w:lastRenderedPageBreak/>
        <w:tab/>
        <w:t>(3)</w:t>
      </w:r>
      <w:r>
        <w:tab/>
        <w:t xml:space="preserve">When a charge of an offence under subsection (1) relates to a failure by the lessor to give the tenant a copy of a key to the premises, it is a defence to the charge to prove that — </w:t>
      </w:r>
    </w:p>
    <w:p>
      <w:pPr>
        <w:pStyle w:val="Indenta"/>
      </w:pPr>
      <w:r>
        <w:tab/>
        <w:t>(a)</w:t>
      </w:r>
      <w:r>
        <w:tab/>
        <w:t>the copy of the key had been given to the lessor under section 45(2)(b); and</w:t>
      </w:r>
    </w:p>
    <w:p>
      <w:pPr>
        <w:pStyle w:val="Indenta"/>
      </w:pPr>
      <w:r>
        <w:tab/>
        <w:t>(b)</w:t>
      </w:r>
      <w:r>
        <w:tab/>
        <w:t>the tenant was a person to whom the lessor was instructed not to give the copy of the key under section 45(2)(c)(ii).</w:t>
      </w:r>
    </w:p>
    <w:p>
      <w:pPr>
        <w:pStyle w:val="Footnotesection"/>
      </w:pPr>
      <w:r>
        <w:tab/>
        <w:t>[Section 59E inserted: No. 60 of 2011 s. 56; amended: No. 3 of 2019 s. 14 and 25.]</w:t>
      </w:r>
    </w:p>
    <w:p>
      <w:pPr>
        <w:pStyle w:val="Heading5"/>
      </w:pPr>
      <w:bookmarkStart w:id="104" w:name="_Toc164757311"/>
      <w:r>
        <w:rPr>
          <w:rStyle w:val="CharSectno"/>
        </w:rPr>
        <w:t>59F</w:t>
      </w:r>
      <w:r>
        <w:t>.</w:t>
      </w:r>
      <w:r>
        <w:tab/>
      </w:r>
      <w:r>
        <w:rPr>
          <w:snapToGrid w:val="0"/>
        </w:rPr>
        <w:t>Offences relating to security of residential premises</w:t>
      </w:r>
      <w:bookmarkEnd w:id="104"/>
    </w:p>
    <w:p>
      <w:pPr>
        <w:pStyle w:val="Subsection"/>
      </w:pPr>
      <w:r>
        <w:tab/>
        <w:t>(1)</w:t>
      </w:r>
      <w:r>
        <w:tab/>
        <w:t>A lessor or tenant who breaches the term referred to in section 45(1)(b) without reasonable excuse commits an offence.</w:t>
      </w:r>
    </w:p>
    <w:p>
      <w:pPr>
        <w:pStyle w:val="Penstart"/>
      </w:pPr>
      <w:r>
        <w:tab/>
        <w:t>Penalty for this subsection: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for this subsection: a fine of $20 000.</w:t>
      </w:r>
    </w:p>
    <w:p>
      <w:pPr>
        <w:pStyle w:val="Subsection"/>
      </w:pPr>
      <w:r>
        <w:tab/>
        <w:t>(2A)</w:t>
      </w:r>
      <w:r>
        <w:tab/>
        <w:t>A lessor who breaches the term referred to in section 45(2)(c) without reasonable excuse commits an offence.</w:t>
      </w:r>
    </w:p>
    <w:p>
      <w:pPr>
        <w:pStyle w:val="Penstart"/>
      </w:pPr>
      <w:r>
        <w:tab/>
        <w:t>Penalty for this subsection: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 amended: No. 3 of 2019 s. 15 and 25.]</w:t>
      </w:r>
    </w:p>
    <w:p>
      <w:pPr>
        <w:pStyle w:val="Heading2"/>
      </w:pPr>
      <w:bookmarkStart w:id="105" w:name="_Toc164681619"/>
      <w:bookmarkStart w:id="106" w:name="_Toc164681821"/>
      <w:bookmarkStart w:id="107" w:name="_Toc164757312"/>
      <w:r>
        <w:rPr>
          <w:rStyle w:val="CharPartNo"/>
        </w:rPr>
        <w:lastRenderedPageBreak/>
        <w:t>Part V</w:t>
      </w:r>
      <w:r>
        <w:t> — </w:t>
      </w:r>
      <w:r>
        <w:rPr>
          <w:rStyle w:val="CharPartText"/>
        </w:rPr>
        <w:t>Termination of residential tenancy agreements</w:t>
      </w:r>
      <w:bookmarkEnd w:id="105"/>
      <w:bookmarkEnd w:id="106"/>
      <w:bookmarkEnd w:id="107"/>
    </w:p>
    <w:p>
      <w:pPr>
        <w:pStyle w:val="Heading3"/>
      </w:pPr>
      <w:bookmarkStart w:id="108" w:name="_Toc164681620"/>
      <w:bookmarkStart w:id="109" w:name="_Toc164681822"/>
      <w:bookmarkStart w:id="110" w:name="_Toc164757313"/>
      <w:r>
        <w:rPr>
          <w:rStyle w:val="CharDivNo"/>
        </w:rPr>
        <w:t>Division 1</w:t>
      </w:r>
      <w:r>
        <w:t> — </w:t>
      </w:r>
      <w:r>
        <w:rPr>
          <w:rStyle w:val="CharDivText"/>
        </w:rPr>
        <w:t>How residential tenancy agreements are terminated</w:t>
      </w:r>
      <w:bookmarkEnd w:id="108"/>
      <w:bookmarkEnd w:id="109"/>
      <w:bookmarkEnd w:id="110"/>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111" w:name="_Toc164757314"/>
      <w:r>
        <w:rPr>
          <w:rStyle w:val="CharSectno"/>
        </w:rPr>
        <w:t>60</w:t>
      </w:r>
      <w:r>
        <w:rPr>
          <w:snapToGrid w:val="0"/>
        </w:rPr>
        <w:t>.</w:t>
      </w:r>
      <w:r>
        <w:rPr>
          <w:snapToGrid w:val="0"/>
        </w:rPr>
        <w:tab/>
        <w:t>How residential tenancy agreements and tenant’s interests in agreements are terminated</w:t>
      </w:r>
      <w:bookmarkEnd w:id="111"/>
      <w:r>
        <w:rPr>
          <w:snapToGrid w:val="0"/>
        </w:rPr>
        <w:t xml:space="preserve"> </w:t>
      </w:r>
    </w:p>
    <w:p>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pPr>
      <w:r>
        <w:lastRenderedPageBreak/>
        <w:tab/>
        <w:t>(ba)</w:t>
      </w:r>
      <w:r>
        <w:tab/>
        <w:t xml:space="preserve">in the case of a particular tenant’s interest in the agreement, where the tenant — </w:t>
      </w:r>
    </w:p>
    <w:p>
      <w:pPr>
        <w:pStyle w:val="Indenti"/>
      </w:pPr>
      <w:r>
        <w:tab/>
        <w:t>(i)</w:t>
      </w:r>
      <w:r>
        <w:tab/>
        <w:t>gives notice under section 71AB(1) of termination of the tenant’s interest together with at least 1 of the documents required under section 71AB(2); and</w:t>
      </w:r>
    </w:p>
    <w:p>
      <w:pPr>
        <w:pStyle w:val="Indenti"/>
      </w:pPr>
      <w:r>
        <w:tab/>
        <w:t>(ii)</w:t>
      </w:r>
      <w:r>
        <w:tab/>
        <w:t>vacates the premises on or after the expiration of the period of notice required under section 71AB(5);</w:t>
      </w:r>
    </w:p>
    <w:p>
      <w:pPr>
        <w:pStyle w:val="Indenta"/>
      </w:pPr>
      <w:r>
        <w:tab/>
        <w:t>(bb)</w:t>
      </w:r>
      <w:r>
        <w:tab/>
        <w:t xml:space="preserve">in the case of a particular tenant’s interest in the agreement, where the tenant — </w:t>
      </w:r>
    </w:p>
    <w:p>
      <w:pPr>
        <w:pStyle w:val="Indenti"/>
      </w:pPr>
      <w:r>
        <w:tab/>
        <w:t>(i)</w:t>
      </w:r>
      <w:r>
        <w:tab/>
        <w:t>gives notice under section 71AD(4) of termination of the tenant’s interest; and</w:t>
      </w:r>
    </w:p>
    <w:p>
      <w:pPr>
        <w:pStyle w:val="Indenti"/>
      </w:pPr>
      <w:r>
        <w:tab/>
        <w:t>(ii)</w:t>
      </w:r>
      <w:r>
        <w:tab/>
        <w:t>vacates the premises on or after the expiration of the period of notice required under section 71AD(5);</w:t>
      </w:r>
    </w:p>
    <w:p>
      <w:pPr>
        <w:pStyle w:val="Indenta"/>
      </w:pPr>
      <w:r>
        <w:tab/>
        <w:t>(bc)</w:t>
      </w:r>
      <w:r>
        <w:tab/>
        <w:t>in the case of a particular tenant’s interest in the agreement, where a competent court terminates the tenant’s interest under section 71AE;</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pPr>
      <w:r>
        <w:lastRenderedPageBreak/>
        <w:tab/>
        <w:t>(2)</w:t>
      </w:r>
      <w:r>
        <w:tab/>
        <w:t>The termination of a tenant’s interest in a residential tenancy agreement does not terminate the agreement in respect of any other tenant under the agreement.</w:t>
      </w:r>
    </w:p>
    <w:p>
      <w:pPr>
        <w:pStyle w:val="Footnotesection"/>
      </w:pPr>
      <w:r>
        <w:tab/>
        <w:t xml:space="preserve">[Section 60 amended: No. 50 of 1988 s. 18; No. 59 of 1995 s. 49; No. 59 of 2004 s. 120(1); No. 60 of 2011 s. 59, 88, 89 and 91; No. 3 of 2019 s. 16.] </w:t>
      </w:r>
    </w:p>
    <w:p>
      <w:pPr>
        <w:pStyle w:val="Heading3"/>
      </w:pPr>
      <w:bookmarkStart w:id="112" w:name="_Toc164681622"/>
      <w:bookmarkStart w:id="113" w:name="_Toc164681824"/>
      <w:bookmarkStart w:id="114" w:name="_Toc164757315"/>
      <w:r>
        <w:rPr>
          <w:rStyle w:val="CharDivNo"/>
        </w:rPr>
        <w:t>Division 2</w:t>
      </w:r>
      <w:r>
        <w:t> — </w:t>
      </w:r>
      <w:r>
        <w:rPr>
          <w:rStyle w:val="CharDivText"/>
        </w:rPr>
        <w:t>Notices of termination</w:t>
      </w:r>
      <w:bookmarkEnd w:id="112"/>
      <w:bookmarkEnd w:id="113"/>
      <w:bookmarkEnd w:id="114"/>
    </w:p>
    <w:p>
      <w:pPr>
        <w:pStyle w:val="Footnoteheading"/>
      </w:pPr>
      <w:r>
        <w:tab/>
        <w:t>[Heading inserted: No. 60 of 2011 s. 60.]</w:t>
      </w:r>
    </w:p>
    <w:p>
      <w:pPr>
        <w:pStyle w:val="Heading5"/>
      </w:pPr>
      <w:bookmarkStart w:id="115" w:name="_Toc164757316"/>
      <w:r>
        <w:rPr>
          <w:rStyle w:val="CharSectno"/>
        </w:rPr>
        <w:t>61</w:t>
      </w:r>
      <w:r>
        <w:t>.</w:t>
      </w:r>
      <w:r>
        <w:tab/>
        <w:t>Form of notice of termination by lessor</w:t>
      </w:r>
      <w:bookmarkEnd w:id="115"/>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116" w:name="_Toc164757317"/>
      <w:r>
        <w:rPr>
          <w:rStyle w:val="CharSectno"/>
        </w:rPr>
        <w:t>62</w:t>
      </w:r>
      <w:r>
        <w:rPr>
          <w:snapToGrid w:val="0"/>
        </w:rPr>
        <w:t>.</w:t>
      </w:r>
      <w:r>
        <w:rPr>
          <w:snapToGrid w:val="0"/>
        </w:rPr>
        <w:tab/>
        <w:t>Notice of termination by lessor upon ground of breach of term of agreement</w:t>
      </w:r>
      <w:bookmarkEnd w:id="116"/>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lastRenderedPageBreak/>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 xml:space="preserve">Where an application is made, or proceedings in respect of an application are continued, in contravention of subsection (5), </w:t>
      </w:r>
      <w:r>
        <w:rPr>
          <w:snapToGrid w:val="0"/>
        </w:rPr>
        <w:lastRenderedPageBreak/>
        <w:t>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117" w:name="_Toc164757318"/>
      <w:r>
        <w:rPr>
          <w:rStyle w:val="CharSectno"/>
        </w:rPr>
        <w:t>63</w:t>
      </w:r>
      <w:r>
        <w:t>.</w:t>
      </w:r>
      <w:r>
        <w:tab/>
        <w:t>Notice of termination by lessor who has entered into contract of sale</w:t>
      </w:r>
      <w:bookmarkEnd w:id="117"/>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for this subsection: a fine of $10 000.</w:t>
      </w:r>
    </w:p>
    <w:p>
      <w:pPr>
        <w:pStyle w:val="Subsection"/>
      </w:pPr>
      <w:r>
        <w:tab/>
        <w:t>(4)</w:t>
      </w:r>
      <w:r>
        <w:tab/>
        <w:t>This section does not apply to a residential tenancy agreement that creates a tenancy for a fixed term during the currency of that term.</w:t>
      </w:r>
    </w:p>
    <w:p>
      <w:pPr>
        <w:pStyle w:val="Footnotesection"/>
      </w:pPr>
      <w:r>
        <w:lastRenderedPageBreak/>
        <w:tab/>
        <w:t>[Section 63 inserted: No. 60 of 2011 s. 63; amended: No. 3 of 2019 s. 25.]</w:t>
      </w:r>
    </w:p>
    <w:p>
      <w:pPr>
        <w:pStyle w:val="Heading5"/>
      </w:pPr>
      <w:bookmarkStart w:id="118" w:name="_Toc164757319"/>
      <w:r>
        <w:rPr>
          <w:rStyle w:val="CharSectno"/>
        </w:rPr>
        <w:t>64</w:t>
      </w:r>
      <w:r>
        <w:t>.</w:t>
      </w:r>
      <w:r>
        <w:tab/>
        <w:t>Notice of termination by lessor without any ground</w:t>
      </w:r>
      <w:bookmarkEnd w:id="118"/>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lastRenderedPageBreak/>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w:t>
      </w:r>
    </w:p>
    <w:p>
      <w:pPr>
        <w:pStyle w:val="Heading5"/>
        <w:rPr>
          <w:snapToGrid w:val="0"/>
        </w:rPr>
      </w:pPr>
      <w:bookmarkStart w:id="119" w:name="_Toc164757320"/>
      <w:r>
        <w:rPr>
          <w:rStyle w:val="CharSectno"/>
        </w:rPr>
        <w:t>65</w:t>
      </w:r>
      <w:r>
        <w:rPr>
          <w:snapToGrid w:val="0"/>
        </w:rPr>
        <w:t>.</w:t>
      </w:r>
      <w:r>
        <w:rPr>
          <w:snapToGrid w:val="0"/>
        </w:rPr>
        <w:tab/>
        <w:t>Termination by lessor where s. 32 invoked</w:t>
      </w:r>
      <w:bookmarkEnd w:id="119"/>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120" w:name="_Toc164757321"/>
      <w:r>
        <w:rPr>
          <w:rStyle w:val="CharSectno"/>
        </w:rPr>
        <w:t>66</w:t>
      </w:r>
      <w:r>
        <w:rPr>
          <w:snapToGrid w:val="0"/>
        </w:rPr>
        <w:t>.</w:t>
      </w:r>
      <w:r>
        <w:rPr>
          <w:snapToGrid w:val="0"/>
        </w:rPr>
        <w:tab/>
        <w:t>Notice by lessor not waived by acceptance of rent</w:t>
      </w:r>
      <w:bookmarkEnd w:id="120"/>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121" w:name="_Toc164757322"/>
      <w:r>
        <w:rPr>
          <w:rStyle w:val="CharSectno"/>
        </w:rPr>
        <w:lastRenderedPageBreak/>
        <w:t>67</w:t>
      </w:r>
      <w:r>
        <w:rPr>
          <w:snapToGrid w:val="0"/>
        </w:rPr>
        <w:t>.</w:t>
      </w:r>
      <w:r>
        <w:rPr>
          <w:snapToGrid w:val="0"/>
        </w:rPr>
        <w:tab/>
        <w:t>Form of notice of termination by tenant</w:t>
      </w:r>
      <w:bookmarkEnd w:id="121"/>
      <w:r>
        <w:rPr>
          <w:snapToGrid w:val="0"/>
        </w:rPr>
        <w:t xml:space="preserve"> </w:t>
      </w:r>
    </w:p>
    <w:p>
      <w:pPr>
        <w:pStyle w:val="Subsection"/>
        <w:rPr>
          <w:snapToGrid w:val="0"/>
        </w:rPr>
      </w:pPr>
      <w:r>
        <w:tab/>
        <w:t>(1)</w:t>
      </w:r>
      <w:r>
        <w:tab/>
        <w:t>Except as provided in subsection (2), a notice of termination of a residential tenancy agreement, or of the tenant’s interest in the agreement,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pPr>
      <w:r>
        <w:tab/>
        <w:t>(2)</w:t>
      </w:r>
      <w:r>
        <w:tab/>
        <w:t>A notice given under section 71AB(1) must be in a prescribed form.</w:t>
      </w:r>
    </w:p>
    <w:p>
      <w:pPr>
        <w:pStyle w:val="Footnotesection"/>
      </w:pPr>
      <w:r>
        <w:tab/>
        <w:t xml:space="preserve">[Section 67 amended: No. 60 of 2011 s. 88; No. 3 of 2019 s. 17.] </w:t>
      </w:r>
    </w:p>
    <w:p>
      <w:pPr>
        <w:pStyle w:val="Heading5"/>
        <w:rPr>
          <w:snapToGrid w:val="0"/>
        </w:rPr>
      </w:pPr>
      <w:bookmarkStart w:id="122" w:name="_Toc164757323"/>
      <w:r>
        <w:rPr>
          <w:rStyle w:val="CharSectno"/>
        </w:rPr>
        <w:t>68</w:t>
      </w:r>
      <w:r>
        <w:rPr>
          <w:snapToGrid w:val="0"/>
        </w:rPr>
        <w:t>.</w:t>
      </w:r>
      <w:r>
        <w:rPr>
          <w:snapToGrid w:val="0"/>
        </w:rPr>
        <w:tab/>
        <w:t>Notice of termination by tenant</w:t>
      </w:r>
      <w:bookmarkEnd w:id="122"/>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123" w:name="_Toc164757324"/>
      <w:r>
        <w:rPr>
          <w:rStyle w:val="CharSectno"/>
        </w:rPr>
        <w:t>69</w:t>
      </w:r>
      <w:r>
        <w:rPr>
          <w:snapToGrid w:val="0"/>
        </w:rPr>
        <w:t>.</w:t>
      </w:r>
      <w:r>
        <w:rPr>
          <w:snapToGrid w:val="0"/>
        </w:rPr>
        <w:tab/>
        <w:t>Notice of termination by lessor or tenant where agreement frustrated</w:t>
      </w:r>
      <w:bookmarkEnd w:id="123"/>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xml:space="preserve">, the premises, or a part of the premises, the subject of that agreement are destroyed or rendered uninhabitable or cease to be lawfully usable as a residence or are </w:t>
      </w:r>
      <w:r>
        <w:rPr>
          <w:snapToGrid w:val="0"/>
        </w:rPr>
        <w:lastRenderedPageBreak/>
        <w:t>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124" w:name="_Toc164757325"/>
      <w:r>
        <w:rPr>
          <w:rStyle w:val="CharSectno"/>
        </w:rPr>
        <w:t>70A</w:t>
      </w:r>
      <w:r>
        <w:t>.</w:t>
      </w:r>
      <w:r>
        <w:tab/>
        <w:t>Notice of termination by lessor or tenant at end of fixed term tenancy</w:t>
      </w:r>
      <w:bookmarkEnd w:id="124"/>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 xml:space="preserve">Despite any other written law or a requirement under a contract, the term of a residential tenancy agreement does not end on the expiry day unless the lessor or tenant has given a notice of </w:t>
      </w:r>
      <w:r>
        <w:lastRenderedPageBreak/>
        <w:t>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125" w:name="_Toc164757326"/>
      <w:r>
        <w:rPr>
          <w:rStyle w:val="CharSectno"/>
        </w:rPr>
        <w:lastRenderedPageBreak/>
        <w:t>70</w:t>
      </w:r>
      <w:r>
        <w:rPr>
          <w:snapToGrid w:val="0"/>
        </w:rPr>
        <w:t>.</w:t>
      </w:r>
      <w:r>
        <w:rPr>
          <w:snapToGrid w:val="0"/>
        </w:rPr>
        <w:tab/>
        <w:t>Effect of notice of termination of periodic tenancy</w:t>
      </w:r>
      <w:bookmarkEnd w:id="125"/>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126" w:name="_Toc164681634"/>
      <w:bookmarkStart w:id="127" w:name="_Toc164681836"/>
      <w:bookmarkStart w:id="128" w:name="_Toc164757327"/>
      <w:r>
        <w:rPr>
          <w:rStyle w:val="CharDivNo"/>
        </w:rPr>
        <w:t>Division 2A</w:t>
      </w:r>
      <w:r>
        <w:t> — </w:t>
      </w:r>
      <w:r>
        <w:rPr>
          <w:rStyle w:val="CharDivText"/>
        </w:rPr>
        <w:t>Special provisions about terminating tenant’s interest on grounds of family violence</w:t>
      </w:r>
      <w:bookmarkEnd w:id="126"/>
      <w:bookmarkEnd w:id="127"/>
      <w:bookmarkEnd w:id="128"/>
    </w:p>
    <w:p>
      <w:pPr>
        <w:pStyle w:val="Footnoteheading"/>
      </w:pPr>
      <w:r>
        <w:tab/>
        <w:t xml:space="preserve">[Heading inserted: No. 3 of 2019 s. 18.] </w:t>
      </w:r>
    </w:p>
    <w:p>
      <w:pPr>
        <w:pStyle w:val="Heading5"/>
      </w:pPr>
      <w:bookmarkStart w:id="129" w:name="_Toc164757328"/>
      <w:r>
        <w:rPr>
          <w:rStyle w:val="CharSectno"/>
        </w:rPr>
        <w:t>71AA</w:t>
      </w:r>
      <w:r>
        <w:t>.</w:t>
      </w:r>
      <w:r>
        <w:tab/>
        <w:t>Terms used</w:t>
      </w:r>
      <w:bookmarkEnd w:id="129"/>
    </w:p>
    <w:p>
      <w:pPr>
        <w:pStyle w:val="Subsection"/>
      </w:pPr>
      <w:r>
        <w:tab/>
      </w:r>
      <w:r>
        <w:tab/>
        <w:t xml:space="preserve">In this Division — </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premises</w:t>
      </w:r>
      <w:r>
        <w:t>, in relation to a residential tenancy agreement, means the residential premises to which the agreement relates.</w:t>
      </w:r>
    </w:p>
    <w:p>
      <w:pPr>
        <w:pStyle w:val="Footnotesection"/>
      </w:pPr>
      <w:r>
        <w:tab/>
        <w:t>[Section 71AA inserted: No. 3 of 2019 s. 18.]</w:t>
      </w:r>
    </w:p>
    <w:p>
      <w:pPr>
        <w:pStyle w:val="Heading5"/>
      </w:pPr>
      <w:bookmarkStart w:id="130" w:name="_Toc164757329"/>
      <w:r>
        <w:rPr>
          <w:rStyle w:val="CharSectno"/>
        </w:rPr>
        <w:t>71AB</w:t>
      </w:r>
      <w:r>
        <w:t>.</w:t>
      </w:r>
      <w:r>
        <w:tab/>
        <w:t>Notice of termination of tenant’s interest on ground that tenant subject to family violence</w:t>
      </w:r>
      <w:bookmarkEnd w:id="130"/>
    </w:p>
    <w:p>
      <w:pPr>
        <w:pStyle w:val="Subsection"/>
      </w:pPr>
      <w:r>
        <w:tab/>
        <w:t>(1)</w:t>
      </w:r>
      <w:r>
        <w:tab/>
        <w:t xml:space="preserve">Despite any other provision of this Act or another written law or a requirement under a contract, a tenant may give to the lessor notice of termination of the tenant’s interest in the residential tenancy agreement on the ground that the tenant or a dependant </w:t>
      </w:r>
      <w:r>
        <w:lastRenderedPageBreak/>
        <w:t>of the tenant is, during the tenancy period, likely to be subjected or exposed to family violence.</w:t>
      </w:r>
    </w:p>
    <w:p>
      <w:pPr>
        <w:pStyle w:val="Subsection"/>
      </w:pPr>
      <w:r>
        <w:tab/>
        <w:t>(2)</w:t>
      </w:r>
      <w:r>
        <w:tab/>
        <w:t xml:space="preserve">A notice under this section must be accompanied by a document, applicable during the tenancy period,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tenant or a court record of a conviction of the charge;</w:t>
      </w:r>
    </w:p>
    <w:p>
      <w:pPr>
        <w:pStyle w:val="Indenta"/>
      </w:pPr>
      <w:r>
        <w:tab/>
        <w:t>(d)</w:t>
      </w:r>
      <w:r>
        <w:tab/>
        <w:t>a report of family violence, in a form approved by the Commissioner, completed by a person who has worked with the tenant and is 1 of the following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lessor must not disclose information in a document provided to the lessor under subsection (2) to another person except in accordance with this Act or another written law.</w:t>
      </w:r>
    </w:p>
    <w:p>
      <w:pPr>
        <w:pStyle w:val="Penstart"/>
      </w:pPr>
      <w:r>
        <w:tab/>
        <w:t>Penalty for this subsection: a fine of $5 000.</w:t>
      </w:r>
    </w:p>
    <w:p>
      <w:pPr>
        <w:pStyle w:val="Subsection"/>
        <w:keepNext/>
      </w:pPr>
      <w:r>
        <w:lastRenderedPageBreak/>
        <w:tab/>
        <w:t>(4)</w:t>
      </w:r>
      <w:r>
        <w:tab/>
        <w:t>The lessor must ensure that information provided to the lessor under subsection (2) is kept in a secure manner so far as it is reasonably practicable to do so.</w:t>
      </w:r>
    </w:p>
    <w:p>
      <w:pPr>
        <w:pStyle w:val="Penstart"/>
      </w:pPr>
      <w:r>
        <w:tab/>
        <w:t>Penalty for this subsection: a fine of $5 000.</w:t>
      </w:r>
    </w:p>
    <w:p>
      <w:pPr>
        <w:pStyle w:val="Subsection"/>
      </w:pPr>
      <w:r>
        <w:tab/>
        <w:t>(5)</w:t>
      </w:r>
      <w:r>
        <w:tab/>
        <w:t>If a tenant gives notice under this section, the period of notice must be not less than 7 days before the termination day.</w:t>
      </w:r>
    </w:p>
    <w:p>
      <w:pPr>
        <w:pStyle w:val="Footnotesection"/>
      </w:pPr>
      <w:r>
        <w:tab/>
        <w:t>[Section 71AB inserted: No. 3 of 2019 s. 18.]</w:t>
      </w:r>
    </w:p>
    <w:p>
      <w:pPr>
        <w:pStyle w:val="Heading5"/>
      </w:pPr>
      <w:bookmarkStart w:id="131" w:name="_Toc164757330"/>
      <w:r>
        <w:rPr>
          <w:rStyle w:val="CharSectno"/>
        </w:rPr>
        <w:t>71AC</w:t>
      </w:r>
      <w:r>
        <w:t>.</w:t>
      </w:r>
      <w:r>
        <w:tab/>
        <w:t>Review of notice of termination under s. 71AB</w:t>
      </w:r>
      <w:bookmarkEnd w:id="131"/>
    </w:p>
    <w:p>
      <w:pPr>
        <w:pStyle w:val="Subsection"/>
      </w:pPr>
      <w:r>
        <w:tab/>
        <w:t>(1)</w:t>
      </w:r>
      <w:r>
        <w:tab/>
        <w:t xml:space="preserve">In this section — </w:t>
      </w:r>
    </w:p>
    <w:p>
      <w:pPr>
        <w:pStyle w:val="Defstart"/>
      </w:pPr>
      <w:r>
        <w:tab/>
      </w:r>
      <w:r>
        <w:rPr>
          <w:rStyle w:val="CharDefText"/>
        </w:rPr>
        <w:t>terminating tenant</w:t>
      </w:r>
      <w:r>
        <w:t xml:space="preserve"> means a tenant who has given, or purportedly given, notice of termination under section 71AB.</w:t>
      </w:r>
    </w:p>
    <w:p>
      <w:pPr>
        <w:pStyle w:val="Subsection"/>
      </w:pPr>
      <w:r>
        <w:tab/>
        <w:t>(2)</w:t>
      </w:r>
      <w:r>
        <w:tab/>
        <w:t>A lessor may, within 7 days after receiving a notice under section 71AB, apply to a competent court to review whether notice was validly given under that section.</w:t>
      </w:r>
    </w:p>
    <w:p>
      <w:pPr>
        <w:pStyle w:val="Subsection"/>
      </w:pPr>
      <w:r>
        <w:tab/>
        <w:t>(3)</w:t>
      </w:r>
      <w:r>
        <w:tab/>
        <w:t xml:space="preserve">In its review, the court — </w:t>
      </w:r>
    </w:p>
    <w:p>
      <w:pPr>
        <w:pStyle w:val="Indenta"/>
      </w:pPr>
      <w:r>
        <w:tab/>
        <w:t>(a)</w:t>
      </w:r>
      <w:r>
        <w:tab/>
        <w:t>must examine whether the terminating tenant has complied with section 71AB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Footnotesection"/>
      </w:pPr>
      <w:r>
        <w:tab/>
        <w:t>[Section 71AC inserted: No. 3 of 2019 s. 18.]</w:t>
      </w:r>
    </w:p>
    <w:p>
      <w:pPr>
        <w:pStyle w:val="Heading5"/>
      </w:pPr>
      <w:bookmarkStart w:id="132" w:name="_Toc164757331"/>
      <w:r>
        <w:rPr>
          <w:rStyle w:val="CharSectno"/>
        </w:rPr>
        <w:t>71AD</w:t>
      </w:r>
      <w:r>
        <w:t>.</w:t>
      </w:r>
      <w:r>
        <w:tab/>
        <w:t>Rights of co</w:t>
      </w:r>
      <w:r>
        <w:noBreakHyphen/>
        <w:t>tenants after notice under s. 71AB</w:t>
      </w:r>
      <w:bookmarkEnd w:id="132"/>
    </w:p>
    <w:p>
      <w:pPr>
        <w:pStyle w:val="Subsection"/>
      </w:pPr>
      <w:r>
        <w:tab/>
        <w:t>(1)</w:t>
      </w:r>
      <w:r>
        <w:tab/>
        <w:t xml:space="preserve">In this section — </w:t>
      </w:r>
    </w:p>
    <w:p>
      <w:pPr>
        <w:pStyle w:val="Defstart"/>
      </w:pPr>
      <w:r>
        <w:lastRenderedPageBreak/>
        <w:tab/>
      </w:r>
      <w:r>
        <w:rPr>
          <w:rStyle w:val="CharDefText"/>
        </w:rPr>
        <w:t>co</w:t>
      </w:r>
      <w:r>
        <w:rPr>
          <w:rStyle w:val="CharDefText"/>
        </w:rPr>
        <w:noBreakHyphen/>
        <w:t>tenant</w:t>
      </w:r>
      <w:r>
        <w:t>, in relation to a notice under section 71AB(1), does not include the tenant who gave the notice.</w:t>
      </w:r>
    </w:p>
    <w:p>
      <w:pPr>
        <w:pStyle w:val="Subsection"/>
      </w:pPr>
      <w:r>
        <w:tab/>
        <w:t>(2)</w:t>
      </w:r>
      <w:r>
        <w:tab/>
        <w:t>A lessor must give a copy of a notice received by the lessor under section 71AB(1) to each co</w:t>
      </w:r>
      <w:r>
        <w:noBreakHyphen/>
        <w:t>tenant under the residential tenancy agreement within 7 days after receiving the notice.</w:t>
      </w:r>
    </w:p>
    <w:p>
      <w:pPr>
        <w:pStyle w:val="Subsection"/>
      </w:pPr>
      <w:r>
        <w:tab/>
        <w:t>(3)</w:t>
      </w:r>
      <w:r>
        <w:tab/>
        <w:t>Nothing in subsection (2) requires or permits the lessor to give a copy of a document provided under section 71AB(2)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71AD inserted: No. 3 of 2019 s. 18.]</w:t>
      </w:r>
    </w:p>
    <w:p>
      <w:pPr>
        <w:pStyle w:val="Heading5"/>
      </w:pPr>
      <w:bookmarkStart w:id="133" w:name="_Toc164757332"/>
      <w:r>
        <w:rPr>
          <w:rStyle w:val="CharSectno"/>
        </w:rPr>
        <w:t>71AE</w:t>
      </w:r>
      <w:r>
        <w:t>.</w:t>
      </w:r>
      <w:r>
        <w:tab/>
        <w:t>Termination of tenant’s interest by court on grounds of family violence</w:t>
      </w:r>
      <w:bookmarkEnd w:id="133"/>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 xml:space="preserve">Despite any other provision of this Act or another written law, or a requirement under a contract, a court may make an order terminating a tenant’s interest in a residential tenancy agreement if it is satisfied — </w:t>
      </w:r>
    </w:p>
    <w:p>
      <w:pPr>
        <w:pStyle w:val="Indenta"/>
      </w:pPr>
      <w:r>
        <w:tab/>
        <w:t>(a)</w:t>
      </w:r>
      <w:r>
        <w:tab/>
        <w:t>that a family violence order is in force against the excluded tenant; or</w:t>
      </w:r>
    </w:p>
    <w:p>
      <w:pPr>
        <w:pStyle w:val="Indenta"/>
      </w:pPr>
      <w:r>
        <w:lastRenderedPageBreak/>
        <w:tab/>
        <w:t>(b)</w:t>
      </w:r>
      <w:r>
        <w:tab/>
        <w:t>that the excluded tenant has, during the tenancy period, committed family violence against the protected tenant or a dependant of the protected tenant.</w:t>
      </w:r>
    </w:p>
    <w:p>
      <w:pPr>
        <w:pStyle w:val="Subsection"/>
      </w:pPr>
      <w:r>
        <w:tab/>
        <w:t>(3)</w:t>
      </w:r>
      <w:r>
        <w:tab/>
        <w:t xml:space="preserve">The court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court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Indenta"/>
      </w:pPr>
      <w:r>
        <w:tab/>
        <w:t>(c)</w:t>
      </w:r>
      <w:r>
        <w:tab/>
        <w:t>the effect the order might have on the lessor and any tenants other than the protected tenant;</w:t>
      </w:r>
    </w:p>
    <w:p>
      <w:pPr>
        <w:pStyle w:val="Indenta"/>
      </w:pPr>
      <w:r>
        <w:tab/>
        <w:t>(d)</w:t>
      </w:r>
      <w:r>
        <w:tab/>
        <w:t>the effect the order might have on any pets kept on the premises;</w:t>
      </w:r>
    </w:p>
    <w:p>
      <w:pPr>
        <w:pStyle w:val="Indenta"/>
      </w:pPr>
      <w:r>
        <w:tab/>
        <w:t>(e)</w:t>
      </w:r>
      <w:r>
        <w:tab/>
        <w:t>the fact that perpetrators of family violence might seek to misuse the protections offered to tenants and lessors under this Act to further their violence and the need to prevent that misuse.</w:t>
      </w:r>
    </w:p>
    <w:p>
      <w:pPr>
        <w:pStyle w:val="Subsection"/>
      </w:pPr>
      <w:r>
        <w:tab/>
        <w:t>(5)</w:t>
      </w:r>
      <w:r>
        <w:tab/>
        <w:t>The court is to have regard to the matter set out in subsection (4)(a) as being of primary importance.</w:t>
      </w:r>
    </w:p>
    <w:p>
      <w:pPr>
        <w:pStyle w:val="Subsection"/>
      </w:pPr>
      <w:r>
        <w:tab/>
        <w:t>(6)</w:t>
      </w:r>
      <w:r>
        <w:tab/>
        <w:t>The order takes effect on a day specified in the order, being a day that is not less than 7 days and not more than 30 days after the order is made.</w:t>
      </w:r>
    </w:p>
    <w:p>
      <w:pPr>
        <w:pStyle w:val="Subsection"/>
      </w:pPr>
      <w:r>
        <w:lastRenderedPageBreak/>
        <w:tab/>
        <w:t>(7)</w:t>
      </w:r>
      <w:r>
        <w:tab/>
        <w:t>The court may make the order in proceedings under this Act or the Act under which the family violence order is made.</w:t>
      </w:r>
    </w:p>
    <w:p>
      <w:pPr>
        <w:pStyle w:val="Footnotesection"/>
      </w:pPr>
      <w:r>
        <w:tab/>
        <w:t>[Section 71AE inserted: No. 3 of 2019 s. 18.]</w:t>
      </w:r>
    </w:p>
    <w:p>
      <w:pPr>
        <w:pStyle w:val="Heading5"/>
        <w:pageBreakBefore/>
        <w:spacing w:before="0"/>
      </w:pPr>
      <w:bookmarkStart w:id="134" w:name="_Toc164757333"/>
      <w:r>
        <w:rPr>
          <w:rStyle w:val="CharSectno"/>
        </w:rPr>
        <w:lastRenderedPageBreak/>
        <w:t>71AF</w:t>
      </w:r>
      <w:r>
        <w:t>.</w:t>
      </w:r>
      <w:r>
        <w:tab/>
        <w:t>Review of Division</w:t>
      </w:r>
      <w:bookmarkEnd w:id="134"/>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71AF inserted: No. 3 of 2019 s. 18.]</w:t>
      </w:r>
    </w:p>
    <w:p>
      <w:pPr>
        <w:pStyle w:val="Heading3"/>
      </w:pPr>
      <w:bookmarkStart w:id="135" w:name="_Toc164681641"/>
      <w:bookmarkStart w:id="136" w:name="_Toc164681843"/>
      <w:bookmarkStart w:id="137" w:name="_Toc164757334"/>
      <w:r>
        <w:rPr>
          <w:rStyle w:val="CharDivNo"/>
        </w:rPr>
        <w:t>Division 3</w:t>
      </w:r>
      <w:r>
        <w:t> — </w:t>
      </w:r>
      <w:r>
        <w:rPr>
          <w:rStyle w:val="CharDivText"/>
        </w:rPr>
        <w:t>Special provisions about terminating social housing tenancy agreements</w:t>
      </w:r>
      <w:bookmarkEnd w:id="135"/>
      <w:bookmarkEnd w:id="136"/>
      <w:bookmarkEnd w:id="137"/>
    </w:p>
    <w:p>
      <w:pPr>
        <w:pStyle w:val="Footnoteheading"/>
      </w:pPr>
      <w:r>
        <w:tab/>
        <w:t>[Heading inserted: No. 60 of 2011 s. 92.]</w:t>
      </w:r>
    </w:p>
    <w:p>
      <w:pPr>
        <w:pStyle w:val="Heading4"/>
      </w:pPr>
      <w:bookmarkStart w:id="138" w:name="_Toc164681642"/>
      <w:bookmarkStart w:id="139" w:name="_Toc164681844"/>
      <w:bookmarkStart w:id="140" w:name="_Toc164757335"/>
      <w:r>
        <w:t>Subdivision 1 — Preliminary</w:t>
      </w:r>
      <w:bookmarkEnd w:id="138"/>
      <w:bookmarkEnd w:id="139"/>
      <w:bookmarkEnd w:id="140"/>
    </w:p>
    <w:p>
      <w:pPr>
        <w:pStyle w:val="Footnoteheading"/>
      </w:pPr>
      <w:r>
        <w:tab/>
        <w:t>[Heading inserted: No. 60 of 2011 s. 92.]</w:t>
      </w:r>
    </w:p>
    <w:p>
      <w:pPr>
        <w:pStyle w:val="Heading5"/>
      </w:pPr>
      <w:bookmarkStart w:id="141" w:name="_Toc164757336"/>
      <w:r>
        <w:rPr>
          <w:rStyle w:val="CharSectno"/>
        </w:rPr>
        <w:t>71A</w:t>
      </w:r>
      <w:r>
        <w:t>.</w:t>
      </w:r>
      <w:r>
        <w:tab/>
        <w:t>Terms used</w:t>
      </w:r>
      <w:bookmarkEnd w:id="141"/>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lastRenderedPageBreak/>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142" w:name="_Toc164757337"/>
      <w:r>
        <w:rPr>
          <w:rStyle w:val="CharSectno"/>
        </w:rPr>
        <w:t>71B</w:t>
      </w:r>
      <w:r>
        <w:t>.</w:t>
      </w:r>
      <w:r>
        <w:tab/>
        <w:t>Application of Division</w:t>
      </w:r>
      <w:bookmarkEnd w:id="142"/>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143" w:name="_Toc164681645"/>
      <w:bookmarkStart w:id="144" w:name="_Toc164681847"/>
      <w:bookmarkStart w:id="145" w:name="_Toc164757338"/>
      <w:r>
        <w:t>Subdivision 2 — Notice of termination where tenant not eligible for social housing premises</w:t>
      </w:r>
      <w:bookmarkEnd w:id="143"/>
      <w:bookmarkEnd w:id="144"/>
      <w:bookmarkEnd w:id="145"/>
    </w:p>
    <w:p>
      <w:pPr>
        <w:pStyle w:val="Footnoteheading"/>
      </w:pPr>
      <w:r>
        <w:tab/>
        <w:t>[Heading inserted: No. 60 of 2011 s. 92.]</w:t>
      </w:r>
    </w:p>
    <w:p>
      <w:pPr>
        <w:pStyle w:val="Heading5"/>
        <w:rPr>
          <w:snapToGrid w:val="0"/>
        </w:rPr>
      </w:pPr>
      <w:bookmarkStart w:id="146" w:name="_Toc164757339"/>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146"/>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w:t>
      </w:r>
      <w:r>
        <w:rPr>
          <w:snapToGrid w:val="0"/>
        </w:rPr>
        <w:lastRenderedPageBreak/>
        <w:t xml:space="preserve">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147" w:name="_Toc164757340"/>
      <w:r>
        <w:rPr>
          <w:rStyle w:val="CharSectno"/>
        </w:rPr>
        <w:t>71D</w:t>
      </w:r>
      <w:r>
        <w:t>.</w:t>
      </w:r>
      <w:r>
        <w:tab/>
        <w:t>Assessment of tenants eligibility for social housing premises</w:t>
      </w:r>
      <w:bookmarkEnd w:id="147"/>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148" w:name="_Toc164757341"/>
      <w:r>
        <w:rPr>
          <w:rStyle w:val="CharSectno"/>
        </w:rPr>
        <w:t>71E</w:t>
      </w:r>
      <w:r>
        <w:t>.</w:t>
      </w:r>
      <w:r>
        <w:tab/>
        <w:t>Criteria for assessing eligibility of tenants for social housing premises under s. 71D</w:t>
      </w:r>
      <w:bookmarkEnd w:id="148"/>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lastRenderedPageBreak/>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149" w:name="_Toc164757342"/>
      <w:r>
        <w:rPr>
          <w:rStyle w:val="CharSectno"/>
        </w:rPr>
        <w:t>71F</w:t>
      </w:r>
      <w:r>
        <w:t>.</w:t>
      </w:r>
      <w:r>
        <w:tab/>
        <w:t>Review of decision to give notice on ground that tenant not eligible for social housing premises</w:t>
      </w:r>
      <w:bookmarkEnd w:id="149"/>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 xml:space="preserve">If the tenant applies to the lessor for a review under this section, the lessor must review the decision, in accordance with any </w:t>
      </w:r>
      <w:r>
        <w:lastRenderedPageBreak/>
        <w:t>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150" w:name="_Toc164757343"/>
      <w:r>
        <w:rPr>
          <w:rStyle w:val="CharSectno"/>
        </w:rPr>
        <w:t>71G</w:t>
      </w:r>
      <w:r>
        <w:t>.</w:t>
      </w:r>
      <w:r>
        <w:tab/>
        <w:t xml:space="preserve">Time </w:t>
      </w:r>
      <w:r>
        <w:rPr>
          <w:snapToGrid w:val="0"/>
        </w:rPr>
        <w:t>periods to be observed where notice of termination given under this Subdivision</w:t>
      </w:r>
      <w:bookmarkEnd w:id="150"/>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151" w:name="_Toc164681651"/>
      <w:bookmarkStart w:id="152" w:name="_Toc164681853"/>
      <w:bookmarkStart w:id="153" w:name="_Toc164757344"/>
      <w:r>
        <w:lastRenderedPageBreak/>
        <w:t>Subdivision 3 — Notice of termination where tenant offered alternative social housing premises</w:t>
      </w:r>
      <w:bookmarkEnd w:id="151"/>
      <w:bookmarkEnd w:id="152"/>
      <w:bookmarkEnd w:id="153"/>
    </w:p>
    <w:p>
      <w:pPr>
        <w:pStyle w:val="Footnoteheading"/>
        <w:spacing w:before="100"/>
      </w:pPr>
      <w:r>
        <w:tab/>
        <w:t>[Heading inserted: No. 60 of 2011 s. 92.]</w:t>
      </w:r>
    </w:p>
    <w:p>
      <w:pPr>
        <w:pStyle w:val="Heading5"/>
        <w:rPr>
          <w:snapToGrid w:val="0"/>
        </w:rPr>
      </w:pPr>
      <w:bookmarkStart w:id="154" w:name="_Toc164757345"/>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154"/>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No. 60 of 2011 s. 92.]</w:t>
      </w:r>
    </w:p>
    <w:p>
      <w:pPr>
        <w:pStyle w:val="Heading5"/>
      </w:pPr>
      <w:bookmarkStart w:id="155" w:name="_Toc164757346"/>
      <w:r>
        <w:rPr>
          <w:rStyle w:val="CharSectno"/>
        </w:rPr>
        <w:t>71I</w:t>
      </w:r>
      <w:r>
        <w:t>.</w:t>
      </w:r>
      <w:r>
        <w:tab/>
        <w:t>Review of decision to give notice on ground that tenant offered alternative social housing premises</w:t>
      </w:r>
      <w:bookmarkEnd w:id="155"/>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lastRenderedPageBreak/>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156" w:name="_Toc164757347"/>
      <w:r>
        <w:rPr>
          <w:rStyle w:val="CharSectno"/>
        </w:rPr>
        <w:lastRenderedPageBreak/>
        <w:t>71J</w:t>
      </w:r>
      <w:r>
        <w:t>.</w:t>
      </w:r>
      <w:r>
        <w:tab/>
        <w:t xml:space="preserve">Time periods to be observed </w:t>
      </w:r>
      <w:r>
        <w:rPr>
          <w:snapToGrid w:val="0"/>
        </w:rPr>
        <w:t xml:space="preserve">where notice of termination given </w:t>
      </w:r>
      <w:r>
        <w:t>under this Subdivision</w:t>
      </w:r>
      <w:bookmarkEnd w:id="156"/>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ageBreakBefore/>
        <w:spacing w:before="0"/>
      </w:pPr>
      <w:bookmarkStart w:id="157" w:name="_Toc164681655"/>
      <w:bookmarkStart w:id="158" w:name="_Toc164681857"/>
      <w:bookmarkStart w:id="159" w:name="_Toc164757348"/>
      <w:r>
        <w:rPr>
          <w:rStyle w:val="CharDivNo"/>
        </w:rPr>
        <w:lastRenderedPageBreak/>
        <w:t>Division 4</w:t>
      </w:r>
      <w:r>
        <w:t> — </w:t>
      </w:r>
      <w:r>
        <w:rPr>
          <w:rStyle w:val="CharDivText"/>
        </w:rPr>
        <w:t>Orders for termination of residential tenancy agreement</w:t>
      </w:r>
      <w:bookmarkEnd w:id="157"/>
      <w:bookmarkEnd w:id="158"/>
      <w:bookmarkEnd w:id="159"/>
    </w:p>
    <w:p>
      <w:pPr>
        <w:pStyle w:val="Footnoteheading"/>
      </w:pPr>
      <w:r>
        <w:tab/>
        <w:t>[Heading inserted: No. 60 of 2011 s. 69.]</w:t>
      </w:r>
    </w:p>
    <w:p>
      <w:pPr>
        <w:pStyle w:val="Heading5"/>
        <w:rPr>
          <w:snapToGrid w:val="0"/>
        </w:rPr>
      </w:pPr>
      <w:bookmarkStart w:id="160" w:name="_Toc164757349"/>
      <w:r>
        <w:rPr>
          <w:rStyle w:val="CharSectno"/>
        </w:rPr>
        <w:t>71</w:t>
      </w:r>
      <w:r>
        <w:rPr>
          <w:snapToGrid w:val="0"/>
        </w:rPr>
        <w:t>.</w:t>
      </w:r>
      <w:r>
        <w:rPr>
          <w:snapToGrid w:val="0"/>
        </w:rPr>
        <w:tab/>
        <w:t>Application by lessor for termination and order for possession</w:t>
      </w:r>
      <w:bookmarkEnd w:id="160"/>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lastRenderedPageBreak/>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lastRenderedPageBreak/>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 xml:space="preserve">in the case of notice given by the lessor upon the ground of a breach by the tenant, that the tenant has remedied the breach, but in every case the </w:t>
      </w:r>
      <w:r>
        <w:rPr>
          <w:snapToGrid w:val="0"/>
        </w:rPr>
        <w:lastRenderedPageBreak/>
        <w:t>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w:t>
      </w:r>
    </w:p>
    <w:p>
      <w:pPr>
        <w:pStyle w:val="Heading5"/>
        <w:rPr>
          <w:snapToGrid w:val="0"/>
        </w:rPr>
      </w:pPr>
      <w:bookmarkStart w:id="161" w:name="_Toc164757350"/>
      <w:r>
        <w:rPr>
          <w:rStyle w:val="CharSectno"/>
        </w:rPr>
        <w:t>72</w:t>
      </w:r>
      <w:r>
        <w:rPr>
          <w:snapToGrid w:val="0"/>
        </w:rPr>
        <w:t>.</w:t>
      </w:r>
      <w:r>
        <w:rPr>
          <w:snapToGrid w:val="0"/>
        </w:rPr>
        <w:tab/>
        <w:t>Application for termination and order for possession in relation to fixed term agreements</w:t>
      </w:r>
      <w:bookmarkEnd w:id="161"/>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w:t>
      </w:r>
      <w:r>
        <w:rPr>
          <w:snapToGrid w:val="0"/>
        </w:rPr>
        <w:lastRenderedPageBreak/>
        <w:t xml:space="preserve">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lastRenderedPageBreak/>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162" w:name="_Toc164757351"/>
      <w:r>
        <w:rPr>
          <w:rStyle w:val="CharSectno"/>
        </w:rPr>
        <w:t>73A</w:t>
      </w:r>
      <w:r>
        <w:t>.</w:t>
      </w:r>
      <w:r>
        <w:tab/>
        <w:t>Notice of termination not required in certain cases</w:t>
      </w:r>
      <w:bookmarkEnd w:id="162"/>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163" w:name="_Toc164757352"/>
      <w:r>
        <w:rPr>
          <w:rStyle w:val="CharSectno"/>
        </w:rPr>
        <w:t>73</w:t>
      </w:r>
      <w:r>
        <w:rPr>
          <w:snapToGrid w:val="0"/>
        </w:rPr>
        <w:t>.</w:t>
      </w:r>
      <w:r>
        <w:rPr>
          <w:snapToGrid w:val="0"/>
        </w:rPr>
        <w:tab/>
        <w:t>Termination of agreement where tenant causing serious damage or injury</w:t>
      </w:r>
      <w:bookmarkEnd w:id="163"/>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 </w:t>
      </w:r>
    </w:p>
    <w:p>
      <w:pPr>
        <w:pStyle w:val="Indenta"/>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pPr>
        <w:pStyle w:val="Indenta"/>
        <w:rPr>
          <w:snapToGrid w:val="0"/>
        </w:rPr>
      </w:pPr>
      <w:r>
        <w:rPr>
          <w:snapToGrid w:val="0"/>
        </w:rPr>
        <w:tab/>
        <w:t>(b)</w:t>
      </w:r>
      <w:r>
        <w:rPr>
          <w:snapToGrid w:val="0"/>
        </w:rPr>
        <w:tab/>
        <w:t xml:space="preserve">injury to — </w:t>
      </w:r>
    </w:p>
    <w:p>
      <w:pPr>
        <w:pStyle w:val="Indenti"/>
      </w:pPr>
      <w:r>
        <w:tab/>
        <w:t>(i)</w:t>
      </w:r>
      <w:r>
        <w:tab/>
      </w:r>
      <w:r>
        <w:rPr>
          <w:snapToGrid w:val="0"/>
        </w:rPr>
        <w:t>the</w:t>
      </w:r>
      <w:r>
        <w:t xml:space="preserve"> lessor; or </w:t>
      </w:r>
    </w:p>
    <w:p>
      <w:pPr>
        <w:pStyle w:val="Indenti"/>
        <w:rPr>
          <w:snapToGrid w:val="0"/>
        </w:rPr>
      </w:pPr>
      <w:r>
        <w:tab/>
        <w:t>(ii)</w:t>
      </w:r>
      <w:r>
        <w:tab/>
        <w:t>the property manager of the premises;</w:t>
      </w:r>
      <w:r>
        <w:rPr>
          <w:snapToGrid w:val="0"/>
        </w:rPr>
        <w:t xml:space="preserve"> or </w:t>
      </w:r>
    </w:p>
    <w:p>
      <w:pPr>
        <w:pStyle w:val="Indenti"/>
        <w:rPr>
          <w:snapToGrid w:val="0"/>
        </w:rPr>
      </w:pPr>
      <w:r>
        <w:rPr>
          <w:snapToGrid w:val="0"/>
        </w:rPr>
        <w:tab/>
        <w:t>(iii)</w:t>
      </w:r>
      <w:r>
        <w:rPr>
          <w:snapToGrid w:val="0"/>
        </w:rPr>
        <w:tab/>
        <w:t>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No. 25 of 2019 s. 69.] </w:t>
      </w:r>
    </w:p>
    <w:p>
      <w:pPr>
        <w:pStyle w:val="Heading5"/>
        <w:rPr>
          <w:snapToGrid w:val="0"/>
        </w:rPr>
      </w:pPr>
      <w:bookmarkStart w:id="164" w:name="_Toc164757353"/>
      <w:r>
        <w:rPr>
          <w:rStyle w:val="CharSectno"/>
        </w:rPr>
        <w:lastRenderedPageBreak/>
        <w:t>74</w:t>
      </w:r>
      <w:r>
        <w:rPr>
          <w:snapToGrid w:val="0"/>
        </w:rPr>
        <w:t>.</w:t>
      </w:r>
      <w:r>
        <w:rPr>
          <w:snapToGrid w:val="0"/>
        </w:rPr>
        <w:tab/>
        <w:t>Termination of agreement where lessor or tenant would otherwise suffer undue hardship</w:t>
      </w:r>
      <w:bookmarkEnd w:id="164"/>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165" w:name="_Toc164757354"/>
      <w:r>
        <w:rPr>
          <w:rStyle w:val="CharSectno"/>
        </w:rPr>
        <w:t>75A</w:t>
      </w:r>
      <w:r>
        <w:t>.</w:t>
      </w:r>
      <w:r>
        <w:tab/>
        <w:t>Termination of social housing tenancy agreement due to objectionable behaviour</w:t>
      </w:r>
      <w:bookmarkEnd w:id="165"/>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lastRenderedPageBreak/>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166" w:name="_Toc164757355"/>
      <w:r>
        <w:rPr>
          <w:rStyle w:val="CharSectno"/>
        </w:rPr>
        <w:t>75</w:t>
      </w:r>
      <w:r>
        <w:rPr>
          <w:snapToGrid w:val="0"/>
        </w:rPr>
        <w:t>.</w:t>
      </w:r>
      <w:r>
        <w:rPr>
          <w:snapToGrid w:val="0"/>
        </w:rPr>
        <w:tab/>
        <w:t>Termination of agreement for breach by lessor</w:t>
      </w:r>
      <w:bookmarkEnd w:id="166"/>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keepNext/>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w:t>
      </w:r>
      <w:r>
        <w:rPr>
          <w:snapToGrid w:val="0"/>
        </w:rPr>
        <w:lastRenderedPageBreak/>
        <w:t>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167" w:name="_Toc164757356"/>
      <w:r>
        <w:rPr>
          <w:rStyle w:val="CharSectno"/>
        </w:rPr>
        <w:t>76A</w:t>
      </w:r>
      <w:r>
        <w:t>.</w:t>
      </w:r>
      <w:r>
        <w:tab/>
        <w:t>Termination of agreement by lessor if premises abandoned</w:t>
      </w:r>
      <w:bookmarkEnd w:id="167"/>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w:t>
      </w:r>
    </w:p>
    <w:p>
      <w:pPr>
        <w:pStyle w:val="Heading5"/>
      </w:pPr>
      <w:bookmarkStart w:id="168" w:name="_Toc164757357"/>
      <w:r>
        <w:rPr>
          <w:rStyle w:val="CharSectno"/>
        </w:rPr>
        <w:t>76B</w:t>
      </w:r>
      <w:r>
        <w:t>.</w:t>
      </w:r>
      <w:r>
        <w:tab/>
        <w:t>Dispute about s. 76A notice</w:t>
      </w:r>
      <w:bookmarkEnd w:id="168"/>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keepNext/>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lastRenderedPageBreak/>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169" w:name="_Toc164681665"/>
      <w:bookmarkStart w:id="170" w:name="_Toc164681867"/>
      <w:bookmarkStart w:id="171" w:name="_Toc164757358"/>
      <w:r>
        <w:rPr>
          <w:rStyle w:val="CharDivNo"/>
        </w:rPr>
        <w:t>Division 5</w:t>
      </w:r>
      <w:r>
        <w:t> — </w:t>
      </w:r>
      <w:r>
        <w:rPr>
          <w:rStyle w:val="CharDivText"/>
        </w:rPr>
        <w:t>General</w:t>
      </w:r>
      <w:bookmarkEnd w:id="169"/>
      <w:bookmarkEnd w:id="170"/>
      <w:bookmarkEnd w:id="171"/>
    </w:p>
    <w:p>
      <w:pPr>
        <w:pStyle w:val="Footnoteheading"/>
        <w:spacing w:before="80"/>
      </w:pPr>
      <w:r>
        <w:tab/>
        <w:t>[Heading inserted: No. 60 of 2011 s. 74.]</w:t>
      </w:r>
    </w:p>
    <w:p>
      <w:pPr>
        <w:pStyle w:val="Heading5"/>
      </w:pPr>
      <w:bookmarkStart w:id="172" w:name="_Toc164757359"/>
      <w:r>
        <w:rPr>
          <w:rStyle w:val="CharSectno"/>
        </w:rPr>
        <w:t>76C</w:t>
      </w:r>
      <w:r>
        <w:t>.</w:t>
      </w:r>
      <w:r>
        <w:tab/>
        <w:t>Fixed term tenancies continued as periodic tenancies</w:t>
      </w:r>
      <w:bookmarkEnd w:id="172"/>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173" w:name="_Toc164757360"/>
      <w:r>
        <w:rPr>
          <w:rStyle w:val="CharSectno"/>
        </w:rPr>
        <w:t>76</w:t>
      </w:r>
      <w:r>
        <w:rPr>
          <w:snapToGrid w:val="0"/>
        </w:rPr>
        <w:t>.</w:t>
      </w:r>
      <w:r>
        <w:rPr>
          <w:snapToGrid w:val="0"/>
        </w:rPr>
        <w:tab/>
        <w:t>Compensation to lessor for holding over</w:t>
      </w:r>
      <w:bookmarkEnd w:id="173"/>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lastRenderedPageBreak/>
        <w:tab/>
        <w:t xml:space="preserve">[Section 76 amended: No. 50 of 1988 s. 18; No. 59 of 2004 s. 120(1) and (3); No. 60 of 2011 s. 89.] </w:t>
      </w:r>
    </w:p>
    <w:p>
      <w:pPr>
        <w:pStyle w:val="Heading5"/>
      </w:pPr>
      <w:bookmarkStart w:id="174" w:name="_Toc164757361"/>
      <w:r>
        <w:rPr>
          <w:rStyle w:val="CharSectno"/>
        </w:rPr>
        <w:t>77</w:t>
      </w:r>
      <w:r>
        <w:t>.</w:t>
      </w:r>
      <w:r>
        <w:tab/>
        <w:t>Abandonment of premises</w:t>
      </w:r>
      <w:bookmarkEnd w:id="174"/>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w:t>
      </w:r>
    </w:p>
    <w:p>
      <w:pPr>
        <w:pStyle w:val="Heading5"/>
      </w:pPr>
      <w:bookmarkStart w:id="175" w:name="_Toc164757362"/>
      <w:r>
        <w:rPr>
          <w:rStyle w:val="CharSectno"/>
        </w:rPr>
        <w:lastRenderedPageBreak/>
        <w:t>78A</w:t>
      </w:r>
      <w:r>
        <w:t>.</w:t>
      </w:r>
      <w:r>
        <w:tab/>
        <w:t>Order about abandonment</w:t>
      </w:r>
      <w:bookmarkEnd w:id="175"/>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176" w:name="_Toc164757363"/>
      <w:r>
        <w:rPr>
          <w:rStyle w:val="CharSectno"/>
        </w:rPr>
        <w:t>78B</w:t>
      </w:r>
      <w:r>
        <w:t>.</w:t>
      </w:r>
      <w:r>
        <w:tab/>
        <w:t>Review of abandonment order</w:t>
      </w:r>
      <w:bookmarkEnd w:id="176"/>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lastRenderedPageBreak/>
        <w:tab/>
        <w:t>[Section 78B inserted: No. 60 of 2011 s. 75.]</w:t>
      </w:r>
    </w:p>
    <w:p>
      <w:pPr>
        <w:pStyle w:val="Heading5"/>
        <w:rPr>
          <w:snapToGrid w:val="0"/>
        </w:rPr>
      </w:pPr>
      <w:bookmarkStart w:id="177" w:name="_Toc164757364"/>
      <w:r>
        <w:rPr>
          <w:rStyle w:val="CharSectno"/>
        </w:rPr>
        <w:t>78</w:t>
      </w:r>
      <w:r>
        <w:rPr>
          <w:snapToGrid w:val="0"/>
        </w:rPr>
        <w:t>.</w:t>
      </w:r>
      <w:r>
        <w:rPr>
          <w:snapToGrid w:val="0"/>
        </w:rPr>
        <w:tab/>
      </w:r>
      <w:r>
        <w:rPr>
          <w:bCs/>
        </w:rPr>
        <w:t>Right of lessor to compensation where tenant abandons premises</w:t>
      </w:r>
      <w:bookmarkEnd w:id="177"/>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178" w:name="_Toc164757365"/>
      <w:r>
        <w:rPr>
          <w:rStyle w:val="CharSectno"/>
        </w:rPr>
        <w:t>79</w:t>
      </w:r>
      <w:r>
        <w:rPr>
          <w:snapToGrid w:val="0"/>
        </w:rPr>
        <w:t>.</w:t>
      </w:r>
      <w:r>
        <w:rPr>
          <w:snapToGrid w:val="0"/>
        </w:rPr>
        <w:tab/>
        <w:t>Abandoned goods</w:t>
      </w:r>
      <w:bookmarkEnd w:id="178"/>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w:t>
      </w:r>
      <w:r>
        <w:rPr>
          <w:snapToGrid w:val="0"/>
        </w:rPr>
        <w:lastRenderedPageBreak/>
        <w:t xml:space="preserve">manner for a period of not less than </w:t>
      </w:r>
      <w:r>
        <w:t>60 days after the day on which the agreement is terminated.</w:t>
      </w:r>
    </w:p>
    <w:p>
      <w:pPr>
        <w:pStyle w:val="Penstart"/>
      </w:pPr>
      <w:r>
        <w:tab/>
        <w:t>Penalty for this subsection: a fine of $5 000.</w:t>
      </w:r>
    </w:p>
    <w:p>
      <w:pPr>
        <w:pStyle w:val="Subsection"/>
        <w:keepNext/>
      </w:pPr>
      <w:r>
        <w:tab/>
        <w:t>(3)</w:t>
      </w:r>
      <w:r>
        <w:tab/>
        <w:t xml:space="preserve">A lessor who stores goods under subsection (2) must cause notice in or to the effect of the form approved by the Commissioner for the purposes of this subsection — </w:t>
      </w:r>
    </w:p>
    <w:p>
      <w:pPr>
        <w:pStyle w:val="Indenta"/>
      </w:pPr>
      <w:r>
        <w:tab/>
        <w:t>(a)</w:t>
      </w:r>
      <w:r>
        <w:tab/>
        <w:t>to be given to the tenant within 7 days after the day on which the goods were stored; or</w:t>
      </w:r>
    </w:p>
    <w:p>
      <w:pPr>
        <w:pStyle w:val="Indenta"/>
        <w:keepNext/>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keepNext/>
        <w:rPr>
          <w:snapToGrid w:val="0"/>
        </w:rPr>
      </w:pPr>
      <w:r>
        <w:rPr>
          <w:snapToGrid w:val="0"/>
        </w:rPr>
        <w:lastRenderedPageBreak/>
        <w:tab/>
        <w:t>(6)</w:t>
      </w:r>
      <w:r>
        <w:rPr>
          <w:snapToGrid w:val="0"/>
        </w:rPr>
        <w:tab/>
        <w:t>Where — </w:t>
      </w:r>
    </w:p>
    <w:p>
      <w:pPr>
        <w:pStyle w:val="Indenta"/>
        <w:keepNext/>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w:t>
      </w:r>
      <w:r>
        <w:rPr>
          <w:snapToGrid w:val="0"/>
        </w:rPr>
        <w:lastRenderedPageBreak/>
        <w:t xml:space="preserve">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keepNext/>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w:t>
      </w:r>
      <w:r>
        <w:rPr>
          <w:snapToGrid w:val="0"/>
        </w:rPr>
        <w:lastRenderedPageBreak/>
        <w:t>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w:t>
      </w:r>
    </w:p>
    <w:p>
      <w:pPr>
        <w:pStyle w:val="Heading5"/>
      </w:pPr>
      <w:bookmarkStart w:id="179" w:name="_Toc164757366"/>
      <w:r>
        <w:rPr>
          <w:rStyle w:val="CharSectno"/>
        </w:rPr>
        <w:t>80A</w:t>
      </w:r>
      <w:r>
        <w:t>.</w:t>
      </w:r>
      <w:r>
        <w:tab/>
        <w:t>Abandoned documents</w:t>
      </w:r>
      <w:bookmarkEnd w:id="179"/>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for this subsection: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keepNext/>
      </w:pPr>
      <w:r>
        <w:tab/>
        <w:t>(b)</w:t>
      </w:r>
      <w:r>
        <w:tab/>
        <w:t>as to when and from where the document may be collected.</w:t>
      </w:r>
    </w:p>
    <w:p>
      <w:pPr>
        <w:pStyle w:val="Penstart"/>
      </w:pPr>
      <w:r>
        <w:tab/>
        <w:t>Penalty for this subsection: a fine of $5 000.</w:t>
      </w:r>
    </w:p>
    <w:p>
      <w:pPr>
        <w:pStyle w:val="Subsection"/>
      </w:pPr>
      <w:r>
        <w:lastRenderedPageBreak/>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for this subsection: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amended: No. 3 of 2019 s. 25.] </w:t>
      </w:r>
    </w:p>
    <w:p>
      <w:pPr>
        <w:pStyle w:val="Heading5"/>
        <w:rPr>
          <w:snapToGrid w:val="0"/>
        </w:rPr>
      </w:pPr>
      <w:bookmarkStart w:id="180" w:name="_Toc164757367"/>
      <w:r>
        <w:rPr>
          <w:rStyle w:val="CharSectno"/>
        </w:rPr>
        <w:t>80</w:t>
      </w:r>
      <w:r>
        <w:rPr>
          <w:snapToGrid w:val="0"/>
        </w:rPr>
        <w:t>.</w:t>
      </w:r>
      <w:r>
        <w:rPr>
          <w:snapToGrid w:val="0"/>
        </w:rPr>
        <w:tab/>
        <w:t>Recovery of possession of premises prohibited except by court order</w:t>
      </w:r>
      <w:bookmarkEnd w:id="180"/>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 xml:space="preserve">a residential </w:t>
      </w:r>
      <w:r>
        <w:lastRenderedPageBreak/>
        <w:t>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No. 50 of 1988 s. 18; No. 59 of 1995 s. 55; No. 59 of 2004 s. 120(1); No. 60 of 2011 s. 78 and 88.] </w:t>
      </w:r>
    </w:p>
    <w:p>
      <w:pPr>
        <w:pStyle w:val="Heading5"/>
      </w:pPr>
      <w:bookmarkStart w:id="181" w:name="_Toc164757368"/>
      <w:r>
        <w:rPr>
          <w:rStyle w:val="CharSectno"/>
        </w:rPr>
        <w:t>81A</w:t>
      </w:r>
      <w:r>
        <w:t>.</w:t>
      </w:r>
      <w:r>
        <w:tab/>
        <w:t>Mortgagee repossessions of rented properties</w:t>
      </w:r>
      <w:bookmarkEnd w:id="181"/>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lastRenderedPageBreak/>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amended: No. 3 of 2019 s. 19.] </w:t>
      </w:r>
    </w:p>
    <w:p>
      <w:pPr>
        <w:pStyle w:val="Heading5"/>
      </w:pPr>
      <w:bookmarkStart w:id="182" w:name="_Toc164757369"/>
      <w:r>
        <w:rPr>
          <w:rStyle w:val="CharSectno"/>
        </w:rPr>
        <w:lastRenderedPageBreak/>
        <w:t>81B</w:t>
      </w:r>
      <w:r>
        <w:t>.</w:t>
      </w:r>
      <w:r>
        <w:tab/>
        <w:t>Notice of proposed recovery of premises by person with superior title</w:t>
      </w:r>
      <w:bookmarkEnd w:id="182"/>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keepNext/>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w:t>
      </w:r>
    </w:p>
    <w:p>
      <w:pPr>
        <w:pStyle w:val="Heading5"/>
      </w:pPr>
      <w:bookmarkStart w:id="183" w:name="_Toc164757370"/>
      <w:r>
        <w:rPr>
          <w:rStyle w:val="CharSectno"/>
        </w:rPr>
        <w:t>81</w:t>
      </w:r>
      <w:r>
        <w:t>.</w:t>
      </w:r>
      <w:r>
        <w:tab/>
        <w:t>Order for tenancy against person with superior title</w:t>
      </w:r>
      <w:bookmarkEnd w:id="183"/>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lastRenderedPageBreak/>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184" w:name="_Toc164681678"/>
      <w:bookmarkStart w:id="185" w:name="_Toc164681880"/>
      <w:bookmarkStart w:id="186" w:name="_Toc164757371"/>
      <w:r>
        <w:rPr>
          <w:rStyle w:val="CharPartNo"/>
        </w:rPr>
        <w:lastRenderedPageBreak/>
        <w:t>Part VIA</w:t>
      </w:r>
      <w:r>
        <w:t> — </w:t>
      </w:r>
      <w:r>
        <w:rPr>
          <w:rStyle w:val="CharPartText"/>
        </w:rPr>
        <w:t>Residential tenancy databases</w:t>
      </w:r>
      <w:bookmarkEnd w:id="184"/>
      <w:bookmarkEnd w:id="185"/>
      <w:bookmarkEnd w:id="186"/>
    </w:p>
    <w:p>
      <w:pPr>
        <w:pStyle w:val="Footnoteheading"/>
      </w:pPr>
      <w:r>
        <w:tab/>
        <w:t xml:space="preserve">[Heading inserted: No. 60 of 2011 s. 96.] </w:t>
      </w:r>
    </w:p>
    <w:p>
      <w:pPr>
        <w:pStyle w:val="Heading3"/>
      </w:pPr>
      <w:bookmarkStart w:id="187" w:name="_Toc164681679"/>
      <w:bookmarkStart w:id="188" w:name="_Toc164681881"/>
      <w:bookmarkStart w:id="189" w:name="_Toc164757372"/>
      <w:r>
        <w:rPr>
          <w:rStyle w:val="CharDivNo"/>
        </w:rPr>
        <w:t>Division 1</w:t>
      </w:r>
      <w:r>
        <w:t> — </w:t>
      </w:r>
      <w:r>
        <w:rPr>
          <w:rStyle w:val="CharDivText"/>
        </w:rPr>
        <w:t>Preliminary</w:t>
      </w:r>
      <w:bookmarkEnd w:id="187"/>
      <w:bookmarkEnd w:id="188"/>
      <w:bookmarkEnd w:id="189"/>
    </w:p>
    <w:p>
      <w:pPr>
        <w:pStyle w:val="Footnoteheading"/>
      </w:pPr>
      <w:r>
        <w:tab/>
        <w:t xml:space="preserve">[Heading inserted: No. 60 of 2011 s. 96.] </w:t>
      </w:r>
    </w:p>
    <w:p>
      <w:pPr>
        <w:pStyle w:val="Heading5"/>
      </w:pPr>
      <w:bookmarkStart w:id="190" w:name="_Toc164757373"/>
      <w:r>
        <w:rPr>
          <w:rStyle w:val="CharSectno"/>
        </w:rPr>
        <w:t>82A</w:t>
      </w:r>
      <w:r>
        <w:t>.</w:t>
      </w:r>
      <w:r>
        <w:tab/>
        <w:t>Terms used</w:t>
      </w:r>
      <w:bookmarkEnd w:id="190"/>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lastRenderedPageBreak/>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lastRenderedPageBreak/>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w:t>
      </w:r>
    </w:p>
    <w:p>
      <w:pPr>
        <w:pStyle w:val="Heading5"/>
      </w:pPr>
      <w:bookmarkStart w:id="191" w:name="_Toc164757374"/>
      <w:r>
        <w:rPr>
          <w:rStyle w:val="CharSectno"/>
        </w:rPr>
        <w:t>82B</w:t>
      </w:r>
      <w:r>
        <w:t>.</w:t>
      </w:r>
      <w:r>
        <w:tab/>
        <w:t>Application of Part</w:t>
      </w:r>
      <w:bookmarkEnd w:id="191"/>
    </w:p>
    <w:p>
      <w:pPr>
        <w:pStyle w:val="Subsection"/>
      </w:pPr>
      <w:r>
        <w:tab/>
        <w:t>(1)</w:t>
      </w:r>
      <w:r>
        <w:tab/>
        <w:t>This Part does not apply to a residential tenancy database kept by an entity (including a government department of this State, another State or a Territory) for use only by that entity or its officers, employees or agents.</w:t>
      </w:r>
    </w:p>
    <w:p>
      <w:pPr>
        <w:pStyle w:val="Subsection"/>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pPr>
        <w:pStyle w:val="Indenta"/>
      </w:pPr>
      <w:r>
        <w:tab/>
        <w:t>(a)</w:t>
      </w:r>
      <w:r>
        <w:tab/>
        <w:t>about a person who resides in the State; or</w:t>
      </w:r>
    </w:p>
    <w:p>
      <w:pPr>
        <w:pStyle w:val="Indenta"/>
      </w:pPr>
      <w:r>
        <w:tab/>
        <w:t>(b)</w:t>
      </w:r>
      <w:r>
        <w:tab/>
        <w:t>relating to, or arising from, the occupation of residential premises under a residential tenancy agreement within the State.</w:t>
      </w:r>
    </w:p>
    <w:p>
      <w:pPr>
        <w:pStyle w:val="Footnotesection"/>
        <w:spacing w:before="100"/>
      </w:pPr>
      <w:r>
        <w:tab/>
        <w:t xml:space="preserve">[Section 82B inserted: No. 60 of 2011 s. 96; amended: No. 25 of 2019 s. 70.] </w:t>
      </w:r>
    </w:p>
    <w:p>
      <w:pPr>
        <w:pStyle w:val="Heading3"/>
      </w:pPr>
      <w:bookmarkStart w:id="192" w:name="_Toc164681682"/>
      <w:bookmarkStart w:id="193" w:name="_Toc164681884"/>
      <w:bookmarkStart w:id="194" w:name="_Toc164757375"/>
      <w:r>
        <w:rPr>
          <w:rStyle w:val="CharDivNo"/>
        </w:rPr>
        <w:t>Division 2</w:t>
      </w:r>
      <w:r>
        <w:t> — </w:t>
      </w:r>
      <w:r>
        <w:rPr>
          <w:rStyle w:val="CharDivText"/>
        </w:rPr>
        <w:t>Tenancy database information</w:t>
      </w:r>
      <w:bookmarkEnd w:id="192"/>
      <w:bookmarkEnd w:id="193"/>
      <w:bookmarkEnd w:id="194"/>
    </w:p>
    <w:p>
      <w:pPr>
        <w:pStyle w:val="Footnoteheading"/>
        <w:spacing w:before="100"/>
      </w:pPr>
      <w:r>
        <w:tab/>
        <w:t xml:space="preserve">[Heading inserted: No. 60 of 2011 s. 96.] </w:t>
      </w:r>
    </w:p>
    <w:p>
      <w:pPr>
        <w:pStyle w:val="Heading5"/>
      </w:pPr>
      <w:bookmarkStart w:id="195" w:name="_Toc164757376"/>
      <w:r>
        <w:rPr>
          <w:rStyle w:val="CharSectno"/>
        </w:rPr>
        <w:t>82C</w:t>
      </w:r>
      <w:r>
        <w:t>.</w:t>
      </w:r>
      <w:r>
        <w:tab/>
        <w:t>Notice of usual use of database</w:t>
      </w:r>
      <w:bookmarkEnd w:id="195"/>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keepNext/>
        <w:keepLines/>
        <w:spacing w:before="60"/>
      </w:pPr>
      <w:r>
        <w:lastRenderedPageBreak/>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for this subsection: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amended: No. 3 of 2019 s. 25.] </w:t>
      </w:r>
    </w:p>
    <w:p>
      <w:pPr>
        <w:pStyle w:val="Heading5"/>
      </w:pPr>
      <w:bookmarkStart w:id="196" w:name="_Toc164757377"/>
      <w:r>
        <w:rPr>
          <w:rStyle w:val="CharSectno"/>
        </w:rPr>
        <w:lastRenderedPageBreak/>
        <w:t>82D</w:t>
      </w:r>
      <w:r>
        <w:t>.</w:t>
      </w:r>
      <w:r>
        <w:tab/>
        <w:t>Notice of listing if database used</w:t>
      </w:r>
      <w:bookmarkEnd w:id="196"/>
    </w:p>
    <w:p>
      <w:pPr>
        <w:pStyle w:val="Subsection"/>
        <w:keepNext/>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for this subsection: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amended: No. 3 of 2019 s. 25.] </w:t>
      </w:r>
    </w:p>
    <w:p>
      <w:pPr>
        <w:pStyle w:val="Heading5"/>
      </w:pPr>
      <w:bookmarkStart w:id="197" w:name="_Toc164757378"/>
      <w:r>
        <w:rPr>
          <w:rStyle w:val="CharSectno"/>
        </w:rPr>
        <w:lastRenderedPageBreak/>
        <w:t>82E</w:t>
      </w:r>
      <w:r>
        <w:t>.</w:t>
      </w:r>
      <w:r>
        <w:tab/>
        <w:t>Listing can be made only for particular breaches by particular persons</w:t>
      </w:r>
      <w:bookmarkEnd w:id="197"/>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(ba)</w:t>
      </w:r>
      <w:r>
        <w:tab/>
        <w:t xml:space="preserve">the breach does not consist of, or relate to — </w:t>
      </w:r>
    </w:p>
    <w:p>
      <w:pPr>
        <w:pStyle w:val="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Indenti"/>
      </w:pPr>
      <w:r>
        <w:tab/>
        <w:t>(ii)</w:t>
      </w:r>
      <w:r>
        <w:tab/>
        <w:t>any other matter relating to the effects of the COVID</w:t>
      </w:r>
      <w:r>
        <w:noBreakHyphen/>
        <w:t>19 pandemic prescribed by regulations;</w:t>
      </w:r>
    </w:p>
    <w:p>
      <w:pPr>
        <w:pStyle w:val="Indenta"/>
      </w:pPr>
      <w:r>
        <w:tab/>
      </w:r>
      <w:r>
        <w:tab/>
        <w:t>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for this subsection: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amended: No. 3 of 2019 s. 25; 18 of 2020 s. 78.] </w:t>
      </w:r>
    </w:p>
    <w:p>
      <w:pPr>
        <w:pStyle w:val="Heading5"/>
      </w:pPr>
      <w:bookmarkStart w:id="198" w:name="_Toc164757379"/>
      <w:r>
        <w:rPr>
          <w:rStyle w:val="CharSectno"/>
        </w:rPr>
        <w:lastRenderedPageBreak/>
        <w:t>82F</w:t>
      </w:r>
      <w:r>
        <w:t>.</w:t>
      </w:r>
      <w:r>
        <w:tab/>
        <w:t>Further restriction on listing</w:t>
      </w:r>
      <w:bookmarkEnd w:id="198"/>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keepNext/>
      </w:pPr>
      <w:r>
        <w:tab/>
        <w:t>(c)</w:t>
      </w:r>
      <w:r>
        <w:tab/>
        <w:t>has considered any submissions made.</w:t>
      </w:r>
    </w:p>
    <w:p>
      <w:pPr>
        <w:pStyle w:val="Penstart"/>
      </w:pPr>
      <w:r>
        <w:tab/>
        <w:t>Penalty for this subsection: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amended: No. 3 of 2019 s. 25.] </w:t>
      </w:r>
    </w:p>
    <w:p>
      <w:pPr>
        <w:pStyle w:val="Heading5"/>
      </w:pPr>
      <w:bookmarkStart w:id="199" w:name="_Toc164757380"/>
      <w:r>
        <w:rPr>
          <w:rStyle w:val="CharSectno"/>
        </w:rPr>
        <w:lastRenderedPageBreak/>
        <w:t>82G</w:t>
      </w:r>
      <w:r>
        <w:t>.</w:t>
      </w:r>
      <w:r>
        <w:tab/>
        <w:t>Ensuring quality of listing — lessor’s or agent’s obligation</w:t>
      </w:r>
      <w:bookmarkEnd w:id="199"/>
    </w:p>
    <w:p>
      <w:pPr>
        <w:pStyle w:val="Subsection"/>
        <w:keepNext/>
        <w:keepLines/>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for this subsection: a fine of $5 000.</w:t>
      </w:r>
    </w:p>
    <w:p>
      <w:pPr>
        <w:pStyle w:val="Subsection"/>
      </w:pPr>
      <w:r>
        <w:tab/>
        <w:t>(3)</w:t>
      </w:r>
      <w:r>
        <w:tab/>
        <w:t>The lessor or agent must keep a copy of the written notice for one year after it was given under subsection (2).</w:t>
      </w:r>
    </w:p>
    <w:p>
      <w:pPr>
        <w:pStyle w:val="Penstart"/>
      </w:pPr>
      <w:r>
        <w:tab/>
        <w:t>Penalty for this subsection: a fine of $5 000.</w:t>
      </w:r>
    </w:p>
    <w:p>
      <w:pPr>
        <w:pStyle w:val="Footnotesection"/>
      </w:pPr>
      <w:r>
        <w:tab/>
        <w:t xml:space="preserve">[Section 82G inserted: No. 60 of 2011 s. 96; amended: No. 3 of 2019 s. 25.] </w:t>
      </w:r>
    </w:p>
    <w:p>
      <w:pPr>
        <w:pStyle w:val="Heading5"/>
      </w:pPr>
      <w:bookmarkStart w:id="200" w:name="_Toc164757381"/>
      <w:r>
        <w:rPr>
          <w:rStyle w:val="CharSectno"/>
        </w:rPr>
        <w:t>82H</w:t>
      </w:r>
      <w:r>
        <w:t>.</w:t>
      </w:r>
      <w:r>
        <w:tab/>
        <w:t>Ensuring quality of listing — database operator’s obligation</w:t>
      </w:r>
      <w:bookmarkEnd w:id="200"/>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lastRenderedPageBreak/>
        <w:tab/>
        <w:t>(2)</w:t>
      </w:r>
      <w:r>
        <w:tab/>
        <w:t>The database operator must amend the personal information in the stated way, or remove the personal information, within 14 days of the notice being given.</w:t>
      </w:r>
    </w:p>
    <w:p>
      <w:pPr>
        <w:pStyle w:val="Penstart"/>
      </w:pPr>
      <w:r>
        <w:tab/>
        <w:t>Penalty for this subsection: a fine of $5 000.</w:t>
      </w:r>
    </w:p>
    <w:p>
      <w:pPr>
        <w:pStyle w:val="Footnotesection"/>
      </w:pPr>
      <w:r>
        <w:tab/>
        <w:t xml:space="preserve">[Section 82H inserted: No. 60 of 2011 s. 96; amended: No. 3 of 2019 s. 25.] </w:t>
      </w:r>
    </w:p>
    <w:p>
      <w:pPr>
        <w:pStyle w:val="Heading5"/>
      </w:pPr>
      <w:bookmarkStart w:id="201" w:name="_Toc164757382"/>
      <w:r>
        <w:rPr>
          <w:rStyle w:val="CharSectno"/>
        </w:rPr>
        <w:t>82I</w:t>
      </w:r>
      <w:r>
        <w:t>.</w:t>
      </w:r>
      <w:r>
        <w:tab/>
        <w:t>Providing copy of personal information listed</w:t>
      </w:r>
      <w:bookmarkEnd w:id="201"/>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for this subsection: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for this subsection: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amended: No. 3 of 2019 s. 25.] </w:t>
      </w:r>
    </w:p>
    <w:p>
      <w:pPr>
        <w:pStyle w:val="Heading5"/>
      </w:pPr>
      <w:bookmarkStart w:id="202" w:name="_Toc164757383"/>
      <w:r>
        <w:rPr>
          <w:rStyle w:val="CharSectno"/>
        </w:rPr>
        <w:lastRenderedPageBreak/>
        <w:t>82J</w:t>
      </w:r>
      <w:r>
        <w:t>.</w:t>
      </w:r>
      <w:r>
        <w:tab/>
        <w:t>Disputes about listings</w:t>
      </w:r>
      <w:bookmarkEnd w:id="202"/>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Subsection"/>
      </w:pPr>
      <w:r>
        <w:tab/>
        <w:t>(2B)</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keepNext/>
        <w:keepLines/>
      </w:pPr>
      <w:r>
        <w:lastRenderedPageBreak/>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amended: No. 3 of 2019 s. 20.] </w:t>
      </w:r>
    </w:p>
    <w:p>
      <w:pPr>
        <w:pStyle w:val="Heading5"/>
      </w:pPr>
      <w:bookmarkStart w:id="203" w:name="_Toc164757384"/>
      <w:r>
        <w:rPr>
          <w:rStyle w:val="CharSectno"/>
        </w:rPr>
        <w:t>82K</w:t>
      </w:r>
      <w:r>
        <w:t>.</w:t>
      </w:r>
      <w:r>
        <w:tab/>
        <w:t>Keeping personal information listed</w:t>
      </w:r>
      <w:bookmarkEnd w:id="203"/>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keepNext/>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for this subsection: a fine of $5 000.</w:t>
      </w:r>
    </w:p>
    <w:p>
      <w:pPr>
        <w:pStyle w:val="Subsection"/>
        <w:keepNext/>
        <w:keepLines/>
      </w:pPr>
      <w:r>
        <w:lastRenderedPageBreak/>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amended: No. 3 of 2019 s. 25.] </w:t>
      </w:r>
    </w:p>
    <w:p>
      <w:pPr>
        <w:pStyle w:val="Heading2"/>
      </w:pPr>
      <w:bookmarkStart w:id="204" w:name="_Toc164681692"/>
      <w:bookmarkStart w:id="205" w:name="_Toc164681894"/>
      <w:bookmarkStart w:id="206" w:name="_Toc164757385"/>
      <w:r>
        <w:rPr>
          <w:rStyle w:val="CharPartNo"/>
        </w:rPr>
        <w:lastRenderedPageBreak/>
        <w:t>Part VI</w:t>
      </w:r>
      <w:r>
        <w:rPr>
          <w:rStyle w:val="CharDivNo"/>
        </w:rPr>
        <w:t> </w:t>
      </w:r>
      <w:r>
        <w:t>—</w:t>
      </w:r>
      <w:r>
        <w:rPr>
          <w:rStyle w:val="CharDivText"/>
        </w:rPr>
        <w:t> </w:t>
      </w:r>
      <w:r>
        <w:rPr>
          <w:rStyle w:val="CharPartText"/>
        </w:rPr>
        <w:t>Miscellaneous</w:t>
      </w:r>
      <w:bookmarkEnd w:id="204"/>
      <w:bookmarkEnd w:id="205"/>
      <w:bookmarkEnd w:id="206"/>
    </w:p>
    <w:p>
      <w:pPr>
        <w:pStyle w:val="Heading5"/>
        <w:spacing w:before="200"/>
        <w:rPr>
          <w:snapToGrid w:val="0"/>
        </w:rPr>
      </w:pPr>
      <w:bookmarkStart w:id="207" w:name="_Toc164757386"/>
      <w:r>
        <w:rPr>
          <w:rStyle w:val="CharSectno"/>
        </w:rPr>
        <w:t>82</w:t>
      </w:r>
      <w:r>
        <w:rPr>
          <w:snapToGrid w:val="0"/>
        </w:rPr>
        <w:t>.</w:t>
      </w:r>
      <w:r>
        <w:rPr>
          <w:snapToGrid w:val="0"/>
        </w:rPr>
        <w:tab/>
        <w:t>Contracting out</w:t>
      </w:r>
      <w:bookmarkEnd w:id="207"/>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for this subsection: a fine of $10 000.</w:t>
      </w:r>
    </w:p>
    <w:p>
      <w:pPr>
        <w:pStyle w:val="Ednotesubsection"/>
        <w:spacing w:before="120"/>
      </w:pPr>
      <w:r>
        <w:tab/>
        <w:t>[(3)</w:t>
      </w:r>
      <w:r>
        <w:tab/>
        <w:t>deleted]</w:t>
      </w:r>
    </w:p>
    <w:p>
      <w:pPr>
        <w:pStyle w:val="Footnotesection"/>
        <w:spacing w:before="100"/>
      </w:pPr>
      <w:r>
        <w:tab/>
        <w:t xml:space="preserve">[Section 82 amended: No. 60 of 2011 s. 80; No. 3 of 2019 s. 25.] </w:t>
      </w:r>
    </w:p>
    <w:p>
      <w:pPr>
        <w:pStyle w:val="Heading5"/>
        <w:spacing w:before="200"/>
        <w:rPr>
          <w:snapToGrid w:val="0"/>
        </w:rPr>
      </w:pPr>
      <w:bookmarkStart w:id="208" w:name="_Toc164757387"/>
      <w:r>
        <w:rPr>
          <w:rStyle w:val="CharSectno"/>
        </w:rPr>
        <w:t>83</w:t>
      </w:r>
      <w:r>
        <w:rPr>
          <w:snapToGrid w:val="0"/>
        </w:rPr>
        <w:t>.</w:t>
      </w:r>
      <w:r>
        <w:rPr>
          <w:snapToGrid w:val="0"/>
        </w:rPr>
        <w:tab/>
        <w:t>Recovery of amounts paid under mistake of law or fact</w:t>
      </w:r>
      <w:bookmarkEnd w:id="208"/>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209" w:name="_Toc164757388"/>
      <w:r>
        <w:rPr>
          <w:rStyle w:val="CharSectno"/>
        </w:rPr>
        <w:t>84</w:t>
      </w:r>
      <w:r>
        <w:rPr>
          <w:snapToGrid w:val="0"/>
        </w:rPr>
        <w:t>.</w:t>
      </w:r>
      <w:r>
        <w:rPr>
          <w:snapToGrid w:val="0"/>
        </w:rPr>
        <w:tab/>
        <w:t>Exemption of tenancy agreement or premises from provision of Act</w:t>
      </w:r>
      <w:bookmarkEnd w:id="209"/>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w:t>
      </w:r>
      <w:r>
        <w:rPr>
          <w:snapToGrid w:val="0"/>
        </w:rPr>
        <w:lastRenderedPageBreak/>
        <w:t>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210" w:name="_Toc164757389"/>
      <w:r>
        <w:rPr>
          <w:rStyle w:val="CharSectno"/>
        </w:rPr>
        <w:t>85</w:t>
      </w:r>
      <w:r>
        <w:rPr>
          <w:snapToGrid w:val="0"/>
        </w:rPr>
        <w:t>.</w:t>
      </w:r>
      <w:r>
        <w:rPr>
          <w:snapToGrid w:val="0"/>
        </w:rPr>
        <w:tab/>
        <w:t>Service</w:t>
      </w:r>
      <w:bookmarkEnd w:id="210"/>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prescribed circumstances, be given or served by prescribed electronic means.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lastRenderedPageBreak/>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No. 3 of 2019 s. 21.] </w:t>
      </w:r>
    </w:p>
    <w:p>
      <w:pPr>
        <w:pStyle w:val="Heading5"/>
        <w:spacing w:before="260"/>
      </w:pPr>
      <w:bookmarkStart w:id="211" w:name="_Toc164757390"/>
      <w:r>
        <w:rPr>
          <w:rStyle w:val="CharSectno"/>
        </w:rPr>
        <w:t>86</w:t>
      </w:r>
      <w:r>
        <w:t>.</w:t>
      </w:r>
      <w:r>
        <w:tab/>
        <w:t>Court may refer matter to Commissioner for investigation</w:t>
      </w:r>
      <w:bookmarkEnd w:id="211"/>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xml:space="preserve">, the </w:t>
      </w:r>
      <w:r>
        <w:lastRenderedPageBreak/>
        <w:t>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spacing w:before="260"/>
      </w:pPr>
      <w:bookmarkStart w:id="212" w:name="_Toc164757391"/>
      <w:r>
        <w:rPr>
          <w:rStyle w:val="CharSectno"/>
        </w:rPr>
        <w:t>87A</w:t>
      </w:r>
      <w:r>
        <w:t>.</w:t>
      </w:r>
      <w:r>
        <w:tab/>
        <w:t>Defence where lessor and property manager are both charged with the same offence</w:t>
      </w:r>
      <w:bookmarkEnd w:id="212"/>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213" w:name="_Toc164757392"/>
      <w:r>
        <w:rPr>
          <w:rStyle w:val="CharSectno"/>
        </w:rPr>
        <w:t>87</w:t>
      </w:r>
      <w:r>
        <w:rPr>
          <w:snapToGrid w:val="0"/>
        </w:rPr>
        <w:t>.</w:t>
      </w:r>
      <w:r>
        <w:rPr>
          <w:snapToGrid w:val="0"/>
        </w:rPr>
        <w:tab/>
        <w:t>Time for bringing proceedings</w:t>
      </w:r>
      <w:bookmarkEnd w:id="213"/>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214" w:name="_Toc164757393"/>
      <w:r>
        <w:rPr>
          <w:rStyle w:val="CharSectno"/>
        </w:rPr>
        <w:t>88A</w:t>
      </w:r>
      <w:r>
        <w:t>.</w:t>
      </w:r>
      <w:r>
        <w:tab/>
        <w:t>Infringement notices</w:t>
      </w:r>
      <w:bookmarkEnd w:id="214"/>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lastRenderedPageBreak/>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 xml:space="preserve">An authorised person may, within 60 days after an infringement notice has been given and whether or not the modified penalty has been paid, withdraw the infringement notice by sending to </w:t>
      </w:r>
      <w:r>
        <w:lastRenderedPageBreak/>
        <w:t>the alleged offender a notice in the prescribed form stating that the infringement notice has been withdrawn.</w:t>
      </w:r>
    </w:p>
    <w:p>
      <w:pPr>
        <w:pStyle w:val="Subsection"/>
        <w:keepNext/>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pPr>
      <w:bookmarkStart w:id="215" w:name="_Toc164757394"/>
      <w:r>
        <w:rPr>
          <w:rStyle w:val="CharSectno"/>
        </w:rPr>
        <w:lastRenderedPageBreak/>
        <w:t>88B</w:t>
      </w:r>
      <w:r>
        <w:t>.</w:t>
      </w:r>
      <w:r>
        <w:tab/>
        <w:t>Cross</w:t>
      </w:r>
      <w:r>
        <w:noBreakHyphen/>
        <w:t>examination of persons in proceedings involving family violence</w:t>
      </w:r>
      <w:bookmarkEnd w:id="215"/>
    </w:p>
    <w:p>
      <w:pPr>
        <w:pStyle w:val="Subsection"/>
        <w:keepNext/>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pPr>
        <w:pStyle w:val="Footnotesection"/>
        <w:keepNext/>
      </w:pPr>
      <w:r>
        <w:tab/>
        <w:t xml:space="preserve">[Section 88B inserted: No. 3 of 2019 s. 22.] </w:t>
      </w:r>
    </w:p>
    <w:p>
      <w:pPr>
        <w:pStyle w:val="Heading5"/>
        <w:rPr>
          <w:snapToGrid w:val="0"/>
        </w:rPr>
      </w:pPr>
      <w:bookmarkStart w:id="216" w:name="_Toc164757395"/>
      <w:r>
        <w:rPr>
          <w:rStyle w:val="CharSectno"/>
        </w:rPr>
        <w:t>88</w:t>
      </w:r>
      <w:r>
        <w:rPr>
          <w:snapToGrid w:val="0"/>
        </w:rPr>
        <w:t>.</w:t>
      </w:r>
      <w:r>
        <w:rPr>
          <w:snapToGrid w:val="0"/>
        </w:rPr>
        <w:tab/>
        <w:t>Regulations</w:t>
      </w:r>
      <w:bookmarkEnd w:id="216"/>
      <w:r>
        <w:rPr>
          <w:snapToGrid w:val="0"/>
        </w:rPr>
        <w:t xml:space="preserve"> </w:t>
      </w:r>
    </w:p>
    <w:p>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Subsection"/>
      </w:pPr>
      <w:r>
        <w:tab/>
        <w:t>(3)</w:t>
      </w:r>
      <w:r>
        <w:tab/>
        <w:t xml:space="preserve">Regulations made under subsection (1) for the purposes of section 47(4) or 71AB(2)(d)(vi) cannot come into operation earlier than 6 months after they are published in the </w:t>
      </w:r>
      <w:r>
        <w:rPr>
          <w:i/>
        </w:rPr>
        <w:t>Gazette</w:t>
      </w:r>
      <w:r>
        <w:t>.</w:t>
      </w:r>
    </w:p>
    <w:p>
      <w:pPr>
        <w:pStyle w:val="Footnotesection"/>
      </w:pPr>
      <w:r>
        <w:tab/>
        <w:t xml:space="preserve">[Section 88 amended: No. 60 of 2011 s. 84; No. 3 of 2019 s. 23.] </w:t>
      </w:r>
    </w:p>
    <w:p>
      <w:pPr>
        <w:pStyle w:val="Ednotesection"/>
      </w:pPr>
      <w:r>
        <w:t>[</w:t>
      </w:r>
      <w:r>
        <w:rPr>
          <w:b/>
        </w:rPr>
        <w:t>89.</w:t>
      </w:r>
      <w:r>
        <w:tab/>
        <w:t>Omitted under the Reprints Act 1984 s. 7(4)(e).]</w:t>
      </w:r>
    </w:p>
    <w:p>
      <w:pPr>
        <w:pStyle w:val="Heading5"/>
        <w:rPr>
          <w:snapToGrid w:val="0"/>
        </w:rPr>
      </w:pPr>
      <w:bookmarkStart w:id="217" w:name="_Toc164757396"/>
      <w:r>
        <w:rPr>
          <w:rStyle w:val="CharSectno"/>
        </w:rPr>
        <w:lastRenderedPageBreak/>
        <w:t>90</w:t>
      </w:r>
      <w:r>
        <w:rPr>
          <w:snapToGrid w:val="0"/>
        </w:rPr>
        <w:t>.</w:t>
      </w:r>
      <w:r>
        <w:rPr>
          <w:snapToGrid w:val="0"/>
        </w:rPr>
        <w:tab/>
        <w:t>Review of Act</w:t>
      </w:r>
      <w:bookmarkEnd w:id="217"/>
      <w:r>
        <w:rPr>
          <w:snapToGrid w:val="0"/>
        </w:rPr>
        <w:t xml:space="preserve"> </w:t>
      </w:r>
    </w:p>
    <w:p>
      <w:pPr>
        <w:pStyle w:val="Subsection"/>
        <w:keepNext/>
        <w:keepLines/>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218" w:name="_Toc164681704"/>
      <w:bookmarkStart w:id="219" w:name="_Toc164681906"/>
      <w:bookmarkStart w:id="220" w:name="_Toc164757397"/>
      <w:r>
        <w:rPr>
          <w:rStyle w:val="CharPartNo"/>
        </w:rPr>
        <w:lastRenderedPageBreak/>
        <w:t>Part VII</w:t>
      </w:r>
      <w:r>
        <w:t> — </w:t>
      </w:r>
      <w:r>
        <w:rPr>
          <w:rStyle w:val="CharPartText"/>
        </w:rPr>
        <w:t xml:space="preserve">Savings and transitional provisions relating to the </w:t>
      </w:r>
      <w:r>
        <w:rPr>
          <w:rStyle w:val="CharPartText"/>
          <w:i/>
        </w:rPr>
        <w:t>Residential Tenancies Amendment Act 2011</w:t>
      </w:r>
      <w:bookmarkEnd w:id="218"/>
      <w:bookmarkEnd w:id="219"/>
      <w:bookmarkEnd w:id="220"/>
    </w:p>
    <w:p>
      <w:pPr>
        <w:pStyle w:val="Footnoteheading"/>
      </w:pPr>
      <w:r>
        <w:tab/>
        <w:t xml:space="preserve">[Heading inserted: No. 60 of 2011 s. 86.] </w:t>
      </w:r>
    </w:p>
    <w:p>
      <w:pPr>
        <w:pStyle w:val="Heading3"/>
      </w:pPr>
      <w:bookmarkStart w:id="221" w:name="_Toc164681705"/>
      <w:bookmarkStart w:id="222" w:name="_Toc164681907"/>
      <w:bookmarkStart w:id="223" w:name="_Toc164757398"/>
      <w:r>
        <w:rPr>
          <w:rStyle w:val="CharDivNo"/>
        </w:rPr>
        <w:t>Division 1</w:t>
      </w:r>
      <w:r>
        <w:t> — </w:t>
      </w:r>
      <w:r>
        <w:rPr>
          <w:rStyle w:val="CharDivText"/>
        </w:rPr>
        <w:t>Contracting out</w:t>
      </w:r>
      <w:bookmarkEnd w:id="221"/>
      <w:bookmarkEnd w:id="222"/>
      <w:bookmarkEnd w:id="223"/>
    </w:p>
    <w:p>
      <w:pPr>
        <w:pStyle w:val="Footnoteheading"/>
      </w:pPr>
      <w:r>
        <w:tab/>
        <w:t xml:space="preserve">[Heading inserted: No. 60 of 2011 s. 86.] </w:t>
      </w:r>
    </w:p>
    <w:p>
      <w:pPr>
        <w:pStyle w:val="Heading5"/>
      </w:pPr>
      <w:bookmarkStart w:id="224" w:name="_Toc164757399"/>
      <w:r>
        <w:rPr>
          <w:rStyle w:val="CharSectno"/>
        </w:rPr>
        <w:t>91</w:t>
      </w:r>
      <w:r>
        <w:t>.</w:t>
      </w:r>
      <w:r>
        <w:tab/>
        <w:t>Savings in relation to contracting out of standard terms</w:t>
      </w:r>
      <w:bookmarkEnd w:id="22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Heading3"/>
      </w:pPr>
      <w:bookmarkStart w:id="225" w:name="_Toc164681707"/>
      <w:bookmarkStart w:id="226" w:name="_Toc164681909"/>
      <w:bookmarkStart w:id="227" w:name="_Toc164757400"/>
      <w:r>
        <w:rPr>
          <w:rStyle w:val="CharDivNo"/>
        </w:rPr>
        <w:t>Division 2</w:t>
      </w:r>
      <w:r>
        <w:t> — </w:t>
      </w:r>
      <w:r>
        <w:rPr>
          <w:rStyle w:val="CharDivText"/>
        </w:rPr>
        <w:t>Security bonds held in AFI</w:t>
      </w:r>
      <w:bookmarkEnd w:id="225"/>
      <w:bookmarkEnd w:id="226"/>
      <w:bookmarkEnd w:id="227"/>
    </w:p>
    <w:p>
      <w:pPr>
        <w:pStyle w:val="Footnoteheading"/>
      </w:pPr>
      <w:r>
        <w:tab/>
        <w:t xml:space="preserve">[Heading inserted: No. 60 of 2011 s. 86.] </w:t>
      </w:r>
    </w:p>
    <w:p>
      <w:pPr>
        <w:pStyle w:val="Heading5"/>
      </w:pPr>
      <w:bookmarkStart w:id="228" w:name="_Toc164757401"/>
      <w:r>
        <w:rPr>
          <w:rStyle w:val="CharSectno"/>
        </w:rPr>
        <w:t>92</w:t>
      </w:r>
      <w:r>
        <w:t>.</w:t>
      </w:r>
      <w:r>
        <w:tab/>
        <w:t>Terms used</w:t>
      </w:r>
      <w:bookmarkEnd w:id="228"/>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lastRenderedPageBreak/>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w:t>
      </w:r>
    </w:p>
    <w:p>
      <w:pPr>
        <w:pStyle w:val="Heading5"/>
      </w:pPr>
      <w:bookmarkStart w:id="229" w:name="_Toc164757402"/>
      <w:r>
        <w:rPr>
          <w:rStyle w:val="CharSectno"/>
        </w:rPr>
        <w:t>93</w:t>
      </w:r>
      <w:r>
        <w:t>.</w:t>
      </w:r>
      <w:r>
        <w:tab/>
        <w:t>All security bonds to be transferred to bond administrator after renewal of agreement or within 18 months</w:t>
      </w:r>
      <w:bookmarkEnd w:id="229"/>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for this subsection: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No. 60 of 2011 s. 86; amended: No. 3 of 2019 s. 25.] </w:t>
      </w:r>
    </w:p>
    <w:p>
      <w:pPr>
        <w:pStyle w:val="Heading5"/>
      </w:pPr>
      <w:bookmarkStart w:id="230" w:name="_Toc164757403"/>
      <w:r>
        <w:rPr>
          <w:rStyle w:val="CharSectno"/>
        </w:rPr>
        <w:lastRenderedPageBreak/>
        <w:t>94</w:t>
      </w:r>
      <w:r>
        <w:t>.</w:t>
      </w:r>
      <w:r>
        <w:tab/>
        <w:t>Requirements for AFI holding security bonds</w:t>
      </w:r>
      <w:bookmarkEnd w:id="230"/>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prescribed market rate indicator.</w:t>
      </w:r>
    </w:p>
    <w:p>
      <w:pPr>
        <w:pStyle w:val="Footnotesection"/>
      </w:pPr>
      <w:r>
        <w:tab/>
        <w:t xml:space="preserve">[Section 94 inserted: No. 60 of 2011 s. 86; amended: No. 3 of 2019 s. 24.] </w:t>
      </w:r>
    </w:p>
    <w:p>
      <w:pPr>
        <w:pStyle w:val="Heading5"/>
      </w:pPr>
      <w:bookmarkStart w:id="231" w:name="_Toc164757404"/>
      <w:r>
        <w:rPr>
          <w:rStyle w:val="CharSectno"/>
        </w:rPr>
        <w:lastRenderedPageBreak/>
        <w:t>95</w:t>
      </w:r>
      <w:r>
        <w:t>.</w:t>
      </w:r>
      <w:r>
        <w:tab/>
        <w:t>Power of Commissioner to obtain information relating to AFI security bond accounts</w:t>
      </w:r>
      <w:bookmarkEnd w:id="231"/>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for this subsection: a fine of $3 000.</w:t>
      </w:r>
    </w:p>
    <w:p>
      <w:pPr>
        <w:pStyle w:val="Subsection"/>
      </w:pPr>
      <w:r>
        <w:lastRenderedPageBreak/>
        <w:tab/>
        <w:t>(4)</w:t>
      </w:r>
      <w:r>
        <w:tab/>
        <w:t>A person must not give information in response to a requirement under subsection (1) that the person knows is false or misleading in a material particular.</w:t>
      </w:r>
    </w:p>
    <w:p>
      <w:pPr>
        <w:pStyle w:val="Penstart"/>
      </w:pPr>
      <w:r>
        <w:tab/>
        <w:t>Penalty for this subsection: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amended: No. 3 of 2019 s. 25.] </w:t>
      </w:r>
    </w:p>
    <w:p>
      <w:pPr>
        <w:pStyle w:val="Heading5"/>
      </w:pPr>
      <w:bookmarkStart w:id="232" w:name="_Toc164757405"/>
      <w:r>
        <w:rPr>
          <w:rStyle w:val="CharSectno"/>
        </w:rPr>
        <w:t>96</w:t>
      </w:r>
      <w:r>
        <w:t>.</w:t>
      </w:r>
      <w:r>
        <w:tab/>
        <w:t>Disposal of security bond held in AFIs</w:t>
      </w:r>
      <w:bookmarkEnd w:id="232"/>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lastRenderedPageBreak/>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for this subsection: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No. 60 of 2011 s. 86; amended: No. 3 of 2019 s. 25.] </w:t>
      </w:r>
    </w:p>
    <w:p>
      <w:pPr>
        <w:pStyle w:val="Heading3"/>
      </w:pPr>
      <w:bookmarkStart w:id="233" w:name="_Toc164681713"/>
      <w:bookmarkStart w:id="234" w:name="_Toc164681915"/>
      <w:bookmarkStart w:id="235" w:name="_Toc164757406"/>
      <w:r>
        <w:rPr>
          <w:rStyle w:val="CharDivNo"/>
        </w:rPr>
        <w:lastRenderedPageBreak/>
        <w:t>Division 3</w:t>
      </w:r>
      <w:r>
        <w:t> — </w:t>
      </w:r>
      <w:r>
        <w:rPr>
          <w:rStyle w:val="CharDivText"/>
        </w:rPr>
        <w:t>Residential tenancy databases</w:t>
      </w:r>
      <w:bookmarkEnd w:id="233"/>
      <w:bookmarkEnd w:id="234"/>
      <w:bookmarkEnd w:id="235"/>
    </w:p>
    <w:p>
      <w:pPr>
        <w:pStyle w:val="Footnoteheading"/>
        <w:keepNext/>
      </w:pPr>
      <w:r>
        <w:tab/>
        <w:t xml:space="preserve">[Heading inserted: No. 60 of 2011 s. 86.] </w:t>
      </w:r>
    </w:p>
    <w:p>
      <w:pPr>
        <w:pStyle w:val="Heading5"/>
      </w:pPr>
      <w:bookmarkStart w:id="236" w:name="_Toc164757407"/>
      <w:r>
        <w:rPr>
          <w:rStyle w:val="CharSectno"/>
        </w:rPr>
        <w:t>97</w:t>
      </w:r>
      <w:r>
        <w:t>.</w:t>
      </w:r>
      <w:r>
        <w:tab/>
        <w:t>Application of Part VIA to listings existing before commencement day</w:t>
      </w:r>
      <w:bookmarkEnd w:id="236"/>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pStyle w:val="Heading2"/>
      </w:pPr>
      <w:bookmarkStart w:id="237" w:name="_Toc164681715"/>
      <w:bookmarkStart w:id="238" w:name="_Toc164681917"/>
      <w:bookmarkStart w:id="239" w:name="_Toc164757408"/>
      <w:r>
        <w:rPr>
          <w:rStyle w:val="CharPartNo"/>
        </w:rPr>
        <w:lastRenderedPageBreak/>
        <w:t>Part 8</w:t>
      </w:r>
      <w:r>
        <w:rPr>
          <w:rStyle w:val="CharDivNo"/>
        </w:rPr>
        <w:t> </w:t>
      </w:r>
      <w:r>
        <w:t>—</w:t>
      </w:r>
      <w:r>
        <w:rPr>
          <w:rStyle w:val="CharDivText"/>
        </w:rPr>
        <w:t> </w:t>
      </w:r>
      <w:r>
        <w:rPr>
          <w:rStyle w:val="CharPartText"/>
        </w:rPr>
        <w:t xml:space="preserve">Transitional provision relating to the </w:t>
      </w:r>
      <w:r>
        <w:rPr>
          <w:rStyle w:val="CharPartText"/>
          <w:i/>
        </w:rPr>
        <w:t>Consumer Protection Legislation Amendment Act 2019</w:t>
      </w:r>
      <w:bookmarkEnd w:id="237"/>
      <w:bookmarkEnd w:id="238"/>
      <w:bookmarkEnd w:id="239"/>
    </w:p>
    <w:p>
      <w:pPr>
        <w:pStyle w:val="Footnoteheading"/>
      </w:pPr>
      <w:r>
        <w:tab/>
        <w:t>[Heading inserted: No. 25 of 2019 s. 71.]</w:t>
      </w:r>
    </w:p>
    <w:p>
      <w:pPr>
        <w:pStyle w:val="Heading5"/>
      </w:pPr>
      <w:bookmarkStart w:id="240" w:name="_Toc164757409"/>
      <w:r>
        <w:rPr>
          <w:rStyle w:val="CharSectno"/>
        </w:rPr>
        <w:t>98</w:t>
      </w:r>
      <w:r>
        <w:t>.</w:t>
      </w:r>
      <w:r>
        <w:tab/>
        <w:t>Application of s. 49A to residential tenancy agreements and utility charges</w:t>
      </w:r>
      <w:bookmarkEnd w:id="24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pPr>
        <w:pStyle w:val="Defstart"/>
      </w:pPr>
      <w:r>
        <w:tab/>
      </w:r>
      <w:r>
        <w:rPr>
          <w:rStyle w:val="CharDefText"/>
        </w:rPr>
        <w:t>public utility services</w:t>
      </w:r>
      <w:r>
        <w:t xml:space="preserve"> has the meaning given in the </w:t>
      </w:r>
      <w:r>
        <w:rPr>
          <w:i/>
        </w:rPr>
        <w:t>Land Administration Act 1997</w:t>
      </w:r>
      <w:r>
        <w:t xml:space="preserve"> section 3(1).</w:t>
      </w:r>
    </w:p>
    <w:p>
      <w:pPr>
        <w:pStyle w:val="Subsection"/>
      </w:pPr>
      <w:r>
        <w:tab/>
        <w:t>(2)</w:t>
      </w:r>
      <w:r>
        <w:tab/>
        <w:t>Subject to subsections (3) and (4), section 49A, as in force on and after commencement day, applies to a residential tenancy agreement (to the extent relevant) even though it was entered into before commencement day.</w:t>
      </w:r>
    </w:p>
    <w:p>
      <w:pPr>
        <w:pStyle w:val="Subsection"/>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pPr>
        <w:pStyle w:val="Subsection"/>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pPr>
        <w:pStyle w:val="Footnotesection"/>
      </w:pPr>
      <w:r>
        <w:tab/>
        <w:t>[Section 98 inserted: No. 25 of 2019 s. 71.]</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rPr>
          <w:rFonts w:eastAsia="MS Mincho"/>
        </w:rPr>
      </w:pPr>
      <w:bookmarkStart w:id="241" w:name="_Toc164681717"/>
      <w:bookmarkStart w:id="242" w:name="_Toc164681919"/>
      <w:bookmarkStart w:id="243" w:name="_Toc164757410"/>
      <w:r>
        <w:rPr>
          <w:rStyle w:val="CharSchNo"/>
          <w:rFonts w:eastAsia="MS Mincho"/>
        </w:rPr>
        <w:lastRenderedPageBreak/>
        <w:t>Schedule 1</w:t>
      </w:r>
      <w:r>
        <w:rPr>
          <w:rFonts w:eastAsia="MS Mincho"/>
        </w:rPr>
        <w:t> — </w:t>
      </w:r>
      <w:r>
        <w:rPr>
          <w:rStyle w:val="CharSchText"/>
          <w:rFonts w:eastAsia="MS Mincho"/>
        </w:rPr>
        <w:t>Provisions relating to holding and disposal of bonds and income from bonds</w:t>
      </w:r>
      <w:bookmarkEnd w:id="241"/>
      <w:bookmarkEnd w:id="242"/>
      <w:bookmarkEnd w:id="243"/>
    </w:p>
    <w:p>
      <w:pPr>
        <w:pStyle w:val="yShoulderClause"/>
      </w:pPr>
      <w:r>
        <w:t>[s. 3, 7(3), 12, 29(4), (7), (8), 59D(6), 79(5), (6), (11) and 80A(8)]</w:t>
      </w:r>
    </w:p>
    <w:p>
      <w:pPr>
        <w:pStyle w:val="yFootnoteheading"/>
      </w:pPr>
      <w:r>
        <w:tab/>
        <w:t xml:space="preserve">[Heading inserted: No. 60 of 2011 s. 87(1).] </w:t>
      </w:r>
    </w:p>
    <w:p>
      <w:pPr>
        <w:pStyle w:val="yHeading3"/>
      </w:pPr>
      <w:bookmarkStart w:id="244" w:name="_Toc164681718"/>
      <w:bookmarkStart w:id="245" w:name="_Toc164681920"/>
      <w:bookmarkStart w:id="246" w:name="_Toc164757411"/>
      <w:r>
        <w:rPr>
          <w:rStyle w:val="CharSDivNo"/>
        </w:rPr>
        <w:t>Division 1</w:t>
      </w:r>
      <w:r>
        <w:t> — </w:t>
      </w:r>
      <w:r>
        <w:rPr>
          <w:rStyle w:val="CharSDivText"/>
        </w:rPr>
        <w:t>General</w:t>
      </w:r>
      <w:bookmarkEnd w:id="244"/>
      <w:bookmarkEnd w:id="245"/>
      <w:bookmarkEnd w:id="246"/>
    </w:p>
    <w:p>
      <w:pPr>
        <w:pStyle w:val="yFootnoteheading"/>
      </w:pPr>
      <w:r>
        <w:tab/>
        <w:t>[Heading inserted: No. 60 of 2011 s. 87(2).]</w:t>
      </w:r>
    </w:p>
    <w:p>
      <w:pPr>
        <w:pStyle w:val="yHeading5"/>
        <w:rPr>
          <w:snapToGrid w:val="0"/>
        </w:rPr>
      </w:pPr>
      <w:bookmarkStart w:id="247" w:name="_Toc164757412"/>
      <w:r>
        <w:rPr>
          <w:rStyle w:val="CharSClsNo"/>
        </w:rPr>
        <w:t>1</w:t>
      </w:r>
      <w:r>
        <w:rPr>
          <w:snapToGrid w:val="0"/>
        </w:rPr>
        <w:t>.</w:t>
      </w:r>
      <w:r>
        <w:rPr>
          <w:snapToGrid w:val="0"/>
        </w:rPr>
        <w:tab/>
      </w:r>
      <w:r>
        <w:t>Term</w:t>
      </w:r>
      <w:r>
        <w:rPr>
          <w:snapToGrid w:val="0"/>
        </w:rPr>
        <w:t xml:space="preserve"> used: authorised agent</w:t>
      </w:r>
      <w:bookmarkEnd w:id="247"/>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248" w:name="_Toc164757413"/>
      <w:r>
        <w:rPr>
          <w:rStyle w:val="CharSClsNo"/>
        </w:rPr>
        <w:t>3</w:t>
      </w:r>
      <w:r>
        <w:rPr>
          <w:snapToGrid w:val="0"/>
        </w:rPr>
        <w:t>.</w:t>
      </w:r>
      <w:r>
        <w:rPr>
          <w:snapToGrid w:val="0"/>
        </w:rPr>
        <w:tab/>
        <w:t>Rental Accommodation Account</w:t>
      </w:r>
      <w:bookmarkEnd w:id="248"/>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w:t>
      </w:r>
      <w:r>
        <w:rPr>
          <w:szCs w:val="22"/>
        </w:rPr>
        <w:t>102(1)(b);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lastRenderedPageBreak/>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w:t>
      </w:r>
      <w:r>
        <w:rPr>
          <w:szCs w:val="22"/>
        </w:rPr>
        <w:t>section 76(2), (2A)</w:t>
      </w:r>
      <w:r>
        <w:t xml:space="preserve">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lastRenderedPageBreak/>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r>
        <w:rPr>
          <w:i/>
          <w:iCs/>
        </w:rPr>
        <w:t>Magistrates Court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w:t>
      </w:r>
      <w:r>
        <w:noBreakHyphen/>
        <w:t>(9); No. 28 of 2020 s. 89.]</w:t>
      </w:r>
    </w:p>
    <w:p>
      <w:pPr>
        <w:pStyle w:val="yHeading5"/>
        <w:rPr>
          <w:snapToGrid w:val="0"/>
        </w:rPr>
      </w:pPr>
      <w:bookmarkStart w:id="249" w:name="_Toc164757414"/>
      <w:r>
        <w:rPr>
          <w:rStyle w:val="CharSClsNo"/>
        </w:rPr>
        <w:t>4</w:t>
      </w:r>
      <w:r>
        <w:rPr>
          <w:snapToGrid w:val="0"/>
        </w:rPr>
        <w:t>.</w:t>
      </w:r>
      <w:r>
        <w:rPr>
          <w:snapToGrid w:val="0"/>
        </w:rPr>
        <w:tab/>
        <w:t>Duties of bond administrator</w:t>
      </w:r>
      <w:bookmarkEnd w:id="249"/>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lastRenderedPageBreak/>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250" w:name="_Toc164681722"/>
      <w:bookmarkStart w:id="251" w:name="_Toc164681924"/>
      <w:bookmarkStart w:id="252" w:name="_Toc164757415"/>
      <w:r>
        <w:rPr>
          <w:rStyle w:val="CharSDivNo"/>
        </w:rPr>
        <w:t>Division 2</w:t>
      </w:r>
      <w:r>
        <w:t> — </w:t>
      </w:r>
      <w:r>
        <w:rPr>
          <w:rStyle w:val="CharSDivText"/>
        </w:rPr>
        <w:t>Security bonds</w:t>
      </w:r>
      <w:bookmarkEnd w:id="250"/>
      <w:bookmarkEnd w:id="251"/>
      <w:bookmarkEnd w:id="252"/>
    </w:p>
    <w:p>
      <w:pPr>
        <w:pStyle w:val="yFootnoteheading"/>
      </w:pPr>
      <w:r>
        <w:tab/>
        <w:t>[Heading inserted: No. 60 of 2011 s. 87(11).]</w:t>
      </w:r>
    </w:p>
    <w:p>
      <w:pPr>
        <w:pStyle w:val="yHeading5"/>
      </w:pPr>
      <w:bookmarkStart w:id="253" w:name="_Toc164757416"/>
      <w:r>
        <w:rPr>
          <w:rStyle w:val="CharSClsNo"/>
        </w:rPr>
        <w:t>5A</w:t>
      </w:r>
      <w:r>
        <w:t>.</w:t>
      </w:r>
      <w:r>
        <w:tab/>
        <w:t>Security bond moneys to be paid to bond administrator</w:t>
      </w:r>
      <w:bookmarkEnd w:id="253"/>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254" w:name="_Toc164757417"/>
      <w:r>
        <w:rPr>
          <w:rStyle w:val="CharSClsNo"/>
        </w:rPr>
        <w:t>5</w:t>
      </w:r>
      <w:r>
        <w:rPr>
          <w:snapToGrid w:val="0"/>
        </w:rPr>
        <w:t>.</w:t>
      </w:r>
      <w:r>
        <w:rPr>
          <w:snapToGrid w:val="0"/>
        </w:rPr>
        <w:tab/>
        <w:t xml:space="preserve">Disposal of </w:t>
      </w:r>
      <w:r>
        <w:t>security</w:t>
      </w:r>
      <w:r>
        <w:rPr>
          <w:snapToGrid w:val="0"/>
        </w:rPr>
        <w:t xml:space="preserve"> bond by bond administrator</w:t>
      </w:r>
      <w:bookmarkEnd w:id="254"/>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lastRenderedPageBreak/>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255" w:name="_Toc164757418"/>
      <w:r>
        <w:rPr>
          <w:rStyle w:val="CharSClsNo"/>
        </w:rPr>
        <w:t>8</w:t>
      </w:r>
      <w:r>
        <w:rPr>
          <w:snapToGrid w:val="0"/>
        </w:rPr>
        <w:t>.</w:t>
      </w:r>
      <w:r>
        <w:rPr>
          <w:snapToGrid w:val="0"/>
        </w:rPr>
        <w:tab/>
      </w:r>
      <w:r>
        <w:t>Court</w:t>
      </w:r>
      <w:r>
        <w:rPr>
          <w:snapToGrid w:val="0"/>
        </w:rPr>
        <w:t xml:space="preserve"> may determine disposal of security bond</w:t>
      </w:r>
      <w:bookmarkEnd w:id="255"/>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w:t>
      </w:r>
      <w:r>
        <w:rPr>
          <w:snapToGrid w:val="0"/>
        </w:rPr>
        <w:lastRenderedPageBreak/>
        <w:t>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lastRenderedPageBreak/>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256" w:name="_Toc164681726"/>
      <w:bookmarkStart w:id="257" w:name="_Toc164681928"/>
      <w:bookmarkStart w:id="258" w:name="_Toc164757419"/>
      <w:r>
        <w:rPr>
          <w:rStyle w:val="CharSDivNo"/>
        </w:rPr>
        <w:t>Division 3</w:t>
      </w:r>
      <w:r>
        <w:t> — </w:t>
      </w:r>
      <w:r>
        <w:rPr>
          <w:rStyle w:val="CharSDivText"/>
        </w:rPr>
        <w:t>Tenant compensation bonds</w:t>
      </w:r>
      <w:bookmarkEnd w:id="256"/>
      <w:bookmarkEnd w:id="257"/>
      <w:bookmarkEnd w:id="258"/>
    </w:p>
    <w:p>
      <w:pPr>
        <w:pStyle w:val="yFootnoteheading"/>
      </w:pPr>
      <w:r>
        <w:tab/>
        <w:t>[Heading inserted: No. 60 of 2011 s. 87(23).]</w:t>
      </w:r>
    </w:p>
    <w:p>
      <w:pPr>
        <w:pStyle w:val="yHeading5"/>
      </w:pPr>
      <w:bookmarkStart w:id="259" w:name="_Toc164757420"/>
      <w:r>
        <w:rPr>
          <w:rStyle w:val="CharSClsNo"/>
        </w:rPr>
        <w:t>9</w:t>
      </w:r>
      <w:r>
        <w:t>.</w:t>
      </w:r>
      <w:r>
        <w:tab/>
        <w:t>Application of Division</w:t>
      </w:r>
      <w:bookmarkEnd w:id="259"/>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260" w:name="_Toc164757421"/>
      <w:r>
        <w:rPr>
          <w:rStyle w:val="CharSClsNo"/>
        </w:rPr>
        <w:t>10</w:t>
      </w:r>
      <w:r>
        <w:t>.</w:t>
      </w:r>
      <w:r>
        <w:tab/>
        <w:t>Disposal of tenant compensation bond to tenant by bond administrator</w:t>
      </w:r>
      <w:bookmarkEnd w:id="260"/>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lastRenderedPageBreak/>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261" w:name="_Toc164757422"/>
      <w:r>
        <w:rPr>
          <w:rStyle w:val="CharSClsNo"/>
        </w:rPr>
        <w:t>11</w:t>
      </w:r>
      <w:r>
        <w:t>.</w:t>
      </w:r>
      <w:r>
        <w:tab/>
        <w:t>Disposal of tenant compensation bond to lessor by bond administrator</w:t>
      </w:r>
      <w:bookmarkEnd w:id="261"/>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lastRenderedPageBreak/>
        <w:tab/>
        <w:t>[Clause 11 inserted: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263" w:name="_Toc164681730"/>
      <w:bookmarkStart w:id="264" w:name="_Toc164681932"/>
      <w:bookmarkStart w:id="265" w:name="_Toc164757423"/>
      <w:r>
        <w:lastRenderedPageBreak/>
        <w:t>Notes</w:t>
      </w:r>
      <w:bookmarkEnd w:id="263"/>
      <w:bookmarkEnd w:id="264"/>
      <w:bookmarkEnd w:id="265"/>
    </w:p>
    <w:p>
      <w:pPr>
        <w:pStyle w:val="nStatement"/>
      </w:pPr>
      <w:r>
        <w:t xml:space="preserve">This is a compilation of the </w:t>
      </w:r>
      <w:r>
        <w:rPr>
          <w:i/>
          <w:noProof/>
        </w:rPr>
        <w:t>Residential Tenancies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66" w:name="_Toc164757424"/>
      <w:r>
        <w:t>Compilation table</w:t>
      </w:r>
      <w:bookmarkEnd w:id="266"/>
    </w:p>
    <w:tbl>
      <w:tblPr>
        <w:tblW w:w="7090" w:type="dxa"/>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3"/>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3"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3" w:type="dxa"/>
          </w:tcPr>
          <w:p>
            <w:pPr>
              <w:pStyle w:val="nTable"/>
              <w:spacing w:after="40"/>
            </w:pPr>
            <w:r>
              <w:t>8 Dec 1988 (see s. 2)</w:t>
            </w:r>
          </w:p>
        </w:tc>
      </w:tr>
      <w:tr>
        <w:trPr>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3" w:type="dxa"/>
          </w:tcPr>
          <w:p>
            <w:pPr>
              <w:pStyle w:val="nTable"/>
              <w:spacing w:after="40"/>
            </w:pPr>
            <w:r>
              <w:t>1 Jul 1993 (see s. 2(1))</w:t>
            </w:r>
          </w:p>
        </w:tc>
      </w:tr>
      <w:tr>
        <w:trPr>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2</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3" w:type="dxa"/>
          </w:tcPr>
          <w:p>
            <w:pPr>
              <w:pStyle w:val="nTable"/>
              <w:spacing w:after="40"/>
            </w:pPr>
            <w:r>
              <w:t>1 Jul 1993 (see s. 2)</w:t>
            </w:r>
          </w:p>
        </w:tc>
      </w:tr>
      <w:tr>
        <w:trPr>
          <w:cantSplit/>
        </w:trPr>
        <w:tc>
          <w:tcPr>
            <w:tcW w:w="2268" w:type="dxa"/>
            <w:gridSpan w:val="2"/>
          </w:tcPr>
          <w:p>
            <w:pPr>
              <w:pStyle w:val="nTable"/>
              <w:spacing w:after="40"/>
            </w:pPr>
            <w:r>
              <w:rPr>
                <w:i/>
              </w:rPr>
              <w:t>Caravan Parks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3" w:type="dxa"/>
          </w:tcPr>
          <w:p>
            <w:pPr>
              <w:pStyle w:val="nTable"/>
              <w:spacing w:after="40"/>
            </w:pPr>
            <w:r>
              <w:t>1 Jul 1997 (see s. 2 and </w:t>
            </w:r>
            <w:r>
              <w:rPr>
                <w:i/>
              </w:rPr>
              <w:t>Gazette</w:t>
            </w:r>
            <w:r>
              <w:t xml:space="preserve"> 20 Jun 1997 p. 2805)</w:t>
            </w:r>
          </w:p>
        </w:tc>
      </w:tr>
      <w:tr>
        <w:trPr>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3,</w:t>
            </w:r>
            <w:r>
              <w:rPr>
                <w:vertAlign w:val="superscript"/>
              </w:rPr>
              <w:t> 4</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3"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3" w:type="dxa"/>
          </w:tcPr>
          <w:p>
            <w:pPr>
              <w:pStyle w:val="nTable"/>
              <w:keepNext/>
              <w:keepLines/>
              <w:spacing w:after="40"/>
            </w:pPr>
            <w:r>
              <w:t xml:space="preserve">1 Jan 1996 (see s. 2(2) and </w:t>
            </w:r>
            <w:r>
              <w:rPr>
                <w:i/>
              </w:rPr>
              <w:t>Gazette</w:t>
            </w:r>
            <w:r>
              <w:t xml:space="preserve"> 29 Dec 1995 p. 6291)</w:t>
            </w:r>
          </w:p>
        </w:tc>
      </w:tr>
      <w:tr>
        <w:trPr>
          <w:cantSplit/>
        </w:trPr>
        <w:tc>
          <w:tcPr>
            <w:tcW w:w="7090" w:type="dxa"/>
            <w:gridSpan w:val="7"/>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3" w:type="dxa"/>
          </w:tcPr>
          <w:p>
            <w:pPr>
              <w:pStyle w:val="nTable"/>
              <w:spacing w:after="40"/>
            </w:pPr>
            <w:r>
              <w:t>1 Jul 1996 (see s. 2)</w:t>
            </w:r>
          </w:p>
        </w:tc>
      </w:tr>
      <w:tr>
        <w:trPr>
          <w:cantSplit/>
        </w:trPr>
        <w:tc>
          <w:tcPr>
            <w:tcW w:w="2268" w:type="dxa"/>
            <w:gridSpan w:val="2"/>
          </w:tcPr>
          <w:p>
            <w:pPr>
              <w:pStyle w:val="nTable"/>
              <w:spacing w:after="40"/>
            </w:pPr>
            <w:r>
              <w:rPr>
                <w:i/>
              </w:rPr>
              <w:lastRenderedPageBreak/>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3" w:type="dxa"/>
          </w:tcPr>
          <w:p>
            <w:pPr>
              <w:pStyle w:val="nTable"/>
              <w:spacing w:after="40"/>
            </w:pPr>
            <w:r>
              <w:t>15 Dec 1997 (see s. 2(1))</w:t>
            </w:r>
          </w:p>
        </w:tc>
      </w:tr>
      <w:tr>
        <w:trPr>
          <w:cantSplit/>
        </w:trPr>
        <w:tc>
          <w:tcPr>
            <w:tcW w:w="7090" w:type="dxa"/>
            <w:gridSpan w:val="7"/>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3" w:type="dxa"/>
          </w:tcPr>
          <w:p>
            <w:pPr>
              <w:pStyle w:val="nTable"/>
              <w:spacing w:after="40"/>
            </w:pPr>
            <w:r>
              <w:t xml:space="preserve">1 Jul 1999 (see s. 2(1) and </w:t>
            </w:r>
            <w:r>
              <w:rPr>
                <w:i/>
              </w:rPr>
              <w:t>Gazette</w:t>
            </w:r>
            <w:r>
              <w:t xml:space="preserve"> 30 Jun 1999 p. 2905)</w:t>
            </w:r>
          </w:p>
        </w:tc>
      </w:tr>
      <w:tr>
        <w:trPr>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5</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3" w:type="dxa"/>
          </w:tcPr>
          <w:p>
            <w:pPr>
              <w:pStyle w:val="nTable"/>
              <w:spacing w:after="40"/>
            </w:pPr>
            <w:r>
              <w:t xml:space="preserve">1 Jul 2003 (see s. 2 and </w:t>
            </w:r>
            <w:r>
              <w:rPr>
                <w:i/>
              </w:rPr>
              <w:t>Gazette</w:t>
            </w:r>
            <w:r>
              <w:t xml:space="preserve"> 27 Jun 2003 p. 2383)</w:t>
            </w:r>
          </w:p>
        </w:tc>
      </w:tr>
      <w:tr>
        <w:trPr>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3" w:type="dxa"/>
          </w:tcPr>
          <w:p>
            <w:pPr>
              <w:pStyle w:val="nTable"/>
              <w:spacing w:after="40"/>
            </w:pPr>
            <w:r>
              <w:t xml:space="preserve">1 Jan 2004 (see s. 2 and </w:t>
            </w:r>
            <w:r>
              <w:rPr>
                <w:i/>
              </w:rPr>
              <w:t>Gazette</w:t>
            </w:r>
            <w:r>
              <w:t xml:space="preserve"> 30 Dec 2003 p. 5722)</w:t>
            </w:r>
          </w:p>
        </w:tc>
      </w:tr>
      <w:tr>
        <w:trPr>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3"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90" w:type="dxa"/>
            <w:gridSpan w:val="7"/>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3" w:type="dxa"/>
          </w:tcPr>
          <w:p>
            <w:pPr>
              <w:pStyle w:val="nTable"/>
              <w:spacing w:after="40"/>
              <w:rPr>
                <w:snapToGrid w:val="0"/>
              </w:rPr>
            </w:pPr>
            <w:r>
              <w:rPr>
                <w:snapToGrid w:val="0"/>
              </w:rPr>
              <w:t>15 Nov 2005 (see s. 2)</w:t>
            </w:r>
          </w:p>
        </w:tc>
      </w:tr>
      <w:t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6</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3"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3"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3"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gridSpan w:val="2"/>
          </w:tcPr>
          <w:p>
            <w:pPr>
              <w:pStyle w:val="nTable"/>
              <w:spacing w:after="40"/>
              <w:rPr>
                <w:i/>
                <w:snapToGrid w:val="0"/>
              </w:rPr>
            </w:pPr>
            <w:r>
              <w:rPr>
                <w:i/>
                <w:snapToGrid w:val="0"/>
              </w:rPr>
              <w:t xml:space="preserve">Financial Legislation Amendment and Repeal </w:t>
            </w:r>
            <w:r>
              <w:rPr>
                <w:i/>
                <w:snapToGrid w:val="0"/>
              </w:rPr>
              <w:lastRenderedPageBreak/>
              <w:t xml:space="preserve">Act 2006 </w:t>
            </w:r>
            <w:r>
              <w:rPr>
                <w:snapToGrid w:val="0"/>
              </w:rPr>
              <w:t>s. 4 and Sch. 1 cl. 149</w:t>
            </w:r>
          </w:p>
        </w:tc>
        <w:tc>
          <w:tcPr>
            <w:tcW w:w="1134" w:type="dxa"/>
            <w:gridSpan w:val="2"/>
          </w:tcPr>
          <w:p>
            <w:pPr>
              <w:pStyle w:val="nTable"/>
              <w:spacing w:after="40"/>
              <w:rPr>
                <w:snapToGrid w:val="0"/>
              </w:rPr>
            </w:pPr>
            <w:r>
              <w:rPr>
                <w:snapToGrid w:val="0"/>
              </w:rPr>
              <w:lastRenderedPageBreak/>
              <w:t xml:space="preserve">77 of 2006 </w:t>
            </w:r>
          </w:p>
        </w:tc>
        <w:tc>
          <w:tcPr>
            <w:tcW w:w="1135" w:type="dxa"/>
            <w:gridSpan w:val="2"/>
          </w:tcPr>
          <w:p>
            <w:pPr>
              <w:pStyle w:val="nTable"/>
              <w:spacing w:after="40"/>
            </w:pPr>
            <w:r>
              <w:rPr>
                <w:snapToGrid w:val="0"/>
              </w:rPr>
              <w:t>21 Dec 2006</w:t>
            </w:r>
          </w:p>
        </w:tc>
        <w:tc>
          <w:tcPr>
            <w:tcW w:w="2553"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90" w:type="dxa"/>
            <w:gridSpan w:val="7"/>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3"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3"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3" w:type="dxa"/>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90" w:type="dxa"/>
            <w:gridSpan w:val="7"/>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3" w:type="dxa"/>
            <w:shd w:val="clear" w:color="auto" w:fill="auto"/>
          </w:tcPr>
          <w:p>
            <w:pPr>
              <w:pStyle w:val="nTable"/>
              <w:spacing w:after="40"/>
            </w:pPr>
            <w:r>
              <w:t xml:space="preserve">1 Nov 2013 (see s. 2(b) and </w:t>
            </w:r>
            <w:r>
              <w:rPr>
                <w:i/>
              </w:rPr>
              <w:t>Gazette</w:t>
            </w:r>
            <w:r>
              <w:t xml:space="preserve"> 31 Oct 2013 p. 4829)</w:t>
            </w:r>
          </w:p>
        </w:tc>
      </w:tr>
      <w:tr>
        <w:trPr>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3"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3"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90" w:type="dxa"/>
            <w:gridSpan w:val="7"/>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lastRenderedPageBreak/>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2" w:type="dxa"/>
            <w:gridSpan w:val="2"/>
            <w:tcBorders>
              <w:top w:val="nil"/>
              <w:bottom w:val="nil"/>
            </w:tcBorders>
          </w:tcPr>
          <w:p>
            <w:pPr>
              <w:pStyle w:val="nTable"/>
              <w:keepNext/>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Strata Titles Amendment Act 2018</w:t>
            </w:r>
            <w:r>
              <w:t xml:space="preserve"> Pt. 3 Div. 18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82" w:type="dxa"/>
            <w:gridSpan w:val="2"/>
            <w:tcBorders>
              <w:top w:val="nil"/>
              <w:bottom w:val="nil"/>
            </w:tcBorders>
          </w:tcPr>
          <w:p>
            <w:pPr>
              <w:pStyle w:val="nTable"/>
              <w:spacing w:after="40"/>
            </w:pPr>
            <w:r>
              <w:t>1 May 2020 (see s. 2(b) and SL 2020/39 cl. 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rPr>
                <w:i/>
              </w:rPr>
            </w:pPr>
            <w:r>
              <w:rPr>
                <w:i/>
              </w:rPr>
              <w:t>Community Titles Act 2018</w:t>
            </w:r>
            <w:r>
              <w:t xml:space="preserve"> Pt. 14 Div. 18</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82" w:type="dxa"/>
            <w:gridSpan w:val="2"/>
            <w:tcBorders>
              <w:top w:val="nil"/>
              <w:bottom w:val="nil"/>
            </w:tcBorders>
          </w:tcPr>
          <w:p>
            <w:pPr>
              <w:pStyle w:val="nTable"/>
              <w:spacing w:after="40"/>
            </w:pPr>
            <w:r>
              <w:t>30 Jun 2021 (see s. 2(b) and SL 2021/69 cl. 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rPr>
                <w:i/>
              </w:rPr>
            </w:pPr>
            <w:r>
              <w:rPr>
                <w:i/>
              </w:rPr>
              <w:t xml:space="preserve">Residential Tenancies Legislation Amendment (Family Violence) Act 2019 </w:t>
            </w:r>
            <w:r>
              <w:t>Pt. 2</w:t>
            </w:r>
          </w:p>
        </w:tc>
        <w:tc>
          <w:tcPr>
            <w:tcW w:w="1134" w:type="dxa"/>
            <w:gridSpan w:val="2"/>
            <w:tcBorders>
              <w:top w:val="nil"/>
              <w:bottom w:val="nil"/>
            </w:tcBorders>
          </w:tcPr>
          <w:p>
            <w:pPr>
              <w:pStyle w:val="nTable"/>
              <w:keepNext/>
              <w:spacing w:after="40"/>
            </w:pPr>
            <w:r>
              <w:t>3 of 2019</w:t>
            </w:r>
          </w:p>
        </w:tc>
        <w:tc>
          <w:tcPr>
            <w:tcW w:w="1134" w:type="dxa"/>
            <w:gridSpan w:val="2"/>
            <w:tcBorders>
              <w:top w:val="nil"/>
              <w:bottom w:val="nil"/>
            </w:tcBorders>
          </w:tcPr>
          <w:p>
            <w:pPr>
              <w:pStyle w:val="nTable"/>
              <w:keepNext/>
              <w:spacing w:after="40"/>
            </w:pPr>
            <w:r>
              <w:t>26 Feb 2019</w:t>
            </w:r>
          </w:p>
        </w:tc>
        <w:tc>
          <w:tcPr>
            <w:tcW w:w="2582" w:type="dxa"/>
            <w:gridSpan w:val="2"/>
            <w:tcBorders>
              <w:top w:val="nil"/>
              <w:bottom w:val="nil"/>
            </w:tcBorders>
          </w:tcPr>
          <w:p>
            <w:pPr>
              <w:pStyle w:val="nTable"/>
              <w:keepNext/>
              <w:spacing w:after="40"/>
            </w:pPr>
            <w:r>
              <w:t xml:space="preserve">15 Apr 2019 (see s. 2(b) and </w:t>
            </w:r>
            <w:r>
              <w:rPr>
                <w:i/>
              </w:rPr>
              <w:t>Gazette</w:t>
            </w:r>
            <w:r>
              <w:t xml:space="preserve"> 9 Apr 2019 p. 1041-2)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rPr>
                <w:i/>
              </w:rPr>
            </w:pPr>
            <w:r>
              <w:rPr>
                <w:i/>
              </w:rPr>
              <w:t xml:space="preserve">Consumer Protection Legislation Amendment Act 2019 </w:t>
            </w:r>
            <w:r>
              <w:t>Pt. 9</w:t>
            </w:r>
          </w:p>
        </w:tc>
        <w:tc>
          <w:tcPr>
            <w:tcW w:w="1134" w:type="dxa"/>
            <w:gridSpan w:val="2"/>
            <w:tcBorders>
              <w:top w:val="nil"/>
              <w:bottom w:val="nil"/>
            </w:tcBorders>
          </w:tcPr>
          <w:p>
            <w:pPr>
              <w:pStyle w:val="nTable"/>
              <w:keepNext/>
              <w:spacing w:after="40"/>
            </w:pPr>
            <w:r>
              <w:t>25 of 2019</w:t>
            </w:r>
          </w:p>
        </w:tc>
        <w:tc>
          <w:tcPr>
            <w:tcW w:w="1134" w:type="dxa"/>
            <w:gridSpan w:val="2"/>
            <w:tcBorders>
              <w:top w:val="nil"/>
              <w:bottom w:val="nil"/>
            </w:tcBorders>
          </w:tcPr>
          <w:p>
            <w:pPr>
              <w:pStyle w:val="nTable"/>
              <w:keepNext/>
              <w:spacing w:after="40"/>
            </w:pPr>
            <w:r>
              <w:t>24 Oct 2019</w:t>
            </w:r>
          </w:p>
        </w:tc>
        <w:tc>
          <w:tcPr>
            <w:tcW w:w="2582" w:type="dxa"/>
            <w:gridSpan w:val="2"/>
            <w:tcBorders>
              <w:top w:val="nil"/>
              <w:bottom w:val="nil"/>
            </w:tcBorders>
          </w:tcPr>
          <w:p>
            <w:pPr>
              <w:pStyle w:val="nTable"/>
              <w:keepNext/>
              <w:spacing w:after="40"/>
            </w:pPr>
            <w:r>
              <w:rPr>
                <w:snapToGrid w:val="0"/>
              </w:rPr>
              <w:t xml:space="preserve">s. 67: 30 Nov 2019 (see s. 2(b) and </w:t>
            </w:r>
            <w:r>
              <w:rPr>
                <w:i/>
                <w:snapToGrid w:val="0"/>
              </w:rPr>
              <w:t>Gazette</w:t>
            </w:r>
            <w:r>
              <w:rPr>
                <w:snapToGrid w:val="0"/>
              </w:rPr>
              <w:t xml:space="preserve"> 29 Nov 2019 p. 4101);</w:t>
            </w:r>
            <w:r>
              <w:rPr>
                <w:snapToGrid w:val="0"/>
              </w:rPr>
              <w:br/>
              <w:t xml:space="preserve">Pt. 9 other than s. 67: 1 Jan 2020 (see s. 2(b) and </w:t>
            </w:r>
            <w:r>
              <w:rPr>
                <w:i/>
                <w:snapToGrid w:val="0"/>
              </w:rPr>
              <w:t>Gazette</w:t>
            </w:r>
            <w:r>
              <w:rPr>
                <w:snapToGrid w:val="0"/>
              </w:rPr>
              <w:t xml:space="preserve"> 24 Dec 2019 p. 4415)</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keepLines/>
              <w:spacing w:after="40"/>
            </w:pPr>
            <w:r>
              <w:rPr>
                <w:i/>
                <w:noProof/>
              </w:rPr>
              <w:t>Residential Tenancies (COVID-19 Response) Act 2020</w:t>
            </w:r>
            <w:r>
              <w:rPr>
                <w:noProof/>
              </w:rPr>
              <w:t xml:space="preserve"> Pt. 8</w:t>
            </w:r>
          </w:p>
        </w:tc>
        <w:tc>
          <w:tcPr>
            <w:tcW w:w="1134" w:type="dxa"/>
            <w:gridSpan w:val="2"/>
            <w:tcBorders>
              <w:top w:val="nil"/>
              <w:bottom w:val="nil"/>
            </w:tcBorders>
          </w:tcPr>
          <w:p>
            <w:pPr>
              <w:pStyle w:val="nTable"/>
              <w:keepLines/>
              <w:spacing w:after="40"/>
            </w:pPr>
            <w:r>
              <w:t>18 of 2020</w:t>
            </w:r>
          </w:p>
        </w:tc>
        <w:tc>
          <w:tcPr>
            <w:tcW w:w="1134" w:type="dxa"/>
            <w:gridSpan w:val="2"/>
            <w:tcBorders>
              <w:top w:val="nil"/>
              <w:bottom w:val="nil"/>
            </w:tcBorders>
          </w:tcPr>
          <w:p>
            <w:pPr>
              <w:pStyle w:val="nTable"/>
              <w:keepLines/>
              <w:spacing w:after="40"/>
            </w:pPr>
            <w:r>
              <w:t>23 Apr 2020</w:t>
            </w:r>
          </w:p>
        </w:tc>
        <w:tc>
          <w:tcPr>
            <w:tcW w:w="2582" w:type="dxa"/>
            <w:gridSpan w:val="2"/>
            <w:tcBorders>
              <w:top w:val="nil"/>
              <w:bottom w:val="nil"/>
            </w:tcBorders>
          </w:tcPr>
          <w:p>
            <w:pPr>
              <w:pStyle w:val="nTable"/>
              <w:keepNext/>
              <w:keepLines/>
              <w:spacing w:after="40"/>
              <w:rPr>
                <w:snapToGrid w:val="0"/>
              </w:rPr>
            </w:pPr>
            <w:r>
              <w:t>30 Mar 2020 (see s. 2(d))</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pPr>
            <w:r>
              <w:rPr>
                <w:i/>
              </w:rPr>
              <w:t>Residential Parks (Long</w:t>
            </w:r>
            <w:r>
              <w:rPr>
                <w:i/>
              </w:rPr>
              <w:noBreakHyphen/>
              <w:t xml:space="preserve"> stay Tenants) Amendment Act 2020</w:t>
            </w:r>
            <w:r>
              <w:t xml:space="preserve"> Pt. 3 </w:t>
            </w:r>
          </w:p>
        </w:tc>
        <w:tc>
          <w:tcPr>
            <w:tcW w:w="1134" w:type="dxa"/>
            <w:gridSpan w:val="2"/>
            <w:tcBorders>
              <w:top w:val="nil"/>
              <w:bottom w:val="nil"/>
            </w:tcBorders>
          </w:tcPr>
          <w:p>
            <w:pPr>
              <w:pStyle w:val="nTable"/>
              <w:spacing w:after="40"/>
            </w:pPr>
            <w:r>
              <w:t>28 of 2020</w:t>
            </w:r>
          </w:p>
        </w:tc>
        <w:tc>
          <w:tcPr>
            <w:tcW w:w="1134" w:type="dxa"/>
            <w:gridSpan w:val="2"/>
            <w:tcBorders>
              <w:top w:val="nil"/>
              <w:bottom w:val="nil"/>
            </w:tcBorders>
          </w:tcPr>
          <w:p>
            <w:pPr>
              <w:pStyle w:val="nTable"/>
              <w:spacing w:after="40"/>
            </w:pPr>
            <w:r>
              <w:t>9 Jul 2020</w:t>
            </w:r>
          </w:p>
        </w:tc>
        <w:tc>
          <w:tcPr>
            <w:tcW w:w="2582" w:type="dxa"/>
            <w:gridSpan w:val="2"/>
            <w:tcBorders>
              <w:top w:val="nil"/>
              <w:bottom w:val="nil"/>
            </w:tcBorders>
          </w:tcPr>
          <w:p>
            <w:pPr>
              <w:pStyle w:val="nTable"/>
              <w:spacing w:after="40"/>
            </w:pPr>
            <w:r>
              <w:t>s. 88: 10 Jul 2020 (see s. 2(1)(b));</w:t>
            </w:r>
            <w:r>
              <w:br/>
              <w:t>s. 89: 31 Jan 2022 (see s. 2(1)(c) and SL 2021/195 cl. 2)</w:t>
            </w:r>
          </w:p>
        </w:tc>
      </w:tr>
      <w:tr>
        <w:tblPrEx>
          <w:tblBorders>
            <w:top w:val="single" w:sz="8" w:space="0" w:color="auto"/>
            <w:bottom w:val="single" w:sz="8" w:space="0" w:color="auto"/>
            <w:insideH w:val="single" w:sz="8" w:space="0" w:color="auto"/>
          </w:tblBorders>
        </w:tblPrEx>
        <w:tc>
          <w:tcPr>
            <w:tcW w:w="2240" w:type="dxa"/>
            <w:tcBorders>
              <w:top w:val="nil"/>
              <w:bottom w:val="single" w:sz="4" w:space="0" w:color="auto"/>
            </w:tcBorders>
          </w:tcPr>
          <w:p>
            <w:pPr>
              <w:pStyle w:val="nTable"/>
              <w:keepLines/>
              <w:spacing w:after="40"/>
              <w:rPr>
                <w:i/>
                <w:noProof/>
              </w:rPr>
            </w:pPr>
            <w:r>
              <w:rPr>
                <w:i/>
              </w:rPr>
              <w:t>Legal Profession Uniform Law Application Act 2022</w:t>
            </w:r>
            <w:r>
              <w:t xml:space="preserve"> s. 424</w:t>
            </w:r>
          </w:p>
        </w:tc>
        <w:tc>
          <w:tcPr>
            <w:tcW w:w="1134" w:type="dxa"/>
            <w:gridSpan w:val="2"/>
            <w:tcBorders>
              <w:top w:val="nil"/>
              <w:bottom w:val="single" w:sz="4" w:space="0" w:color="auto"/>
            </w:tcBorders>
          </w:tcPr>
          <w:p>
            <w:pPr>
              <w:pStyle w:val="nTable"/>
              <w:keepLines/>
              <w:spacing w:after="40"/>
            </w:pPr>
            <w:r>
              <w:t>9 of 2022</w:t>
            </w:r>
          </w:p>
        </w:tc>
        <w:tc>
          <w:tcPr>
            <w:tcW w:w="1134" w:type="dxa"/>
            <w:gridSpan w:val="2"/>
            <w:tcBorders>
              <w:top w:val="nil"/>
              <w:bottom w:val="single" w:sz="4" w:space="0" w:color="auto"/>
            </w:tcBorders>
          </w:tcPr>
          <w:p>
            <w:pPr>
              <w:pStyle w:val="nTable"/>
              <w:keepLines/>
              <w:spacing w:after="40"/>
            </w:pPr>
            <w:r>
              <w:t>14 Apr 2022</w:t>
            </w:r>
          </w:p>
        </w:tc>
        <w:tc>
          <w:tcPr>
            <w:tcW w:w="2582" w:type="dxa"/>
            <w:gridSpan w:val="2"/>
            <w:tcBorders>
              <w:top w:val="nil"/>
              <w:bottom w:val="single" w:sz="4" w:space="0" w:color="auto"/>
            </w:tcBorders>
          </w:tcPr>
          <w:p>
            <w:pPr>
              <w:pStyle w:val="nTable"/>
              <w:keepNext/>
              <w:keepLines/>
              <w:spacing w:after="40"/>
            </w:pPr>
            <w:r>
              <w:rPr>
                <w:snapToGrid w:val="0"/>
              </w:rPr>
              <w:t>1 Jul 2022 (see s. 2(c) and SL 2022/113 cl. 2)</w:t>
            </w:r>
          </w:p>
        </w:tc>
      </w:tr>
    </w:tbl>
    <w:p>
      <w:pPr>
        <w:pStyle w:val="nHeading3"/>
      </w:pPr>
      <w:bookmarkStart w:id="267" w:name="_Toc164757425"/>
      <w:r>
        <w:t>Uncommenced provisions table</w:t>
      </w:r>
      <w:bookmarkEnd w:id="26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48" w:type="dxa"/>
          </w:tcPr>
          <w:p>
            <w:pPr>
              <w:pStyle w:val="nTable"/>
              <w:spacing w:after="40"/>
              <w:rPr>
                <w:b/>
              </w:rPr>
            </w:pPr>
            <w:r>
              <w:rPr>
                <w:b/>
              </w:rPr>
              <w:t>Assent</w:t>
            </w:r>
          </w:p>
        </w:tc>
        <w:tc>
          <w:tcPr>
            <w:tcW w:w="2438" w:type="dxa"/>
          </w:tcPr>
          <w:p>
            <w:pPr>
              <w:pStyle w:val="nTable"/>
              <w:spacing w:after="40"/>
              <w:rPr>
                <w:b/>
              </w:rPr>
            </w:pPr>
            <w:r>
              <w:rPr>
                <w:b/>
              </w:rPr>
              <w:t>Commencement</w:t>
            </w:r>
          </w:p>
        </w:tc>
      </w:tr>
      <w:tr>
        <w:tc>
          <w:tcPr>
            <w:tcW w:w="2268" w:type="dxa"/>
          </w:tcPr>
          <w:p>
            <w:pPr>
              <w:pStyle w:val="nTable"/>
              <w:spacing w:after="40"/>
            </w:pPr>
            <w:r>
              <w:rPr>
                <w:i/>
                <w:iCs/>
              </w:rPr>
              <w:t>Residential Tenancies Amendment Act 2024</w:t>
            </w:r>
            <w:r>
              <w:t xml:space="preserve"> Pt. 2</w:t>
            </w:r>
          </w:p>
        </w:tc>
        <w:tc>
          <w:tcPr>
            <w:tcW w:w="1134" w:type="dxa"/>
          </w:tcPr>
          <w:p>
            <w:pPr>
              <w:pStyle w:val="nTable"/>
              <w:spacing w:after="40"/>
            </w:pPr>
            <w:r>
              <w:t>11 of 2024</w:t>
            </w:r>
          </w:p>
        </w:tc>
        <w:tc>
          <w:tcPr>
            <w:tcW w:w="1248" w:type="dxa"/>
          </w:tcPr>
          <w:p>
            <w:pPr>
              <w:pStyle w:val="nTable"/>
              <w:spacing w:after="40"/>
            </w:pPr>
            <w:r>
              <w:t>22 Apr 2024</w:t>
            </w:r>
          </w:p>
        </w:tc>
        <w:tc>
          <w:tcPr>
            <w:tcW w:w="2438" w:type="dxa"/>
          </w:tcPr>
          <w:p>
            <w:pPr>
              <w:pStyle w:val="nTable"/>
              <w:spacing w:after="40"/>
            </w:pPr>
            <w:r>
              <w:t>To be proclaimed (see s. 2(b))</w:t>
            </w:r>
          </w:p>
        </w:tc>
      </w:tr>
    </w:tbl>
    <w:p>
      <w:pPr>
        <w:pStyle w:val="nHeading3"/>
      </w:pPr>
      <w:bookmarkStart w:id="268" w:name="_Toc164757426"/>
      <w:r>
        <w:lastRenderedPageBreak/>
        <w:t>Other notes</w:t>
      </w:r>
      <w:bookmarkEnd w:id="268"/>
    </w:p>
    <w:p>
      <w:pPr>
        <w:pStyle w:val="nNote"/>
        <w:rPr>
          <w:snapToGrid w:val="0"/>
        </w:rPr>
      </w:pPr>
      <w:r>
        <w:rPr>
          <w:snapToGrid w:val="0"/>
          <w:vertAlign w:val="superscript"/>
        </w:rPr>
        <w:t>1</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Note"/>
        <w:keepNext/>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Note"/>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Note"/>
      </w:pPr>
      <w:r>
        <w:rPr>
          <w:vertAlign w:val="superscript"/>
        </w:rPr>
        <w:t>5</w:t>
      </w:r>
      <w:r>
        <w:tab/>
        <w:t xml:space="preserve">The </w:t>
      </w:r>
      <w:r>
        <w:rPr>
          <w:i/>
        </w:rPr>
        <w:t>Taxation Administration (Consequential Provisions) Act 2002</w:t>
      </w:r>
      <w:r>
        <w:t xml:space="preserve"> s. 3 and 4 and Pt. 4 are transitional provisions that are of no further effect.</w:t>
      </w:r>
    </w:p>
    <w:p>
      <w:pPr>
        <w:pStyle w:val="nNote"/>
      </w:pPr>
      <w:r>
        <w:rPr>
          <w:vertAlign w:val="superscript"/>
        </w:rPr>
        <w:t>6</w:t>
      </w:r>
      <w:r>
        <w:tab/>
        <w:t xml:space="preserve">The </w:t>
      </w:r>
      <w:r>
        <w:rPr>
          <w:i/>
        </w:rPr>
        <w:t>Machinery of Government (Miscellaneous Amendments) Act 2006</w:t>
      </w:r>
      <w:r>
        <w:t xml:space="preserve"> Pt. 4 Div. 23 is a transitional provision that is of no further effect.</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270" w:name="_Toc164681733"/>
      <w:bookmarkStart w:id="271" w:name="_Toc164681936"/>
      <w:bookmarkStart w:id="272" w:name="_Toc164757427"/>
      <w:r>
        <w:rPr>
          <w:sz w:val="28"/>
        </w:rPr>
        <w:lastRenderedPageBreak/>
        <w:t>Defined terms</w:t>
      </w:r>
      <w:bookmarkEnd w:id="270"/>
      <w:bookmarkEnd w:id="271"/>
      <w:bookmarkEnd w:id="2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AFI</w:t>
      </w:r>
      <w:r>
        <w:tab/>
        <w:t>92</w:t>
      </w:r>
    </w:p>
    <w:p>
      <w:pPr>
        <w:pStyle w:val="DefinedTerms"/>
      </w:pPr>
      <w:r>
        <w:t>agent</w:t>
      </w:r>
      <w:r>
        <w:tab/>
        <w:t>22(6), 82A</w:t>
      </w:r>
    </w:p>
    <w:p>
      <w:pPr>
        <w:pStyle w:val="DefinedTerms"/>
      </w:pPr>
      <w:r>
        <w:t>agreement</w:t>
      </w:r>
      <w:r>
        <w:tab/>
        <w:t>70A(1), 71D(1), 72(1A)</w:t>
      </w:r>
    </w:p>
    <w:p>
      <w:pPr>
        <w:pStyle w:val="DefinedTerms"/>
      </w:pPr>
      <w:r>
        <w:t>applicant</w:t>
      </w:r>
      <w:r>
        <w:tab/>
        <w:t>82C(1), 82D(1)</w:t>
      </w:r>
    </w:p>
    <w:p>
      <w:pPr>
        <w:pStyle w:val="DefinedTerms"/>
      </w:pPr>
      <w:r>
        <w:t>authorised agent</w:t>
      </w:r>
      <w:r>
        <w:tab/>
        <w:t>Sch. 1 cl. 1</w:t>
      </w:r>
    </w:p>
    <w:p>
      <w:pPr>
        <w:pStyle w:val="DefinedTerms"/>
      </w:pPr>
      <w:r>
        <w:t>authorised financial institution</w:t>
      </w:r>
      <w:r>
        <w:tab/>
        <w:t>92</w:t>
      </w:r>
    </w:p>
    <w:p>
      <w:pPr>
        <w:pStyle w:val="DefinedTerms"/>
      </w:pPr>
      <w:r>
        <w:t>authorised person</w:t>
      </w:r>
      <w:r>
        <w:tab/>
        <w:t>88A(1)</w:t>
      </w:r>
    </w:p>
    <w:p>
      <w:pPr>
        <w:pStyle w:val="DefinedTerms"/>
      </w:pPr>
      <w:r>
        <w:t>bond</w:t>
      </w:r>
      <w:r>
        <w:tab/>
        <w:t>3</w:t>
      </w:r>
    </w:p>
    <w:p>
      <w:pPr>
        <w:pStyle w:val="DefinedTerms"/>
      </w:pPr>
      <w:r>
        <w:t>bond administrator</w:t>
      </w:r>
      <w:r>
        <w:tab/>
        <w:t>3</w:t>
      </w:r>
    </w:p>
    <w:p>
      <w:pPr>
        <w:pStyle w:val="DefinedTerms"/>
      </w:pPr>
      <w:r>
        <w:t>commencement day</w:t>
      </w:r>
      <w:r>
        <w:tab/>
        <w:t>91(1), 92, 97(1), 98(1)</w:t>
      </w:r>
    </w:p>
    <w:p>
      <w:pPr>
        <w:pStyle w:val="DefinedTerms"/>
      </w:pPr>
      <w:r>
        <w:t>Commissioner</w:t>
      </w:r>
      <w:r>
        <w:tab/>
        <w:t>3</w:t>
      </w:r>
    </w:p>
    <w:p>
      <w:pPr>
        <w:pStyle w:val="DefinedTerms"/>
      </w:pPr>
      <w:r>
        <w:t>common area</w:t>
      </w:r>
      <w:r>
        <w:tab/>
        <w:t>3</w:t>
      </w:r>
    </w:p>
    <w:p>
      <w:pPr>
        <w:pStyle w:val="DefinedTerms"/>
      </w:pPr>
      <w:r>
        <w:t>competent court</w:t>
      </w:r>
      <w:r>
        <w:tab/>
        <w:t>3</w:t>
      </w:r>
    </w:p>
    <w:p>
      <w:pPr>
        <w:pStyle w:val="DefinedTerms"/>
      </w:pPr>
      <w:r>
        <w:t>consumption</w:t>
      </w:r>
      <w:r>
        <w:tab/>
        <w:t>49A(1)</w:t>
      </w:r>
    </w:p>
    <w:p>
      <w:pPr>
        <w:pStyle w:val="DefinedTerms"/>
      </w:pPr>
      <w:r>
        <w:t>co</w:t>
      </w:r>
      <w:r>
        <w:noBreakHyphen/>
        <w:t>tenant</w:t>
      </w:r>
      <w:r>
        <w:tab/>
        <w:t>71AD(1)</w:t>
      </w:r>
    </w:p>
    <w:p>
      <w:pPr>
        <w:pStyle w:val="DefinedTerms"/>
      </w:pPr>
      <w:r>
        <w:t>criteria</w:t>
      </w:r>
      <w:r>
        <w:tab/>
        <w:t>71A</w:t>
      </w:r>
    </w:p>
    <w:p>
      <w:pPr>
        <w:pStyle w:val="DefinedTerms"/>
      </w:pPr>
      <w:r>
        <w:t>database</w:t>
      </w:r>
      <w:r>
        <w:tab/>
        <w:t>82A</w:t>
      </w:r>
    </w:p>
    <w:p>
      <w:pPr>
        <w:pStyle w:val="DefinedTerms"/>
      </w:pPr>
      <w:r>
        <w:t>database operator</w:t>
      </w:r>
      <w:r>
        <w:tab/>
        <w:t>82A</w:t>
      </w:r>
    </w:p>
    <w:p>
      <w:pPr>
        <w:pStyle w:val="DefinedTerms"/>
      </w:pPr>
      <w:r>
        <w:t>Department</w:t>
      </w:r>
      <w:r>
        <w:tab/>
        <w:t>3</w:t>
      </w:r>
    </w:p>
    <w:p>
      <w:pPr>
        <w:pStyle w:val="DefinedTerms"/>
      </w:pPr>
      <w:r>
        <w:t>disability</w:t>
      </w:r>
      <w:r>
        <w:tab/>
        <w:t>47(1A)</w:t>
      </w:r>
    </w:p>
    <w:p>
      <w:pPr>
        <w:pStyle w:val="DefinedTerms"/>
      </w:pPr>
      <w:r>
        <w:t>DVO</w:t>
      </w:r>
      <w:r>
        <w:tab/>
        <w:t>71AA</w:t>
      </w:r>
    </w:p>
    <w:p>
      <w:pPr>
        <w:pStyle w:val="DefinedTerms"/>
      </w:pPr>
      <w:r>
        <w:t>excluded tenant</w:t>
      </w:r>
      <w:r>
        <w:tab/>
        <w:t>71AE(1)</w:t>
      </w:r>
    </w:p>
    <w:p>
      <w:pPr>
        <w:pStyle w:val="DefinedTerms"/>
      </w:pPr>
      <w:r>
        <w:t>executive officer</w:t>
      </w:r>
      <w:r>
        <w:tab/>
        <w:t>7A(3)</w:t>
      </w:r>
    </w:p>
    <w:p>
      <w:pPr>
        <w:pStyle w:val="DefinedTerms"/>
      </w:pPr>
      <w:r>
        <w:t>existing agreement</w:t>
      </w:r>
      <w:r>
        <w:tab/>
        <w:t>71H</w:t>
      </w:r>
    </w:p>
    <w:p>
      <w:pPr>
        <w:pStyle w:val="DefinedTerms"/>
      </w:pPr>
      <w:r>
        <w:t>expiry day</w:t>
      </w:r>
      <w:r>
        <w:tab/>
        <w:t>3</w:t>
      </w:r>
    </w:p>
    <w:p>
      <w:pPr>
        <w:pStyle w:val="DefinedTerms"/>
      </w:pPr>
      <w:r>
        <w:t>Family Court injunction</w:t>
      </w:r>
      <w:r>
        <w:tab/>
        <w:t>71AA</w:t>
      </w:r>
    </w:p>
    <w:p>
      <w:pPr>
        <w:pStyle w:val="DefinedTerms"/>
      </w:pPr>
      <w:r>
        <w:t>family violence</w:t>
      </w:r>
      <w:r>
        <w:tab/>
        <w:t>3</w:t>
      </w:r>
    </w:p>
    <w:p>
      <w:pPr>
        <w:pStyle w:val="DefinedTerms"/>
      </w:pPr>
      <w:r>
        <w:t>family violence order</w:t>
      </w:r>
      <w:r>
        <w:tab/>
        <w:t>71AE(1)</w:t>
      </w:r>
    </w:p>
    <w:p>
      <w:pPr>
        <w:pStyle w:val="DefinedTerms"/>
      </w:pPr>
      <w:r>
        <w:t>first tenant</w:t>
      </w:r>
      <w:r>
        <w:tab/>
        <w:t>17A(1)</w:t>
      </w:r>
    </w:p>
    <w:p>
      <w:pPr>
        <w:pStyle w:val="DefinedTerms"/>
      </w:pPr>
      <w:r>
        <w:t>former agreement</w:t>
      </w:r>
      <w:r>
        <w:tab/>
        <w:t>31B(1)</w:t>
      </w:r>
    </w:p>
    <w:p>
      <w:pPr>
        <w:pStyle w:val="DefinedTerms"/>
      </w:pPr>
      <w:r>
        <w:t>goods</w:t>
      </w:r>
      <w:r>
        <w:tab/>
        <w:t>79(1A)</w:t>
      </w:r>
    </w:p>
    <w:p>
      <w:pPr>
        <w:pStyle w:val="DefinedTerms"/>
      </w:pPr>
      <w:r>
        <w:t>GST</w:t>
      </w:r>
      <w:r>
        <w:tab/>
        <w:t>49A(1)</w:t>
      </w:r>
    </w:p>
    <w:p>
      <w:pPr>
        <w:pStyle w:val="DefinedTerms"/>
      </w:pPr>
      <w:r>
        <w:t>Housing Authority</w:t>
      </w:r>
      <w:r>
        <w:tab/>
        <w:t>71A</w:t>
      </w:r>
    </w:p>
    <w:p>
      <w:pPr>
        <w:pStyle w:val="DefinedTerms"/>
      </w:pPr>
      <w:r>
        <w:t>inaccurate</w:t>
      </w:r>
      <w:r>
        <w:tab/>
        <w:t>82A</w:t>
      </w:r>
    </w:p>
    <w:p>
      <w:pPr>
        <w:pStyle w:val="DefinedTerms"/>
      </w:pPr>
      <w:r>
        <w:t>information</w:t>
      </w:r>
      <w:r>
        <w:tab/>
        <w:t>11A(3)</w:t>
      </w:r>
    </w:p>
    <w:p>
      <w:pPr>
        <w:pStyle w:val="DefinedTerms"/>
      </w:pPr>
      <w:r>
        <w:t>legally qualified person</w:t>
      </w:r>
      <w:r>
        <w:tab/>
        <w:t>22(6)</w:t>
      </w:r>
    </w:p>
    <w:p>
      <w:pPr>
        <w:pStyle w:val="DefinedTerms"/>
      </w:pPr>
      <w:r>
        <w:t>lessor</w:t>
      </w:r>
      <w:r>
        <w:tab/>
        <w:t>3, 46(1)</w:t>
      </w:r>
    </w:p>
    <w:p>
      <w:pPr>
        <w:pStyle w:val="DefinedTerms"/>
      </w:pPr>
      <w:r>
        <w:t>list</w:t>
      </w:r>
      <w:r>
        <w:tab/>
        <w:t>82A</w:t>
      </w:r>
    </w:p>
    <w:p>
      <w:pPr>
        <w:pStyle w:val="DefinedTerms"/>
      </w:pPr>
      <w:r>
        <w:t>Minister for Housing</w:t>
      </w:r>
      <w:r>
        <w:tab/>
        <w:t>71A</w:t>
      </w:r>
    </w:p>
    <w:p>
      <w:pPr>
        <w:pStyle w:val="DefinedTerms"/>
      </w:pPr>
      <w:r>
        <w:lastRenderedPageBreak/>
        <w:t>minor</w:t>
      </w:r>
      <w:r>
        <w:tab/>
        <w:t>59A(1)</w:t>
      </w:r>
    </w:p>
    <w:p>
      <w:pPr>
        <w:pStyle w:val="DefinedTerms"/>
      </w:pPr>
      <w:r>
        <w:t>national privacy principles</w:t>
      </w:r>
      <w:r>
        <w:tab/>
        <w:t>82K(1)</w:t>
      </w:r>
    </w:p>
    <w:p>
      <w:pPr>
        <w:pStyle w:val="DefinedTerms"/>
      </w:pPr>
      <w:r>
        <w:t>new agreement</w:t>
      </w:r>
      <w:r>
        <w:tab/>
        <w:t>31B(1)</w:t>
      </w:r>
    </w:p>
    <w:p>
      <w:pPr>
        <w:pStyle w:val="DefinedTerms"/>
      </w:pPr>
      <w:r>
        <w:t>notice</w:t>
      </w:r>
      <w:r>
        <w:tab/>
        <w:t>46(1), 70A(1)</w:t>
      </w:r>
    </w:p>
    <w:p>
      <w:pPr>
        <w:pStyle w:val="DefinedTerms"/>
      </w:pPr>
      <w:r>
        <w:t>notice to vacate</w:t>
      </w:r>
      <w:r>
        <w:tab/>
        <w:t>81A(1)</w:t>
      </w:r>
    </w:p>
    <w:p>
      <w:pPr>
        <w:pStyle w:val="DefinedTerms"/>
      </w:pPr>
      <w:r>
        <w:t>out</w:t>
      </w:r>
      <w:r>
        <w:noBreakHyphen/>
        <w:t>of</w:t>
      </w:r>
      <w:r>
        <w:noBreakHyphen/>
        <w:t>date</w:t>
      </w:r>
      <w:r>
        <w:tab/>
        <w:t>82A</w:t>
      </w:r>
    </w:p>
    <w:p>
      <w:pPr>
        <w:pStyle w:val="DefinedTerms"/>
      </w:pPr>
      <w:r>
        <w:t>party</w:t>
      </w:r>
      <w:r>
        <w:tab/>
        <w:t>9(1A)</w:t>
      </w:r>
    </w:p>
    <w:p>
      <w:pPr>
        <w:pStyle w:val="DefinedTerms"/>
      </w:pPr>
      <w:r>
        <w:t>personal information</w:t>
      </w:r>
      <w:r>
        <w:tab/>
        <w:t>82A</w:t>
      </w:r>
    </w:p>
    <w:p>
      <w:pPr>
        <w:pStyle w:val="DefinedTerms"/>
      </w:pPr>
      <w:r>
        <w:t>pet</w:t>
      </w:r>
      <w:r>
        <w:tab/>
        <w:t>29(1A)</w:t>
      </w:r>
    </w:p>
    <w:p>
      <w:pPr>
        <w:pStyle w:val="DefinedTerms"/>
      </w:pPr>
      <w:r>
        <w:t>plaintiff</w:t>
      </w:r>
      <w:r>
        <w:tab/>
        <w:t>81B(1), 81(1)</w:t>
      </w:r>
    </w:p>
    <w:p>
      <w:pPr>
        <w:pStyle w:val="DefinedTerms"/>
      </w:pPr>
      <w:r>
        <w:t>possession day</w:t>
      </w:r>
      <w:r>
        <w:tab/>
        <w:t>70A(1), 72(1A)</w:t>
      </w:r>
    </w:p>
    <w:p>
      <w:pPr>
        <w:pStyle w:val="DefinedTerms"/>
      </w:pPr>
      <w:r>
        <w:t>premises</w:t>
      </w:r>
      <w:r>
        <w:tab/>
        <w:t>3, 38(2), 40(1), 42(1), 44(1), 46(1), 71AA</w:t>
      </w:r>
    </w:p>
    <w:p>
      <w:pPr>
        <w:pStyle w:val="DefinedTerms"/>
      </w:pPr>
      <w:r>
        <w:t>prescribed</w:t>
      </w:r>
      <w:r>
        <w:tab/>
        <w:t>3</w:t>
      </w:r>
    </w:p>
    <w:p>
      <w:pPr>
        <w:pStyle w:val="DefinedTerms"/>
      </w:pPr>
      <w:r>
        <w:t>prescribed alterations</w:t>
      </w:r>
      <w:r>
        <w:tab/>
        <w:t>47(4)</w:t>
      </w:r>
    </w:p>
    <w:p>
      <w:pPr>
        <w:pStyle w:val="DefinedTerms"/>
      </w:pPr>
      <w:r>
        <w:t>prescribed amount</w:t>
      </w:r>
      <w:r>
        <w:tab/>
        <w:t>12</w:t>
      </w:r>
    </w:p>
    <w:p>
      <w:pPr>
        <w:pStyle w:val="DefinedTerms"/>
      </w:pPr>
      <w:r>
        <w:t>prescribed dispute</w:t>
      </w:r>
      <w:r>
        <w:tab/>
        <w:t>12</w:t>
      </w:r>
    </w:p>
    <w:p>
      <w:pPr>
        <w:pStyle w:val="DefinedTerms"/>
      </w:pPr>
      <w:r>
        <w:t>prescribed period</w:t>
      </w:r>
      <w:r>
        <w:tab/>
        <w:t>43(1)</w:t>
      </w:r>
    </w:p>
    <w:p>
      <w:pPr>
        <w:pStyle w:val="DefinedTerms"/>
      </w:pPr>
      <w:r>
        <w:t>proceedings</w:t>
      </w:r>
      <w:r>
        <w:tab/>
        <w:t>22(1A)</w:t>
      </w:r>
    </w:p>
    <w:p>
      <w:pPr>
        <w:pStyle w:val="DefinedTerms"/>
      </w:pPr>
      <w:r>
        <w:t>property manager</w:t>
      </w:r>
      <w:r>
        <w:tab/>
        <w:t>3</w:t>
      </w:r>
    </w:p>
    <w:p>
      <w:pPr>
        <w:pStyle w:val="DefinedTerms"/>
      </w:pPr>
      <w:r>
        <w:t>protected tenant</w:t>
      </w:r>
      <w:r>
        <w:tab/>
        <w:t>71AE(1)</w:t>
      </w:r>
    </w:p>
    <w:p>
      <w:pPr>
        <w:pStyle w:val="DefinedTerms"/>
      </w:pPr>
      <w:r>
        <w:t>public utility services</w:t>
      </w:r>
      <w:r>
        <w:tab/>
        <w:t>49A(1), 98(1)</w:t>
      </w:r>
    </w:p>
    <w:p>
      <w:pPr>
        <w:pStyle w:val="DefinedTerms"/>
      </w:pPr>
      <w:r>
        <w:t>reasonable grounds</w:t>
      </w:r>
      <w:r>
        <w:tab/>
        <w:t>3</w:t>
      </w:r>
    </w:p>
    <w:p>
      <w:pPr>
        <w:pStyle w:val="DefinedTerms"/>
      </w:pPr>
      <w:r>
        <w:t>reasonable time</w:t>
      </w:r>
      <w:r>
        <w:tab/>
        <w:t>46(1)</w:t>
      </w:r>
    </w:p>
    <w:p>
      <w:pPr>
        <w:pStyle w:val="DefinedTerms"/>
      </w:pPr>
      <w:r>
        <w:t>rent</w:t>
      </w:r>
      <w:r>
        <w:tab/>
        <w:t>3</w:t>
      </w:r>
    </w:p>
    <w:p>
      <w:pPr>
        <w:pStyle w:val="DefinedTerms"/>
      </w:pPr>
      <w:r>
        <w:t>Rental Accommodation Account</w:t>
      </w:r>
      <w:r>
        <w:tab/>
        <w:t>3</w:t>
      </w:r>
    </w:p>
    <w:p>
      <w:pPr>
        <w:pStyle w:val="DefinedTerms"/>
      </w:pPr>
      <w:r>
        <w:t>residential premises</w:t>
      </w:r>
      <w:r>
        <w:tab/>
        <w:t>3, 82A</w:t>
      </w:r>
    </w:p>
    <w:p>
      <w:pPr>
        <w:pStyle w:val="DefinedTerms"/>
      </w:pPr>
      <w:r>
        <w:t>residential tenancy agreement</w:t>
      </w:r>
      <w:r>
        <w:tab/>
        <w:t>3, 82A</w:t>
      </w:r>
    </w:p>
    <w:p>
      <w:pPr>
        <w:pStyle w:val="DefinedTerms"/>
      </w:pPr>
      <w:r>
        <w:t>residential tenancy database</w:t>
      </w:r>
      <w:r>
        <w:tab/>
        <w:t>82A</w:t>
      </w:r>
    </w:p>
    <w:p>
      <w:pPr>
        <w:pStyle w:val="DefinedTerms"/>
      </w:pPr>
      <w:r>
        <w:t>security bond</w:t>
      </w:r>
      <w:r>
        <w:tab/>
        <w:t>3, 29(1A)</w:t>
      </w:r>
    </w:p>
    <w:p>
      <w:pPr>
        <w:pStyle w:val="DefinedTerms"/>
      </w:pPr>
      <w:r>
        <w:t>security bond held in an AFI</w:t>
      </w:r>
      <w:r>
        <w:tab/>
        <w:t>92</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specified date</w:t>
      </w:r>
      <w:r>
        <w:tab/>
        <w:t>81A(1)</w:t>
      </w:r>
    </w:p>
    <w:p>
      <w:pPr>
        <w:pStyle w:val="DefinedTerms"/>
      </w:pPr>
      <w:r>
        <w:t>strata company</w:t>
      </w:r>
      <w:r>
        <w:tab/>
        <w:t>49A(1)</w:t>
      </w:r>
    </w:p>
    <w:p>
      <w:pPr>
        <w:pStyle w:val="DefinedTerms"/>
      </w:pPr>
      <w:r>
        <w:t>suitable repairer</w:t>
      </w:r>
      <w:r>
        <w:tab/>
        <w:t>43(1)</w:t>
      </w:r>
    </w:p>
    <w:p>
      <w:pPr>
        <w:pStyle w:val="DefinedTerms"/>
      </w:pPr>
      <w:r>
        <w:t>tenancy</w:t>
      </w:r>
      <w:r>
        <w:tab/>
        <w:t>3</w:t>
      </w:r>
    </w:p>
    <w:p>
      <w:pPr>
        <w:pStyle w:val="DefinedTerms"/>
      </w:pPr>
      <w:r>
        <w:t>tenancy period</w:t>
      </w:r>
      <w:r>
        <w:tab/>
        <w:t>3</w:t>
      </w:r>
    </w:p>
    <w:p>
      <w:pPr>
        <w:pStyle w:val="DefinedTerms"/>
      </w:pPr>
      <w:r>
        <w:t>tenant</w:t>
      </w:r>
      <w:r>
        <w:tab/>
        <w:t>3, 82A</w:t>
      </w:r>
    </w:p>
    <w:p>
      <w:pPr>
        <w:pStyle w:val="DefinedTerms"/>
      </w:pPr>
      <w:r>
        <w:t>tenant compensation bond</w:t>
      </w:r>
      <w:r>
        <w:tab/>
        <w:t>3</w:t>
      </w:r>
    </w:p>
    <w:p>
      <w:pPr>
        <w:pStyle w:val="DefinedTerms"/>
      </w:pPr>
      <w:r>
        <w:t>tenant compensation order</w:t>
      </w:r>
      <w:r>
        <w:tab/>
        <w:t>59D(1)</w:t>
      </w:r>
    </w:p>
    <w:p>
      <w:pPr>
        <w:pStyle w:val="DefinedTerms"/>
      </w:pPr>
      <w:r>
        <w:t>tenant’s document</w:t>
      </w:r>
      <w:r>
        <w:tab/>
        <w:t>80A(1)</w:t>
      </w:r>
    </w:p>
    <w:p>
      <w:pPr>
        <w:pStyle w:val="DefinedTerms"/>
      </w:pPr>
      <w:r>
        <w:t>terminating tenant</w:t>
      </w:r>
      <w:r>
        <w:tab/>
        <w:t>71AC(1)</w:t>
      </w:r>
    </w:p>
    <w:p>
      <w:pPr>
        <w:pStyle w:val="DefinedTerms"/>
      </w:pPr>
      <w:r>
        <w:lastRenderedPageBreak/>
        <w:t>urgent repairs</w:t>
      </w:r>
      <w:r>
        <w:tab/>
        <w:t>43(1)</w:t>
      </w:r>
      <w:r>
        <w:br/>
      </w:r>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rPr>
          <w:rFonts w:ascii="Arial" w:hAnsi="Arial" w:cs="Arial"/>
          <w:szCs w:val="24"/>
        </w:rPr>
      </w:pPr>
      <w:r>
        <w:rPr>
          <w:rFonts w:ascii="Arial" w:hAnsi="Arial" w:cs="Arial"/>
          <w:noProof/>
          <w:szCs w:val="24"/>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46B8D1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D6262CD" w14:textId="5D4AB4B0" w:rsidR="00C477D1" w:rsidRDefault="00E1272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F56F7">
                        <w:rPr>
                          <w:sz w:val="16"/>
                        </w:rPr>
                        <w:t>2024</w:t>
                      </w:r>
                      <w:r>
                        <w:rPr>
                          <w:sz w:val="16"/>
                        </w:rPr>
                        <w:fldChar w:fldCharType="end"/>
                      </w:r>
                      <w:r>
                        <w:rPr>
                          <w:sz w:val="16"/>
                        </w:rPr>
                        <w:t>.</w:t>
                      </w:r>
                    </w:p>
                    <w:p w14:paraId="0275226D" w14:textId="77777777" w:rsidR="00C477D1" w:rsidRDefault="00E1272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2B65BCE" w14:textId="2923B4DE" w:rsidR="00C477D1" w:rsidRDefault="00E1272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F56F7">
                        <w:rPr>
                          <w:sz w:val="16"/>
                        </w:rPr>
                        <w:t>2024</w:t>
                      </w:r>
                      <w:r>
                        <w:rPr>
                          <w:sz w:val="16"/>
                        </w:rPr>
                        <w:fldChar w:fldCharType="end"/>
                      </w:r>
                      <w:r>
                        <w:rPr>
                          <w:sz w:val="16"/>
                        </w:rPr>
                        <w:t>.</w:t>
                      </w:r>
                    </w:p>
                    <w:p w14:paraId="08ECCE20" w14:textId="77777777" w:rsidR="00C477D1" w:rsidRDefault="00E1272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2" w:name="Schedule"/>
    <w:bookmarkEnd w:id="2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9" w:name="Compilation"/>
    <w:bookmarkEnd w:id="26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3" w:name="DefinedTerms"/>
    <w:bookmarkEnd w:id="27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4" w:name="Coversheet"/>
    <w:bookmarkEnd w:id="2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23"/>
  </w:num>
  <w:num w:numId="26">
    <w:abstractNumId w:val="11"/>
  </w:num>
  <w:num w:numId="27">
    <w:abstractNumId w:val="12"/>
  </w:num>
  <w:num w:numId="28">
    <w:abstractNumId w:val="22"/>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2122209"/>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 w:name="WAFER_20191128100250" w:val="ConvertStyles"/>
    <w:docVar w:name="WAFER_20191128100250_GUID" w:val="6dc124b6-7224-4fde-a182-0963952e9f7b"/>
    <w:docVar w:name="WAFER_20191219152003" w:val="RemoveTocBookmarks,RemoveUnusedBookmarks,RemoveLanguageTags,ResetPageSize,RunningHeaders,UpdateStyles,UsedStyles"/>
    <w:docVar w:name="WAFER_20191219152003_GUID" w:val="59eace5f-3d5b-47a9-8fcb-6fa60cbaa3b2"/>
    <w:docVar w:name="WAFER_202002101617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715_GUID" w:val="a0f843cc-39c4-4383-ae9c-ce2895f79857"/>
    <w:docVar w:name="WAFER_20200417085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503_GUID" w:val="a9292c5d-0871-444f-bba1-ed764abbf7b4"/>
    <w:docVar w:name="WAFER_20200710090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727_GUID" w:val="4cfec290-c514-4e18-a405-e263513d000e"/>
    <w:docVar w:name="WAFER_20210615132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08_GUID" w:val="0ed3849a-8df9-4be9-b0b5-ad739e1dab4f"/>
    <w:docVar w:name="WAFER_202106231201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152_GUID" w:val="a24fb2fc-4cdd-486d-8a7f-d86ce6a73a8e"/>
    <w:docVar w:name="WAFER_20210623120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214_GUID" w:val="86d21f55-5697-4677-af7b-5985647a374b"/>
    <w:docVar w:name="WAFER_20211130163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3612_GUID" w:val="32a7de37-779c-4dce-8a07-1fb2f70b0182"/>
    <w:docVar w:name="WAFER_20220124103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03919_GUID" w:val="1c01a689-e8be-4f60-9e3e-93b2b4cf221b"/>
    <w:docVar w:name="WAFER_202204081441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11_GUID" w:val="b86e1f85-03a5-45fa-a458-12c96bc2c546"/>
    <w:docVar w:name="WAFER_20240422122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2122209_GUID" w:val="22975788-c23f-4574-9d91-43d93188f4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E6FED-7E99-414D-9728-BED23C34C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42999</Words>
  <Characters>202526</Characters>
  <Application>Microsoft Office Word</Application>
  <DocSecurity>0</DocSecurity>
  <Lines>5329</Lines>
  <Paragraphs>2922</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242603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1987 - 06-q0-00</dc:title>
  <dc:subject/>
  <dc:creator/>
  <cp:keywords/>
  <dc:description/>
  <cp:lastModifiedBy>Master Repository Process</cp:lastModifiedBy>
  <cp:revision>4</cp:revision>
  <cp:lastPrinted>2019-04-15T08:42:00Z</cp:lastPrinted>
  <dcterms:created xsi:type="dcterms:W3CDTF">2025-05-30T03:38:00Z</dcterms:created>
  <dcterms:modified xsi:type="dcterms:W3CDTF">2025-05-30T03:38:00Z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AsAtDate">
    <vt:lpwstr>22 Apr 2024</vt:lpwstr>
  </property>
  <property fmtid="{D5CDD505-2E9C-101B-9397-08002B2CF9AE}" pid="8" name="Suffix">
    <vt:lpwstr>06-q0-00</vt:lpwstr>
  </property>
  <property fmtid="{D5CDD505-2E9C-101B-9397-08002B2CF9AE}" pid="9" name="Official">
    <vt:lpwstr/>
  </property>
  <property fmtid="{D5CDD505-2E9C-101B-9397-08002B2CF9AE}" pid="10" name="CommencementDate">
    <vt:lpwstr>20240422</vt:lpwstr>
  </property>
  <property fmtid="{D5CDD505-2E9C-101B-9397-08002B2CF9AE}" pid="11" name="CommencementAsAt">
    <vt:filetime>2024-04-21T16:00:00Z</vt:filetime>
  </property>
  <property fmtid="{D5CDD505-2E9C-101B-9397-08002B2CF9AE}" pid="12" name="CommencementYear">
    <vt:lpwstr>2024</vt:lpwstr>
  </property>
</Properties>
</file>