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rPr>
          <w:noProof/>
        </w:rPr>
        <w:br/>
        <w:t>Shipping and Pilotage Act 1967</w:t>
      </w:r>
      <w:r>
        <w:rPr>
          <w:noProof/>
        </w:rPr>
        <w:br/>
        <w:t>Western Australian Marine Act 1982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Navigable Waters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_Toc165037687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_Toc165037688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_Toc165037689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47C amended</w:t>
      </w:r>
      <w:r>
        <w:tab/>
      </w:r>
      <w:r>
        <w:fldChar w:fldCharType="begin"/>
      </w:r>
      <w:r>
        <w:instrText xml:space="preserve"> PAGEREF _Toc165037690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Regulations 47GA and 47GB inserted</w:t>
      </w:r>
      <w:r>
        <w:tab/>
      </w:r>
      <w:r>
        <w:fldChar w:fldCharType="begin"/>
      </w:r>
      <w:r>
        <w:instrText xml:space="preserve"> PAGEREF _Toc165037691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47GA.</w:t>
      </w:r>
      <w:r>
        <w:rPr>
          <w:noProof/>
        </w:rPr>
        <w:tab/>
        <w:t>Effect of disqualification: cancellation</w:t>
      </w:r>
      <w:r>
        <w:rPr>
          <w:noProof/>
        </w:rPr>
        <w:tab/>
      </w:r>
      <w:r>
        <w:rPr>
          <w:noProof/>
        </w:rPr>
        <w:fldChar w:fldCharType="begin"/>
      </w:r>
      <w:r>
        <w:rPr>
          <w:noProof/>
        </w:rPr>
        <w:instrText xml:space="preserve"> PAGEREF _Toc165037692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47GB.</w:t>
      </w:r>
      <w:r>
        <w:rPr>
          <w:noProof/>
        </w:rPr>
        <w:tab/>
        <w:t>Effect of disqualification in another jurisdiction</w:t>
      </w:r>
      <w:r>
        <w:rPr>
          <w:noProof/>
        </w:rPr>
        <w:tab/>
      </w:r>
      <w:r>
        <w:rPr>
          <w:noProof/>
        </w:rPr>
        <w:fldChar w:fldCharType="begin"/>
      </w:r>
      <w:r>
        <w:rPr>
          <w:noProof/>
        </w:rPr>
        <w:instrText xml:space="preserve"> PAGEREF _Toc165037693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Regulations 70 to 72 inserted</w:t>
      </w:r>
      <w:r>
        <w:tab/>
      </w:r>
      <w:r>
        <w:fldChar w:fldCharType="begin"/>
      </w:r>
      <w:r>
        <w:instrText xml:space="preserve"> PAGEREF _Toc165037694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70.</w:t>
      </w:r>
      <w:r>
        <w:rPr>
          <w:noProof/>
        </w:rPr>
        <w:tab/>
        <w:t>Form of order to produce</w:t>
      </w:r>
      <w:r>
        <w:rPr>
          <w:noProof/>
        </w:rPr>
        <w:tab/>
      </w:r>
      <w:r>
        <w:rPr>
          <w:noProof/>
        </w:rPr>
        <w:fldChar w:fldCharType="begin"/>
      </w:r>
      <w:r>
        <w:rPr>
          <w:noProof/>
        </w:rPr>
        <w:instrText xml:space="preserve"> PAGEREF _Toc165037695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Disclosure of information by Commissioner of Police</w:t>
      </w:r>
      <w:r>
        <w:rPr>
          <w:noProof/>
        </w:rPr>
        <w:tab/>
      </w:r>
      <w:r>
        <w:rPr>
          <w:noProof/>
        </w:rPr>
        <w:fldChar w:fldCharType="begin"/>
      </w:r>
      <w:r>
        <w:rPr>
          <w:noProof/>
        </w:rPr>
        <w:instrText xml:space="preserve"> PAGEREF _Toc165037696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72.</w:t>
      </w:r>
      <w:r>
        <w:rPr>
          <w:noProof/>
        </w:rPr>
        <w:tab/>
        <w:t>Disclosure of information: prescribed persons</w:t>
      </w:r>
      <w:r>
        <w:rPr>
          <w:noProof/>
        </w:rPr>
        <w:tab/>
      </w:r>
      <w:r>
        <w:rPr>
          <w:noProof/>
        </w:rPr>
        <w:fldChar w:fldCharType="begin"/>
      </w:r>
      <w:r>
        <w:rPr>
          <w:noProof/>
        </w:rPr>
        <w:instrText xml:space="preserve"> PAGEREF _Toc165037697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Schedule 1 amended</w:t>
      </w:r>
      <w:r>
        <w:tab/>
      </w:r>
      <w:r>
        <w:fldChar w:fldCharType="begin"/>
      </w:r>
      <w:r>
        <w:instrText xml:space="preserve"> PAGEREF _Toc165037698 \h </w:instrText>
      </w:r>
      <w:r>
        <w:fldChar w:fldCharType="separate"/>
      </w:r>
      <w:r>
        <w:t>8</w:t>
      </w:r>
      <w:r>
        <w:fldChar w:fldCharType="end"/>
      </w:r>
    </w:p>
    <w:p>
      <w:pPr>
        <w:pStyle w:val="TOC8"/>
        <w:rPr>
          <w:rFonts w:asciiTheme="minorHAnsi" w:eastAsiaTheme="minorEastAsia" w:hAnsiTheme="minorHAnsi" w:cstheme="minorBidi"/>
          <w:szCs w:val="22"/>
        </w:rPr>
      </w:pPr>
      <w:r>
        <w:t>8.</w:t>
      </w:r>
      <w:r>
        <w:tab/>
        <w:t>Schedule 1 Form 5 inserted</w:t>
      </w:r>
      <w:r>
        <w:tab/>
      </w:r>
      <w:r>
        <w:fldChar w:fldCharType="begin"/>
      </w:r>
      <w:r>
        <w:instrText xml:space="preserve"> PAGEREF _Toc165037699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Jetties Act 1926</w:t>
      </w:r>
      <w:r>
        <w:br/>
        <w:t>Shipping and Pilotage Act 1967</w:t>
      </w:r>
      <w:r>
        <w:br/>
        <w:t>Western Australian Marine Act 1982</w:t>
      </w:r>
    </w:p>
    <w:p>
      <w:pPr>
        <w:pStyle w:val="NameofActReg"/>
      </w:pPr>
      <w:r>
        <w:t>Navigable Waters Amendment Regulations 2024</w:t>
      </w:r>
    </w:p>
    <w:p>
      <w:pPr>
        <w:pStyle w:val="MadeBy"/>
      </w:pPr>
      <w:r>
        <w:t>Made by the Governor in Executive Council.</w:t>
      </w:r>
    </w:p>
    <w:p>
      <w:pPr>
        <w:pStyle w:val="Heading5"/>
      </w:pPr>
      <w:bookmarkStart w:id="2" w:name="_Toc165037532"/>
      <w:bookmarkStart w:id="3" w:name="_Toc165037687"/>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Navigable Waters Amendment Regulations 2024</w:t>
      </w:r>
      <w:r>
        <w:t>.</w:t>
      </w:r>
    </w:p>
    <w:p>
      <w:pPr>
        <w:pStyle w:val="Heading5"/>
        <w:rPr>
          <w:spacing w:val="-2"/>
        </w:rPr>
      </w:pPr>
      <w:bookmarkStart w:id="5" w:name="_Toc165037533"/>
      <w:bookmarkStart w:id="6" w:name="_Toc165037688"/>
      <w:r>
        <w:rPr>
          <w:rStyle w:val="CharSectno"/>
        </w:rPr>
        <w:t>2</w:t>
      </w:r>
      <w:r>
        <w:rPr>
          <w:spacing w:val="-2"/>
        </w:rPr>
        <w:t>.</w:t>
      </w:r>
      <w:r>
        <w:rPr>
          <w:spacing w:val="-2"/>
        </w:rPr>
        <w:tab/>
        <w:t>Commencement</w:t>
      </w:r>
      <w:bookmarkEnd w:id="5"/>
      <w:bookmarkEnd w:id="6"/>
    </w:p>
    <w:p>
      <w:pPr>
        <w:pStyle w:val="Subsection"/>
        <w:rPr>
          <w:rStyle w:val="DraftersNotes"/>
          <w:b w:val="0"/>
          <w:i w:val="0"/>
          <w:sz w:val="24"/>
        </w:rPr>
      </w:pPr>
      <w:r>
        <w:tab/>
      </w:r>
      <w:r>
        <w:tab/>
        <w:t xml:space="preserve">These </w:t>
      </w:r>
      <w:r>
        <w:rPr>
          <w:spacing w:val="-2"/>
        </w:rPr>
        <w:t>regulations come</w:t>
      </w:r>
      <w:r>
        <w:t xml:space="preserve"> into operation on 2 May 2024.</w:t>
      </w:r>
    </w:p>
    <w:p>
      <w:pPr>
        <w:pStyle w:val="Heading5"/>
        <w:rPr>
          <w:snapToGrid w:val="0"/>
        </w:rPr>
      </w:pPr>
      <w:bookmarkStart w:id="7" w:name="_Toc165037534"/>
      <w:bookmarkStart w:id="8" w:name="_Toc165037689"/>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Navigable Waters Regulations 1958</w:t>
      </w:r>
      <w:r>
        <w:t>.</w:t>
      </w:r>
    </w:p>
    <w:p>
      <w:pPr>
        <w:pStyle w:val="Heading5"/>
      </w:pPr>
      <w:bookmarkStart w:id="9" w:name="_Toc165037535"/>
      <w:bookmarkStart w:id="10" w:name="_Toc165037690"/>
      <w:r>
        <w:rPr>
          <w:rStyle w:val="CharSectno"/>
        </w:rPr>
        <w:t>4</w:t>
      </w:r>
      <w:r>
        <w:t>.</w:t>
      </w:r>
      <w:r>
        <w:tab/>
        <w:t>Regulation 47C amended</w:t>
      </w:r>
      <w:bookmarkEnd w:id="9"/>
      <w:bookmarkEnd w:id="10"/>
    </w:p>
    <w:p>
      <w:pPr>
        <w:pStyle w:val="Subsection"/>
        <w:keepNext/>
      </w:pPr>
      <w:r>
        <w:tab/>
      </w:r>
      <w:r>
        <w:tab/>
        <w:t>In regulation 47C(1) delete “regulation 47G” and insert:</w:t>
      </w:r>
    </w:p>
    <w:p>
      <w:pPr>
        <w:pStyle w:val="BlankOpen"/>
      </w:pPr>
    </w:p>
    <w:p>
      <w:pPr>
        <w:pStyle w:val="Subsection"/>
      </w:pPr>
      <w:r>
        <w:tab/>
      </w:r>
      <w:r>
        <w:tab/>
        <w:t>regulations 47G and 47GB</w:t>
      </w:r>
    </w:p>
    <w:p>
      <w:pPr>
        <w:pStyle w:val="BlankClose"/>
      </w:pPr>
    </w:p>
    <w:p>
      <w:pPr>
        <w:pStyle w:val="Heading5"/>
      </w:pPr>
      <w:bookmarkStart w:id="11" w:name="_Toc165037536"/>
      <w:bookmarkStart w:id="12" w:name="_Toc165037691"/>
      <w:r>
        <w:rPr>
          <w:rStyle w:val="CharSectno"/>
        </w:rPr>
        <w:t>5</w:t>
      </w:r>
      <w:r>
        <w:t>.</w:t>
      </w:r>
      <w:r>
        <w:tab/>
        <w:t>Regulations 47GA and 47GB inserted</w:t>
      </w:r>
      <w:bookmarkEnd w:id="11"/>
      <w:bookmarkEnd w:id="12"/>
    </w:p>
    <w:p>
      <w:pPr>
        <w:pStyle w:val="Subsection"/>
        <w:keepNext/>
      </w:pPr>
      <w:r>
        <w:tab/>
      </w:r>
      <w:r>
        <w:tab/>
        <w:t>After regulation 47G insert:</w:t>
      </w:r>
    </w:p>
    <w:p>
      <w:pPr>
        <w:pStyle w:val="BlankOpen"/>
      </w:pPr>
    </w:p>
    <w:p>
      <w:pPr>
        <w:pStyle w:val="zHeading5"/>
      </w:pPr>
      <w:bookmarkStart w:id="13" w:name="_Toc165037537"/>
      <w:bookmarkStart w:id="14" w:name="_Toc165037692"/>
      <w:r>
        <w:t>47GA.</w:t>
      </w:r>
      <w:r>
        <w:tab/>
        <w:t>Effect of disqualification: cancellation</w:t>
      </w:r>
      <w:bookmarkEnd w:id="13"/>
      <w:bookmarkEnd w:id="14"/>
    </w:p>
    <w:p>
      <w:pPr>
        <w:pStyle w:val="zSubsection"/>
      </w:pPr>
      <w:r>
        <w:tab/>
        <w:t>(1)</w:t>
      </w:r>
      <w:r>
        <w:tab/>
        <w:t xml:space="preserve">In this regulation — </w:t>
      </w:r>
    </w:p>
    <w:p>
      <w:pPr>
        <w:pStyle w:val="zDefstart"/>
      </w:pPr>
      <w:r>
        <w:lastRenderedPageBreak/>
        <w:tab/>
      </w:r>
      <w:r>
        <w:rPr>
          <w:rStyle w:val="CharDefText"/>
        </w:rPr>
        <w:t>prescribed offence</w:t>
      </w:r>
      <w:r>
        <w:t xml:space="preserve"> means an offence against section 75C(1), 75CA(1), 75CD(1), 75DA(1), 75DD(1), 75HB(1), 75HC(1), 75HE(1), 75HH(1) or 75HI(1);</w:t>
      </w:r>
    </w:p>
    <w:p>
      <w:pPr>
        <w:pStyle w:val="zDefstart"/>
      </w:pPr>
      <w:r>
        <w:tab/>
      </w:r>
      <w:r>
        <w:rPr>
          <w:rStyle w:val="CharDefText"/>
        </w:rPr>
        <w:t>section</w:t>
      </w:r>
      <w:r>
        <w:t xml:space="preserve"> means section of the </w:t>
      </w:r>
      <w:r>
        <w:rPr>
          <w:i/>
          <w:iCs/>
        </w:rPr>
        <w:t>Western Australian Marine Act 1982</w:t>
      </w:r>
      <w:r>
        <w:t>.</w:t>
      </w:r>
    </w:p>
    <w:p>
      <w:pPr>
        <w:pStyle w:val="z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zIndenta"/>
      </w:pPr>
      <w:r>
        <w:tab/>
        <w:t>(a)</w:t>
      </w:r>
      <w:r>
        <w:tab/>
        <w:t>the present offence is a prescribed offence, other than an offence against section 75DA(1), and the person has previously been convicted of a prescribed offence; or</w:t>
      </w:r>
    </w:p>
    <w:p>
      <w:pPr>
        <w:pStyle w:val="zIndenta"/>
      </w:pPr>
      <w:r>
        <w:tab/>
        <w:t>(b)</w:t>
      </w:r>
      <w:r>
        <w:tab/>
        <w:t>the present offence is an offence against section 75DA(1) and the person has been convicted of a prescribed offence within the period of 5 years preceding the conviction for the present offence; or</w:t>
      </w:r>
    </w:p>
    <w:p>
      <w:pPr>
        <w:pStyle w:val="zIndenta"/>
      </w:pPr>
      <w:r>
        <w:tab/>
        <w:t>(c)</w:t>
      </w:r>
      <w:r>
        <w:tab/>
        <w:t>the present offence is an offence against section 75B(1) or (2), 75BA(1) or (2), 75BB(1) or (3), 75C(1) or 75CA(1).</w:t>
      </w:r>
    </w:p>
    <w:p>
      <w:pPr>
        <w:pStyle w:val="zSubsection"/>
      </w:pPr>
      <w:r>
        <w:tab/>
        <w:t>(3)</w:t>
      </w:r>
      <w:r>
        <w:tab/>
        <w:t>A recreational skipper’s ticket held by the person is cancelled by force of this regulation.</w:t>
      </w:r>
    </w:p>
    <w:p>
      <w:pPr>
        <w:pStyle w:val="zSubsection"/>
      </w:pPr>
      <w:r>
        <w:tab/>
        <w:t>(4)</w:t>
      </w:r>
      <w:r>
        <w:tab/>
        <w:t>If a recreational skipper’s ticket is cancelled under subregulation (3), the CEO must give written notice of the cancellation, and the reasons for it, to the ticket holder.</w:t>
      </w:r>
    </w:p>
    <w:p>
      <w:pPr>
        <w:pStyle w:val="zSubsection"/>
      </w:pPr>
      <w:r>
        <w:tab/>
        <w:t>(5)</w:t>
      </w:r>
      <w:r>
        <w:tab/>
        <w:t>Regulation 47E does not apply in relation to the person.</w:t>
      </w:r>
    </w:p>
    <w:p>
      <w:pPr>
        <w:pStyle w:val="zHeading5"/>
      </w:pPr>
      <w:bookmarkStart w:id="15" w:name="_Toc165037538"/>
      <w:bookmarkStart w:id="16" w:name="_Toc165037693"/>
      <w:r>
        <w:t>47GB.</w:t>
      </w:r>
      <w:r>
        <w:tab/>
        <w:t>Effect of disqualification in another jurisdiction</w:t>
      </w:r>
      <w:bookmarkEnd w:id="15"/>
      <w:bookmarkEnd w:id="16"/>
    </w:p>
    <w:p>
      <w:pPr>
        <w:pStyle w:val="zSubsection"/>
      </w:pPr>
      <w:r>
        <w:tab/>
      </w:r>
      <w:r>
        <w:tab/>
        <w:t xml:space="preserve">For the purposes of the </w:t>
      </w:r>
      <w:r>
        <w:rPr>
          <w:i/>
          <w:iCs/>
        </w:rPr>
        <w:t>Western Australian Marine Act 1982</w:t>
      </w:r>
      <w:r>
        <w:t xml:space="preserve"> section 124GQ(b), if a person is disqualified </w:t>
      </w:r>
      <w:r>
        <w:lastRenderedPageBreak/>
        <w:t xml:space="preserve">from holding or obtaining a foreign skipper’s ticket under the law of another Australian jurisdiction or an overseas jurisdiction — </w:t>
      </w:r>
    </w:p>
    <w:p>
      <w:pPr>
        <w:pStyle w:val="zIndenta"/>
      </w:pPr>
      <w:r>
        <w:tab/>
        <w:t>(a)</w:t>
      </w:r>
      <w:r>
        <w:tab/>
        <w:t>a recreational skipper’s ticket held by the person is suspended while the disqualification is in effect; and</w:t>
      </w:r>
    </w:p>
    <w:p>
      <w:pPr>
        <w:pStyle w:val="zIndenta"/>
      </w:pPr>
      <w:r>
        <w:tab/>
        <w:t>(b)</w:t>
      </w:r>
      <w:r>
        <w:tab/>
        <w:t>the person cannot obtain a recreational skipper’s ticket.</w:t>
      </w:r>
    </w:p>
    <w:p>
      <w:pPr>
        <w:pStyle w:val="BlankClose"/>
      </w:pPr>
    </w:p>
    <w:p>
      <w:pPr>
        <w:pStyle w:val="Heading5"/>
      </w:pPr>
      <w:bookmarkStart w:id="17" w:name="_Toc165037539"/>
      <w:bookmarkStart w:id="18" w:name="_Toc165037694"/>
      <w:r>
        <w:rPr>
          <w:rStyle w:val="CharSectno"/>
        </w:rPr>
        <w:t>6</w:t>
      </w:r>
      <w:r>
        <w:t>.</w:t>
      </w:r>
      <w:r>
        <w:tab/>
        <w:t>Regulations 70 to 72 inserted</w:t>
      </w:r>
      <w:bookmarkEnd w:id="17"/>
      <w:bookmarkEnd w:id="18"/>
    </w:p>
    <w:p>
      <w:pPr>
        <w:pStyle w:val="Subsection"/>
      </w:pPr>
      <w:r>
        <w:tab/>
      </w:r>
      <w:r>
        <w:tab/>
        <w:t>At the end of Part VIII insert:</w:t>
      </w:r>
    </w:p>
    <w:p>
      <w:pPr>
        <w:pStyle w:val="BlankOpen"/>
      </w:pPr>
    </w:p>
    <w:p>
      <w:pPr>
        <w:pStyle w:val="zHeading5"/>
      </w:pPr>
      <w:bookmarkStart w:id="19" w:name="_Toc165037540"/>
      <w:bookmarkStart w:id="20" w:name="_Toc165037695"/>
      <w:r>
        <w:t>70.</w:t>
      </w:r>
      <w:r>
        <w:tab/>
        <w:t>Form of order to produce</w:t>
      </w:r>
      <w:bookmarkEnd w:id="19"/>
      <w:bookmarkEnd w:id="20"/>
    </w:p>
    <w:p>
      <w:pPr>
        <w:pStyle w:val="zSubsection"/>
      </w:pPr>
      <w:r>
        <w:tab/>
      </w:r>
      <w:r>
        <w:tab/>
        <w:t xml:space="preserve">For the purposes of the </w:t>
      </w:r>
      <w:r>
        <w:rPr>
          <w:i/>
          <w:iCs/>
        </w:rPr>
        <w:t>Western Australian Marine Act 1982</w:t>
      </w:r>
      <w:r>
        <w:t xml:space="preserve"> section 18D(4) an order to produce must be in the form of Schedule 1 Form 5.</w:t>
      </w:r>
    </w:p>
    <w:p>
      <w:pPr>
        <w:pStyle w:val="zHeading5"/>
      </w:pPr>
      <w:bookmarkStart w:id="21" w:name="_Toc165037541"/>
      <w:bookmarkStart w:id="22" w:name="_Toc165037696"/>
      <w:r>
        <w:t>71.</w:t>
      </w:r>
      <w:r>
        <w:tab/>
        <w:t>Disclosure of information by Commissioner of Police</w:t>
      </w:r>
      <w:bookmarkEnd w:id="21"/>
      <w:bookmarkEnd w:id="22"/>
    </w:p>
    <w:p>
      <w:pPr>
        <w:pStyle w:val="zSubsection"/>
        <w:keepNext/>
      </w:pPr>
      <w:r>
        <w:tab/>
        <w:t>(1)</w:t>
      </w:r>
      <w:r>
        <w:tab/>
        <w:t xml:space="preserve">In this regulation — </w:t>
      </w:r>
    </w:p>
    <w:p>
      <w:pPr>
        <w:pStyle w:val="zDefstart"/>
      </w:pPr>
      <w:r>
        <w:tab/>
      </w:r>
      <w:r>
        <w:rPr>
          <w:rStyle w:val="CharDefText"/>
        </w:rPr>
        <w:t>criminal intelligence information</w:t>
      </w:r>
      <w:r>
        <w:t xml:space="preserve"> means — </w:t>
      </w:r>
    </w:p>
    <w:p>
      <w:pPr>
        <w:pStyle w:val="zDefpara"/>
      </w:pPr>
      <w:r>
        <w:tab/>
        <w:t>(a)</w:t>
      </w:r>
      <w:r>
        <w:tab/>
        <w:t>information relating to actual or suspected criminal activity (whether in this State or elsewhere) the disclosure of which could reasonably be expected —</w:t>
      </w:r>
    </w:p>
    <w:p>
      <w:pPr>
        <w:pStyle w:val="zDefsubpara"/>
      </w:pPr>
      <w:r>
        <w:tab/>
        <w:t>(i)</w:t>
      </w:r>
      <w:r>
        <w:tab/>
        <w:t>to prejudice criminal investigations; or</w:t>
      </w:r>
    </w:p>
    <w:p>
      <w:pPr>
        <w:pStyle w:val="zDefsubpara"/>
      </w:pPr>
      <w:r>
        <w:tab/>
        <w:t>(ii)</w:t>
      </w:r>
      <w:r>
        <w:tab/>
        <w:t>to enable the discovery of the existence or identity of a confidential source of information relevant to law enforcement; or</w:t>
      </w:r>
    </w:p>
    <w:p>
      <w:pPr>
        <w:pStyle w:val="zDefsubpara"/>
        <w:keepNext/>
      </w:pPr>
      <w:r>
        <w:lastRenderedPageBreak/>
        <w:tab/>
        <w:t>(iii)</w:t>
      </w:r>
      <w:r>
        <w:tab/>
        <w:t>to endanger a person’s life or physical safety;</w:t>
      </w:r>
    </w:p>
    <w:p>
      <w:pPr>
        <w:pStyle w:val="zDefpara"/>
      </w:pPr>
      <w:r>
        <w:tab/>
      </w:r>
      <w:r>
        <w:tab/>
        <w:t>or</w:t>
      </w:r>
    </w:p>
    <w:p>
      <w:pPr>
        <w:pStyle w:val="zDefpara"/>
      </w:pPr>
      <w:r>
        <w:tab/>
        <w:t>(b)</w:t>
      </w:r>
      <w:r>
        <w:tab/>
        <w:t xml:space="preserve">information the disclosure of which could reasonably be expected to reveal and prejudice the effectiveness of any of the following — </w:t>
      </w:r>
    </w:p>
    <w:p>
      <w:pPr>
        <w:pStyle w:val="zDefsubpara"/>
      </w:pPr>
      <w:r>
        <w:tab/>
        <w:t>(i)</w:t>
      </w:r>
      <w:r>
        <w:tab/>
        <w:t>police information</w:t>
      </w:r>
      <w:r>
        <w:noBreakHyphen/>
        <w:t>gathering or surveillance methods;</w:t>
      </w:r>
    </w:p>
    <w:p>
      <w:pPr>
        <w:pStyle w:val="zDefsubpara"/>
      </w:pPr>
      <w:r>
        <w:tab/>
        <w:t>(ii)</w:t>
      </w:r>
      <w:r>
        <w:tab/>
        <w:t>police procedures for preventing, detecting, investigating or dealing with matters arising out of breaches of the law.</w:t>
      </w:r>
    </w:p>
    <w:p>
      <w:pPr>
        <w:pStyle w:val="zSubsection"/>
        <w:rPr>
          <w:rStyle w:val="DraftersNotes"/>
          <w:b w:val="0"/>
          <w:i w:val="0"/>
          <w:sz w:val="24"/>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zHeading5"/>
      </w:pPr>
      <w:bookmarkStart w:id="23" w:name="_Toc165037542"/>
      <w:bookmarkStart w:id="24" w:name="_Toc165037697"/>
      <w:r>
        <w:t>72.</w:t>
      </w:r>
      <w:r>
        <w:tab/>
        <w:t>Disclosure of information: prescribed persons</w:t>
      </w:r>
      <w:bookmarkEnd w:id="23"/>
      <w:bookmarkEnd w:id="24"/>
    </w:p>
    <w:p>
      <w:pPr>
        <w:pStyle w:val="zSubsection"/>
      </w:pPr>
      <w:r>
        <w:tab/>
        <w:t>(1)</w:t>
      </w:r>
      <w:r>
        <w:tab/>
        <w:t xml:space="preserve">In this regulation — </w:t>
      </w:r>
    </w:p>
    <w:p>
      <w:pPr>
        <w:pStyle w:val="zDefstart"/>
      </w:pPr>
      <w:r>
        <w:tab/>
      </w:r>
      <w:r>
        <w:rPr>
          <w:rStyle w:val="CharDefText"/>
        </w:rPr>
        <w:t>APS employee</w:t>
      </w:r>
      <w:r>
        <w:t xml:space="preserve"> has the meaning given in the </w:t>
      </w:r>
      <w:r>
        <w:rPr>
          <w:i/>
          <w:iCs/>
        </w:rPr>
        <w:t>Public Service Act 1999</w:t>
      </w:r>
      <w:r>
        <w:t xml:space="preserve"> (Commonwealth) section 7;</w:t>
      </w:r>
    </w:p>
    <w:p>
      <w:pPr>
        <w:pStyle w:val="zDefstart"/>
      </w:pPr>
      <w:r>
        <w:tab/>
      </w:r>
      <w:r>
        <w:rPr>
          <w:rStyle w:val="CharDefText"/>
        </w:rPr>
        <w:t>CEO</w:t>
      </w:r>
      <w:r>
        <w:t xml:space="preserve"> means the chief executive officer of the department.</w:t>
      </w:r>
    </w:p>
    <w:p>
      <w:pPr>
        <w:pStyle w:val="zSubsection"/>
        <w:keepNext/>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zIndenta"/>
        <w:keepNext/>
      </w:pPr>
      <w:r>
        <w:tab/>
        <w:t>(a)</w:t>
      </w:r>
      <w:r>
        <w:tab/>
        <w:t xml:space="preserve">the Chairperson of ASIC, as defined in the </w:t>
      </w:r>
      <w:r>
        <w:rPr>
          <w:i/>
          <w:iCs/>
        </w:rPr>
        <w:t>Australian Securities and Investments Commission Act 2001</w:t>
      </w:r>
      <w:r>
        <w:t xml:space="preserve"> (Commonwealth) section 5(1), or a staff member, as defined in </w:t>
      </w:r>
      <w:r>
        <w:lastRenderedPageBreak/>
        <w:t>that subsection, nominated by the Chairperson to the CEO;</w:t>
      </w:r>
    </w:p>
    <w:p>
      <w:pPr>
        <w:pStyle w:val="z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z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z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z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z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zIndenta"/>
        <w:keepNext/>
        <w:keepLines/>
      </w:pPr>
      <w:r>
        <w:lastRenderedPageBreak/>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z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z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z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z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zIndenta"/>
        <w:keepNext/>
      </w:pPr>
      <w:r>
        <w:tab/>
        <w:t>(l)</w:t>
      </w:r>
      <w:r>
        <w:tab/>
        <w:t xml:space="preserve">the Chief Executive Centrelink, as defined in the </w:t>
      </w:r>
      <w:r>
        <w:rPr>
          <w:i/>
          <w:iCs/>
        </w:rPr>
        <w:t>Human Services (Centrelink) Act 1997</w:t>
      </w:r>
      <w:r>
        <w:t xml:space="preserve"> (Commonwealth) section 3, or a Departmental </w:t>
      </w:r>
      <w:r>
        <w:lastRenderedPageBreak/>
        <w:t>employee, as defined in that section, nominated by the Chief Executive Centrelink to the CEO;</w:t>
      </w:r>
    </w:p>
    <w:p>
      <w:pPr>
        <w:pStyle w:val="z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z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z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z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z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z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zIndenta"/>
        <w:keepNext/>
        <w:rPr>
          <w:rStyle w:val="DraftersNotes"/>
          <w:b w:val="0"/>
          <w:i w:val="0"/>
          <w:sz w:val="24"/>
        </w:rPr>
      </w:pPr>
      <w:r>
        <w:lastRenderedPageBreak/>
        <w:tab/>
        <w:t>(s)</w:t>
      </w:r>
      <w:r>
        <w:tab/>
        <w:t xml:space="preserve">a registered trustee of the estate of a bankrupt appointed under the </w:t>
      </w:r>
      <w:r>
        <w:rPr>
          <w:i/>
          <w:iCs/>
        </w:rPr>
        <w:t>Bankruptcy Act 1966</w:t>
      </w:r>
      <w:r>
        <w:t xml:space="preserve"> (Commonwealth);</w:t>
      </w:r>
    </w:p>
    <w:p>
      <w:pPr>
        <w:pStyle w:val="zIndenta"/>
      </w:pPr>
      <w:r>
        <w:tab/>
        <w:t>(t)</w:t>
      </w:r>
      <w:r>
        <w:tab/>
        <w:t>the Commissioner (however designated) of the police force of another State or of the Northern Territory, or another officer of that police force nominated by the Commissioner of that police force to the CEO;</w:t>
      </w:r>
    </w:p>
    <w:p>
      <w:pPr>
        <w:pStyle w:val="z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zIndenta"/>
        <w:keepNext/>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BlankClose"/>
      </w:pPr>
    </w:p>
    <w:p>
      <w:pPr>
        <w:pStyle w:val="Heading5"/>
      </w:pPr>
      <w:bookmarkStart w:id="25" w:name="_Toc165037543"/>
      <w:bookmarkStart w:id="26" w:name="_Toc165037698"/>
      <w:r>
        <w:rPr>
          <w:rStyle w:val="CharSectno"/>
        </w:rPr>
        <w:t>7</w:t>
      </w:r>
      <w:r>
        <w:t>.</w:t>
      </w:r>
      <w:r>
        <w:tab/>
        <w:t>Schedule 1 amended</w:t>
      </w:r>
      <w:bookmarkEnd w:id="25"/>
      <w:bookmarkEnd w:id="26"/>
    </w:p>
    <w:p>
      <w:pPr>
        <w:pStyle w:val="Subsection"/>
      </w:pPr>
      <w:r>
        <w:tab/>
      </w:r>
      <w:r>
        <w:tab/>
        <w:t>Delete the reference after the heading to Schedule 1 and insert:</w:t>
      </w:r>
    </w:p>
    <w:p>
      <w:pPr>
        <w:pStyle w:val="BlankOpen"/>
      </w:pPr>
    </w:p>
    <w:p>
      <w:pPr>
        <w:pStyle w:val="Subsection"/>
      </w:pPr>
      <w:r>
        <w:tab/>
      </w:r>
      <w:r>
        <w:tab/>
      </w:r>
      <w:r>
        <w:rPr>
          <w:sz w:val="22"/>
          <w:szCs w:val="18"/>
        </w:rPr>
        <w:t>[r. 19G, 69 and 70]</w:t>
      </w:r>
    </w:p>
    <w:p>
      <w:pPr>
        <w:pStyle w:val="BlankClose"/>
      </w:pPr>
    </w:p>
    <w:p>
      <w:pPr>
        <w:pStyle w:val="Heading5"/>
      </w:pPr>
      <w:bookmarkStart w:id="27" w:name="_Toc165037544"/>
      <w:bookmarkStart w:id="28" w:name="_Toc165037699"/>
      <w:r>
        <w:rPr>
          <w:rStyle w:val="CharSectno"/>
        </w:rPr>
        <w:lastRenderedPageBreak/>
        <w:t>8</w:t>
      </w:r>
      <w:r>
        <w:t>.</w:t>
      </w:r>
      <w:r>
        <w:tab/>
        <w:t>Schedule 1 Form 5 inserted</w:t>
      </w:r>
      <w:bookmarkEnd w:id="27"/>
      <w:bookmarkEnd w:id="28"/>
    </w:p>
    <w:p>
      <w:pPr>
        <w:pStyle w:val="Subsection"/>
        <w:keepNext/>
      </w:pPr>
      <w:r>
        <w:tab/>
      </w:r>
      <w:r>
        <w:tab/>
        <w:t>At the end of Schedule 1 insert:</w:t>
      </w:r>
    </w:p>
    <w:p>
      <w:pPr>
        <w:pStyle w:val="BlankOpen"/>
      </w:pPr>
    </w:p>
    <w:p>
      <w:pPr>
        <w:pStyle w:val="zyMiscellaneousHeading"/>
        <w:rPr>
          <w:b/>
          <w:bCs/>
        </w:rPr>
      </w:pPr>
      <w:r>
        <w:rPr>
          <w:b/>
          <w:bCs/>
        </w:rPr>
        <w:t>Form 5</w:t>
      </w:r>
    </w:p>
    <w:p>
      <w:pPr>
        <w:pStyle w:val="z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zyTableNAm"/>
              <w:jc w:val="center"/>
              <w:rPr>
                <w:i/>
                <w:iCs/>
              </w:rPr>
            </w:pPr>
            <w:r>
              <w:rPr>
                <w:i/>
                <w:iCs/>
              </w:rPr>
              <w:t>Western Australian Marine Act 1982</w:t>
            </w:r>
          </w:p>
          <w:p>
            <w:pPr>
              <w:pStyle w:val="zyTableNAm"/>
              <w:jc w:val="center"/>
              <w:rPr>
                <w:b/>
                <w:szCs w:val="22"/>
              </w:rPr>
            </w:pPr>
            <w:r>
              <w:rPr>
                <w:b/>
                <w:szCs w:val="22"/>
              </w:rPr>
              <w:t>Order to produce business record</w:t>
            </w:r>
          </w:p>
        </w:tc>
      </w:tr>
      <w:tr>
        <w:tc>
          <w:tcPr>
            <w:tcW w:w="1701" w:type="dxa"/>
            <w:noWrap/>
          </w:tcPr>
          <w:p>
            <w:pPr>
              <w:spacing w:before="80"/>
            </w:pPr>
            <w:r>
              <w:rPr>
                <w:b/>
                <w:bCs/>
                <w:sz w:val="22"/>
              </w:rPr>
              <w:t>To</w:t>
            </w:r>
          </w:p>
        </w:tc>
        <w:tc>
          <w:tcPr>
            <w:tcW w:w="5212" w:type="dxa"/>
            <w:gridSpan w:val="6"/>
            <w:shd w:val="clear" w:color="auto" w:fill="auto"/>
            <w:noWrap/>
            <w:vAlign w:val="center"/>
          </w:tcPr>
          <w:p>
            <w:pPr>
              <w:pStyle w:val="zyTableNAm"/>
            </w:pPr>
          </w:p>
        </w:tc>
      </w:tr>
      <w:tr>
        <w:tc>
          <w:tcPr>
            <w:tcW w:w="1701" w:type="dxa"/>
            <w:tcBorders>
              <w:bottom w:val="single" w:sz="4" w:space="0" w:color="auto"/>
            </w:tcBorders>
            <w:noWrap/>
          </w:tcPr>
          <w:p>
            <w:pPr>
              <w:pStyle w:val="zyTableNAm"/>
              <w:rPr>
                <w:b/>
                <w:bCs/>
              </w:rPr>
            </w:pPr>
            <w:r>
              <w:rPr>
                <w:b/>
                <w:bCs/>
              </w:rPr>
              <w:t>Application</w:t>
            </w:r>
          </w:p>
        </w:tc>
        <w:tc>
          <w:tcPr>
            <w:tcW w:w="5212" w:type="dxa"/>
            <w:gridSpan w:val="6"/>
            <w:tcBorders>
              <w:bottom w:val="single" w:sz="4" w:space="0" w:color="auto"/>
            </w:tcBorders>
            <w:noWrap/>
            <w:vAlign w:val="center"/>
          </w:tcPr>
          <w:p>
            <w:pPr>
              <w:pStyle w:val="z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zyTableNAm"/>
              <w:rPr>
                <w:b/>
                <w:bCs/>
              </w:rPr>
            </w:pPr>
            <w:r>
              <w:rPr>
                <w:b/>
                <w:bCs/>
              </w:rPr>
              <w:t>Official details of applicant</w:t>
            </w:r>
          </w:p>
        </w:tc>
        <w:tc>
          <w:tcPr>
            <w:tcW w:w="5212" w:type="dxa"/>
            <w:gridSpan w:val="6"/>
            <w:tcBorders>
              <w:bottom w:val="single" w:sz="4" w:space="0" w:color="auto"/>
            </w:tcBorders>
            <w:noWrap/>
            <w:vAlign w:val="center"/>
          </w:tcPr>
          <w:p>
            <w:pPr>
              <w:pStyle w:val="zyTableNAm"/>
            </w:pPr>
          </w:p>
        </w:tc>
      </w:tr>
      <w:tr>
        <w:trPr>
          <w:trHeight w:val="221"/>
        </w:trPr>
        <w:tc>
          <w:tcPr>
            <w:tcW w:w="1701" w:type="dxa"/>
            <w:vMerge w:val="restart"/>
            <w:noWrap/>
          </w:tcPr>
          <w:p>
            <w:pPr>
              <w:pStyle w:val="zyTableNAm"/>
              <w:rPr>
                <w:b/>
                <w:bCs/>
              </w:rPr>
            </w:pPr>
            <w:r>
              <w:rPr>
                <w:b/>
                <w:bCs/>
              </w:rPr>
              <w:t>Business records to be produced</w:t>
            </w:r>
          </w:p>
        </w:tc>
        <w:tc>
          <w:tcPr>
            <w:tcW w:w="2606" w:type="dxa"/>
            <w:gridSpan w:val="3"/>
            <w:noWrap/>
            <w:vAlign w:val="center"/>
          </w:tcPr>
          <w:p>
            <w:pPr>
              <w:pStyle w:val="zyTableNAm"/>
            </w:pPr>
            <w:r>
              <w:t>Description of records</w:t>
            </w:r>
          </w:p>
        </w:tc>
        <w:tc>
          <w:tcPr>
            <w:tcW w:w="2606" w:type="dxa"/>
            <w:gridSpan w:val="3"/>
            <w:vAlign w:val="center"/>
          </w:tcPr>
          <w:p>
            <w:pPr>
              <w:pStyle w:val="zyTableNAm"/>
            </w:pPr>
            <w:r>
              <w:t>Version to be produced</w:t>
            </w:r>
          </w:p>
        </w:tc>
      </w:tr>
      <w:tr>
        <w:trPr>
          <w:trHeight w:val="221"/>
        </w:trPr>
        <w:tc>
          <w:tcPr>
            <w:tcW w:w="1701" w:type="dxa"/>
            <w:vMerge/>
            <w:noWrap/>
          </w:tcPr>
          <w:p/>
        </w:tc>
        <w:tc>
          <w:tcPr>
            <w:tcW w:w="2606" w:type="dxa"/>
            <w:gridSpan w:val="3"/>
            <w:noWrap/>
            <w:vAlign w:val="center"/>
          </w:tcPr>
          <w:p>
            <w:pPr>
              <w:pStyle w:val="zyTableNAm"/>
            </w:pPr>
          </w:p>
        </w:tc>
        <w:tc>
          <w:tcPr>
            <w:tcW w:w="2606" w:type="dxa"/>
            <w:gridSpan w:val="3"/>
            <w:vAlign w:val="center"/>
          </w:tcPr>
          <w:p>
            <w:pPr>
              <w:pStyle w:val="zyTableNAm"/>
            </w:pPr>
          </w:p>
        </w:tc>
      </w:tr>
      <w:tr>
        <w:trPr>
          <w:trHeight w:val="221"/>
        </w:trPr>
        <w:tc>
          <w:tcPr>
            <w:tcW w:w="1701" w:type="dxa"/>
            <w:vMerge/>
            <w:noWrap/>
          </w:tcPr>
          <w:p/>
        </w:tc>
        <w:tc>
          <w:tcPr>
            <w:tcW w:w="2606" w:type="dxa"/>
            <w:gridSpan w:val="3"/>
            <w:noWrap/>
            <w:vAlign w:val="center"/>
          </w:tcPr>
          <w:p>
            <w:pPr>
              <w:pStyle w:val="zyTableNAm"/>
            </w:pPr>
          </w:p>
        </w:tc>
        <w:tc>
          <w:tcPr>
            <w:tcW w:w="2606" w:type="dxa"/>
            <w:gridSpan w:val="3"/>
            <w:vAlign w:val="center"/>
          </w:tcPr>
          <w:p>
            <w:pPr>
              <w:pStyle w:val="zyTableNAm"/>
            </w:pPr>
          </w:p>
        </w:tc>
      </w:tr>
      <w:tr>
        <w:tc>
          <w:tcPr>
            <w:tcW w:w="1701" w:type="dxa"/>
            <w:noWrap/>
          </w:tcPr>
          <w:p>
            <w:pPr>
              <w:pStyle w:val="zyTableNAm"/>
              <w:rPr>
                <w:b/>
                <w:bCs/>
              </w:rPr>
            </w:pPr>
            <w:r>
              <w:rPr>
                <w:b/>
                <w:bCs/>
              </w:rPr>
              <w:t>Order</w:t>
            </w:r>
          </w:p>
        </w:tc>
        <w:tc>
          <w:tcPr>
            <w:tcW w:w="5212" w:type="dxa"/>
            <w:gridSpan w:val="6"/>
            <w:noWrap/>
            <w:vAlign w:val="center"/>
          </w:tcPr>
          <w:p>
            <w:pPr>
              <w:pStyle w:val="zyTableNAm"/>
            </w:pPr>
            <w:r>
              <w:t>You are ordered to produce the version of the record or records described above at the place described below on or before [</w:t>
            </w:r>
            <w:r>
              <w:rPr>
                <w:i/>
                <w:iCs/>
              </w:rPr>
              <w:t>date</w:t>
            </w:r>
            <w:r>
              <w:t>].</w:t>
            </w:r>
          </w:p>
          <w:p>
            <w:pPr>
              <w:pStyle w:val="zyTableNAm"/>
            </w:pPr>
          </w:p>
        </w:tc>
      </w:tr>
      <w:tr>
        <w:trPr>
          <w:trHeight w:val="530"/>
        </w:trPr>
        <w:tc>
          <w:tcPr>
            <w:tcW w:w="1701" w:type="dxa"/>
            <w:noWrap/>
          </w:tcPr>
          <w:p>
            <w:pPr>
              <w:pStyle w:val="zyTableNAm"/>
              <w:rPr>
                <w:b/>
                <w:bCs/>
              </w:rPr>
            </w:pPr>
            <w:r>
              <w:rPr>
                <w:b/>
                <w:bCs/>
              </w:rPr>
              <w:t>Warning</w:t>
            </w:r>
          </w:p>
        </w:tc>
        <w:tc>
          <w:tcPr>
            <w:tcW w:w="5212" w:type="dxa"/>
            <w:gridSpan w:val="6"/>
            <w:noWrap/>
            <w:vAlign w:val="center"/>
          </w:tcPr>
          <w:p>
            <w:pPr>
              <w:pStyle w:val="zyTableNAm"/>
              <w:rPr>
                <w:b/>
                <w:bCs/>
              </w:rPr>
            </w:pPr>
            <w:r>
              <w:rPr>
                <w:b/>
                <w:bCs/>
              </w:rPr>
              <w:t>It is an offence not to obey this order without a reasonable excuse.</w:t>
            </w:r>
          </w:p>
        </w:tc>
      </w:tr>
      <w:tr>
        <w:tc>
          <w:tcPr>
            <w:tcW w:w="1701" w:type="dxa"/>
            <w:tcBorders>
              <w:bottom w:val="single" w:sz="4" w:space="0" w:color="auto"/>
            </w:tcBorders>
            <w:noWrap/>
          </w:tcPr>
          <w:p>
            <w:pPr>
              <w:pStyle w:val="zyTableNAm"/>
              <w:rPr>
                <w:b/>
                <w:bCs/>
              </w:rPr>
            </w:pPr>
            <w:r>
              <w:rPr>
                <w:b/>
                <w:bCs/>
              </w:rPr>
              <w:t>Where records to be produced</w:t>
            </w:r>
          </w:p>
          <w:p/>
        </w:tc>
        <w:tc>
          <w:tcPr>
            <w:tcW w:w="5212" w:type="dxa"/>
            <w:gridSpan w:val="6"/>
            <w:tcBorders>
              <w:bottom w:val="single" w:sz="4" w:space="0" w:color="auto"/>
            </w:tcBorders>
            <w:noWrap/>
            <w:vAlign w:val="center"/>
          </w:tcPr>
          <w:p>
            <w:pPr>
              <w:pStyle w:val="zyTableNAm"/>
            </w:pPr>
          </w:p>
        </w:tc>
      </w:tr>
      <w:tr>
        <w:trPr>
          <w:trHeight w:val="222"/>
        </w:trPr>
        <w:tc>
          <w:tcPr>
            <w:tcW w:w="1701" w:type="dxa"/>
            <w:vMerge w:val="restart"/>
            <w:tcBorders>
              <w:bottom w:val="single" w:sz="4" w:space="0" w:color="auto"/>
            </w:tcBorders>
            <w:noWrap/>
          </w:tcPr>
          <w:p>
            <w:pPr>
              <w:pStyle w:val="zyTableNAm"/>
              <w:rPr>
                <w:b/>
                <w:bCs/>
              </w:rPr>
            </w:pPr>
            <w:r>
              <w:rPr>
                <w:b/>
                <w:bCs/>
              </w:rPr>
              <w:t>Issuing details</w:t>
            </w:r>
          </w:p>
        </w:tc>
        <w:tc>
          <w:tcPr>
            <w:tcW w:w="1276" w:type="dxa"/>
            <w:gridSpan w:val="2"/>
            <w:tcBorders>
              <w:bottom w:val="single" w:sz="4" w:space="0" w:color="auto"/>
            </w:tcBorders>
            <w:noWrap/>
            <w:vAlign w:val="center"/>
          </w:tcPr>
          <w:p>
            <w:pPr>
              <w:pStyle w:val="zyTableNAm"/>
            </w:pPr>
            <w:r>
              <w:t>Name of JP</w:t>
            </w:r>
          </w:p>
        </w:tc>
        <w:tc>
          <w:tcPr>
            <w:tcW w:w="3936" w:type="dxa"/>
            <w:gridSpan w:val="4"/>
            <w:tcBorders>
              <w:bottom w:val="single" w:sz="4" w:space="0" w:color="auto"/>
            </w:tcBorders>
            <w:noWrap/>
            <w:vAlign w:val="center"/>
          </w:tcPr>
          <w:p>
            <w:pPr>
              <w:pStyle w:val="z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zyTableNAm"/>
            </w:pPr>
            <w:r>
              <w:t>Date</w:t>
            </w:r>
          </w:p>
        </w:tc>
        <w:tc>
          <w:tcPr>
            <w:tcW w:w="1843" w:type="dxa"/>
            <w:gridSpan w:val="2"/>
            <w:tcBorders>
              <w:bottom w:val="single" w:sz="4" w:space="0" w:color="auto"/>
            </w:tcBorders>
            <w:noWrap/>
            <w:vAlign w:val="center"/>
          </w:tcPr>
          <w:p>
            <w:pPr>
              <w:pStyle w:val="zyTableNAm"/>
            </w:pPr>
          </w:p>
        </w:tc>
        <w:tc>
          <w:tcPr>
            <w:tcW w:w="708" w:type="dxa"/>
            <w:tcBorders>
              <w:bottom w:val="single" w:sz="4" w:space="0" w:color="auto"/>
            </w:tcBorders>
            <w:noWrap/>
            <w:vAlign w:val="center"/>
          </w:tcPr>
          <w:p>
            <w:pPr>
              <w:pStyle w:val="zyTableNAm"/>
            </w:pPr>
            <w:r>
              <w:t>Time</w:t>
            </w:r>
          </w:p>
        </w:tc>
        <w:tc>
          <w:tcPr>
            <w:tcW w:w="1385" w:type="dxa"/>
            <w:tcBorders>
              <w:bottom w:val="single" w:sz="4" w:space="0" w:color="auto"/>
            </w:tcBorders>
            <w:noWrap/>
            <w:vAlign w:val="center"/>
          </w:tcPr>
          <w:p>
            <w:pPr>
              <w:pStyle w:val="zyTableNAm"/>
            </w:pPr>
          </w:p>
        </w:tc>
      </w:tr>
      <w:tr>
        <w:tc>
          <w:tcPr>
            <w:tcW w:w="1701" w:type="dxa"/>
            <w:tcBorders>
              <w:top w:val="single" w:sz="4" w:space="0" w:color="auto"/>
              <w:bottom w:val="single" w:sz="4" w:space="0" w:color="auto"/>
            </w:tcBorders>
            <w:noWrap/>
          </w:tcPr>
          <w:p>
            <w:pPr>
              <w:pStyle w:val="zyTableNAm"/>
              <w:keepNext/>
              <w:rPr>
                <w:b/>
                <w:bCs/>
              </w:rPr>
            </w:pPr>
            <w:r>
              <w:rPr>
                <w:b/>
                <w:bCs/>
              </w:rPr>
              <w:lastRenderedPageBreak/>
              <w:t>JP’s signature</w:t>
            </w:r>
          </w:p>
        </w:tc>
        <w:tc>
          <w:tcPr>
            <w:tcW w:w="5212" w:type="dxa"/>
            <w:gridSpan w:val="6"/>
            <w:tcBorders>
              <w:top w:val="single" w:sz="4" w:space="0" w:color="auto"/>
              <w:bottom w:val="single" w:sz="4" w:space="0" w:color="auto"/>
            </w:tcBorders>
            <w:noWrap/>
            <w:vAlign w:val="center"/>
          </w:tcPr>
          <w:p>
            <w:pPr>
              <w:pStyle w:val="zyTableNAm"/>
              <w:keepNext/>
            </w:pPr>
            <w:r>
              <w:t>Issued by me on the above date and at the above time.</w:t>
            </w:r>
          </w:p>
          <w:p>
            <w:pPr>
              <w:pStyle w:val="zyTableNAm"/>
              <w:keepNext/>
            </w:pPr>
          </w:p>
          <w:p>
            <w:pPr>
              <w:pStyle w:val="zyTableNAm"/>
              <w:keepNext/>
            </w:pPr>
            <w:r>
              <w:t>Justice of the Peace</w:t>
            </w:r>
          </w:p>
        </w:tc>
      </w:tr>
      <w:tr>
        <w:trPr>
          <w:trHeight w:val="421"/>
        </w:trPr>
        <w:tc>
          <w:tcPr>
            <w:tcW w:w="1701" w:type="dxa"/>
            <w:tcBorders>
              <w:top w:val="single" w:sz="4" w:space="0" w:color="auto"/>
              <w:bottom w:val="single" w:sz="4" w:space="0" w:color="auto"/>
            </w:tcBorders>
            <w:noWrap/>
          </w:tcPr>
          <w:p>
            <w:pPr>
              <w:pStyle w:val="z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zyTableNAm"/>
            </w:pPr>
            <w:r>
              <w:t>On [</w:t>
            </w:r>
            <w:r>
              <w:rPr>
                <w:i/>
                <w:iCs/>
              </w:rPr>
              <w:t>date</w:t>
            </w:r>
            <w:r>
              <w:t>] I served a copy of this order on the person to whom it is addressed by:</w:t>
            </w:r>
          </w:p>
          <w:p>
            <w:pPr>
              <w:pStyle w:val="zyTableNAm"/>
            </w:pPr>
          </w:p>
          <w:p>
            <w:pPr>
              <w:pStyle w:val="zyTableNAm"/>
            </w:pPr>
          </w:p>
          <w:p>
            <w:pPr>
              <w:pStyle w:val="zyTableNAm"/>
            </w:pPr>
          </w:p>
          <w:p>
            <w:pPr>
              <w:pStyle w:val="z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z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z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z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z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zyTableNAm"/>
            </w:pP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Navigable Waters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5244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410151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0151913_GUID" w:val="943bbfbe-68bd-4708-b341-fd36f8cab32e"/>
    <w:docVar w:name="WAFER_2024041608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6081602_GUID" w:val="cb8185d5-fe7e-46a2-aabf-cd7cab8ad2e8"/>
    <w:docVar w:name="WAFER_20240426152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52441_GUID" w:val="4ea8300f-d016-473d-bb3d-e80a58e6d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664BDFE6-88F6-4634-B564-A3C2FE15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1878</Words>
  <Characters>9861</Characters>
  <Application>Microsoft Office Word</Application>
  <DocSecurity>0</DocSecurity>
  <Lines>379</Lines>
  <Paragraphs>163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Amendment Regulations 2024 - 00-00-00</dc:title>
  <dc:subject/>
  <dc:creator/>
  <cp:keywords/>
  <dc:description/>
  <cp:lastModifiedBy>Master Repository Process</cp:lastModifiedBy>
  <cp:revision>4</cp:revision>
  <cp:lastPrinted>2021-03-14T07:59:00Z</cp:lastPrinted>
  <dcterms:created xsi:type="dcterms:W3CDTF">2025-06-18T07:17:00Z</dcterms:created>
  <dcterms:modified xsi:type="dcterms:W3CDTF">2025-06-18T07:17:00Z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54709</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00-00-00</vt:lpwstr>
  </property>
  <property fmtid="{D5CDD505-2E9C-101B-9397-08002B2CF9AE}" pid="6" name="Official">
    <vt:lpwstr/>
  </property>
  <property fmtid="{D5CDD505-2E9C-101B-9397-08002B2CF9AE}" pid="7" name="SLAPId">
    <vt:lpwstr>2024/62</vt:lpwstr>
  </property>
  <property fmtid="{D5CDD505-2E9C-101B-9397-08002B2CF9AE}" pid="8" name="PublishDate">
    <vt:lpwstr>1 May 2024</vt:lpwstr>
  </property>
  <property fmtid="{D5CDD505-2E9C-101B-9397-08002B2CF9AE}" pid="9" name="CommencementDate">
    <vt:lpwstr>20240501</vt:lpwstr>
  </property>
  <property fmtid="{D5CDD505-2E9C-101B-9397-08002B2CF9AE}" pid="10" name="CommencementAsAt">
    <vt:filetime>2024-04-30T16:00:00Z</vt:filetime>
  </property>
  <property fmtid="{D5CDD505-2E9C-101B-9397-08002B2CF9AE}" pid="11" name="CommencementYear">
    <vt:lpwstr>2024</vt:lpwstr>
  </property>
</Properties>
</file>