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334"/>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_Toc119466387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Scales of fees — medical specialists and other medical practitioners</w:t>
      </w:r>
      <w:r>
        <w:tab/>
      </w:r>
      <w:r>
        <w:fldChar w:fldCharType="begin"/>
      </w:r>
      <w:r>
        <w:instrText xml:space="preserve"> PAGEREF _Toc119466388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Scale of fees — physiotherapists</w:t>
      </w:r>
      <w:r>
        <w:tab/>
      </w:r>
      <w:r>
        <w:fldChar w:fldCharType="begin"/>
      </w:r>
      <w:r>
        <w:instrText xml:space="preserve"> PAGEREF _Toc119466389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Scale of fees — chiropractors</w:t>
      </w:r>
      <w:r>
        <w:tab/>
      </w:r>
      <w:r>
        <w:fldChar w:fldCharType="begin"/>
      </w:r>
      <w:r>
        <w:instrText xml:space="preserve"> PAGEREF _Toc119466390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Scale of fees — occupational therapists</w:t>
      </w:r>
      <w:r>
        <w:tab/>
      </w:r>
      <w:r>
        <w:fldChar w:fldCharType="begin"/>
      </w:r>
      <w:r>
        <w:instrText xml:space="preserve"> PAGEREF _Toc119466391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Scale of fees — clinical psychologists</w:t>
      </w:r>
      <w:r>
        <w:tab/>
      </w:r>
      <w:r>
        <w:fldChar w:fldCharType="begin"/>
      </w:r>
      <w:r>
        <w:instrText xml:space="preserve"> PAGEREF _Toc119466392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Scale of fees — speech therapists</w:t>
      </w:r>
      <w:r>
        <w:tab/>
      </w:r>
      <w:r>
        <w:fldChar w:fldCharType="begin"/>
      </w:r>
      <w:r>
        <w:instrText xml:space="preserve"> PAGEREF _Toc119466393 \h </w:instrText>
      </w:r>
      <w:r>
        <w:fldChar w:fldCharType="separate"/>
      </w:r>
      <w:r>
        <w:t>3</w:t>
      </w:r>
      <w:r>
        <w:fldChar w:fldCharType="end"/>
      </w:r>
    </w:p>
    <w:p>
      <w:pPr>
        <w:pStyle w:val="TOC8"/>
        <w:rPr>
          <w:sz w:val="24"/>
          <w:szCs w:val="24"/>
        </w:rPr>
      </w:pPr>
      <w:r>
        <w:rPr>
          <w:szCs w:val="24"/>
        </w:rPr>
        <w:t>7A.</w:t>
      </w:r>
      <w:r>
        <w:rPr>
          <w:szCs w:val="24"/>
        </w:rPr>
        <w:tab/>
        <w:t>Scale of fees — osteopaths</w:t>
      </w:r>
      <w:r>
        <w:tab/>
      </w:r>
      <w:r>
        <w:fldChar w:fldCharType="begin"/>
      </w:r>
      <w:r>
        <w:instrText xml:space="preserve"> PAGEREF _Toc119466394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Scale of fees — vocational rehabilitation providers</w:t>
      </w:r>
      <w:r>
        <w:tab/>
      </w:r>
      <w:r>
        <w:fldChar w:fldCharType="begin"/>
      </w:r>
      <w:r>
        <w:instrText xml:space="preserve"> PAGEREF _Toc119466395 \h </w:instrText>
      </w:r>
      <w:r>
        <w:fldChar w:fldCharType="separate"/>
      </w:r>
      <w:r>
        <w:t>3</w:t>
      </w:r>
      <w:r>
        <w:fldChar w:fldCharType="end"/>
      </w:r>
    </w:p>
    <w:p>
      <w:pPr>
        <w:pStyle w:val="TOC8"/>
        <w:rPr>
          <w:sz w:val="24"/>
          <w:szCs w:val="24"/>
        </w:rPr>
      </w:pPr>
      <w:r>
        <w:rPr>
          <w:szCs w:val="24"/>
        </w:rPr>
        <w:t>9.</w:t>
      </w:r>
      <w:r>
        <w:rPr>
          <w:szCs w:val="24"/>
        </w:rPr>
        <w:tab/>
        <w:t>Scale of maximum fees — approved medical specialists</w:t>
      </w:r>
      <w:r>
        <w:tab/>
      </w:r>
      <w:r>
        <w:fldChar w:fldCharType="begin"/>
      </w:r>
      <w:r>
        <w:instrText xml:space="preserve"> PAGEREF _Toc119466396 \h </w:instrText>
      </w:r>
      <w:r>
        <w:fldChar w:fldCharType="separate"/>
      </w:r>
      <w:r>
        <w:t>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ab/>
        <w:t>Part 3 — Diagnostic Imaging Services</w:t>
      </w:r>
    </w:p>
    <w:p>
      <w:pPr>
        <w:pStyle w:val="TOC2"/>
        <w:tabs>
          <w:tab w:val="right" w:leader="dot" w:pos="7078"/>
        </w:tabs>
        <w:rPr>
          <w:b w:val="0"/>
          <w:sz w:val="24"/>
          <w:szCs w:val="24"/>
        </w:rPr>
      </w:pPr>
      <w:r>
        <w:rPr>
          <w:szCs w:val="28"/>
        </w:rPr>
        <w:t>Schedule 2</w:t>
      </w:r>
    </w:p>
    <w:p>
      <w:pPr>
        <w:pStyle w:val="TOC4"/>
        <w:tabs>
          <w:tab w:val="right" w:leader="dot" w:pos="7078"/>
        </w:tabs>
        <w:rPr>
          <w:b w:val="0"/>
          <w:sz w:val="24"/>
          <w:szCs w:val="24"/>
        </w:rPr>
      </w:pPr>
      <w:r>
        <w:rPr>
          <w:szCs w:val="24"/>
        </w:rPr>
        <w:t>Part 1</w:t>
      </w:r>
      <w:r>
        <w:rPr>
          <w:b w:val="0"/>
          <w:szCs w:val="24"/>
        </w:rPr>
        <w:t> — </w:t>
      </w:r>
      <w:r>
        <w:rPr>
          <w:szCs w:val="24"/>
        </w:rPr>
        <w:t>General</w:t>
      </w:r>
    </w:p>
    <w:p>
      <w:pPr>
        <w:pStyle w:val="TOC4"/>
        <w:tabs>
          <w:tab w:val="right" w:leader="dot" w:pos="7078"/>
        </w:tabs>
        <w:rPr>
          <w:b w:val="0"/>
          <w:sz w:val="24"/>
          <w:szCs w:val="24"/>
        </w:rPr>
      </w:pPr>
      <w:r>
        <w:rPr>
          <w:szCs w:val="24"/>
        </w:rPr>
        <w:t>Part 2 — Exercise</w:t>
      </w:r>
      <w:r>
        <w:rPr>
          <w:szCs w:val="24"/>
        </w:rPr>
        <w:noBreakHyphen/>
        <w:t>based programs</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Scale of fees — chiropractors</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szCs w:val="28"/>
        </w:rPr>
        <w:t>Scale of fees — occupational therapists</w:t>
      </w:r>
    </w:p>
    <w:p>
      <w:pPr>
        <w:pStyle w:val="TOC2"/>
        <w:tabs>
          <w:tab w:val="right" w:leader="dot" w:pos="7078"/>
        </w:tabs>
        <w:rPr>
          <w:b w:val="0"/>
          <w:sz w:val="24"/>
          <w:szCs w:val="24"/>
        </w:rPr>
      </w:pPr>
      <w:r>
        <w:rPr>
          <w:szCs w:val="28"/>
        </w:rPr>
        <w:t>Schedule 5 — Scale of fees — speech pathologists</w:t>
      </w:r>
    </w:p>
    <w:p>
      <w:pPr>
        <w:pStyle w:val="TOC2"/>
        <w:tabs>
          <w:tab w:val="right" w:leader="dot" w:pos="7078"/>
        </w:tabs>
        <w:rPr>
          <w:b w:val="0"/>
          <w:sz w:val="24"/>
          <w:szCs w:val="24"/>
        </w:rPr>
      </w:pPr>
      <w:r>
        <w:rPr>
          <w:szCs w:val="28"/>
        </w:rPr>
        <w:t>Schedule 6 — Scale of maximum fees — approved medical specialists</w:t>
      </w:r>
    </w:p>
    <w:p>
      <w:pPr>
        <w:pStyle w:val="TOC4"/>
        <w:tabs>
          <w:tab w:val="right" w:leader="dot" w:pos="7078"/>
        </w:tabs>
        <w:rPr>
          <w:b w:val="0"/>
          <w:sz w:val="24"/>
          <w:szCs w:val="24"/>
        </w:rPr>
      </w:pPr>
      <w:r>
        <w:rPr>
          <w:szCs w:val="24"/>
        </w:rPr>
        <w:t>Part 1</w:t>
      </w:r>
      <w:r>
        <w:rPr>
          <w:b w:val="0"/>
          <w:szCs w:val="24"/>
        </w:rPr>
        <w:t xml:space="preserve"> — </w:t>
      </w:r>
      <w:r>
        <w:rPr>
          <w:szCs w:val="24"/>
        </w:rPr>
        <w:t>Assessments</w:t>
      </w:r>
    </w:p>
    <w:p>
      <w:pPr>
        <w:pStyle w:val="TOC4"/>
        <w:tabs>
          <w:tab w:val="right" w:leader="dot" w:pos="7078"/>
        </w:tabs>
        <w:rPr>
          <w:b w:val="0"/>
          <w:sz w:val="24"/>
          <w:szCs w:val="24"/>
        </w:rPr>
      </w:pPr>
      <w:r>
        <w:rPr>
          <w:szCs w:val="24"/>
        </w:rPr>
        <w:t>Part </w:t>
      </w:r>
      <w:r>
        <w:rPr>
          <w:bCs/>
          <w:szCs w:val="24"/>
        </w:rPr>
        <w:t>2</w:t>
      </w:r>
      <w:r>
        <w:rPr>
          <w:b w:val="0"/>
          <w:szCs w:val="24"/>
        </w:rPr>
        <w:t> — </w:t>
      </w:r>
      <w:r>
        <w:rPr>
          <w:szCs w:val="24"/>
        </w:rPr>
        <w:t>Attempted assessments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_Toc119466411 \h </w:instrText>
      </w:r>
      <w:r>
        <w:fldChar w:fldCharType="separate"/>
      </w:r>
      <w:r>
        <w:t>59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Workers’ Compensation and Rehabilitation Act 1981</w:t>
      </w:r>
    </w:p>
    <w:p>
      <w:pPr>
        <w:pStyle w:val="NameofActReg"/>
      </w:pPr>
      <w:r>
        <w:t>Workers’ Compensation and Injury Management (Scales of Fees) Regulations 1998</w:t>
      </w:r>
    </w:p>
    <w:p>
      <w:pPr>
        <w:pStyle w:val="Heading5"/>
        <w:rPr>
          <w:snapToGrid w:val="0"/>
        </w:rPr>
      </w:pPr>
      <w:bookmarkStart w:id="1" w:name="_Toc532976964"/>
      <w:bookmarkStart w:id="2" w:name="_Toc2571975"/>
      <w:bookmarkStart w:id="3" w:name="_Toc36356129"/>
      <w:bookmarkStart w:id="4" w:name="_Toc86727076"/>
      <w:bookmarkStart w:id="5" w:name="_Toc94408663"/>
      <w:bookmarkStart w:id="6" w:name="_Toc119464638"/>
      <w:bookmarkStart w:id="7" w:name="_Toc119466387"/>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8" w:name="_Toc532976965"/>
      <w:bookmarkStart w:id="9" w:name="_Toc2571976"/>
      <w:bookmarkStart w:id="10" w:name="_Toc36356130"/>
      <w:bookmarkStart w:id="11" w:name="_Toc86727077"/>
      <w:bookmarkStart w:id="12" w:name="_Toc94408664"/>
      <w:bookmarkStart w:id="13" w:name="_Toc119464639"/>
      <w:bookmarkStart w:id="14" w:name="_Toc119466388"/>
      <w:r>
        <w:rPr>
          <w:rStyle w:val="CharSectno"/>
        </w:rPr>
        <w:t>2</w:t>
      </w:r>
      <w:r>
        <w:rPr>
          <w:snapToGrid w:val="0"/>
        </w:rPr>
        <w:t>.</w:t>
      </w:r>
      <w:r>
        <w:rPr>
          <w:snapToGrid w:val="0"/>
        </w:rPr>
        <w:tab/>
        <w:t>Scales of fees — medical specialists and other medical practitioners</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injuries</w:t>
      </w:r>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w:t>
      </w:r>
    </w:p>
    <w:p>
      <w:pPr>
        <w:pStyle w:val="Heading5"/>
        <w:rPr>
          <w:snapToGrid w:val="0"/>
        </w:rPr>
      </w:pPr>
      <w:bookmarkStart w:id="15" w:name="_Toc532976966"/>
      <w:bookmarkStart w:id="16" w:name="_Toc2571977"/>
      <w:bookmarkStart w:id="17" w:name="_Toc36356131"/>
      <w:bookmarkStart w:id="18" w:name="_Toc86727078"/>
      <w:bookmarkStart w:id="19" w:name="_Toc94408665"/>
      <w:bookmarkStart w:id="20" w:name="_Toc119464640"/>
      <w:bookmarkStart w:id="21" w:name="_Toc119466389"/>
      <w:r>
        <w:rPr>
          <w:rStyle w:val="CharSectno"/>
        </w:rPr>
        <w:t>3</w:t>
      </w:r>
      <w:r>
        <w:rPr>
          <w:snapToGrid w:val="0"/>
        </w:rPr>
        <w:t>.</w:t>
      </w:r>
      <w:r>
        <w:rPr>
          <w:snapToGrid w:val="0"/>
        </w:rPr>
        <w:tab/>
        <w:t>Scale of fees — physiotherapists</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injuries</w:t>
      </w:r>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3 amended in Gazette 21 Jan 2005 p. 278; 11 Nov 2005 p. 5569 and 5570.]</w:t>
      </w:r>
    </w:p>
    <w:p>
      <w:pPr>
        <w:pStyle w:val="Heading5"/>
        <w:rPr>
          <w:snapToGrid w:val="0"/>
        </w:rPr>
      </w:pPr>
      <w:bookmarkStart w:id="22" w:name="_Toc532976967"/>
      <w:bookmarkStart w:id="23" w:name="_Toc2571978"/>
      <w:bookmarkStart w:id="24" w:name="_Toc36356132"/>
      <w:bookmarkStart w:id="25" w:name="_Toc86727079"/>
      <w:bookmarkStart w:id="26" w:name="_Toc94408666"/>
      <w:bookmarkStart w:id="27" w:name="_Toc119464641"/>
      <w:bookmarkStart w:id="28" w:name="_Toc119466390"/>
      <w:r>
        <w:rPr>
          <w:rStyle w:val="CharSectno"/>
        </w:rPr>
        <w:t>4</w:t>
      </w:r>
      <w:r>
        <w:rPr>
          <w:snapToGrid w:val="0"/>
        </w:rPr>
        <w:t>.</w:t>
      </w:r>
      <w:r>
        <w:rPr>
          <w:snapToGrid w:val="0"/>
        </w:rPr>
        <w:tab/>
        <w:t>Scale of fees — chiropractors</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injuries</w:t>
      </w:r>
      <w:r>
        <w:rPr>
          <w:snapToGrid w:val="0"/>
        </w:rPr>
        <w:t xml:space="preserve"> that are compensable under the Act.</w:t>
      </w:r>
    </w:p>
    <w:p>
      <w:pPr>
        <w:pStyle w:val="Footnotesection"/>
      </w:pPr>
      <w:r>
        <w:tab/>
        <w:t>[Regulation 4 amended in Gazette 11 Nov 2005 p. 5569 and 5570.]</w:t>
      </w:r>
    </w:p>
    <w:p>
      <w:pPr>
        <w:pStyle w:val="Heading5"/>
        <w:rPr>
          <w:snapToGrid w:val="0"/>
        </w:rPr>
      </w:pPr>
      <w:bookmarkStart w:id="29" w:name="_Toc532976968"/>
      <w:bookmarkStart w:id="30" w:name="_Toc2571979"/>
      <w:bookmarkStart w:id="31" w:name="_Toc36356133"/>
      <w:bookmarkStart w:id="32" w:name="_Toc86727080"/>
      <w:bookmarkStart w:id="33" w:name="_Toc94408667"/>
      <w:bookmarkStart w:id="34" w:name="_Toc119464642"/>
      <w:bookmarkStart w:id="35" w:name="_Toc119466391"/>
      <w:r>
        <w:rPr>
          <w:rStyle w:val="CharSectno"/>
        </w:rPr>
        <w:t>5</w:t>
      </w:r>
      <w:r>
        <w:rPr>
          <w:snapToGrid w:val="0"/>
        </w:rPr>
        <w:t>.</w:t>
      </w:r>
      <w:r>
        <w:rPr>
          <w:snapToGrid w:val="0"/>
        </w:rPr>
        <w:tab/>
        <w:t>Scale of fees — occupational therapists</w:t>
      </w:r>
      <w:bookmarkEnd w:id="29"/>
      <w:bookmarkEnd w:id="30"/>
      <w:bookmarkEnd w:id="31"/>
      <w:bookmarkEnd w:id="32"/>
      <w:bookmarkEnd w:id="33"/>
      <w:bookmarkEnd w:id="34"/>
      <w:bookmarkEnd w:id="3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injuries</w:t>
      </w:r>
      <w:r>
        <w:rPr>
          <w:snapToGrid w:val="0"/>
          <w:spacing w:val="-4"/>
        </w:rPr>
        <w:t xml:space="preserve"> that are compensable under the Act.</w:t>
      </w:r>
    </w:p>
    <w:p>
      <w:pPr>
        <w:pStyle w:val="Footnotesection"/>
      </w:pPr>
      <w:bookmarkStart w:id="36" w:name="_Toc532976969"/>
      <w:bookmarkStart w:id="37" w:name="_Toc2571980"/>
      <w:bookmarkStart w:id="38" w:name="_Toc36356134"/>
      <w:bookmarkStart w:id="39" w:name="_Toc86727081"/>
      <w:bookmarkStart w:id="40" w:name="_Toc94408668"/>
      <w:r>
        <w:tab/>
        <w:t>[Regulation 5 amended in Gazette 11 Nov 2005 p. 5569 and 5570.]</w:t>
      </w:r>
    </w:p>
    <w:p>
      <w:pPr>
        <w:pStyle w:val="Heading5"/>
        <w:rPr>
          <w:snapToGrid w:val="0"/>
        </w:rPr>
      </w:pPr>
      <w:bookmarkStart w:id="41" w:name="_Toc119464643"/>
      <w:bookmarkStart w:id="42" w:name="_Toc119466392"/>
      <w:r>
        <w:rPr>
          <w:rStyle w:val="CharSectno"/>
        </w:rPr>
        <w:t>6</w:t>
      </w:r>
      <w:r>
        <w:rPr>
          <w:snapToGrid w:val="0"/>
        </w:rPr>
        <w:t>.</w:t>
      </w:r>
      <w:r>
        <w:rPr>
          <w:snapToGrid w:val="0"/>
        </w:rPr>
        <w:tab/>
        <w:t>Scale of fees — clinical psychologists</w:t>
      </w:r>
      <w:bookmarkEnd w:id="36"/>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Under section </w:t>
      </w:r>
      <w:r>
        <w:t>292(2)(a)(vi)</w:t>
      </w:r>
      <w:r>
        <w:rPr>
          <w:snapToGrid w:val="0"/>
        </w:rPr>
        <w:t xml:space="preserve"> of the Act, the hourly rate of </w:t>
      </w:r>
      <w:r>
        <w:t>$159.20</w:t>
      </w:r>
      <w:r>
        <w:rPr>
          <w:snapToGrid w:val="0"/>
        </w:rPr>
        <w:t xml:space="preserve"> per hour is prescribed as the fee to be paid to clinical psychologists for attendance on, and treatment of, workers suffering </w:t>
      </w:r>
      <w:r>
        <w:t>injuries</w:t>
      </w:r>
      <w:r>
        <w:rPr>
          <w:snapToGrid w:val="0"/>
        </w:rPr>
        <w:t xml:space="preserve"> that are compensable under the Act.</w:t>
      </w:r>
    </w:p>
    <w:p>
      <w:pPr>
        <w:pStyle w:val="Footnotesection"/>
      </w:pPr>
      <w:r>
        <w:tab/>
        <w:t>[Regulation 6 amended in Gazette 20 Jul 1999 p. 3249; 21 Dec 2000 p. 7625; 14 Dec 2001 p. 6417; 9 May 2003 p. 1626; 9 Jan 2004 p. 99; 21 Jan 2005 p. 278; 11 Nov 2005 p. 5569 and 5570.]</w:t>
      </w:r>
    </w:p>
    <w:p>
      <w:pPr>
        <w:pStyle w:val="Heading5"/>
        <w:rPr>
          <w:snapToGrid w:val="0"/>
        </w:rPr>
      </w:pPr>
      <w:bookmarkStart w:id="43" w:name="_Toc532976971"/>
      <w:bookmarkStart w:id="44" w:name="_Toc2571982"/>
      <w:bookmarkStart w:id="45" w:name="_Toc36356135"/>
      <w:bookmarkStart w:id="46" w:name="_Toc86727082"/>
      <w:bookmarkStart w:id="47" w:name="_Toc94408669"/>
      <w:bookmarkStart w:id="48" w:name="_Toc119464644"/>
      <w:bookmarkStart w:id="49" w:name="_Toc119466393"/>
      <w:bookmarkStart w:id="50" w:name="_Toc532976970"/>
      <w:bookmarkStart w:id="51" w:name="_Toc2571981"/>
      <w:bookmarkStart w:id="52" w:name="_Toc10018675"/>
      <w:r>
        <w:rPr>
          <w:rStyle w:val="CharSectno"/>
        </w:rPr>
        <w:t>7</w:t>
      </w:r>
      <w:r>
        <w:rPr>
          <w:snapToGrid w:val="0"/>
        </w:rPr>
        <w:t>.</w:t>
      </w:r>
      <w:r>
        <w:rPr>
          <w:snapToGrid w:val="0"/>
        </w:rPr>
        <w:tab/>
        <w:t>Scale of fees — speech therapists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r>
        <w:t>injuries</w:t>
      </w:r>
      <w:r>
        <w:rPr>
          <w:snapToGrid w:val="0"/>
        </w:rPr>
        <w:t xml:space="preserve"> that are compensable under the Act.</w:t>
      </w:r>
    </w:p>
    <w:p>
      <w:pPr>
        <w:pStyle w:val="Footnotesection"/>
      </w:pPr>
      <w:bookmarkStart w:id="53" w:name="_Toc36356136"/>
      <w:bookmarkStart w:id="54" w:name="_Toc86727083"/>
      <w:bookmarkStart w:id="55" w:name="_Toc94408670"/>
      <w:r>
        <w:tab/>
        <w:t>[Regulation 7 amended in Gazette 11 Nov 2005 p. 5569 and 5570.]</w:t>
      </w:r>
    </w:p>
    <w:p>
      <w:pPr>
        <w:pStyle w:val="Heading5"/>
      </w:pPr>
      <w:bookmarkStart w:id="56" w:name="_Toc119464645"/>
      <w:bookmarkStart w:id="57" w:name="_Toc119466394"/>
      <w:r>
        <w:rPr>
          <w:rStyle w:val="CharSectno"/>
        </w:rPr>
        <w:t>7A</w:t>
      </w:r>
      <w:r>
        <w:t>.</w:t>
      </w:r>
      <w:r>
        <w:tab/>
        <w:t>Scale of fees — osteopaths</w:t>
      </w:r>
      <w:bookmarkEnd w:id="50"/>
      <w:bookmarkEnd w:id="51"/>
      <w:bookmarkEnd w:id="52"/>
      <w:bookmarkEnd w:id="53"/>
      <w:bookmarkEnd w:id="54"/>
      <w:bookmarkEnd w:id="55"/>
      <w:bookmarkEnd w:id="56"/>
      <w:bookmarkEnd w:id="57"/>
    </w:p>
    <w:p>
      <w:pPr>
        <w:pStyle w:val="Subsection"/>
        <w:spacing w:before="120"/>
      </w:pPr>
      <w:r>
        <w:tab/>
      </w:r>
      <w:r>
        <w:tab/>
        <w:t>Under section 292(2)(a)(viii) of the Act, the amount of $50.40 is prescribed as the fee to be paid to an osteopath for an osteopathic consultation with a worker suffering injuries that are compensable under the Act.</w:t>
      </w:r>
    </w:p>
    <w:p>
      <w:pPr>
        <w:pStyle w:val="NotesPerm"/>
        <w:spacing w:before="120"/>
        <w:ind w:left="851"/>
      </w:pPr>
      <w:r>
        <w:tab/>
        <w:t xml:space="preserve">[Note: “Osteopathy” was approved as an “approved treatment” under section 5(1) of the Act in </w:t>
      </w:r>
      <w:r>
        <w:rPr>
          <w:i/>
        </w:rPr>
        <w:t>Gazette</w:t>
      </w:r>
      <w:r>
        <w:t xml:space="preserve"> 29/9/2000, p. 5564.]</w:t>
      </w:r>
    </w:p>
    <w:p>
      <w:pPr>
        <w:pStyle w:val="Footnotesection"/>
        <w:ind w:left="890" w:hanging="890"/>
      </w:pPr>
      <w:r>
        <w:tab/>
        <w:t>[Regulation 7A inserted in Gazette 14 Dec 2001 p. 6417; amended in Gazette 7 Mar 2003 p. 741; 9 Jan 2004 p. 99; 21 Jan 2005 p. 279; 11 Nov 2005 p. 5569 and 5570.]</w:t>
      </w:r>
    </w:p>
    <w:p>
      <w:pPr>
        <w:pStyle w:val="Heading5"/>
        <w:rPr>
          <w:snapToGrid w:val="0"/>
        </w:rPr>
      </w:pPr>
      <w:bookmarkStart w:id="58" w:name="_Toc532976972"/>
      <w:bookmarkStart w:id="59" w:name="_Toc2571983"/>
      <w:bookmarkStart w:id="60" w:name="_Toc36356137"/>
      <w:bookmarkStart w:id="61" w:name="_Toc86727084"/>
      <w:bookmarkStart w:id="62" w:name="_Toc94408671"/>
      <w:bookmarkStart w:id="63" w:name="_Toc119464646"/>
      <w:bookmarkStart w:id="64" w:name="_Toc119466395"/>
      <w:r>
        <w:rPr>
          <w:rStyle w:val="CharSectno"/>
        </w:rPr>
        <w:t>8</w:t>
      </w:r>
      <w:r>
        <w:rPr>
          <w:snapToGrid w:val="0"/>
        </w:rPr>
        <w:t>.</w:t>
      </w:r>
      <w:r>
        <w:rPr>
          <w:snapToGrid w:val="0"/>
        </w:rPr>
        <w:tab/>
        <w:t>Scale of fees — vocational rehabilitation providers</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$118.85 </w:t>
      </w:r>
      <w:r>
        <w:rPr>
          <w:snapToGrid w:val="0"/>
        </w:rPr>
        <w:t>per hour is prescribed as the fee to be paid to approved providers of vocational rehabilitation services when those services are provided to workers in accordance with the Act.</w:t>
      </w:r>
    </w:p>
    <w:p>
      <w:pPr>
        <w:pStyle w:val="Footnotesection"/>
      </w:pPr>
      <w:r>
        <w:tab/>
        <w:t>[Regulation 8 amended in Gazette 21 Dec 2000 p. 7626; 28 Dec 2001 p. 6692; 23 Sep 2003 p. 4174; 9 Jan 2004 p. 99; 21 Jan 2005 p. 279; 11 Nov 2005 p. 5569.]</w:t>
      </w:r>
    </w:p>
    <w:p>
      <w:pPr>
        <w:pStyle w:val="Heading5"/>
      </w:pPr>
      <w:bookmarkStart w:id="65" w:name="_Toc119464647"/>
      <w:bookmarkStart w:id="66" w:name="_Toc119466396"/>
      <w:r>
        <w:rPr>
          <w:rStyle w:val="CharSectno"/>
        </w:rPr>
        <w:t>9</w:t>
      </w:r>
      <w:r>
        <w:t>.</w:t>
      </w:r>
      <w:r>
        <w:tab/>
        <w:t>Scale of maximum fees — approved medical specialists</w:t>
      </w:r>
      <w:bookmarkEnd w:id="65"/>
      <w:bookmarkEnd w:id="6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 9 inserted in Gazette 11 Nov 2005 p. 5567-8.]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7" w:name="_Toc36356138"/>
      <w:bookmarkStart w:id="68" w:name="_Toc86727085"/>
      <w:bookmarkStart w:id="69" w:name="_Toc94408672"/>
      <w:bookmarkStart w:id="70" w:name="_Toc118519379"/>
      <w:bookmarkStart w:id="71" w:name="_Toc118616292"/>
      <w:bookmarkStart w:id="72" w:name="_Toc119464648"/>
      <w:bookmarkStart w:id="73" w:name="_Toc119464792"/>
      <w:bookmarkStart w:id="74" w:name="_Toc119466397"/>
      <w:r>
        <w:rPr>
          <w:rStyle w:val="CharSchNo"/>
        </w:rPr>
        <w:t>Schedule 1</w:t>
      </w:r>
      <w:bookmarkEnd w:id="67"/>
      <w:bookmarkEnd w:id="68"/>
      <w:bookmarkEnd w:id="69"/>
      <w:bookmarkEnd w:id="70"/>
      <w:bookmarkEnd w:id="71"/>
      <w:bookmarkEnd w:id="72"/>
      <w:bookmarkEnd w:id="73"/>
      <w:bookmarkEnd w:id="74"/>
      <w:r>
        <w:rPr>
          <w:rStyle w:val="CharSchText"/>
        </w:rPr>
        <w:t xml:space="preserve"> </w:t>
      </w:r>
    </w:p>
    <w:p>
      <w:pPr>
        <w:pStyle w:val="yShoulderClause"/>
        <w:spacing w:before="0"/>
      </w:pPr>
      <w:r>
        <w:t>[r. 2]</w:t>
      </w:r>
    </w:p>
    <w:p>
      <w:pPr>
        <w:pStyle w:val="yMiscellaneousHeading"/>
        <w:spacing w:before="120" w:after="120"/>
        <w:ind w:right="295"/>
        <w:rPr>
          <w:b/>
          <w:sz w:val="28"/>
        </w:rPr>
      </w:pPr>
      <w:r>
        <w:rPr>
          <w:b/>
          <w:sz w:val="28"/>
        </w:rPr>
        <w:t>Scales of fees — medical specialists and other medical practitioners</w:t>
      </w:r>
    </w:p>
    <w:p>
      <w:pPr>
        <w:pStyle w:val="yMiscellaneousHeading"/>
        <w:spacing w:before="0"/>
        <w:ind w:left="425" w:right="295"/>
        <w:rPr>
          <w:b/>
          <w:sz w:val="24"/>
        </w:rPr>
      </w:pPr>
      <w:r>
        <w:rPr>
          <w:b/>
          <w:sz w:val="24"/>
        </w:rPr>
        <w:t>Part 1 — Medical specialists and other medical practitioners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zyMiscellaneousBody"/>
        <w:spacing w:before="0"/>
        <w:ind w:left="0"/>
        <w:rPr>
          <w:b/>
          <w:bCs/>
        </w:rPr>
      </w:pPr>
      <w:r>
        <w:rPr>
          <w:b/>
          <w:bCs/>
        </w:rPr>
        <w:t>GENERAL PRACTITIONER</w:t>
      </w:r>
    </w:p>
    <w:p>
      <w:pPr>
        <w:pStyle w:val="zyMiscellaneousBody"/>
        <w:ind w:left="0"/>
      </w:pPr>
      <w:r>
        <w:t>CONSULTATIONS</w:t>
      </w:r>
    </w:p>
    <w:p>
      <w:pPr>
        <w:pStyle w:val="zyMiscellaneousBody"/>
        <w:ind w:left="0"/>
        <w:rPr>
          <w:u w:val="single"/>
        </w:rPr>
      </w:pPr>
      <w:r>
        <w:rPr>
          <w:u w:val="single"/>
        </w:rPr>
        <w:t>Surgery Consultation</w:t>
      </w:r>
    </w:p>
    <w:p>
      <w:pPr>
        <w:pStyle w:val="zyMiscellaneousBody"/>
        <w:ind w:left="0"/>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rPr>
                <w:b/>
                <w:bCs/>
              </w:rPr>
            </w:pPr>
            <w:r>
              <w:rPr>
                <w:b/>
                <w:bCs/>
              </w:rPr>
              <w:t>Content based</w:t>
            </w:r>
          </w:p>
        </w:tc>
        <w:tc>
          <w:tcPr>
            <w:tcW w:w="1276" w:type="dxa"/>
          </w:tcPr>
          <w:p>
            <w:pPr>
              <w:pStyle w:val="yTable"/>
              <w:jc w:val="center"/>
            </w:pPr>
            <w:r>
              <w:t>$</w:t>
            </w:r>
          </w:p>
        </w:tc>
      </w:tr>
      <w:tr>
        <w:tc>
          <w:tcPr>
            <w:tcW w:w="5812" w:type="dxa"/>
          </w:tcPr>
          <w:p>
            <w:pPr>
              <w:pStyle w:val="yTable"/>
              <w:tabs>
                <w:tab w:val="left" w:pos="708"/>
              </w:tabs>
            </w:pPr>
            <w:r>
              <w:tab/>
              <w:t>Minor or Specific Service (Level A or B)</w:t>
            </w:r>
          </w:p>
        </w:tc>
        <w:tc>
          <w:tcPr>
            <w:tcW w:w="1276" w:type="dxa"/>
          </w:tcPr>
          <w:p>
            <w:pPr>
              <w:pStyle w:val="yTable"/>
              <w:ind w:right="142"/>
              <w:jc w:val="right"/>
            </w:pPr>
            <w:r>
              <w:t>49.50</w:t>
            </w:r>
          </w:p>
        </w:tc>
      </w:tr>
      <w:tr>
        <w:tc>
          <w:tcPr>
            <w:tcW w:w="5812" w:type="dxa"/>
          </w:tcPr>
          <w:p>
            <w:pPr>
              <w:pStyle w:val="yTable"/>
              <w:tabs>
                <w:tab w:val="left" w:pos="708"/>
              </w:tabs>
            </w:pPr>
            <w:r>
              <w:tab/>
              <w:t>Extended Service (Level C)</w:t>
            </w:r>
          </w:p>
        </w:tc>
        <w:tc>
          <w:tcPr>
            <w:tcW w:w="1276" w:type="dxa"/>
          </w:tcPr>
          <w:p>
            <w:pPr>
              <w:pStyle w:val="yTable"/>
              <w:ind w:right="142"/>
              <w:jc w:val="right"/>
            </w:pPr>
            <w:r>
              <w:t>90.45</w:t>
            </w:r>
          </w:p>
        </w:tc>
      </w:tr>
      <w:tr>
        <w:tc>
          <w:tcPr>
            <w:tcW w:w="5812" w:type="dxa"/>
          </w:tcPr>
          <w:p>
            <w:pPr>
              <w:pStyle w:val="yTable"/>
              <w:tabs>
                <w:tab w:val="left" w:pos="708"/>
              </w:tabs>
            </w:pPr>
            <w:r>
              <w:tab/>
              <w:t>Comprehensive Service (Level D)</w:t>
            </w:r>
          </w:p>
        </w:tc>
        <w:tc>
          <w:tcPr>
            <w:tcW w:w="1276" w:type="dxa"/>
          </w:tcPr>
          <w:p>
            <w:pPr>
              <w:pStyle w:val="yTable"/>
              <w:ind w:right="142"/>
              <w:jc w:val="right"/>
            </w:pPr>
            <w:r>
              <w:t>138.95</w:t>
            </w:r>
          </w:p>
        </w:tc>
      </w:tr>
      <w:tr>
        <w:tc>
          <w:tcPr>
            <w:tcW w:w="5812" w:type="dxa"/>
          </w:tcPr>
          <w:p>
            <w:pPr>
              <w:pStyle w:val="yTable"/>
              <w:ind w:firstLine="283"/>
              <w:rPr>
                <w:b/>
                <w:bCs/>
              </w:rPr>
            </w:pPr>
            <w:r>
              <w:rPr>
                <w:b/>
                <w:bCs/>
              </w:rPr>
              <w:t>Time based</w:t>
            </w:r>
          </w:p>
        </w:tc>
        <w:tc>
          <w:tcPr>
            <w:tcW w:w="1276" w:type="dxa"/>
          </w:tcPr>
          <w:p>
            <w:pPr>
              <w:pStyle w:val="yTable"/>
              <w:jc w:val="center"/>
            </w:pPr>
            <w:r>
              <w:t>$</w:t>
            </w:r>
          </w:p>
        </w:tc>
      </w:tr>
      <w:tr>
        <w:tc>
          <w:tcPr>
            <w:tcW w:w="5812" w:type="dxa"/>
          </w:tcPr>
          <w:p>
            <w:pPr>
              <w:pStyle w:val="yTable"/>
              <w:tabs>
                <w:tab w:val="left" w:pos="708"/>
              </w:tabs>
            </w:pPr>
            <w:r>
              <w:tab/>
              <w:t>up to 5 mins</w:t>
            </w:r>
          </w:p>
        </w:tc>
        <w:tc>
          <w:tcPr>
            <w:tcW w:w="1276" w:type="dxa"/>
          </w:tcPr>
          <w:p>
            <w:pPr>
              <w:pStyle w:val="yTable"/>
              <w:ind w:right="142"/>
              <w:jc w:val="right"/>
            </w:pPr>
            <w:r>
              <w:t>29.50</w:t>
            </w:r>
          </w:p>
        </w:tc>
      </w:tr>
      <w:tr>
        <w:tc>
          <w:tcPr>
            <w:tcW w:w="5812" w:type="dxa"/>
          </w:tcPr>
          <w:p>
            <w:pPr>
              <w:pStyle w:val="yTable"/>
              <w:tabs>
                <w:tab w:val="left" w:pos="708"/>
              </w:tabs>
            </w:pPr>
            <w:r>
              <w:tab/>
              <w:t>more than 5 mins to 15 mins</w:t>
            </w:r>
          </w:p>
        </w:tc>
        <w:tc>
          <w:tcPr>
            <w:tcW w:w="1276" w:type="dxa"/>
          </w:tcPr>
          <w:p>
            <w:pPr>
              <w:pStyle w:val="yTable"/>
              <w:ind w:right="142"/>
              <w:jc w:val="right"/>
            </w:pPr>
            <w:r>
              <w:t>38.55</w:t>
            </w:r>
          </w:p>
        </w:tc>
      </w:tr>
      <w:tr>
        <w:tc>
          <w:tcPr>
            <w:tcW w:w="5812" w:type="dxa"/>
          </w:tcPr>
          <w:p>
            <w:pPr>
              <w:pStyle w:val="yTable"/>
              <w:tabs>
                <w:tab w:val="left" w:pos="708"/>
              </w:tabs>
            </w:pPr>
            <w:r>
              <w:tab/>
              <w:t>more than 15 mins to 30 mins</w:t>
            </w:r>
          </w:p>
        </w:tc>
        <w:tc>
          <w:tcPr>
            <w:tcW w:w="1276" w:type="dxa"/>
          </w:tcPr>
          <w:p>
            <w:pPr>
              <w:pStyle w:val="yTable"/>
              <w:ind w:right="142"/>
              <w:jc w:val="right"/>
            </w:pPr>
            <w:r>
              <w:t>74.25</w:t>
            </w:r>
          </w:p>
        </w:tc>
      </w:tr>
      <w:tr>
        <w:tc>
          <w:tcPr>
            <w:tcW w:w="5812" w:type="dxa"/>
          </w:tcPr>
          <w:p>
            <w:pPr>
              <w:pStyle w:val="yTable"/>
              <w:tabs>
                <w:tab w:val="left" w:pos="708"/>
              </w:tabs>
            </w:pPr>
            <w:r>
              <w:tab/>
              <w:t>more than 30 mins to 45 mins</w:t>
            </w:r>
          </w:p>
        </w:tc>
        <w:tc>
          <w:tcPr>
            <w:tcW w:w="1276" w:type="dxa"/>
          </w:tcPr>
          <w:p>
            <w:pPr>
              <w:pStyle w:val="yTable"/>
              <w:ind w:right="142"/>
              <w:jc w:val="right"/>
            </w:pPr>
            <w:r>
              <w:t>112.30</w:t>
            </w:r>
          </w:p>
        </w:tc>
      </w:tr>
      <w:tr>
        <w:tc>
          <w:tcPr>
            <w:tcW w:w="5812" w:type="dxa"/>
          </w:tcPr>
          <w:p>
            <w:pPr>
              <w:pStyle w:val="yTable"/>
              <w:tabs>
                <w:tab w:val="left" w:pos="708"/>
              </w:tabs>
            </w:pPr>
            <w:r>
              <w:tab/>
              <w:t>more than 45 mins to 60 mins</w:t>
            </w:r>
          </w:p>
        </w:tc>
        <w:tc>
          <w:tcPr>
            <w:tcW w:w="1276" w:type="dxa"/>
          </w:tcPr>
          <w:p>
            <w:pPr>
              <w:pStyle w:val="yTable"/>
              <w:ind w:right="142"/>
              <w:jc w:val="right"/>
            </w:pPr>
            <w:r>
              <w:t>152.30</w:t>
            </w:r>
          </w:p>
        </w:tc>
      </w:tr>
    </w:tbl>
    <w:p>
      <w:pPr>
        <w:pStyle w:val="zyMiscellaneousBody"/>
        <w:ind w:left="0"/>
        <w:rPr>
          <w:u w:val="single"/>
        </w:rPr>
      </w:pPr>
      <w:r>
        <w:rPr>
          <w:u w:val="single"/>
        </w:rPr>
        <w:t>Surgery Consultations</w:t>
      </w:r>
    </w:p>
    <w:p>
      <w:pPr>
        <w:pStyle w:val="zyMiscellaneousBody"/>
        <w:ind w:left="0"/>
      </w:pPr>
      <w:r>
        <w:t>out of hours</w:t>
      </w:r>
    </w:p>
    <w:p>
      <w:pPr>
        <w:pStyle w:val="zyMiscellaneousBody"/>
        <w:ind w:left="0"/>
        <w:rPr>
          <w:spacing w:val="-4"/>
        </w:rPr>
      </w:pPr>
      <w:r>
        <w:t>For</w:t>
      </w:r>
      <w:r>
        <w:rPr>
          <w:spacing w:val="-4"/>
        </w:rPr>
        <w:t xml:space="preserve">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rPr>
                <w:b/>
                <w:bCs/>
              </w:rPr>
            </w:pPr>
            <w:r>
              <w:br w:type="page"/>
            </w:r>
            <w:r>
              <w:rPr>
                <w:b/>
                <w:bCs/>
              </w:rPr>
              <w:t>Content based</w:t>
            </w:r>
          </w:p>
        </w:tc>
        <w:tc>
          <w:tcPr>
            <w:tcW w:w="1276" w:type="dxa"/>
          </w:tcPr>
          <w:p>
            <w:pPr>
              <w:pStyle w:val="yTable"/>
              <w:jc w:val="center"/>
            </w:pPr>
            <w:r>
              <w:t>$</w:t>
            </w:r>
          </w:p>
        </w:tc>
      </w:tr>
      <w:tr>
        <w:tc>
          <w:tcPr>
            <w:tcW w:w="5812" w:type="dxa"/>
          </w:tcPr>
          <w:p>
            <w:pPr>
              <w:pStyle w:val="yTable"/>
              <w:tabs>
                <w:tab w:val="left" w:pos="708"/>
              </w:tabs>
            </w:pPr>
            <w:r>
              <w:tab/>
              <w:t>Minor Service (Level A)</w:t>
            </w:r>
          </w:p>
        </w:tc>
        <w:tc>
          <w:tcPr>
            <w:tcW w:w="1276" w:type="dxa"/>
          </w:tcPr>
          <w:p>
            <w:pPr>
              <w:pStyle w:val="yTable"/>
              <w:ind w:right="142"/>
              <w:jc w:val="right"/>
            </w:pPr>
            <w:r>
              <w:t>37.15</w:t>
            </w:r>
          </w:p>
        </w:tc>
      </w:tr>
      <w:tr>
        <w:tc>
          <w:tcPr>
            <w:tcW w:w="5812" w:type="dxa"/>
          </w:tcPr>
          <w:p>
            <w:pPr>
              <w:pStyle w:val="yTable"/>
              <w:tabs>
                <w:tab w:val="left" w:pos="708"/>
              </w:tabs>
            </w:pPr>
            <w:r>
              <w:tab/>
              <w:t>Specific Service (Level B)</w:t>
            </w:r>
          </w:p>
        </w:tc>
        <w:tc>
          <w:tcPr>
            <w:tcW w:w="1276" w:type="dxa"/>
          </w:tcPr>
          <w:p>
            <w:pPr>
              <w:pStyle w:val="yTable"/>
              <w:ind w:right="142"/>
              <w:jc w:val="right"/>
            </w:pPr>
            <w:r>
              <w:t>74.25</w:t>
            </w:r>
          </w:p>
        </w:tc>
      </w:tr>
      <w:tr>
        <w:tc>
          <w:tcPr>
            <w:tcW w:w="5812" w:type="dxa"/>
          </w:tcPr>
          <w:p>
            <w:pPr>
              <w:pStyle w:val="yTable"/>
              <w:tabs>
                <w:tab w:val="left" w:pos="708"/>
              </w:tabs>
            </w:pPr>
            <w:r>
              <w:tab/>
              <w:t>Extended Service (Level C)</w:t>
            </w:r>
          </w:p>
        </w:tc>
        <w:tc>
          <w:tcPr>
            <w:tcW w:w="1276" w:type="dxa"/>
          </w:tcPr>
          <w:p>
            <w:pPr>
              <w:pStyle w:val="yTable"/>
              <w:ind w:right="142"/>
              <w:jc w:val="right"/>
            </w:pPr>
            <w:r>
              <w:t>135.20</w:t>
            </w:r>
          </w:p>
        </w:tc>
      </w:tr>
      <w:tr>
        <w:tc>
          <w:tcPr>
            <w:tcW w:w="5812" w:type="dxa"/>
          </w:tcPr>
          <w:p>
            <w:pPr>
              <w:pStyle w:val="yTable"/>
              <w:tabs>
                <w:tab w:val="left" w:pos="708"/>
              </w:tabs>
            </w:pPr>
            <w:r>
              <w:tab/>
              <w:t>Comprehensive Service (Level D)</w:t>
            </w:r>
          </w:p>
        </w:tc>
        <w:tc>
          <w:tcPr>
            <w:tcW w:w="1276" w:type="dxa"/>
          </w:tcPr>
          <w:p>
            <w:pPr>
              <w:pStyle w:val="yTable"/>
              <w:ind w:right="142"/>
              <w:jc w:val="right"/>
            </w:pPr>
            <w:r>
              <w:t>209.45</w:t>
            </w:r>
          </w:p>
        </w:tc>
      </w:tr>
      <w:tr>
        <w:tc>
          <w:tcPr>
            <w:tcW w:w="5812" w:type="dxa"/>
          </w:tcPr>
          <w:p>
            <w:pPr>
              <w:pStyle w:val="yTable"/>
              <w:ind w:firstLine="283"/>
              <w:rPr>
                <w:b/>
                <w:bCs/>
              </w:rPr>
            </w:pPr>
            <w:r>
              <w:rPr>
                <w:b/>
                <w:bCs/>
              </w:rPr>
              <w:t>Time based</w:t>
            </w:r>
          </w:p>
        </w:tc>
        <w:tc>
          <w:tcPr>
            <w:tcW w:w="1276" w:type="dxa"/>
          </w:tcPr>
          <w:p>
            <w:pPr>
              <w:pStyle w:val="yTable"/>
              <w:jc w:val="center"/>
            </w:pPr>
            <w:r>
              <w:t>$</w:t>
            </w:r>
          </w:p>
        </w:tc>
      </w:tr>
      <w:tr>
        <w:tc>
          <w:tcPr>
            <w:tcW w:w="5812" w:type="dxa"/>
          </w:tcPr>
          <w:p>
            <w:pPr>
              <w:pStyle w:val="yTable"/>
              <w:tabs>
                <w:tab w:val="left" w:pos="708"/>
              </w:tabs>
            </w:pPr>
            <w:r>
              <w:tab/>
              <w:t>up to 5 mins</w:t>
            </w:r>
          </w:p>
        </w:tc>
        <w:tc>
          <w:tcPr>
            <w:tcW w:w="1276" w:type="dxa"/>
          </w:tcPr>
          <w:p>
            <w:pPr>
              <w:pStyle w:val="yTable"/>
              <w:ind w:right="142"/>
              <w:jc w:val="right"/>
            </w:pPr>
            <w:r>
              <w:t>58.80</w:t>
            </w:r>
          </w:p>
        </w:tc>
      </w:tr>
      <w:tr>
        <w:tc>
          <w:tcPr>
            <w:tcW w:w="5812" w:type="dxa"/>
          </w:tcPr>
          <w:p>
            <w:pPr>
              <w:pStyle w:val="yTable"/>
              <w:tabs>
                <w:tab w:val="left" w:pos="708"/>
              </w:tabs>
            </w:pPr>
            <w:r>
              <w:tab/>
              <w:t>more than 5 mins to 15 mins</w:t>
            </w:r>
          </w:p>
        </w:tc>
        <w:tc>
          <w:tcPr>
            <w:tcW w:w="1276" w:type="dxa"/>
          </w:tcPr>
          <w:p>
            <w:pPr>
              <w:pStyle w:val="yTable"/>
              <w:ind w:right="142"/>
              <w:jc w:val="right"/>
            </w:pPr>
            <w:r>
              <w:t>63.80</w:t>
            </w:r>
          </w:p>
        </w:tc>
      </w:tr>
      <w:tr>
        <w:tc>
          <w:tcPr>
            <w:tcW w:w="5812" w:type="dxa"/>
          </w:tcPr>
          <w:p>
            <w:pPr>
              <w:pStyle w:val="yTable"/>
              <w:tabs>
                <w:tab w:val="left" w:pos="708"/>
              </w:tabs>
            </w:pPr>
            <w:r>
              <w:tab/>
              <w:t>more than 15 mins to 30 mins</w:t>
            </w:r>
          </w:p>
        </w:tc>
        <w:tc>
          <w:tcPr>
            <w:tcW w:w="1276" w:type="dxa"/>
          </w:tcPr>
          <w:p>
            <w:pPr>
              <w:pStyle w:val="yTable"/>
              <w:ind w:right="142"/>
              <w:jc w:val="right"/>
            </w:pPr>
            <w:r>
              <w:t>99.00</w:t>
            </w:r>
          </w:p>
        </w:tc>
      </w:tr>
      <w:tr>
        <w:tc>
          <w:tcPr>
            <w:tcW w:w="5812" w:type="dxa"/>
          </w:tcPr>
          <w:p>
            <w:pPr>
              <w:pStyle w:val="yTable"/>
              <w:tabs>
                <w:tab w:val="left" w:pos="708"/>
              </w:tabs>
            </w:pPr>
            <w:r>
              <w:tab/>
              <w:t>more than 30 mins to 45 mins</w:t>
            </w:r>
          </w:p>
        </w:tc>
        <w:tc>
          <w:tcPr>
            <w:tcW w:w="1276" w:type="dxa"/>
          </w:tcPr>
          <w:p>
            <w:pPr>
              <w:pStyle w:val="yTable"/>
              <w:ind w:right="142"/>
              <w:jc w:val="right"/>
            </w:pPr>
            <w:r>
              <w:t>135.20</w:t>
            </w:r>
          </w:p>
        </w:tc>
      </w:tr>
    </w:tbl>
    <w:p>
      <w:pPr>
        <w:pStyle w:val="zyMiscellaneousBody"/>
        <w:ind w:left="0"/>
      </w:pPr>
      <w:r>
        <w:t>VISITS</w:t>
      </w:r>
    </w:p>
    <w:p>
      <w:pPr>
        <w:pStyle w:val="zyMiscellaneousBody"/>
        <w:ind w:left="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rPr>
                <w:u w:val="single"/>
              </w:rPr>
            </w:pPr>
            <w:r>
              <w:t>in hours</w:t>
            </w:r>
          </w:p>
        </w:tc>
        <w:tc>
          <w:tcPr>
            <w:tcW w:w="1276" w:type="dxa"/>
          </w:tcPr>
          <w:p>
            <w:pPr>
              <w:pStyle w:val="yTable"/>
              <w:jc w:val="center"/>
            </w:pPr>
            <w:r>
              <w:t>$</w:t>
            </w:r>
          </w:p>
        </w:tc>
      </w:tr>
      <w:tr>
        <w:tc>
          <w:tcPr>
            <w:tcW w:w="5812" w:type="dxa"/>
          </w:tcPr>
          <w:p>
            <w:pPr>
              <w:pStyle w:val="yTable"/>
              <w:tabs>
                <w:tab w:val="left" w:pos="708"/>
              </w:tabs>
              <w:rPr>
                <w:u w:val="single"/>
              </w:rPr>
            </w:pPr>
            <w:r>
              <w:tab/>
              <w:t>Minor Service (Level A)</w:t>
            </w:r>
          </w:p>
        </w:tc>
        <w:tc>
          <w:tcPr>
            <w:tcW w:w="1276" w:type="dxa"/>
          </w:tcPr>
          <w:p>
            <w:pPr>
              <w:pStyle w:val="yTable"/>
              <w:ind w:right="142"/>
              <w:jc w:val="right"/>
            </w:pPr>
            <w:r>
              <w:t>61.90</w:t>
            </w:r>
          </w:p>
        </w:tc>
      </w:tr>
      <w:tr>
        <w:tc>
          <w:tcPr>
            <w:tcW w:w="5812" w:type="dxa"/>
          </w:tcPr>
          <w:p>
            <w:pPr>
              <w:pStyle w:val="yTable"/>
              <w:tabs>
                <w:tab w:val="left" w:pos="708"/>
              </w:tabs>
              <w:rPr>
                <w:u w:val="single"/>
              </w:rPr>
            </w:pPr>
            <w:r>
              <w:tab/>
              <w:t>Specific Service (Level B)</w:t>
            </w:r>
          </w:p>
        </w:tc>
        <w:tc>
          <w:tcPr>
            <w:tcW w:w="1276" w:type="dxa"/>
          </w:tcPr>
          <w:p>
            <w:pPr>
              <w:pStyle w:val="yTable"/>
              <w:ind w:right="142"/>
              <w:jc w:val="right"/>
            </w:pPr>
            <w:r>
              <w:t>84.70</w:t>
            </w:r>
          </w:p>
        </w:tc>
      </w:tr>
      <w:tr>
        <w:tc>
          <w:tcPr>
            <w:tcW w:w="5812" w:type="dxa"/>
          </w:tcPr>
          <w:p>
            <w:pPr>
              <w:pStyle w:val="yTable"/>
              <w:tabs>
                <w:tab w:val="left" w:pos="708"/>
              </w:tabs>
              <w:rPr>
                <w:u w:val="single"/>
              </w:rPr>
            </w:pPr>
            <w:r>
              <w:tab/>
              <w:t>Extended Service (Level C)</w:t>
            </w:r>
          </w:p>
        </w:tc>
        <w:tc>
          <w:tcPr>
            <w:tcW w:w="1276" w:type="dxa"/>
          </w:tcPr>
          <w:p>
            <w:pPr>
              <w:pStyle w:val="yTable"/>
              <w:ind w:right="142"/>
              <w:jc w:val="right"/>
            </w:pPr>
            <w:r>
              <w:t>125.65</w:t>
            </w:r>
          </w:p>
        </w:tc>
      </w:tr>
      <w:tr>
        <w:tc>
          <w:tcPr>
            <w:tcW w:w="5812" w:type="dxa"/>
          </w:tcPr>
          <w:p>
            <w:pPr>
              <w:pStyle w:val="yTable"/>
              <w:tabs>
                <w:tab w:val="left" w:pos="708"/>
              </w:tabs>
              <w:rPr>
                <w:u w:val="single"/>
              </w:rPr>
            </w:pPr>
            <w:r>
              <w:tab/>
              <w:t>Comprehensive Service (Level D)</w:t>
            </w:r>
          </w:p>
        </w:tc>
        <w:tc>
          <w:tcPr>
            <w:tcW w:w="1276" w:type="dxa"/>
          </w:tcPr>
          <w:p>
            <w:pPr>
              <w:pStyle w:val="yTable"/>
              <w:ind w:right="142"/>
              <w:jc w:val="right"/>
            </w:pPr>
            <w:r>
              <w:t>175.15</w:t>
            </w:r>
          </w:p>
        </w:tc>
      </w:tr>
      <w:tr>
        <w:tc>
          <w:tcPr>
            <w:tcW w:w="5812" w:type="dxa"/>
          </w:tcPr>
          <w:p>
            <w:pPr>
              <w:pStyle w:val="yTable"/>
            </w:pPr>
            <w:r>
              <w:t>out of hours</w:t>
            </w:r>
          </w:p>
        </w:tc>
        <w:tc>
          <w:tcPr>
            <w:tcW w:w="1276" w:type="dxa"/>
          </w:tcPr>
          <w:p>
            <w:pPr>
              <w:pStyle w:val="yTable"/>
              <w:jc w:val="center"/>
            </w:pPr>
            <w:r>
              <w:t>$</w:t>
            </w:r>
          </w:p>
        </w:tc>
      </w:tr>
      <w:tr>
        <w:tc>
          <w:tcPr>
            <w:tcW w:w="5812" w:type="dxa"/>
          </w:tcPr>
          <w:p>
            <w:pPr>
              <w:pStyle w:val="yTable"/>
              <w:tabs>
                <w:tab w:val="left" w:pos="708"/>
              </w:tabs>
            </w:pPr>
            <w:r>
              <w:tab/>
              <w:t>Minor Service (Level A)</w:t>
            </w:r>
          </w:p>
        </w:tc>
        <w:tc>
          <w:tcPr>
            <w:tcW w:w="1276" w:type="dxa"/>
          </w:tcPr>
          <w:p>
            <w:pPr>
              <w:pStyle w:val="yTable"/>
              <w:ind w:right="142"/>
              <w:jc w:val="right"/>
            </w:pPr>
            <w:r>
              <w:t>74.25</w:t>
            </w:r>
          </w:p>
        </w:tc>
      </w:tr>
      <w:tr>
        <w:tc>
          <w:tcPr>
            <w:tcW w:w="5812" w:type="dxa"/>
          </w:tcPr>
          <w:p>
            <w:pPr>
              <w:pStyle w:val="yTable"/>
              <w:tabs>
                <w:tab w:val="left" w:pos="708"/>
              </w:tabs>
            </w:pPr>
            <w:r>
              <w:tab/>
              <w:t>Specific Service (Level B)</w:t>
            </w:r>
          </w:p>
        </w:tc>
        <w:tc>
          <w:tcPr>
            <w:tcW w:w="1276" w:type="dxa"/>
          </w:tcPr>
          <w:p>
            <w:pPr>
              <w:pStyle w:val="yTable"/>
              <w:ind w:right="142"/>
              <w:jc w:val="right"/>
            </w:pPr>
            <w:r>
              <w:t>110.45</w:t>
            </w:r>
          </w:p>
        </w:tc>
      </w:tr>
      <w:tr>
        <w:tc>
          <w:tcPr>
            <w:tcW w:w="5812" w:type="dxa"/>
          </w:tcPr>
          <w:p>
            <w:pPr>
              <w:pStyle w:val="yTable"/>
              <w:tabs>
                <w:tab w:val="left" w:pos="708"/>
              </w:tabs>
            </w:pPr>
            <w:r>
              <w:tab/>
              <w:t>Extended Service (Level C)</w:t>
            </w:r>
          </w:p>
        </w:tc>
        <w:tc>
          <w:tcPr>
            <w:tcW w:w="1276" w:type="dxa"/>
          </w:tcPr>
          <w:p>
            <w:pPr>
              <w:pStyle w:val="yTable"/>
              <w:ind w:right="142"/>
              <w:jc w:val="right"/>
            </w:pPr>
            <w:r>
              <w:t>169.45</w:t>
            </w:r>
          </w:p>
        </w:tc>
      </w:tr>
      <w:tr>
        <w:tc>
          <w:tcPr>
            <w:tcW w:w="5812" w:type="dxa"/>
          </w:tcPr>
          <w:p>
            <w:pPr>
              <w:pStyle w:val="yTable"/>
              <w:tabs>
                <w:tab w:val="left" w:pos="708"/>
              </w:tabs>
            </w:pPr>
            <w:r>
              <w:tab/>
              <w:t>Comprehensive Service (Level D)</w:t>
            </w:r>
          </w:p>
        </w:tc>
        <w:tc>
          <w:tcPr>
            <w:tcW w:w="1276" w:type="dxa"/>
          </w:tcPr>
          <w:p>
            <w:pPr>
              <w:pStyle w:val="yTable"/>
              <w:ind w:right="142"/>
              <w:jc w:val="right"/>
            </w:pPr>
            <w:r>
              <w:t>247.50</w:t>
            </w:r>
          </w:p>
        </w:tc>
      </w:tr>
    </w:tbl>
    <w:p>
      <w:pPr>
        <w:pStyle w:val="zyMiscellaneousBody"/>
        <w:ind w:left="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160"/>
              <w:ind w:firstLine="141"/>
            </w:pPr>
            <w:r>
              <w:t>Time based</w:t>
            </w:r>
          </w:p>
        </w:tc>
        <w:tc>
          <w:tcPr>
            <w:tcW w:w="1276" w:type="dxa"/>
          </w:tcPr>
          <w:p>
            <w:pPr>
              <w:pStyle w:val="yTable"/>
              <w:spacing w:before="160"/>
              <w:jc w:val="center"/>
            </w:pPr>
            <w:r>
              <w:t>$</w:t>
            </w:r>
          </w:p>
        </w:tc>
      </w:tr>
      <w:tr>
        <w:tc>
          <w:tcPr>
            <w:tcW w:w="5812" w:type="dxa"/>
          </w:tcPr>
          <w:p>
            <w:pPr>
              <w:pStyle w:val="yTable"/>
              <w:tabs>
                <w:tab w:val="left" w:pos="708"/>
              </w:tabs>
              <w:rPr>
                <w:b/>
              </w:rPr>
            </w:pPr>
            <w:r>
              <w:tab/>
              <w:t>up to 5 mins</w:t>
            </w:r>
          </w:p>
        </w:tc>
        <w:tc>
          <w:tcPr>
            <w:tcW w:w="1276" w:type="dxa"/>
          </w:tcPr>
          <w:p>
            <w:pPr>
              <w:pStyle w:val="yTable"/>
              <w:ind w:right="142"/>
              <w:jc w:val="right"/>
            </w:pPr>
            <w:r>
              <w:t>16.55</w:t>
            </w:r>
          </w:p>
        </w:tc>
      </w:tr>
      <w:tr>
        <w:tc>
          <w:tcPr>
            <w:tcW w:w="5812" w:type="dxa"/>
          </w:tcPr>
          <w:p>
            <w:pPr>
              <w:pStyle w:val="yTable"/>
              <w:tabs>
                <w:tab w:val="left" w:pos="708"/>
              </w:tabs>
              <w:rPr>
                <w:b/>
              </w:rPr>
            </w:pPr>
            <w:r>
              <w:tab/>
              <w:t>more than 5 mins to 15 mins</w:t>
            </w:r>
          </w:p>
        </w:tc>
        <w:tc>
          <w:tcPr>
            <w:tcW w:w="1276" w:type="dxa"/>
          </w:tcPr>
          <w:p>
            <w:pPr>
              <w:pStyle w:val="yTable"/>
              <w:ind w:right="142"/>
              <w:jc w:val="right"/>
            </w:pPr>
            <w:r>
              <w:t>20.70</w:t>
            </w:r>
          </w:p>
        </w:tc>
      </w:tr>
      <w:tr>
        <w:tc>
          <w:tcPr>
            <w:tcW w:w="5812" w:type="dxa"/>
          </w:tcPr>
          <w:p>
            <w:pPr>
              <w:pStyle w:val="yTable"/>
              <w:tabs>
                <w:tab w:val="left" w:pos="708"/>
              </w:tabs>
              <w:rPr>
                <w:b/>
              </w:rPr>
            </w:pPr>
            <w:r>
              <w:tab/>
              <w:t>more than 15 mins to 30 mins</w:t>
            </w:r>
          </w:p>
        </w:tc>
        <w:tc>
          <w:tcPr>
            <w:tcW w:w="1276" w:type="dxa"/>
          </w:tcPr>
          <w:p>
            <w:pPr>
              <w:pStyle w:val="yTable"/>
              <w:ind w:right="142"/>
              <w:jc w:val="right"/>
            </w:pPr>
            <w:r>
              <w:t>43.25</w:t>
            </w:r>
          </w:p>
        </w:tc>
      </w:tr>
      <w:tr>
        <w:tc>
          <w:tcPr>
            <w:tcW w:w="5812" w:type="dxa"/>
          </w:tcPr>
          <w:p>
            <w:pPr>
              <w:pStyle w:val="yTable"/>
              <w:tabs>
                <w:tab w:val="left" w:pos="708"/>
              </w:tabs>
              <w:rPr>
                <w:b/>
              </w:rPr>
            </w:pPr>
            <w:r>
              <w:tab/>
              <w:t>more than 30 mins</w:t>
            </w:r>
          </w:p>
        </w:tc>
        <w:tc>
          <w:tcPr>
            <w:tcW w:w="1276" w:type="dxa"/>
          </w:tcPr>
          <w:p>
            <w:pPr>
              <w:pStyle w:val="yTable"/>
              <w:ind w:right="142"/>
              <w:jc w:val="right"/>
            </w:pPr>
            <w:r>
              <w:t>64.85</w:t>
            </w:r>
          </w:p>
        </w:tc>
      </w:tr>
    </w:tbl>
    <w:p>
      <w:pPr>
        <w:pStyle w:val="zyMiscellaneousBody"/>
        <w:ind w:left="0"/>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142"/>
            </w:pPr>
            <w:r>
              <w:t>per hour</w:t>
            </w:r>
          </w:p>
        </w:tc>
        <w:tc>
          <w:tcPr>
            <w:tcW w:w="1276" w:type="dxa"/>
          </w:tcPr>
          <w:p>
            <w:pPr>
              <w:pStyle w:val="yTable"/>
              <w:ind w:right="142" w:hanging="142"/>
              <w:jc w:val="right"/>
            </w:pPr>
            <w:r>
              <w:t>$186.20</w:t>
            </w:r>
          </w:p>
        </w:tc>
      </w:tr>
    </w:tbl>
    <w:p>
      <w:pPr>
        <w:pStyle w:val="zyMiscellaneousBody"/>
        <w:ind w:left="0"/>
      </w:pPr>
      <w:r>
        <w:t>TRAVELLING FEES</w:t>
      </w:r>
    </w:p>
    <w:p>
      <w:pPr>
        <w:pStyle w:val="zyMiscellaneousBody"/>
        <w:ind w:left="284"/>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pPr>
            <w:r>
              <w:t>Rate per kilometre</w:t>
            </w:r>
          </w:p>
        </w:tc>
        <w:tc>
          <w:tcPr>
            <w:tcW w:w="1276" w:type="dxa"/>
          </w:tcPr>
          <w:p>
            <w:pPr>
              <w:pStyle w:val="yTable"/>
              <w:ind w:right="142"/>
              <w:jc w:val="right"/>
            </w:pPr>
            <w:r>
              <w:t>$3.30</w:t>
            </w:r>
          </w:p>
        </w:tc>
      </w:tr>
    </w:tbl>
    <w:p>
      <w:pPr>
        <w:pStyle w:val="yMiscellaneousBody"/>
        <w:spacing w:before="240"/>
        <w:rPr>
          <w:b/>
          <w:i/>
        </w:rPr>
      </w:pPr>
      <w:r>
        <w:rPr>
          <w:b/>
          <w:i/>
        </w:rPr>
        <w:t>PHYSICIANS, OCCUPATIONAL &amp; REHABILITATION PHYSICIANS</w:t>
      </w:r>
    </w:p>
    <w:p>
      <w:pPr>
        <w:pStyle w:val="yMiscellaneousBody"/>
        <w:spacing w:before="80"/>
        <w:rPr>
          <w:b/>
          <w:i/>
        </w:rPr>
      </w:pPr>
      <w:r>
        <w:rPr>
          <w:b/>
          <w:i/>
        </w:rPr>
        <w:t>PHYSICIANS</w:t>
      </w:r>
    </w:p>
    <w:p>
      <w:pPr>
        <w:pStyle w:val="yMiscellaneousBody"/>
        <w:spacing w:before="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pPr>
            <w:r>
              <w:rPr>
                <w:u w:val="single"/>
              </w:rPr>
              <w:t>Professional attendance at consulting rooms and issue of certificate (if required) et al</w:t>
            </w:r>
          </w:p>
        </w:tc>
        <w:tc>
          <w:tcPr>
            <w:tcW w:w="1559" w:type="dxa"/>
          </w:tcPr>
          <w:p>
            <w:pPr>
              <w:pStyle w:val="yTable"/>
              <w:ind w:left="426" w:right="294"/>
              <w:jc w:val="center"/>
            </w:pPr>
          </w:p>
          <w:p>
            <w:pPr>
              <w:pStyle w:val="yTable"/>
              <w:spacing w:before="0"/>
              <w:ind w:left="425" w:right="295"/>
            </w:pPr>
            <w:r>
              <w:t xml:space="preserve">     $</w:t>
            </w:r>
          </w:p>
        </w:tc>
      </w:tr>
      <w:tr>
        <w:tc>
          <w:tcPr>
            <w:tcW w:w="5529" w:type="dxa"/>
          </w:tcPr>
          <w:p>
            <w:pPr>
              <w:pStyle w:val="yTable"/>
              <w:ind w:right="294"/>
              <w:rPr>
                <w:u w:val="single"/>
              </w:rPr>
            </w:pPr>
            <w:r>
              <w:t>first attendance</w:t>
            </w:r>
          </w:p>
        </w:tc>
        <w:tc>
          <w:tcPr>
            <w:tcW w:w="1559" w:type="dxa"/>
          </w:tcPr>
          <w:p>
            <w:pPr>
              <w:pStyle w:val="yTable"/>
              <w:tabs>
                <w:tab w:val="right" w:pos="1418"/>
              </w:tabs>
              <w:ind w:left="283" w:right="294"/>
              <w:jc w:val="right"/>
            </w:pPr>
            <w:r>
              <w:t>187.95</w:t>
            </w:r>
          </w:p>
        </w:tc>
      </w:tr>
      <w:tr>
        <w:tc>
          <w:tcPr>
            <w:tcW w:w="5529" w:type="dxa"/>
          </w:tcPr>
          <w:p>
            <w:pPr>
              <w:pStyle w:val="yTable"/>
              <w:spacing w:before="0"/>
              <w:ind w:right="295"/>
              <w:rPr>
                <w:u w:val="single"/>
              </w:rPr>
            </w:pPr>
            <w:r>
              <w:t>subsequent attendances</w:t>
            </w:r>
          </w:p>
        </w:tc>
        <w:tc>
          <w:tcPr>
            <w:tcW w:w="1559" w:type="dxa"/>
          </w:tcPr>
          <w:p>
            <w:pPr>
              <w:pStyle w:val="yTable"/>
              <w:tabs>
                <w:tab w:val="right" w:pos="1418"/>
              </w:tabs>
              <w:spacing w:before="0"/>
              <w:ind w:left="425" w:right="295"/>
              <w:jc w:val="right"/>
            </w:pPr>
            <w:r>
              <w:t>94.05</w:t>
            </w:r>
          </w:p>
        </w:tc>
      </w:tr>
    </w:tbl>
    <w:p>
      <w:pPr>
        <w:pStyle w:val="yMiscellaneousBody"/>
        <w:keepNex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a place other than consulting rooms and issue of certificate (if required) et al</w:t>
            </w:r>
          </w:p>
        </w:tc>
        <w:tc>
          <w:tcPr>
            <w:tcW w:w="1559" w:type="dxa"/>
          </w:tcPr>
          <w:p>
            <w:pPr>
              <w:pStyle w:val="yTable"/>
              <w:ind w:left="426" w:right="294"/>
            </w:pPr>
          </w:p>
          <w:p>
            <w:pPr>
              <w:pStyle w:val="yTable"/>
              <w:spacing w:before="0"/>
              <w:ind w:left="425" w:right="295"/>
            </w:pPr>
            <w:r>
              <w:t xml:space="preserve">     $</w:t>
            </w:r>
          </w:p>
        </w:tc>
      </w:tr>
      <w:tr>
        <w:tc>
          <w:tcPr>
            <w:tcW w:w="5529" w:type="dxa"/>
          </w:tcPr>
          <w:p>
            <w:pPr>
              <w:pStyle w:val="yTable"/>
              <w:ind w:right="294"/>
              <w:rPr>
                <w:u w:val="single"/>
              </w:rPr>
            </w:pPr>
            <w:r>
              <w:t>first attendance</w:t>
            </w:r>
          </w:p>
        </w:tc>
        <w:tc>
          <w:tcPr>
            <w:tcW w:w="1559" w:type="dxa"/>
          </w:tcPr>
          <w:p>
            <w:pPr>
              <w:pStyle w:val="yTable"/>
              <w:tabs>
                <w:tab w:val="right" w:pos="1418"/>
              </w:tabs>
              <w:ind w:left="283" w:right="294"/>
              <w:jc w:val="right"/>
            </w:pPr>
            <w:r>
              <w:t>225.10</w:t>
            </w:r>
          </w:p>
        </w:tc>
      </w:tr>
      <w:tr>
        <w:tc>
          <w:tcPr>
            <w:tcW w:w="5529" w:type="dxa"/>
          </w:tcPr>
          <w:p>
            <w:pPr>
              <w:pStyle w:val="yTable"/>
              <w:spacing w:before="0"/>
              <w:ind w:right="295"/>
              <w:rPr>
                <w:u w:val="single"/>
              </w:rPr>
            </w:pPr>
            <w:r>
              <w:t>subsequent attendances</w:t>
            </w:r>
          </w:p>
        </w:tc>
        <w:tc>
          <w:tcPr>
            <w:tcW w:w="1559" w:type="dxa"/>
          </w:tcPr>
          <w:p>
            <w:pPr>
              <w:pStyle w:val="yTable"/>
              <w:tabs>
                <w:tab w:val="right" w:pos="1418"/>
              </w:tabs>
              <w:spacing w:before="0"/>
              <w:ind w:left="283" w:right="295"/>
              <w:jc w:val="right"/>
            </w:pPr>
            <w:r>
              <w:t>129.90</w:t>
            </w:r>
          </w:p>
        </w:tc>
      </w:tr>
    </w:tbl>
    <w:p>
      <w:pPr>
        <w:pStyle w:val="yMiscellaneousBody"/>
        <w:spacing w:before="180"/>
        <w:rPr>
          <w:b/>
          <w:i/>
        </w:rPr>
      </w:pPr>
      <w:r>
        <w:rPr>
          <w:b/>
          <w:i/>
        </w:rPr>
        <w:t>REHABILITATION PHYSICIANS</w:t>
      </w:r>
    </w:p>
    <w:p>
      <w:pPr>
        <w:pStyle w:val="yMiscellaneousBody"/>
        <w:spacing w:before="4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consulting rooms and issue of certificate (if required) et al</w:t>
            </w:r>
          </w:p>
        </w:tc>
        <w:tc>
          <w:tcPr>
            <w:tcW w:w="1559" w:type="dxa"/>
          </w:tcPr>
          <w:p>
            <w:pPr>
              <w:pStyle w:val="yTable"/>
              <w:ind w:left="426" w:right="294"/>
              <w:jc w:val="center"/>
            </w:pPr>
          </w:p>
          <w:p>
            <w:pPr>
              <w:pStyle w:val="yTable"/>
              <w:spacing w:before="0"/>
              <w:ind w:left="425" w:right="295"/>
            </w:pPr>
            <w:r>
              <w:t xml:space="preserve">     $</w:t>
            </w:r>
          </w:p>
        </w:tc>
      </w:tr>
      <w:tr>
        <w:tc>
          <w:tcPr>
            <w:tcW w:w="5529" w:type="dxa"/>
          </w:tcPr>
          <w:p>
            <w:pPr>
              <w:pStyle w:val="yTable"/>
              <w:ind w:right="294"/>
              <w:rPr>
                <w:u w:val="single"/>
              </w:rPr>
            </w:pPr>
            <w:r>
              <w:t>first attendance</w:t>
            </w:r>
          </w:p>
        </w:tc>
        <w:tc>
          <w:tcPr>
            <w:tcW w:w="1559" w:type="dxa"/>
          </w:tcPr>
          <w:p>
            <w:pPr>
              <w:pStyle w:val="yTable"/>
              <w:tabs>
                <w:tab w:val="right" w:pos="1418"/>
              </w:tabs>
              <w:ind w:left="283" w:right="294"/>
              <w:jc w:val="right"/>
            </w:pPr>
            <w:r>
              <w:t>187.95</w:t>
            </w:r>
          </w:p>
        </w:tc>
      </w:tr>
      <w:tr>
        <w:tc>
          <w:tcPr>
            <w:tcW w:w="5529" w:type="dxa"/>
          </w:tcPr>
          <w:p>
            <w:pPr>
              <w:pStyle w:val="yTable"/>
              <w:spacing w:before="0"/>
              <w:ind w:right="295"/>
              <w:rPr>
                <w:u w:val="single"/>
              </w:rPr>
            </w:pPr>
            <w:r>
              <w:t>subsequent attendances</w:t>
            </w:r>
          </w:p>
        </w:tc>
        <w:tc>
          <w:tcPr>
            <w:tcW w:w="1559" w:type="dxa"/>
          </w:tcPr>
          <w:p>
            <w:pPr>
              <w:pStyle w:val="yTable"/>
              <w:tabs>
                <w:tab w:val="right" w:pos="1418"/>
              </w:tabs>
              <w:spacing w:before="0"/>
              <w:ind w:left="425" w:right="295"/>
              <w:jc w:val="right"/>
            </w:pPr>
            <w:r>
              <w:t>94.05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a place other than consulting rooms and issue of certificate (if required) et al</w:t>
            </w:r>
          </w:p>
        </w:tc>
        <w:tc>
          <w:tcPr>
            <w:tcW w:w="1559" w:type="dxa"/>
          </w:tcPr>
          <w:p>
            <w:pPr>
              <w:pStyle w:val="yTable"/>
              <w:ind w:left="426" w:right="294"/>
              <w:jc w:val="center"/>
            </w:pPr>
          </w:p>
          <w:p>
            <w:pPr>
              <w:pStyle w:val="yTable"/>
              <w:spacing w:before="0"/>
              <w:ind w:left="425" w:right="295"/>
            </w:pPr>
            <w:r>
              <w:t xml:space="preserve">     $</w:t>
            </w:r>
          </w:p>
        </w:tc>
      </w:tr>
      <w:tr>
        <w:tc>
          <w:tcPr>
            <w:tcW w:w="5529" w:type="dxa"/>
          </w:tcPr>
          <w:p>
            <w:pPr>
              <w:pStyle w:val="yTable"/>
              <w:ind w:right="294"/>
              <w:rPr>
                <w:u w:val="single"/>
              </w:rPr>
            </w:pPr>
            <w:r>
              <w:t>first attendance</w:t>
            </w:r>
          </w:p>
        </w:tc>
        <w:tc>
          <w:tcPr>
            <w:tcW w:w="1559" w:type="dxa"/>
          </w:tcPr>
          <w:p>
            <w:pPr>
              <w:pStyle w:val="yTable"/>
              <w:tabs>
                <w:tab w:val="right" w:pos="1418"/>
              </w:tabs>
              <w:ind w:left="283" w:right="294"/>
              <w:jc w:val="right"/>
            </w:pPr>
            <w:r>
              <w:t>225.10</w:t>
            </w:r>
          </w:p>
        </w:tc>
      </w:tr>
      <w:tr>
        <w:tc>
          <w:tcPr>
            <w:tcW w:w="5529" w:type="dxa"/>
          </w:tcPr>
          <w:p>
            <w:pPr>
              <w:pStyle w:val="yTable"/>
              <w:spacing w:before="0"/>
              <w:ind w:right="295"/>
              <w:rPr>
                <w:u w:val="single"/>
              </w:rPr>
            </w:pPr>
            <w:r>
              <w:t>subsequent attendances</w:t>
            </w:r>
          </w:p>
        </w:tc>
        <w:tc>
          <w:tcPr>
            <w:tcW w:w="1559" w:type="dxa"/>
          </w:tcPr>
          <w:p>
            <w:pPr>
              <w:pStyle w:val="yTable"/>
              <w:tabs>
                <w:tab w:val="right" w:pos="1418"/>
              </w:tabs>
              <w:spacing w:before="0"/>
              <w:ind w:left="283" w:right="295"/>
              <w:jc w:val="right"/>
            </w:pPr>
            <w:r>
              <w:t>129.90</w:t>
            </w:r>
          </w:p>
        </w:tc>
      </w:tr>
    </w:tbl>
    <w:p>
      <w:pPr>
        <w:pStyle w:val="yMiscellaneousBody"/>
        <w:spacing w:before="240"/>
        <w:rPr>
          <w:b/>
          <w:i/>
        </w:rPr>
      </w:pPr>
      <w:r>
        <w:rPr>
          <w:b/>
          <w:i/>
        </w:rPr>
        <w:t>OCCUPATIONAL PHYSICIANS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ind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center"/>
            </w:pPr>
            <w:r>
              <w:br/>
              <w:t>$</w:t>
            </w:r>
          </w:p>
        </w:tc>
      </w:tr>
      <w:tr>
        <w:tc>
          <w:tcPr>
            <w:tcW w:w="5812" w:type="dxa"/>
          </w:tcPr>
          <w:p>
            <w:pPr>
              <w:pStyle w:val="yTable"/>
              <w:keepNext/>
              <w:keepLines/>
              <w:ind w:right="294"/>
              <w:rPr>
                <w:u w:val="single"/>
              </w:rPr>
            </w:pPr>
            <w:r>
              <w:t>first attendance</w:t>
            </w:r>
          </w:p>
        </w:tc>
        <w:tc>
          <w:tcPr>
            <w:tcW w:w="1276" w:type="dxa"/>
            <w:gridSpan w:val="2"/>
          </w:tcPr>
          <w:p>
            <w:pPr>
              <w:pStyle w:val="yTable"/>
              <w:keepNext/>
              <w:keepLines/>
              <w:tabs>
                <w:tab w:val="decimal" w:pos="425"/>
                <w:tab w:val="right" w:pos="1418"/>
              </w:tabs>
              <w:ind w:right="295"/>
              <w:jc w:val="right"/>
            </w:pPr>
            <w:r>
              <w:t>191.05</w:t>
            </w:r>
          </w:p>
        </w:tc>
      </w:tr>
      <w:tr>
        <w:tc>
          <w:tcPr>
            <w:tcW w:w="5812" w:type="dxa"/>
          </w:tcPr>
          <w:p>
            <w:pPr>
              <w:pStyle w:val="yTable"/>
              <w:spacing w:before="0"/>
              <w:ind w:right="295"/>
              <w:rPr>
                <w:u w:val="single"/>
              </w:rPr>
            </w:pPr>
            <w:r>
              <w:t>subsequent attendances</w:t>
            </w:r>
          </w:p>
        </w:tc>
        <w:tc>
          <w:tcPr>
            <w:tcW w:w="1276" w:type="dxa"/>
            <w:gridSpan w:val="2"/>
          </w:tcPr>
          <w:p>
            <w:pPr>
              <w:pStyle w:val="yTable"/>
              <w:tabs>
                <w:tab w:val="decimal" w:pos="425"/>
                <w:tab w:val="right" w:pos="1418"/>
              </w:tabs>
              <w:ind w:right="295"/>
              <w:jc w:val="right"/>
            </w:pPr>
            <w:r>
              <w:t>94.05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center"/>
            </w:pPr>
            <w:r>
              <w:br/>
              <w:t>$</w:t>
            </w:r>
          </w:p>
        </w:tc>
      </w:tr>
      <w:tr>
        <w:tc>
          <w:tcPr>
            <w:tcW w:w="5812" w:type="dxa"/>
          </w:tcPr>
          <w:p>
            <w:pPr>
              <w:pStyle w:val="yTable"/>
              <w:ind w:right="294"/>
              <w:rPr>
                <w:u w:val="single"/>
              </w:rPr>
            </w:pPr>
            <w:r>
              <w:t>first attendance</w:t>
            </w:r>
          </w:p>
        </w:tc>
        <w:tc>
          <w:tcPr>
            <w:tcW w:w="1276" w:type="dxa"/>
          </w:tcPr>
          <w:p>
            <w:pPr>
              <w:pStyle w:val="yTable"/>
              <w:tabs>
                <w:tab w:val="decimal" w:pos="425"/>
                <w:tab w:val="right" w:pos="1418"/>
              </w:tabs>
              <w:ind w:right="295"/>
              <w:jc w:val="right"/>
            </w:pPr>
            <w:r>
              <w:t>225.10</w:t>
            </w:r>
          </w:p>
        </w:tc>
      </w:tr>
      <w:tr>
        <w:tc>
          <w:tcPr>
            <w:tcW w:w="5812" w:type="dxa"/>
          </w:tcPr>
          <w:p>
            <w:pPr>
              <w:pStyle w:val="yTable"/>
              <w:spacing w:before="0"/>
              <w:ind w:right="295"/>
              <w:rPr>
                <w:u w:val="single"/>
              </w:rPr>
            </w:pPr>
            <w:r>
              <w:t>subsequent attendances</w:t>
            </w:r>
          </w:p>
        </w:tc>
        <w:tc>
          <w:tcPr>
            <w:tcW w:w="1276" w:type="dxa"/>
          </w:tcPr>
          <w:p>
            <w:pPr>
              <w:pStyle w:val="yTable"/>
              <w:tabs>
                <w:tab w:val="decimal" w:pos="425"/>
                <w:tab w:val="right" w:pos="1418"/>
              </w:tabs>
              <w:ind w:right="295"/>
              <w:jc w:val="right"/>
            </w:pPr>
            <w:r>
              <w:t>129.90</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t>Time based</w:t>
            </w:r>
          </w:p>
        </w:tc>
        <w:tc>
          <w:tcPr>
            <w:tcW w:w="1276" w:type="dxa"/>
          </w:tcPr>
          <w:p>
            <w:pPr>
              <w:pStyle w:val="yTable"/>
              <w:keepNext/>
              <w:ind w:right="294"/>
              <w:jc w:val="center"/>
            </w:pPr>
            <w:r>
              <w:t>$</w:t>
            </w:r>
          </w:p>
        </w:tc>
      </w:tr>
      <w:tr>
        <w:tc>
          <w:tcPr>
            <w:tcW w:w="5812" w:type="dxa"/>
          </w:tcPr>
          <w:p>
            <w:pPr>
              <w:pStyle w:val="yTable"/>
              <w:tabs>
                <w:tab w:val="left" w:pos="567"/>
              </w:tabs>
              <w:ind w:right="294"/>
              <w:rPr>
                <w:b/>
              </w:rPr>
            </w:pPr>
            <w:r>
              <w:tab/>
              <w:t>up to 5 mins</w:t>
            </w:r>
          </w:p>
        </w:tc>
        <w:tc>
          <w:tcPr>
            <w:tcW w:w="1276" w:type="dxa"/>
          </w:tcPr>
          <w:p>
            <w:pPr>
              <w:pStyle w:val="yTable"/>
              <w:tabs>
                <w:tab w:val="decimal" w:pos="425"/>
                <w:tab w:val="right" w:pos="1418"/>
              </w:tabs>
              <w:ind w:right="295"/>
              <w:jc w:val="right"/>
            </w:pPr>
            <w:r>
              <w:t>24.60</w:t>
            </w:r>
          </w:p>
        </w:tc>
      </w:tr>
      <w:tr>
        <w:tc>
          <w:tcPr>
            <w:tcW w:w="5812" w:type="dxa"/>
          </w:tcPr>
          <w:p>
            <w:pPr>
              <w:pStyle w:val="yTable"/>
              <w:tabs>
                <w:tab w:val="left" w:pos="567"/>
              </w:tabs>
              <w:spacing w:before="0"/>
              <w:ind w:right="295"/>
              <w:rPr>
                <w:b/>
              </w:rPr>
            </w:pPr>
            <w:r>
              <w:tab/>
              <w:t>more than 5 mins to 15 mins</w:t>
            </w:r>
          </w:p>
        </w:tc>
        <w:tc>
          <w:tcPr>
            <w:tcW w:w="1276" w:type="dxa"/>
          </w:tcPr>
          <w:p>
            <w:pPr>
              <w:pStyle w:val="yTable"/>
              <w:tabs>
                <w:tab w:val="decimal" w:pos="425"/>
                <w:tab w:val="right" w:pos="1418"/>
              </w:tabs>
              <w:spacing w:before="0"/>
              <w:ind w:right="295"/>
              <w:jc w:val="right"/>
            </w:pPr>
            <w:r>
              <w:t>30.40</w:t>
            </w:r>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tabs>
                <w:tab w:val="decimal" w:pos="425"/>
                <w:tab w:val="right" w:pos="1418"/>
              </w:tabs>
              <w:spacing w:before="0"/>
              <w:ind w:right="295"/>
              <w:jc w:val="right"/>
            </w:pPr>
            <w:r>
              <w:t>63.60</w:t>
            </w:r>
          </w:p>
        </w:tc>
      </w:tr>
      <w:tr>
        <w:tc>
          <w:tcPr>
            <w:tcW w:w="5812" w:type="dxa"/>
          </w:tcPr>
          <w:p>
            <w:pPr>
              <w:pStyle w:val="yTable"/>
              <w:tabs>
                <w:tab w:val="left" w:pos="567"/>
              </w:tabs>
              <w:spacing w:before="0"/>
              <w:ind w:right="295"/>
              <w:rPr>
                <w:b/>
              </w:rPr>
            </w:pPr>
            <w:r>
              <w:tab/>
              <w:t>more than 30 mins</w:t>
            </w:r>
          </w:p>
        </w:tc>
        <w:tc>
          <w:tcPr>
            <w:tcW w:w="1276" w:type="dxa"/>
          </w:tcPr>
          <w:p>
            <w:pPr>
              <w:pStyle w:val="yTable"/>
              <w:tabs>
                <w:tab w:val="decimal" w:pos="425"/>
                <w:tab w:val="right" w:pos="1418"/>
              </w:tabs>
              <w:spacing w:before="0"/>
              <w:ind w:right="295"/>
              <w:jc w:val="right"/>
            </w:pPr>
            <w:r>
              <w:t>96.05</w:t>
            </w:r>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right="294"/>
            </w:pPr>
            <w:r>
              <w:t>per hour</w:t>
            </w:r>
          </w:p>
        </w:tc>
        <w:tc>
          <w:tcPr>
            <w:tcW w:w="1418" w:type="dxa"/>
          </w:tcPr>
          <w:p>
            <w:pPr>
              <w:pStyle w:val="yTable"/>
              <w:tabs>
                <w:tab w:val="decimal" w:pos="425"/>
                <w:tab w:val="right" w:pos="1418"/>
              </w:tabs>
              <w:spacing w:before="0"/>
              <w:ind w:left="-142" w:right="295"/>
              <w:jc w:val="right"/>
            </w:pPr>
            <w:r>
              <w:t>$276.05</w:t>
            </w:r>
          </w:p>
        </w:tc>
      </w:tr>
    </w:tbl>
    <w:p>
      <w:pPr>
        <w:pStyle w:val="yMiscellaneousBody"/>
      </w:pPr>
      <w:r>
        <w:t>TRAVELLING FEES</w:t>
      </w:r>
    </w:p>
    <w:p>
      <w:pPr>
        <w:pStyle w:val="yMiscellaneousBody"/>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tabs>
                <w:tab w:val="decimal" w:pos="425"/>
                <w:tab w:val="right" w:pos="1418"/>
              </w:tabs>
              <w:ind w:right="295"/>
              <w:jc w:val="right"/>
            </w:pPr>
            <w:r>
              <w:t>$3.30</w:t>
            </w:r>
          </w:p>
        </w:tc>
      </w:tr>
    </w:tbl>
    <w:p>
      <w:pPr>
        <w:pStyle w:val="yMiscellaneousBody"/>
        <w:rPr>
          <w:b/>
          <w:i/>
        </w:rPr>
      </w:pPr>
      <w:r>
        <w:rPr>
          <w:b/>
          <w:i/>
        </w:rPr>
        <w:t>CONSULTANT PSYCHIATRISTS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rPr>
                <w:u w:val="single"/>
              </w:rPr>
              <w:t>Professional attendance at consulting rooms and issue of certificate (if required) et al</w:t>
            </w:r>
          </w:p>
          <w:p>
            <w:pPr>
              <w:pStyle w:val="yTable"/>
              <w:tabs>
                <w:tab w:val="left" w:pos="1134"/>
              </w:tabs>
              <w:ind w:right="294"/>
            </w:pPr>
            <w:r>
              <w:t>Time based</w:t>
            </w:r>
          </w:p>
        </w:tc>
        <w:tc>
          <w:tcPr>
            <w:tcW w:w="1276" w:type="dxa"/>
          </w:tcPr>
          <w:p>
            <w:pPr>
              <w:pStyle w:val="yTable"/>
              <w:ind w:right="294"/>
            </w:pPr>
            <w:r>
              <w:br/>
            </w:r>
          </w:p>
          <w:p>
            <w:pPr>
              <w:pStyle w:val="yTable"/>
              <w:ind w:right="294"/>
              <w:jc w:val="center"/>
            </w:pPr>
            <w:r>
              <w:t>$</w:t>
            </w:r>
          </w:p>
        </w:tc>
      </w:tr>
      <w:tr>
        <w:tc>
          <w:tcPr>
            <w:tcW w:w="5812" w:type="dxa"/>
          </w:tcPr>
          <w:p>
            <w:pPr>
              <w:pStyle w:val="yTable"/>
              <w:tabs>
                <w:tab w:val="left" w:pos="567"/>
              </w:tabs>
              <w:ind w:right="294"/>
              <w:rPr>
                <w:b/>
              </w:rPr>
            </w:pPr>
            <w:r>
              <w:tab/>
              <w:t>up to 15 mins</w:t>
            </w:r>
          </w:p>
        </w:tc>
        <w:tc>
          <w:tcPr>
            <w:tcW w:w="1276" w:type="dxa"/>
          </w:tcPr>
          <w:p>
            <w:pPr>
              <w:pStyle w:val="yTable"/>
              <w:tabs>
                <w:tab w:val="decimal" w:pos="425"/>
                <w:tab w:val="right" w:pos="1418"/>
              </w:tabs>
              <w:ind w:right="295"/>
              <w:jc w:val="right"/>
            </w:pPr>
            <w:r>
              <w:t>55.15</w:t>
            </w:r>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tabs>
                <w:tab w:val="decimal" w:pos="425"/>
                <w:tab w:val="right" w:pos="1418"/>
              </w:tabs>
              <w:spacing w:before="0"/>
              <w:ind w:right="295"/>
              <w:jc w:val="right"/>
            </w:pPr>
            <w:r>
              <w:t>110.00</w:t>
            </w:r>
          </w:p>
        </w:tc>
      </w:tr>
      <w:tr>
        <w:tc>
          <w:tcPr>
            <w:tcW w:w="5812" w:type="dxa"/>
          </w:tcPr>
          <w:p>
            <w:pPr>
              <w:pStyle w:val="yTable"/>
              <w:tabs>
                <w:tab w:val="left" w:pos="567"/>
              </w:tabs>
              <w:spacing w:before="0"/>
              <w:ind w:right="295"/>
              <w:rPr>
                <w:b/>
              </w:rPr>
            </w:pPr>
            <w:r>
              <w:tab/>
              <w:t>more than 30 mins to 45 mins</w:t>
            </w:r>
          </w:p>
        </w:tc>
        <w:tc>
          <w:tcPr>
            <w:tcW w:w="1276" w:type="dxa"/>
          </w:tcPr>
          <w:p>
            <w:pPr>
              <w:pStyle w:val="yTable"/>
              <w:tabs>
                <w:tab w:val="decimal" w:pos="425"/>
                <w:tab w:val="right" w:pos="1418"/>
              </w:tabs>
              <w:spacing w:before="0"/>
              <w:ind w:right="295"/>
              <w:jc w:val="right"/>
            </w:pPr>
            <w:r>
              <w:t>164.75</w:t>
            </w:r>
          </w:p>
        </w:tc>
      </w:tr>
      <w:tr>
        <w:tc>
          <w:tcPr>
            <w:tcW w:w="5812" w:type="dxa"/>
          </w:tcPr>
          <w:p>
            <w:pPr>
              <w:pStyle w:val="yTable"/>
              <w:tabs>
                <w:tab w:val="left" w:pos="567"/>
              </w:tabs>
              <w:spacing w:before="0"/>
              <w:ind w:right="295"/>
              <w:rPr>
                <w:b/>
              </w:rPr>
            </w:pPr>
            <w:r>
              <w:tab/>
              <w:t>more than 45 mins to 60 mins</w:t>
            </w:r>
          </w:p>
        </w:tc>
        <w:tc>
          <w:tcPr>
            <w:tcW w:w="1276" w:type="dxa"/>
          </w:tcPr>
          <w:p>
            <w:pPr>
              <w:pStyle w:val="yTable"/>
              <w:tabs>
                <w:tab w:val="decimal" w:pos="425"/>
                <w:tab w:val="right" w:pos="1418"/>
              </w:tabs>
              <w:spacing w:before="0"/>
              <w:ind w:right="295"/>
              <w:jc w:val="right"/>
            </w:pPr>
            <w:r>
              <w:t>220.45</w:t>
            </w:r>
          </w:p>
        </w:tc>
      </w:tr>
      <w:tr>
        <w:tc>
          <w:tcPr>
            <w:tcW w:w="5812" w:type="dxa"/>
          </w:tcPr>
          <w:p>
            <w:pPr>
              <w:pStyle w:val="yTable"/>
              <w:tabs>
                <w:tab w:val="left" w:pos="567"/>
              </w:tabs>
              <w:spacing w:before="0"/>
              <w:ind w:right="295"/>
              <w:rPr>
                <w:b/>
              </w:rPr>
            </w:pPr>
            <w:r>
              <w:tab/>
              <w:t>more than 60 mins to 75 mins</w:t>
            </w:r>
          </w:p>
        </w:tc>
        <w:tc>
          <w:tcPr>
            <w:tcW w:w="1276" w:type="dxa"/>
          </w:tcPr>
          <w:p>
            <w:pPr>
              <w:pStyle w:val="yTable"/>
              <w:tabs>
                <w:tab w:val="decimal" w:pos="425"/>
                <w:tab w:val="right" w:pos="1418"/>
              </w:tabs>
              <w:spacing w:before="0"/>
              <w:ind w:right="295"/>
              <w:jc w:val="right"/>
            </w:pPr>
            <w:r>
              <w:t>249.45</w:t>
            </w:r>
          </w:p>
        </w:tc>
      </w:tr>
      <w:tr>
        <w:tc>
          <w:tcPr>
            <w:tcW w:w="5812" w:type="dxa"/>
          </w:tcPr>
          <w:p>
            <w:pPr>
              <w:pStyle w:val="yTable"/>
              <w:tabs>
                <w:tab w:val="left" w:pos="567"/>
              </w:tabs>
              <w:spacing w:before="0"/>
              <w:ind w:right="295"/>
              <w:rPr>
                <w:u w:val="single"/>
              </w:rPr>
            </w:pPr>
            <w:r>
              <w:tab/>
              <w:t>more than 75 mins</w:t>
            </w:r>
          </w:p>
        </w:tc>
        <w:tc>
          <w:tcPr>
            <w:tcW w:w="1276" w:type="dxa"/>
          </w:tcPr>
          <w:p>
            <w:pPr>
              <w:pStyle w:val="yTable"/>
              <w:tabs>
                <w:tab w:val="decimal" w:pos="425"/>
                <w:tab w:val="right" w:pos="1418"/>
              </w:tabs>
              <w:spacing w:before="0"/>
              <w:ind w:right="295"/>
              <w:jc w:val="right"/>
            </w:pPr>
            <w:r>
              <w:t>278.40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u w:val="single"/>
              </w:rPr>
            </w:pPr>
            <w:r>
              <w:rPr>
                <w:u w:val="single"/>
              </w:rPr>
              <w:t>Professional attendance at a place other than consulting rooms and issue of certificate (if required) et al</w:t>
            </w:r>
          </w:p>
          <w:p>
            <w:pPr>
              <w:pStyle w:val="yTable"/>
              <w:keepNext/>
              <w:tabs>
                <w:tab w:val="left" w:pos="1134"/>
              </w:tabs>
              <w:ind w:right="294"/>
            </w:pPr>
            <w:r>
              <w:rPr>
                <w:u w:val="single"/>
              </w:rPr>
              <w:t xml:space="preserve">Visits include both attendance at hospitals and home visits. </w:t>
            </w:r>
          </w:p>
          <w:p>
            <w:pPr>
              <w:pStyle w:val="yTable"/>
              <w:keepNext/>
              <w:tabs>
                <w:tab w:val="left" w:pos="1134"/>
              </w:tabs>
              <w:ind w:right="294"/>
            </w:pPr>
            <w:r>
              <w:t>Time based</w:t>
            </w:r>
          </w:p>
        </w:tc>
        <w:tc>
          <w:tcPr>
            <w:tcW w:w="1276" w:type="dxa"/>
          </w:tcPr>
          <w:p>
            <w:pPr>
              <w:pStyle w:val="yTable"/>
              <w:keepNext/>
              <w:ind w:right="294"/>
            </w:pPr>
            <w:r>
              <w:br/>
            </w:r>
            <w:r>
              <w:br/>
            </w:r>
          </w:p>
          <w:p>
            <w:pPr>
              <w:pStyle w:val="yTable"/>
              <w:keepNext/>
              <w:ind w:right="294"/>
              <w:jc w:val="center"/>
            </w:pPr>
            <w:r>
              <w:t>$</w:t>
            </w:r>
          </w:p>
        </w:tc>
      </w:tr>
      <w:tr>
        <w:tc>
          <w:tcPr>
            <w:tcW w:w="5812" w:type="dxa"/>
          </w:tcPr>
          <w:p>
            <w:pPr>
              <w:pStyle w:val="yTable"/>
              <w:tabs>
                <w:tab w:val="left" w:pos="567"/>
              </w:tabs>
              <w:ind w:right="294"/>
              <w:rPr>
                <w:b/>
              </w:rPr>
            </w:pPr>
            <w:r>
              <w:tab/>
              <w:t>up to 15 mins</w:t>
            </w:r>
          </w:p>
        </w:tc>
        <w:tc>
          <w:tcPr>
            <w:tcW w:w="1276" w:type="dxa"/>
          </w:tcPr>
          <w:p>
            <w:pPr>
              <w:pStyle w:val="yTable"/>
              <w:tabs>
                <w:tab w:val="decimal" w:pos="425"/>
                <w:tab w:val="right" w:pos="1418"/>
              </w:tabs>
              <w:ind w:right="295"/>
              <w:jc w:val="right"/>
            </w:pPr>
            <w:r>
              <w:t>90.55</w:t>
            </w:r>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tabs>
                <w:tab w:val="decimal" w:pos="425"/>
                <w:tab w:val="right" w:pos="1418"/>
              </w:tabs>
              <w:spacing w:before="0"/>
              <w:ind w:right="295"/>
              <w:jc w:val="right"/>
            </w:pPr>
            <w:r>
              <w:t>146.20</w:t>
            </w:r>
          </w:p>
        </w:tc>
      </w:tr>
      <w:tr>
        <w:tc>
          <w:tcPr>
            <w:tcW w:w="5812" w:type="dxa"/>
          </w:tcPr>
          <w:p>
            <w:pPr>
              <w:pStyle w:val="yTable"/>
              <w:tabs>
                <w:tab w:val="left" w:pos="567"/>
              </w:tabs>
              <w:spacing w:before="0"/>
              <w:ind w:right="295"/>
              <w:rPr>
                <w:b/>
              </w:rPr>
            </w:pPr>
            <w:r>
              <w:tab/>
              <w:t>more than 30 mins to 45 mins</w:t>
            </w:r>
          </w:p>
        </w:tc>
        <w:tc>
          <w:tcPr>
            <w:tcW w:w="1276" w:type="dxa"/>
          </w:tcPr>
          <w:p>
            <w:pPr>
              <w:pStyle w:val="yTable"/>
              <w:tabs>
                <w:tab w:val="decimal" w:pos="425"/>
                <w:tab w:val="right" w:pos="1418"/>
              </w:tabs>
              <w:spacing w:before="0"/>
              <w:ind w:right="295"/>
              <w:jc w:val="right"/>
            </w:pPr>
            <w:r>
              <w:t>199.55</w:t>
            </w:r>
          </w:p>
        </w:tc>
      </w:tr>
      <w:tr>
        <w:tc>
          <w:tcPr>
            <w:tcW w:w="5812" w:type="dxa"/>
          </w:tcPr>
          <w:p>
            <w:pPr>
              <w:pStyle w:val="yTable"/>
              <w:tabs>
                <w:tab w:val="left" w:pos="567"/>
              </w:tabs>
              <w:spacing w:before="0"/>
              <w:ind w:right="295"/>
              <w:rPr>
                <w:b/>
              </w:rPr>
            </w:pPr>
            <w:r>
              <w:tab/>
              <w:t>more than 45 mins to 75 mins</w:t>
            </w:r>
          </w:p>
        </w:tc>
        <w:tc>
          <w:tcPr>
            <w:tcW w:w="1276" w:type="dxa"/>
          </w:tcPr>
          <w:p>
            <w:pPr>
              <w:pStyle w:val="yTable"/>
              <w:tabs>
                <w:tab w:val="decimal" w:pos="425"/>
                <w:tab w:val="right" w:pos="1418"/>
              </w:tabs>
              <w:spacing w:before="0"/>
              <w:ind w:right="295"/>
              <w:jc w:val="right"/>
            </w:pPr>
            <w:r>
              <w:t>255.25</w:t>
            </w:r>
          </w:p>
        </w:tc>
      </w:tr>
      <w:tr>
        <w:tc>
          <w:tcPr>
            <w:tcW w:w="5812" w:type="dxa"/>
          </w:tcPr>
          <w:p>
            <w:pPr>
              <w:pStyle w:val="yTable"/>
              <w:tabs>
                <w:tab w:val="left" w:pos="567"/>
              </w:tabs>
              <w:spacing w:before="0"/>
              <w:ind w:right="295"/>
              <w:rPr>
                <w:b/>
              </w:rPr>
            </w:pPr>
            <w:r>
              <w:tab/>
              <w:t>more than 75 mins</w:t>
            </w:r>
          </w:p>
        </w:tc>
        <w:tc>
          <w:tcPr>
            <w:tcW w:w="1276" w:type="dxa"/>
          </w:tcPr>
          <w:p>
            <w:pPr>
              <w:pStyle w:val="yTable"/>
              <w:tabs>
                <w:tab w:val="decimal" w:pos="425"/>
                <w:tab w:val="right" w:pos="1418"/>
              </w:tabs>
              <w:spacing w:before="0"/>
              <w:ind w:right="295"/>
              <w:jc w:val="right"/>
            </w:pPr>
            <w:r>
              <w:t>307</w:t>
            </w:r>
          </w:p>
          <w:p>
            <w:pPr>
              <w:pStyle w:val="yTable"/>
              <w:tabs>
                <w:tab w:val="decimal" w:pos="425"/>
                <w:tab w:val="right" w:pos="1418"/>
              </w:tabs>
              <w:spacing w:before="0"/>
              <w:ind w:right="295"/>
              <w:jc w:val="right"/>
            </w:pPr>
            <w:r>
              <w:t>.50</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t>Time based</w:t>
            </w:r>
          </w:p>
        </w:tc>
        <w:tc>
          <w:tcPr>
            <w:tcW w:w="1276" w:type="dxa"/>
          </w:tcPr>
          <w:p>
            <w:pPr>
              <w:pStyle w:val="yTable"/>
              <w:ind w:right="294"/>
            </w:pPr>
            <w:r>
              <w:t xml:space="preserve">     $</w:t>
            </w:r>
          </w:p>
        </w:tc>
      </w:tr>
      <w:tr>
        <w:tc>
          <w:tcPr>
            <w:tcW w:w="5812" w:type="dxa"/>
          </w:tcPr>
          <w:p>
            <w:pPr>
              <w:pStyle w:val="yTable"/>
              <w:tabs>
                <w:tab w:val="left" w:pos="567"/>
              </w:tabs>
              <w:ind w:right="294"/>
              <w:rPr>
                <w:b/>
              </w:rPr>
            </w:pPr>
            <w:r>
              <w:tab/>
              <w:t>up to 45 mins</w:t>
            </w:r>
          </w:p>
        </w:tc>
        <w:tc>
          <w:tcPr>
            <w:tcW w:w="1276" w:type="dxa"/>
          </w:tcPr>
          <w:p>
            <w:pPr>
              <w:pStyle w:val="yTable"/>
              <w:tabs>
                <w:tab w:val="decimal" w:pos="425"/>
                <w:tab w:val="right" w:pos="1418"/>
              </w:tabs>
              <w:ind w:right="295"/>
              <w:jc w:val="right"/>
            </w:pPr>
            <w:r>
              <w:t>73.10</w:t>
            </w:r>
          </w:p>
        </w:tc>
      </w:tr>
      <w:tr>
        <w:tc>
          <w:tcPr>
            <w:tcW w:w="5812" w:type="dxa"/>
          </w:tcPr>
          <w:p>
            <w:pPr>
              <w:pStyle w:val="yTable"/>
              <w:tabs>
                <w:tab w:val="left" w:pos="567"/>
              </w:tabs>
              <w:spacing w:before="0"/>
              <w:ind w:right="295"/>
              <w:rPr>
                <w:b/>
              </w:rPr>
            </w:pPr>
            <w:r>
              <w:tab/>
              <w:t>more than 45 mins</w:t>
            </w:r>
          </w:p>
        </w:tc>
        <w:tc>
          <w:tcPr>
            <w:tcW w:w="1276" w:type="dxa"/>
          </w:tcPr>
          <w:p>
            <w:pPr>
              <w:pStyle w:val="yTable"/>
              <w:tabs>
                <w:tab w:val="decimal" w:pos="425"/>
                <w:tab w:val="right" w:pos="1418"/>
              </w:tabs>
              <w:spacing w:before="0"/>
              <w:ind w:right="295"/>
              <w:jc w:val="right"/>
            </w:pPr>
            <w:r>
              <w:t>159.70</w:t>
            </w:r>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right="294"/>
            </w:pPr>
            <w:r>
              <w:t>per hour</w:t>
            </w:r>
          </w:p>
        </w:tc>
        <w:tc>
          <w:tcPr>
            <w:tcW w:w="1418" w:type="dxa"/>
          </w:tcPr>
          <w:p>
            <w:pPr>
              <w:pStyle w:val="yTable"/>
              <w:tabs>
                <w:tab w:val="decimal" w:pos="425"/>
                <w:tab w:val="right" w:pos="1418"/>
              </w:tabs>
              <w:ind w:right="295"/>
              <w:jc w:val="right"/>
            </w:pPr>
            <w:r>
              <w:t>$276.05</w:t>
            </w:r>
          </w:p>
        </w:tc>
      </w:tr>
    </w:tbl>
    <w:p>
      <w:pPr>
        <w:pStyle w:val="yMiscellaneousBody"/>
      </w:pPr>
      <w:r>
        <w:t>TRAVELLING FEES</w:t>
      </w:r>
    </w:p>
    <w:p>
      <w:pPr>
        <w:pStyle w:val="yMiscellaneousBody"/>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tabs>
                <w:tab w:val="decimal" w:pos="425"/>
                <w:tab w:val="right" w:pos="1418"/>
              </w:tabs>
              <w:ind w:right="295"/>
              <w:jc w:val="right"/>
            </w:pPr>
            <w:r>
              <w:t>$3.30</w:t>
            </w:r>
          </w:p>
        </w:tc>
      </w:tr>
    </w:tbl>
    <w:p>
      <w:pPr>
        <w:pStyle w:val="yMiscellaneousHeading"/>
        <w:spacing w:before="300"/>
        <w:rPr>
          <w:b/>
          <w:i/>
        </w:rPr>
      </w:pPr>
      <w:r>
        <w:rPr>
          <w:b/>
          <w:i/>
        </w:rPr>
        <w:t>SPECIALISTS</w:t>
      </w:r>
    </w:p>
    <w:p>
      <w:pPr>
        <w:pStyle w:val="yMiscellaneousBody"/>
        <w:rPr>
          <w:b/>
          <w:i/>
        </w:rPr>
      </w:pPr>
      <w:r>
        <w:rPr>
          <w:b/>
          <w:i/>
        </w:rPr>
        <w:t>SURGEONS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consulting rooms and issue of certificate (if required) et al</w:t>
            </w:r>
          </w:p>
        </w:tc>
        <w:tc>
          <w:tcPr>
            <w:tcW w:w="1559" w:type="dxa"/>
          </w:tcPr>
          <w:p>
            <w:pPr>
              <w:pStyle w:val="yTable"/>
              <w:ind w:left="426" w:right="294"/>
              <w:jc w:val="center"/>
            </w:pPr>
          </w:p>
          <w:p>
            <w:pPr>
              <w:pStyle w:val="yTable"/>
              <w:spacing w:before="0"/>
              <w:ind w:left="425" w:right="295"/>
            </w:pPr>
            <w:r>
              <w:t xml:space="preserve">     $</w:t>
            </w:r>
          </w:p>
        </w:tc>
      </w:tr>
      <w:tr>
        <w:tc>
          <w:tcPr>
            <w:tcW w:w="5529" w:type="dxa"/>
          </w:tcPr>
          <w:p>
            <w:pPr>
              <w:pStyle w:val="yTable"/>
              <w:ind w:right="294"/>
              <w:rPr>
                <w:u w:val="single"/>
              </w:rPr>
            </w:pPr>
            <w:r>
              <w:t>first attendance</w:t>
            </w:r>
          </w:p>
        </w:tc>
        <w:tc>
          <w:tcPr>
            <w:tcW w:w="1559" w:type="dxa"/>
          </w:tcPr>
          <w:p>
            <w:pPr>
              <w:pStyle w:val="yTable"/>
              <w:tabs>
                <w:tab w:val="right" w:pos="1418"/>
              </w:tabs>
              <w:ind w:left="283" w:right="294"/>
              <w:jc w:val="right"/>
            </w:pPr>
            <w:r>
              <w:t>106.85</w:t>
            </w:r>
          </w:p>
        </w:tc>
      </w:tr>
      <w:tr>
        <w:tc>
          <w:tcPr>
            <w:tcW w:w="5529" w:type="dxa"/>
          </w:tcPr>
          <w:p>
            <w:pPr>
              <w:pStyle w:val="yTable"/>
              <w:spacing w:before="0"/>
              <w:ind w:right="295"/>
              <w:rPr>
                <w:u w:val="single"/>
              </w:rPr>
            </w:pPr>
            <w:r>
              <w:t>subsequent attendances</w:t>
            </w:r>
          </w:p>
        </w:tc>
        <w:tc>
          <w:tcPr>
            <w:tcW w:w="1559" w:type="dxa"/>
          </w:tcPr>
          <w:p>
            <w:pPr>
              <w:pStyle w:val="yTable"/>
              <w:tabs>
                <w:tab w:val="right" w:pos="1418"/>
              </w:tabs>
              <w:spacing w:before="0"/>
              <w:ind w:left="425" w:right="295"/>
              <w:jc w:val="right"/>
            </w:pPr>
            <w:r>
              <w:t>55.75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a place other than consulting rooms and issue of certificate (if required) et al</w:t>
            </w:r>
          </w:p>
        </w:tc>
        <w:tc>
          <w:tcPr>
            <w:tcW w:w="1559" w:type="dxa"/>
          </w:tcPr>
          <w:p>
            <w:pPr>
              <w:pStyle w:val="yTable"/>
              <w:ind w:left="426" w:right="294"/>
              <w:jc w:val="center"/>
            </w:pPr>
          </w:p>
          <w:p>
            <w:pPr>
              <w:pStyle w:val="yTable"/>
              <w:spacing w:before="0"/>
              <w:ind w:left="425" w:right="295"/>
            </w:pPr>
            <w:r>
              <w:t xml:space="preserve">     $</w:t>
            </w:r>
          </w:p>
        </w:tc>
      </w:tr>
      <w:tr>
        <w:tc>
          <w:tcPr>
            <w:tcW w:w="5529" w:type="dxa"/>
          </w:tcPr>
          <w:p>
            <w:pPr>
              <w:pStyle w:val="yTable"/>
              <w:ind w:right="294"/>
              <w:rPr>
                <w:u w:val="single"/>
              </w:rPr>
            </w:pPr>
            <w:r>
              <w:t>first attendance</w:t>
            </w:r>
          </w:p>
        </w:tc>
        <w:tc>
          <w:tcPr>
            <w:tcW w:w="1559" w:type="dxa"/>
          </w:tcPr>
          <w:p>
            <w:pPr>
              <w:pStyle w:val="yTable"/>
              <w:tabs>
                <w:tab w:val="right" w:pos="1418"/>
              </w:tabs>
              <w:ind w:left="283" w:right="294"/>
              <w:jc w:val="right"/>
            </w:pPr>
            <w:r>
              <w:t>144.05</w:t>
            </w:r>
          </w:p>
        </w:tc>
      </w:tr>
      <w:tr>
        <w:tc>
          <w:tcPr>
            <w:tcW w:w="5529" w:type="dxa"/>
          </w:tcPr>
          <w:p>
            <w:pPr>
              <w:pStyle w:val="yTable"/>
              <w:spacing w:before="0"/>
              <w:ind w:right="295"/>
              <w:rPr>
                <w:u w:val="single"/>
              </w:rPr>
            </w:pPr>
            <w:r>
              <w:t>subsequent attendances</w:t>
            </w:r>
          </w:p>
        </w:tc>
        <w:tc>
          <w:tcPr>
            <w:tcW w:w="1559" w:type="dxa"/>
          </w:tcPr>
          <w:p>
            <w:pPr>
              <w:pStyle w:val="yTable"/>
              <w:tabs>
                <w:tab w:val="right" w:pos="1418"/>
              </w:tabs>
              <w:spacing w:before="0"/>
              <w:ind w:left="425" w:right="295"/>
              <w:jc w:val="right"/>
            </w:pPr>
            <w:r>
              <w:t>91.80</w:t>
            </w:r>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consulting rooms and issue of certificate (if required) et al</w:t>
            </w:r>
          </w:p>
        </w:tc>
        <w:tc>
          <w:tcPr>
            <w:tcW w:w="1276" w:type="dxa"/>
          </w:tcPr>
          <w:p>
            <w:pPr>
              <w:pStyle w:val="yTable"/>
              <w:ind w:right="295"/>
              <w:jc w:val="center"/>
            </w:pPr>
            <w:r>
              <w:br/>
              <w:t>$</w:t>
            </w:r>
          </w:p>
        </w:tc>
      </w:tr>
      <w:tr>
        <w:tc>
          <w:tcPr>
            <w:tcW w:w="5812" w:type="dxa"/>
          </w:tcPr>
          <w:p>
            <w:pPr>
              <w:pStyle w:val="yTable"/>
              <w:ind w:right="294"/>
              <w:rPr>
                <w:u w:val="single"/>
              </w:rPr>
            </w:pPr>
            <w:r>
              <w:t>first attendance</w:t>
            </w:r>
          </w:p>
        </w:tc>
        <w:tc>
          <w:tcPr>
            <w:tcW w:w="1276" w:type="dxa"/>
          </w:tcPr>
          <w:p>
            <w:pPr>
              <w:pStyle w:val="yTable"/>
              <w:tabs>
                <w:tab w:val="decimal" w:pos="425"/>
                <w:tab w:val="right" w:pos="1418"/>
              </w:tabs>
              <w:ind w:right="295"/>
              <w:jc w:val="right"/>
            </w:pPr>
            <w:r>
              <w:t>106.85</w:t>
            </w:r>
          </w:p>
        </w:tc>
      </w:tr>
      <w:tr>
        <w:tc>
          <w:tcPr>
            <w:tcW w:w="5812" w:type="dxa"/>
          </w:tcPr>
          <w:p>
            <w:pPr>
              <w:pStyle w:val="yTable"/>
              <w:spacing w:before="0"/>
              <w:ind w:right="295"/>
              <w:rPr>
                <w:u w:val="single"/>
              </w:rPr>
            </w:pPr>
            <w:r>
              <w:t>subsequent attendances</w:t>
            </w:r>
          </w:p>
        </w:tc>
        <w:tc>
          <w:tcPr>
            <w:tcW w:w="1276" w:type="dxa"/>
          </w:tcPr>
          <w:p>
            <w:pPr>
              <w:pStyle w:val="yTable"/>
              <w:tabs>
                <w:tab w:val="decimal" w:pos="425"/>
                <w:tab w:val="right" w:pos="1418"/>
              </w:tabs>
              <w:spacing w:before="0"/>
              <w:ind w:right="295"/>
              <w:jc w:val="right"/>
            </w:pPr>
            <w:r>
              <w:t>55.75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ind w:right="295"/>
              <w:jc w:val="center"/>
            </w:pPr>
            <w:r>
              <w:br/>
              <w:t>$</w:t>
            </w:r>
          </w:p>
        </w:tc>
      </w:tr>
      <w:tr>
        <w:tc>
          <w:tcPr>
            <w:tcW w:w="5812" w:type="dxa"/>
          </w:tcPr>
          <w:p>
            <w:pPr>
              <w:pStyle w:val="yTable"/>
              <w:ind w:right="295"/>
              <w:rPr>
                <w:u w:val="single"/>
              </w:rPr>
            </w:pPr>
            <w:r>
              <w:t>first attendance</w:t>
            </w:r>
          </w:p>
        </w:tc>
        <w:tc>
          <w:tcPr>
            <w:tcW w:w="1276" w:type="dxa"/>
          </w:tcPr>
          <w:p>
            <w:pPr>
              <w:pStyle w:val="yTable"/>
              <w:tabs>
                <w:tab w:val="decimal" w:pos="425"/>
                <w:tab w:val="right" w:pos="1418"/>
              </w:tabs>
              <w:ind w:right="295"/>
              <w:jc w:val="right"/>
            </w:pPr>
            <w:r>
              <w:t>143.85</w:t>
            </w:r>
          </w:p>
        </w:tc>
      </w:tr>
      <w:tr>
        <w:tc>
          <w:tcPr>
            <w:tcW w:w="5812" w:type="dxa"/>
          </w:tcPr>
          <w:p>
            <w:pPr>
              <w:pStyle w:val="yTable"/>
              <w:spacing w:before="0"/>
              <w:ind w:right="295"/>
              <w:rPr>
                <w:u w:val="single"/>
              </w:rPr>
            </w:pPr>
            <w:r>
              <w:t>subsequent attendances</w:t>
            </w:r>
          </w:p>
        </w:tc>
        <w:tc>
          <w:tcPr>
            <w:tcW w:w="1276" w:type="dxa"/>
          </w:tcPr>
          <w:p>
            <w:pPr>
              <w:pStyle w:val="yTable"/>
              <w:tabs>
                <w:tab w:val="decimal" w:pos="425"/>
                <w:tab w:val="right" w:pos="1418"/>
              </w:tabs>
              <w:spacing w:before="0"/>
              <w:ind w:right="295"/>
              <w:jc w:val="right"/>
            </w:pPr>
            <w:r>
              <w:t>91.65</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t>Time based</w:t>
            </w:r>
          </w:p>
        </w:tc>
        <w:tc>
          <w:tcPr>
            <w:tcW w:w="1276" w:type="dxa"/>
          </w:tcPr>
          <w:p>
            <w:pPr>
              <w:pStyle w:val="yTable"/>
              <w:ind w:right="294"/>
              <w:jc w:val="center"/>
            </w:pPr>
            <w:r>
              <w:t>$</w:t>
            </w:r>
          </w:p>
        </w:tc>
      </w:tr>
      <w:tr>
        <w:tc>
          <w:tcPr>
            <w:tcW w:w="5812" w:type="dxa"/>
          </w:tcPr>
          <w:p>
            <w:pPr>
              <w:pStyle w:val="yTable"/>
              <w:tabs>
                <w:tab w:val="left" w:pos="567"/>
              </w:tabs>
              <w:ind w:right="294"/>
              <w:rPr>
                <w:b/>
              </w:rPr>
            </w:pPr>
            <w:r>
              <w:tab/>
              <w:t>up to 5 mins</w:t>
            </w:r>
          </w:p>
        </w:tc>
        <w:tc>
          <w:tcPr>
            <w:tcW w:w="1276" w:type="dxa"/>
          </w:tcPr>
          <w:p>
            <w:pPr>
              <w:pStyle w:val="yTable"/>
              <w:tabs>
                <w:tab w:val="decimal" w:pos="425"/>
                <w:tab w:val="right" w:pos="1418"/>
              </w:tabs>
              <w:ind w:right="295"/>
              <w:jc w:val="right"/>
            </w:pPr>
            <w:r>
              <w:t>24.60</w:t>
            </w:r>
          </w:p>
        </w:tc>
      </w:tr>
      <w:tr>
        <w:tc>
          <w:tcPr>
            <w:tcW w:w="5812" w:type="dxa"/>
          </w:tcPr>
          <w:p>
            <w:pPr>
              <w:pStyle w:val="yTable"/>
              <w:tabs>
                <w:tab w:val="left" w:pos="567"/>
              </w:tabs>
              <w:spacing w:before="0"/>
              <w:ind w:right="295"/>
              <w:rPr>
                <w:b/>
              </w:rPr>
            </w:pPr>
            <w:r>
              <w:tab/>
              <w:t>more than 5 mins to 15 mins</w:t>
            </w:r>
          </w:p>
        </w:tc>
        <w:tc>
          <w:tcPr>
            <w:tcW w:w="1276" w:type="dxa"/>
          </w:tcPr>
          <w:p>
            <w:pPr>
              <w:pStyle w:val="yTable"/>
              <w:tabs>
                <w:tab w:val="decimal" w:pos="425"/>
                <w:tab w:val="right" w:pos="1418"/>
              </w:tabs>
              <w:spacing w:before="0"/>
              <w:ind w:right="295"/>
              <w:jc w:val="right"/>
            </w:pPr>
            <w:r>
              <w:t>30.40</w:t>
            </w:r>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tabs>
                <w:tab w:val="decimal" w:pos="425"/>
                <w:tab w:val="right" w:pos="1418"/>
              </w:tabs>
              <w:spacing w:before="0"/>
              <w:ind w:right="295"/>
              <w:jc w:val="right"/>
            </w:pPr>
            <w:r>
              <w:t>63.60</w:t>
            </w:r>
          </w:p>
        </w:tc>
      </w:tr>
      <w:tr>
        <w:tc>
          <w:tcPr>
            <w:tcW w:w="5812" w:type="dxa"/>
          </w:tcPr>
          <w:p>
            <w:pPr>
              <w:pStyle w:val="yTable"/>
              <w:tabs>
                <w:tab w:val="left" w:pos="567"/>
              </w:tabs>
              <w:spacing w:before="0"/>
              <w:ind w:right="295"/>
              <w:rPr>
                <w:b/>
              </w:rPr>
            </w:pPr>
            <w:r>
              <w:tab/>
              <w:t>more than 30 mins</w:t>
            </w:r>
          </w:p>
        </w:tc>
        <w:tc>
          <w:tcPr>
            <w:tcW w:w="1276" w:type="dxa"/>
          </w:tcPr>
          <w:p>
            <w:pPr>
              <w:pStyle w:val="yTable"/>
              <w:tabs>
                <w:tab w:val="decimal" w:pos="425"/>
                <w:tab w:val="right" w:pos="1418"/>
              </w:tabs>
              <w:spacing w:before="0"/>
              <w:ind w:right="295"/>
              <w:jc w:val="right"/>
            </w:pPr>
            <w:r>
              <w:t>96.05</w:t>
            </w:r>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t>per hour</w:t>
            </w:r>
          </w:p>
        </w:tc>
        <w:tc>
          <w:tcPr>
            <w:tcW w:w="1559" w:type="dxa"/>
          </w:tcPr>
          <w:p>
            <w:pPr>
              <w:pStyle w:val="yTable"/>
              <w:tabs>
                <w:tab w:val="decimal" w:pos="425"/>
                <w:tab w:val="right" w:pos="1418"/>
              </w:tabs>
              <w:spacing w:before="0"/>
              <w:ind w:right="295"/>
              <w:jc w:val="right"/>
            </w:pPr>
            <w:r>
              <w:t>$276.05</w:t>
            </w:r>
          </w:p>
        </w:tc>
      </w:tr>
    </w:tbl>
    <w:p>
      <w:pPr>
        <w:pStyle w:val="yMiscellaneousBody"/>
      </w:pPr>
      <w:r>
        <w:t>TRAVELLING FEES</w:t>
      </w:r>
    </w:p>
    <w:p>
      <w:pPr>
        <w:pStyle w:val="yMiscellaneousBody"/>
      </w:pPr>
      <w:r>
        <w:t>Country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tabs>
                <w:tab w:val="decimal" w:pos="425"/>
                <w:tab w:val="right" w:pos="1418"/>
              </w:tabs>
              <w:ind w:right="295"/>
              <w:jc w:val="right"/>
            </w:pPr>
            <w:r>
              <w:t>$3.30</w:t>
            </w:r>
          </w:p>
        </w:tc>
      </w:tr>
    </w:tbl>
    <w:p>
      <w:pPr>
        <w:pStyle w:val="yTable"/>
        <w:spacing w:before="160"/>
        <w:ind w:left="284"/>
      </w:pPr>
      <w:r>
        <w:rPr>
          <w:b/>
        </w:rPr>
        <w:t>ANAESTHETISTS</w:t>
      </w:r>
    </w:p>
    <w:p>
      <w:pPr>
        <w:pStyle w:val="yTable"/>
        <w:ind w:left="284"/>
      </w:pPr>
      <w:r>
        <w:t>All anaesthesia fees are calculated by multiplying the units for the consultation, attendance, procedure or service by the $ value per unit allocated by this Schedule.</w:t>
      </w:r>
    </w:p>
    <w:p>
      <w:pPr>
        <w:pStyle w:val="yTable"/>
        <w:tabs>
          <w:tab w:val="left" w:pos="709"/>
        </w:tabs>
      </w:pPr>
      <w:r>
        <w:tab/>
        <w:t>$ VALUE PER UNIT</w:t>
      </w:r>
    </w:p>
    <w:tbl>
      <w:tblPr>
        <w:tblW w:w="0" w:type="auto"/>
        <w:tblInd w:w="709" w:type="dxa"/>
        <w:tblLayout w:type="fixed"/>
        <w:tblCellMar>
          <w:left w:w="142" w:type="dxa"/>
          <w:right w:w="142" w:type="dxa"/>
        </w:tblCellMar>
        <w:tblLook w:val="0000" w:firstRow="0" w:lastRow="0" w:firstColumn="0" w:lastColumn="0" w:noHBand="0" w:noVBand="0"/>
      </w:tblPr>
      <w:tblGrid>
        <w:gridCol w:w="4678"/>
        <w:gridCol w:w="1985"/>
      </w:tblGrid>
      <w:tr>
        <w:trPr>
          <w:tblHeader/>
        </w:trPr>
        <w:tc>
          <w:tcPr>
            <w:tcW w:w="4678" w:type="dxa"/>
          </w:tcPr>
          <w:p>
            <w:pPr>
              <w:pStyle w:val="yTable"/>
              <w:ind w:right="141"/>
            </w:pPr>
            <w:r>
              <w:t>$ value per unit</w:t>
            </w:r>
          </w:p>
        </w:tc>
        <w:tc>
          <w:tcPr>
            <w:tcW w:w="1985" w:type="dxa"/>
          </w:tcPr>
          <w:p>
            <w:pPr>
              <w:pStyle w:val="yTable"/>
              <w:keepNext/>
              <w:spacing w:before="0"/>
              <w:jc w:val="center"/>
            </w:pPr>
            <w:r>
              <w:t>$34.15</w:t>
            </w:r>
          </w:p>
        </w:tc>
      </w:tr>
      <w:tr>
        <w:tc>
          <w:tcPr>
            <w:tcW w:w="4678" w:type="dxa"/>
            <w:tcBorders>
              <w:top w:val="single" w:sz="4" w:space="0" w:color="auto"/>
              <w:bottom w:val="single" w:sz="4" w:space="0" w:color="auto"/>
            </w:tcBorders>
          </w:tcPr>
          <w:p>
            <w:pPr>
              <w:pStyle w:val="yTable"/>
              <w:ind w:right="141"/>
            </w:pPr>
            <w:r>
              <w:rPr>
                <w:b/>
              </w:rPr>
              <w:t xml:space="preserve">CONSULTATIONS AND </w:t>
            </w:r>
            <w:r>
              <w:rPr>
                <w:b/>
              </w:rPr>
              <w:br/>
              <w:t>ATTENDANCES</w:t>
            </w:r>
          </w:p>
        </w:tc>
        <w:tc>
          <w:tcPr>
            <w:tcW w:w="1985" w:type="dxa"/>
            <w:tcBorders>
              <w:top w:val="single" w:sz="4" w:space="0" w:color="auto"/>
              <w:bottom w:val="single" w:sz="4" w:space="0" w:color="auto"/>
            </w:tcBorders>
          </w:tcPr>
          <w:p>
            <w:pPr>
              <w:pStyle w:val="yTable"/>
              <w:keepNext/>
              <w:spacing w:before="0"/>
              <w:jc w:val="center"/>
            </w:pPr>
            <w:r>
              <w:t>Units</w:t>
            </w:r>
          </w:p>
          <w:p>
            <w:pPr>
              <w:pStyle w:val="yTable"/>
              <w:keepNext/>
              <w:spacing w:before="0"/>
              <w:jc w:val="center"/>
            </w:pPr>
          </w:p>
        </w:tc>
      </w:tr>
      <w:tr>
        <w:tc>
          <w:tcPr>
            <w:tcW w:w="4678" w:type="dxa"/>
          </w:tcPr>
          <w:p>
            <w:pPr>
              <w:pStyle w:val="yTable"/>
              <w:ind w:right="142"/>
            </w:pPr>
            <w:r>
              <w:t>Anaesthetist Consultation</w:t>
            </w:r>
          </w:p>
        </w:tc>
        <w:tc>
          <w:tcPr>
            <w:tcW w:w="1985" w:type="dxa"/>
          </w:tcPr>
          <w:p>
            <w:pPr>
              <w:pStyle w:val="yTable"/>
              <w:keepNext/>
              <w:jc w:val="center"/>
            </w:pPr>
          </w:p>
        </w:tc>
      </w:tr>
      <w:tr>
        <w:tc>
          <w:tcPr>
            <w:tcW w:w="4678" w:type="dxa"/>
          </w:tcPr>
          <w:p>
            <w:pPr>
              <w:pStyle w:val="yTable"/>
              <w:tabs>
                <w:tab w:val="left" w:pos="567"/>
              </w:tabs>
              <w:ind w:left="567" w:right="141" w:hanging="567"/>
            </w:pPr>
            <w:r>
              <w:t> — an attendance of 15 minutes or less duration</w:t>
            </w:r>
          </w:p>
        </w:tc>
        <w:tc>
          <w:tcPr>
            <w:tcW w:w="1985" w:type="dxa"/>
          </w:tcPr>
          <w:p>
            <w:pPr>
              <w:pStyle w:val="yTable"/>
              <w:keepNext/>
              <w:jc w:val="center"/>
            </w:pPr>
            <w:r>
              <w:t>2</w:t>
            </w:r>
          </w:p>
        </w:tc>
      </w:tr>
      <w:tr>
        <w:tc>
          <w:tcPr>
            <w:tcW w:w="4678" w:type="dxa"/>
          </w:tcPr>
          <w:p>
            <w:pPr>
              <w:pStyle w:val="yTable"/>
              <w:tabs>
                <w:tab w:val="left" w:pos="567"/>
              </w:tabs>
              <w:ind w:left="567" w:right="141" w:hanging="567"/>
            </w:pPr>
            <w:r>
              <w:t> — an attendance of more than 15 minutes but not more than 30 minutes duration</w:t>
            </w:r>
          </w:p>
        </w:tc>
        <w:tc>
          <w:tcPr>
            <w:tcW w:w="1985" w:type="dxa"/>
          </w:tcPr>
          <w:p>
            <w:pPr>
              <w:pStyle w:val="yTable"/>
              <w:keepNext/>
              <w:jc w:val="center"/>
            </w:pPr>
            <w:r>
              <w:br/>
              <w:t>4</w:t>
            </w:r>
          </w:p>
        </w:tc>
      </w:tr>
      <w:tr>
        <w:tc>
          <w:tcPr>
            <w:tcW w:w="4678" w:type="dxa"/>
          </w:tcPr>
          <w:p>
            <w:pPr>
              <w:pStyle w:val="yTable"/>
              <w:tabs>
                <w:tab w:val="left" w:pos="567"/>
              </w:tabs>
              <w:ind w:left="567" w:right="141" w:hanging="567"/>
            </w:pPr>
            <w:r>
              <w:t> — an attendance of more than 30 minutes but not more than 45 minutes duration</w:t>
            </w:r>
          </w:p>
        </w:tc>
        <w:tc>
          <w:tcPr>
            <w:tcW w:w="1985" w:type="dxa"/>
          </w:tcPr>
          <w:p>
            <w:pPr>
              <w:pStyle w:val="yTable"/>
              <w:keepNext/>
              <w:jc w:val="center"/>
            </w:pPr>
            <w:r>
              <w:br/>
              <w:t>6</w:t>
            </w:r>
          </w:p>
        </w:tc>
      </w:tr>
      <w:tr>
        <w:tc>
          <w:tcPr>
            <w:tcW w:w="4678" w:type="dxa"/>
          </w:tcPr>
          <w:p>
            <w:pPr>
              <w:pStyle w:val="yTable"/>
              <w:tabs>
                <w:tab w:val="left" w:pos="567"/>
              </w:tabs>
              <w:ind w:left="567" w:right="141" w:hanging="567"/>
            </w:pPr>
            <w:r>
              <w:t> — an attendance of more than 45 minutes duration</w:t>
            </w:r>
          </w:p>
        </w:tc>
        <w:tc>
          <w:tcPr>
            <w:tcW w:w="1985" w:type="dxa"/>
          </w:tcPr>
          <w:p>
            <w:pPr>
              <w:pStyle w:val="yTable"/>
              <w:keepNext/>
              <w:jc w:val="center"/>
            </w:pPr>
            <w:r>
              <w:br/>
              <w:t>8</w:t>
            </w:r>
          </w:p>
        </w:tc>
      </w:tr>
      <w:tr>
        <w:tc>
          <w:tcPr>
            <w:tcW w:w="4678" w:type="dxa"/>
          </w:tcPr>
          <w:p>
            <w:pPr>
              <w:pStyle w:val="yTable"/>
              <w:ind w:right="141"/>
            </w:pPr>
            <w:r>
              <w:t>Post anaesthesia patient care following a day procedure</w:t>
            </w:r>
          </w:p>
        </w:tc>
        <w:tc>
          <w:tcPr>
            <w:tcW w:w="1985" w:type="dxa"/>
          </w:tcPr>
          <w:p>
            <w:pPr>
              <w:pStyle w:val="yTable"/>
              <w:keepNext/>
              <w:jc w:val="center"/>
            </w:pPr>
            <w:r>
              <w:br/>
              <w:t>2</w:t>
            </w:r>
          </w:p>
        </w:tc>
      </w:tr>
      <w:tr>
        <w:tc>
          <w:tcPr>
            <w:tcW w:w="4678" w:type="dxa"/>
          </w:tcPr>
          <w:p>
            <w:pPr>
              <w:pStyle w:val="yTable"/>
              <w:ind w:right="141"/>
            </w:pPr>
            <w:r>
              <w:t>EMERGENCY ATTENDANCES</w:t>
            </w:r>
          </w:p>
        </w:tc>
        <w:tc>
          <w:tcPr>
            <w:tcW w:w="1985" w:type="dxa"/>
          </w:tcPr>
          <w:p>
            <w:pPr>
              <w:pStyle w:val="yTable"/>
              <w:keepNext/>
              <w:jc w:val="center"/>
            </w:pPr>
          </w:p>
        </w:tc>
      </w:tr>
      <w:tr>
        <w:tc>
          <w:tcPr>
            <w:tcW w:w="4678" w:type="dxa"/>
          </w:tcPr>
          <w:p>
            <w:pPr>
              <w:pStyle w:val="yTable"/>
              <w:ind w:right="141"/>
            </w:pPr>
            <w:r>
              <w:t>After hours — where immediate attendance is required after 6 p.m. and before 8 a.m. on any weekday, or at any time on a Saturday, Sunday or a public holiday</w:t>
            </w:r>
          </w:p>
        </w:tc>
        <w:tc>
          <w:tcPr>
            <w:tcW w:w="1985" w:type="dxa"/>
          </w:tcPr>
          <w:p>
            <w:pPr>
              <w:pStyle w:val="yTable"/>
              <w:keepNext/>
              <w:jc w:val="center"/>
            </w:pPr>
            <w:r>
              <w:br/>
            </w:r>
            <w:r>
              <w:br/>
            </w:r>
            <w:r>
              <w:br/>
              <w:t>6</w:t>
            </w:r>
          </w:p>
        </w:tc>
      </w:tr>
      <w:tr>
        <w:tc>
          <w:tcPr>
            <w:tcW w:w="4678" w:type="dxa"/>
          </w:tcPr>
          <w:p>
            <w:pPr>
              <w:pStyle w:val="yTable"/>
              <w:ind w:right="141"/>
            </w:pPr>
            <w:r>
              <w:rPr>
                <w:b/>
              </w:rPr>
              <w:t>Note: No after hours loading applies to the above item</w:t>
            </w:r>
          </w:p>
        </w:tc>
        <w:tc>
          <w:tcPr>
            <w:tcW w:w="1985" w:type="dxa"/>
          </w:tcPr>
          <w:p>
            <w:pPr>
              <w:pStyle w:val="yTable"/>
              <w:keepNext/>
              <w:jc w:val="center"/>
            </w:pPr>
          </w:p>
        </w:tc>
      </w:tr>
      <w:tr>
        <w:tc>
          <w:tcPr>
            <w:tcW w:w="4678" w:type="dxa"/>
          </w:tcPr>
          <w:p>
            <w:pPr>
              <w:pStyle w:val="yTable"/>
              <w:ind w:right="141"/>
            </w:pPr>
            <w:r>
              <w:t>Attendance on a patient in imminent danger of death requiring continuous life saving emergency treatment to the exclusion of all other patients</w:t>
            </w:r>
          </w:p>
        </w:tc>
        <w:tc>
          <w:tcPr>
            <w:tcW w:w="1985" w:type="dxa"/>
          </w:tcPr>
          <w:p>
            <w:pPr>
              <w:pStyle w:val="yTable"/>
              <w:keepNext/>
              <w:jc w:val="center"/>
            </w:pPr>
            <w:r>
              <w:br/>
            </w:r>
            <w:r>
              <w:br/>
            </w:r>
          </w:p>
          <w:p>
            <w:pPr>
              <w:pStyle w:val="yTable"/>
              <w:keepNext/>
              <w:jc w:val="center"/>
            </w:pPr>
            <w:r>
              <w:t>6</w:t>
            </w:r>
          </w:p>
        </w:tc>
      </w:tr>
      <w:tr>
        <w:tc>
          <w:tcPr>
            <w:tcW w:w="4678" w:type="dxa"/>
            <w:tcBorders>
              <w:bottom w:val="single" w:sz="4" w:space="0" w:color="auto"/>
            </w:tcBorders>
          </w:tcPr>
          <w:p>
            <w:pPr>
              <w:pStyle w:val="yTable"/>
              <w:ind w:right="141"/>
            </w:pPr>
            <w:r>
              <w:t>Call back from home, office or other distant location for the provision of emergency services</w:t>
            </w:r>
          </w:p>
        </w:tc>
        <w:tc>
          <w:tcPr>
            <w:tcW w:w="1985" w:type="dxa"/>
            <w:tcBorders>
              <w:bottom w:val="single" w:sz="4" w:space="0" w:color="auto"/>
            </w:tcBorders>
          </w:tcPr>
          <w:p>
            <w:pPr>
              <w:pStyle w:val="yTable"/>
              <w:keepNext/>
              <w:jc w:val="center"/>
            </w:pPr>
            <w:r>
              <w:br/>
              <w:t>4</w:t>
            </w:r>
          </w:p>
        </w:tc>
      </w:tr>
    </w:tbl>
    <w:p>
      <w:pPr>
        <w:pStyle w:val="yTable"/>
        <w:spacing w:before="120"/>
        <w:ind w:left="567"/>
      </w:pPr>
      <w:r>
        <w:t>PROCEDURES AND SERVICES</w:t>
      </w:r>
    </w:p>
    <w:p>
      <w:pPr>
        <w:pStyle w:val="yTable"/>
        <w:ind w:left="567"/>
      </w:pPr>
      <w:r>
        <w:t>All anaesthesia fees in relation to procedures and services are to be charged on the relative value guide (RVG) system. In most cases, the RVG system comprises 3 elements: base units (BUs), modifying units (MUs) and time units (TUs).</w:t>
      </w:r>
    </w:p>
    <w:p>
      <w:pPr>
        <w:pStyle w:val="yTable"/>
        <w:ind w:left="567"/>
      </w:pPr>
      <w:r>
        <w:t>In Part A, the fee for a procedure is calculated by adding the base units for the procedure, the time units, and any modifying units and multiplying the result by the $ value per unit allocated by this Schedule.</w:t>
      </w:r>
    </w:p>
    <w:p>
      <w:pPr>
        <w:pStyle w:val="yTable"/>
        <w:tabs>
          <w:tab w:val="left" w:pos="1418"/>
        </w:tabs>
        <w:ind w:left="567"/>
      </w:pPr>
      <w:r>
        <w:tab/>
        <w:t>(BUs + TUs + MUs ) x $ value per unit = Fee</w:t>
      </w:r>
    </w:p>
    <w:p>
      <w:pPr>
        <w:pStyle w:val="yTable"/>
        <w:ind w:left="567"/>
      </w:pPr>
      <w:r>
        <w:t>In Part B, the fee for a therapeutic or diagnostic service only includes modifying units (MUs), and time units (TUs) if the item notes that service as including either or both.</w:t>
      </w:r>
    </w:p>
    <w:p>
      <w:pPr>
        <w:pStyle w:val="yTable"/>
        <w:ind w:left="567"/>
        <w:rPr>
          <w:u w:val="single"/>
        </w:rPr>
      </w:pPr>
      <w:r>
        <w:rPr>
          <w:u w:val="single"/>
        </w:rPr>
        <w:t>Base units</w:t>
      </w:r>
    </w:p>
    <w:p>
      <w:pPr>
        <w:pStyle w:val="yTable"/>
        <w:ind w:left="567"/>
      </w:pPr>
      <w:r>
        <w:t>The appropriate number of base units for each procedure has been established and is set out in this Schedule.</w:t>
      </w:r>
    </w:p>
    <w:p>
      <w:pPr>
        <w:pStyle w:val="yTable"/>
        <w:ind w:left="567"/>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ind w:left="567"/>
        <w:rPr>
          <w:u w:val="single"/>
        </w:rPr>
      </w:pPr>
      <w:r>
        <w:rPr>
          <w:u w:val="single"/>
        </w:rPr>
        <w:t>Time units</w:t>
      </w:r>
    </w:p>
    <w:p>
      <w:pPr>
        <w:pStyle w:val="yTable"/>
        <w:ind w:left="567"/>
      </w:pPr>
      <w:r>
        <w:t>Each 15 minutes (or part thereof) of anaesthetic time constitutes one time unit.  After 4 hours, time units are calculated at 1 per 10 minutes.</w:t>
      </w:r>
    </w:p>
    <w:p>
      <w:pPr>
        <w:pStyle w:val="yTable"/>
        <w:ind w:left="567"/>
        <w:rPr>
          <w:u w:val="single"/>
        </w:rPr>
      </w:pPr>
      <w:r>
        <w:rPr>
          <w:u w:val="single"/>
        </w:rPr>
        <w:t>Modifying units</w:t>
      </w:r>
    </w:p>
    <w:p>
      <w:pPr>
        <w:pStyle w:val="yTable"/>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ind w:left="567"/>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rPr>
        <w:tc>
          <w:tcPr>
            <w:tcW w:w="5103" w:type="dxa"/>
            <w:tcBorders>
              <w:top w:val="single" w:sz="4" w:space="0" w:color="auto"/>
              <w:bottom w:val="single" w:sz="4" w:space="0" w:color="auto"/>
            </w:tcBorders>
          </w:tcPr>
          <w:p>
            <w:pPr>
              <w:pStyle w:val="yTable"/>
            </w:pPr>
            <w:r>
              <w:rPr>
                <w:b/>
              </w:rPr>
              <w:t>Description</w:t>
            </w:r>
          </w:p>
        </w:tc>
        <w:tc>
          <w:tcPr>
            <w:tcW w:w="1276" w:type="dxa"/>
            <w:tcBorders>
              <w:top w:val="single" w:sz="4" w:space="0" w:color="auto"/>
              <w:bottom w:val="single" w:sz="4" w:space="0" w:color="auto"/>
            </w:tcBorders>
          </w:tcPr>
          <w:p>
            <w:pPr>
              <w:pStyle w:val="yTable"/>
              <w:keepNext/>
              <w:spacing w:before="20"/>
              <w:jc w:val="center"/>
              <w:rPr>
                <w:b/>
              </w:rPr>
            </w:pPr>
            <w:r>
              <w:rPr>
                <w:b/>
              </w:rPr>
              <w:t>Units</w:t>
            </w:r>
          </w:p>
        </w:tc>
      </w:tr>
      <w:tr>
        <w:trPr>
          <w:cantSplit/>
        </w:trPr>
        <w:tc>
          <w:tcPr>
            <w:tcW w:w="5103" w:type="dxa"/>
          </w:tcPr>
          <w:p>
            <w:pPr>
              <w:pStyle w:val="yTable"/>
            </w:pPr>
            <w:r>
              <w:t>A normal healthy patient</w:t>
            </w:r>
          </w:p>
        </w:tc>
        <w:tc>
          <w:tcPr>
            <w:tcW w:w="1276" w:type="dxa"/>
          </w:tcPr>
          <w:p>
            <w:pPr>
              <w:pStyle w:val="yTable"/>
              <w:keepNext/>
              <w:jc w:val="center"/>
            </w:pPr>
            <w:r>
              <w:t>0</w:t>
            </w:r>
          </w:p>
        </w:tc>
      </w:tr>
      <w:tr>
        <w:trPr>
          <w:cantSplit/>
        </w:trPr>
        <w:tc>
          <w:tcPr>
            <w:tcW w:w="5103" w:type="dxa"/>
          </w:tcPr>
          <w:p>
            <w:pPr>
              <w:pStyle w:val="yTable"/>
            </w:pPr>
            <w:r>
              <w:t>A patient with a mild systemic disease</w:t>
            </w:r>
          </w:p>
        </w:tc>
        <w:tc>
          <w:tcPr>
            <w:tcW w:w="1276" w:type="dxa"/>
          </w:tcPr>
          <w:p>
            <w:pPr>
              <w:pStyle w:val="yTable"/>
              <w:keepNext/>
              <w:jc w:val="center"/>
            </w:pPr>
            <w:r>
              <w:t>0</w:t>
            </w:r>
          </w:p>
        </w:tc>
      </w:tr>
      <w:tr>
        <w:trPr>
          <w:cantSplit/>
        </w:trPr>
        <w:tc>
          <w:tcPr>
            <w:tcW w:w="5103" w:type="dxa"/>
          </w:tcPr>
          <w:p>
            <w:pPr>
              <w:pStyle w:val="yTable"/>
            </w:pPr>
            <w:r>
              <w:t>A patient with a severe systemic disease</w:t>
            </w:r>
          </w:p>
        </w:tc>
        <w:tc>
          <w:tcPr>
            <w:tcW w:w="1276" w:type="dxa"/>
          </w:tcPr>
          <w:p>
            <w:pPr>
              <w:pStyle w:val="yTable"/>
              <w:keepNext/>
              <w:jc w:val="center"/>
            </w:pPr>
            <w:r>
              <w:t>1</w:t>
            </w:r>
          </w:p>
        </w:tc>
      </w:tr>
      <w:tr>
        <w:trPr>
          <w:cantSplit/>
        </w:trPr>
        <w:tc>
          <w:tcPr>
            <w:tcW w:w="5103" w:type="dxa"/>
          </w:tcPr>
          <w:p>
            <w:pPr>
              <w:pStyle w:val="yTable"/>
            </w:pPr>
            <w:r>
              <w:t>A patient with a severe systemic disease that is a constant threat to life</w:t>
            </w:r>
          </w:p>
        </w:tc>
        <w:tc>
          <w:tcPr>
            <w:tcW w:w="1276" w:type="dxa"/>
          </w:tcPr>
          <w:p>
            <w:pPr>
              <w:pStyle w:val="yTable"/>
              <w:keepNext/>
              <w:jc w:val="center"/>
            </w:pPr>
            <w:r>
              <w:br/>
              <w:t>4</w:t>
            </w:r>
          </w:p>
        </w:tc>
      </w:tr>
      <w:tr>
        <w:trPr>
          <w:cantSplit/>
        </w:trPr>
        <w:tc>
          <w:tcPr>
            <w:tcW w:w="5103" w:type="dxa"/>
          </w:tcPr>
          <w:p>
            <w:pPr>
              <w:pStyle w:val="yTable"/>
            </w:pPr>
            <w:r>
              <w:t>A moribund patient who is not expected to survive for 24 hours with or without the operation</w:t>
            </w:r>
          </w:p>
        </w:tc>
        <w:tc>
          <w:tcPr>
            <w:tcW w:w="1276" w:type="dxa"/>
          </w:tcPr>
          <w:p>
            <w:pPr>
              <w:pStyle w:val="yTable"/>
              <w:keepNext/>
              <w:jc w:val="center"/>
            </w:pPr>
            <w:r>
              <w:br/>
              <w:t>6</w:t>
            </w:r>
          </w:p>
        </w:tc>
      </w:tr>
      <w:tr>
        <w:trPr>
          <w:cantSplit/>
        </w:trPr>
        <w:tc>
          <w:tcPr>
            <w:tcW w:w="5103" w:type="dxa"/>
          </w:tcPr>
          <w:p>
            <w:pPr>
              <w:pStyle w:val="yTable"/>
            </w:pPr>
            <w:r>
              <w:t>A patient who is morbidly obese (body mass index is more than 35)</w:t>
            </w:r>
          </w:p>
        </w:tc>
        <w:tc>
          <w:tcPr>
            <w:tcW w:w="1276" w:type="dxa"/>
          </w:tcPr>
          <w:p>
            <w:pPr>
              <w:pStyle w:val="yTable"/>
              <w:keepNext/>
              <w:jc w:val="center"/>
            </w:pPr>
            <w:r>
              <w:br/>
              <w:t>2</w:t>
            </w:r>
          </w:p>
        </w:tc>
      </w:tr>
      <w:tr>
        <w:trPr>
          <w:cantSplit/>
        </w:trPr>
        <w:tc>
          <w:tcPr>
            <w:tcW w:w="5103" w:type="dxa"/>
          </w:tcPr>
          <w:p>
            <w:pPr>
              <w:pStyle w:val="yTable"/>
            </w:pPr>
            <w:r>
              <w:t>A patient who is in the 3</w:t>
            </w:r>
            <w:r>
              <w:rPr>
                <w:vertAlign w:val="superscript"/>
              </w:rPr>
              <w:t>rd</w:t>
            </w:r>
            <w:r>
              <w:t xml:space="preserve"> trimester of pregnancy</w:t>
            </w:r>
          </w:p>
        </w:tc>
        <w:tc>
          <w:tcPr>
            <w:tcW w:w="1276" w:type="dxa"/>
          </w:tcPr>
          <w:p>
            <w:pPr>
              <w:pStyle w:val="yTable"/>
              <w:keepNext/>
              <w:jc w:val="center"/>
            </w:pPr>
            <w:r>
              <w:t>2</w:t>
            </w:r>
          </w:p>
        </w:tc>
      </w:tr>
      <w:tr>
        <w:trPr>
          <w:cantSplit/>
        </w:trPr>
        <w:tc>
          <w:tcPr>
            <w:tcW w:w="5103" w:type="dxa"/>
          </w:tcPr>
          <w:p>
            <w:pPr>
              <w:pStyle w:val="yTable"/>
            </w:pPr>
            <w:r>
              <w:t>A patient declared brain dead whose organs are being removed for donor purposes</w:t>
            </w:r>
          </w:p>
        </w:tc>
        <w:tc>
          <w:tcPr>
            <w:tcW w:w="1276" w:type="dxa"/>
          </w:tcPr>
          <w:p>
            <w:pPr>
              <w:pStyle w:val="yTable"/>
              <w:keepNext/>
              <w:jc w:val="center"/>
            </w:pPr>
            <w:r>
              <w:br/>
              <w:t>0</w:t>
            </w:r>
          </w:p>
        </w:tc>
      </w:tr>
      <w:tr>
        <w:trPr>
          <w:cantSplit/>
        </w:trPr>
        <w:tc>
          <w:tcPr>
            <w:tcW w:w="5103" w:type="dxa"/>
          </w:tcPr>
          <w:p>
            <w:pPr>
              <w:pStyle w:val="yTable"/>
            </w:pPr>
            <w:r>
              <w:t>Where the patient is aged under 1 year or over 70 years old</w:t>
            </w:r>
          </w:p>
        </w:tc>
        <w:tc>
          <w:tcPr>
            <w:tcW w:w="1276" w:type="dxa"/>
          </w:tcPr>
          <w:p>
            <w:pPr>
              <w:pStyle w:val="yTable"/>
              <w:keepNext/>
              <w:jc w:val="center"/>
            </w:pPr>
            <w:r>
              <w:br/>
              <w:t>1</w:t>
            </w:r>
          </w:p>
        </w:tc>
      </w:tr>
      <w:tr>
        <w:trPr>
          <w:cantSplit/>
        </w:trPr>
        <w:tc>
          <w:tcPr>
            <w:tcW w:w="5103" w:type="dxa"/>
          </w:tcPr>
          <w:p>
            <w:pPr>
              <w:pStyle w:val="yTable"/>
            </w:pPr>
            <w:r>
              <w:t>Emergency surgery (i.e. When undue delay in treatment of the patient would lead to a significant increase in a threat to life or body part)</w:t>
            </w:r>
          </w:p>
        </w:tc>
        <w:tc>
          <w:tcPr>
            <w:tcW w:w="1276" w:type="dxa"/>
          </w:tcPr>
          <w:p>
            <w:pPr>
              <w:pStyle w:val="yTable"/>
              <w:keepNext/>
              <w:jc w:val="center"/>
            </w:pPr>
            <w:r>
              <w:br/>
            </w:r>
            <w:r>
              <w:br/>
              <w:t>2</w:t>
            </w:r>
          </w:p>
        </w:tc>
      </w:tr>
      <w:tr>
        <w:trPr>
          <w:cantSplit/>
        </w:trPr>
        <w:tc>
          <w:tcPr>
            <w:tcW w:w="5103" w:type="dxa"/>
            <w:tcBorders>
              <w:bottom w:val="single" w:sz="4" w:space="0" w:color="auto"/>
            </w:tcBorders>
          </w:tcPr>
          <w:p>
            <w:pPr>
              <w:pStyle w:val="yTable"/>
            </w:pPr>
            <w:r>
              <w:t>Anaesthesia in the prone position (not applicable to lower intestinal endoscopic procedures)</w:t>
            </w:r>
          </w:p>
        </w:tc>
        <w:tc>
          <w:tcPr>
            <w:tcW w:w="1276" w:type="dxa"/>
            <w:tcBorders>
              <w:bottom w:val="single" w:sz="4" w:space="0" w:color="auto"/>
            </w:tcBorders>
          </w:tcPr>
          <w:p>
            <w:pPr>
              <w:pStyle w:val="yTable"/>
              <w:keepNext/>
              <w:jc w:val="center"/>
            </w:pPr>
            <w:r>
              <w:br/>
              <w:t>3</w:t>
            </w:r>
          </w:p>
        </w:tc>
      </w:tr>
    </w:tbl>
    <w:p>
      <w:pPr>
        <w:pStyle w:val="yTable"/>
        <w:ind w:left="567"/>
      </w:pPr>
      <w:r>
        <w:rPr>
          <w:u w:val="single"/>
        </w:rPr>
        <w:t>Anaesthesia for after</w:t>
      </w:r>
      <w:r>
        <w:rPr>
          <w:u w:val="single"/>
        </w:rPr>
        <w:noBreakHyphen/>
        <w:t>hours emergencies</w:t>
      </w:r>
    </w:p>
    <w:p>
      <w:pPr>
        <w:pStyle w:val="yTable"/>
        <w:ind w:left="567"/>
      </w:pPr>
      <w:r>
        <w:t>A 50% loading should apply to emergency after–hours anaesthesia.  It is calculated using the “total relative value”.  The 50% loading and the emergency surgery modifier should not be used together.</w:t>
      </w:r>
    </w:p>
    <w:p>
      <w:pPr>
        <w:pStyle w:val="yTable"/>
        <w:ind w:left="567"/>
      </w:pPr>
      <w:r>
        <w:t>“After</w:t>
      </w:r>
      <w:r>
        <w:noBreakHyphen/>
        <w:t>hours” is defined as that period between 6.00 p.m. and the following 8.00 a.m. on weekdays and between 8.00 a.m. and the following 8.00 a.m. on weekend days and public holidays.</w:t>
      </w:r>
    </w:p>
    <w:p>
      <w:pPr>
        <w:pStyle w:val="yTable"/>
        <w:spacing w:before="120" w:after="60"/>
        <w:ind w:left="567"/>
      </w:pPr>
      <w:r>
        <w:t>PART A — PROCEDURES</w:t>
      </w: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rPr>
        <w:tc>
          <w:tcPr>
            <w:tcW w:w="5103" w:type="dxa"/>
            <w:tcBorders>
              <w:top w:val="single" w:sz="4" w:space="0" w:color="auto"/>
              <w:bottom w:val="single" w:sz="4" w:space="0" w:color="auto"/>
            </w:tcBorders>
          </w:tcPr>
          <w:p>
            <w:pPr>
              <w:pStyle w:val="yTable"/>
            </w:pPr>
            <w:r>
              <w:rPr>
                <w:b/>
              </w:rPr>
              <w:t>Description of procedure, etc.</w:t>
            </w:r>
          </w:p>
        </w:tc>
        <w:tc>
          <w:tcPr>
            <w:tcW w:w="1276" w:type="dxa"/>
            <w:tcBorders>
              <w:top w:val="single" w:sz="4" w:space="0" w:color="auto"/>
              <w:bottom w:val="single" w:sz="4" w:space="0" w:color="auto"/>
            </w:tcBorders>
          </w:tcPr>
          <w:p>
            <w:pPr>
              <w:pStyle w:val="yTable"/>
              <w:keepNext/>
              <w:jc w:val="center"/>
              <w:rPr>
                <w:b/>
              </w:rPr>
            </w:pPr>
            <w:r>
              <w:rPr>
                <w:b/>
              </w:rPr>
              <w:t>Units</w:t>
            </w:r>
          </w:p>
        </w:tc>
      </w:tr>
      <w:tr>
        <w:trPr>
          <w:cantSplit/>
        </w:trPr>
        <w:tc>
          <w:tcPr>
            <w:tcW w:w="5103" w:type="dxa"/>
          </w:tcPr>
          <w:p>
            <w:pPr>
              <w:pStyle w:val="yTable"/>
            </w:pPr>
            <w:r>
              <w:rPr>
                <w:b/>
              </w:rPr>
              <w:t>Head</w:t>
            </w:r>
          </w:p>
        </w:tc>
        <w:tc>
          <w:tcPr>
            <w:tcW w:w="1276" w:type="dxa"/>
          </w:tcPr>
          <w:p>
            <w:pPr>
              <w:pStyle w:val="yTable"/>
              <w:keepNext/>
              <w:jc w:val="center"/>
            </w:pPr>
          </w:p>
        </w:tc>
      </w:tr>
      <w:tr>
        <w:trPr>
          <w:cantSplit/>
        </w:trPr>
        <w:tc>
          <w:tcPr>
            <w:tcW w:w="5103" w:type="dxa"/>
          </w:tcPr>
          <w:p>
            <w:pPr>
              <w:pStyle w:val="yTable"/>
            </w:pPr>
            <w:r>
              <w:t>Anaesthesia for all procedures on the skin and subcutaneous tissue, muscles, salivary glands and superficial blood vessels of the head, including biopsy, unless otherwise specified</w:t>
            </w:r>
          </w:p>
        </w:tc>
        <w:tc>
          <w:tcPr>
            <w:tcW w:w="1276" w:type="dxa"/>
          </w:tcPr>
          <w:p>
            <w:pPr>
              <w:pStyle w:val="yTable"/>
              <w:keepNext/>
              <w:jc w:val="center"/>
            </w:pPr>
            <w:r>
              <w:br/>
            </w:r>
            <w:r>
              <w:br/>
            </w:r>
            <w:r>
              <w:br/>
              <w:t>5</w:t>
            </w:r>
          </w:p>
        </w:tc>
      </w:tr>
      <w:tr>
        <w:trPr>
          <w:cantSplit/>
        </w:trPr>
        <w:tc>
          <w:tcPr>
            <w:tcW w:w="5103" w:type="dxa"/>
          </w:tcPr>
          <w:p>
            <w:pPr>
              <w:pStyle w:val="yTable"/>
            </w:pPr>
            <w:r>
              <w:t> — plastic repair of cleft lip</w:t>
            </w:r>
          </w:p>
        </w:tc>
        <w:tc>
          <w:tcPr>
            <w:tcW w:w="1276" w:type="dxa"/>
          </w:tcPr>
          <w:p>
            <w:pPr>
              <w:pStyle w:val="yTable"/>
              <w:keepNext/>
              <w:jc w:val="center"/>
            </w:pPr>
            <w:r>
              <w:t>6</w:t>
            </w:r>
          </w:p>
        </w:tc>
      </w:tr>
      <w:tr>
        <w:trPr>
          <w:cantSplit/>
        </w:trPr>
        <w:tc>
          <w:tcPr>
            <w:tcW w:w="5103" w:type="dxa"/>
          </w:tcPr>
          <w:p>
            <w:pPr>
              <w:pStyle w:val="yTable"/>
            </w:pPr>
            <w:r>
              <w:t>Anaesthesia for electroconvulsive therapy</w:t>
            </w:r>
          </w:p>
        </w:tc>
        <w:tc>
          <w:tcPr>
            <w:tcW w:w="1276" w:type="dxa"/>
          </w:tcPr>
          <w:p>
            <w:pPr>
              <w:pStyle w:val="yTable"/>
              <w:keepNext/>
              <w:jc w:val="center"/>
            </w:pPr>
            <w:r>
              <w:t>4</w:t>
            </w:r>
          </w:p>
        </w:tc>
      </w:tr>
      <w:tr>
        <w:trPr>
          <w:cantSplit/>
        </w:trPr>
        <w:tc>
          <w:tcPr>
            <w:tcW w:w="5103" w:type="dxa"/>
          </w:tcPr>
          <w:p>
            <w:pPr>
              <w:pStyle w:val="yTable"/>
            </w:pPr>
            <w:r>
              <w:t>Anaesthesia for all procedures on external, middle or inner ear, including biopsy, unless otherwise specified</w:t>
            </w:r>
          </w:p>
        </w:tc>
        <w:tc>
          <w:tcPr>
            <w:tcW w:w="1276" w:type="dxa"/>
          </w:tcPr>
          <w:p>
            <w:pPr>
              <w:pStyle w:val="yTable"/>
              <w:keepNext/>
              <w:jc w:val="center"/>
            </w:pPr>
            <w:r>
              <w:br/>
            </w:r>
            <w:r>
              <w:br/>
              <w:t>5</w:t>
            </w:r>
          </w:p>
        </w:tc>
      </w:tr>
      <w:tr>
        <w:trPr>
          <w:cantSplit/>
        </w:trPr>
        <w:tc>
          <w:tcPr>
            <w:tcW w:w="5103" w:type="dxa"/>
          </w:tcPr>
          <w:p>
            <w:pPr>
              <w:pStyle w:val="yTable"/>
            </w:pPr>
            <w:r>
              <w:t> — otoscopy</w:t>
            </w:r>
          </w:p>
        </w:tc>
        <w:tc>
          <w:tcPr>
            <w:tcW w:w="1276" w:type="dxa"/>
          </w:tcPr>
          <w:p>
            <w:pPr>
              <w:pStyle w:val="yTable"/>
              <w:keepNext/>
              <w:jc w:val="center"/>
            </w:pPr>
            <w:r>
              <w:t>4</w:t>
            </w:r>
          </w:p>
        </w:tc>
      </w:tr>
      <w:tr>
        <w:trPr>
          <w:cantSplit/>
        </w:trPr>
        <w:tc>
          <w:tcPr>
            <w:tcW w:w="5103" w:type="dxa"/>
          </w:tcPr>
          <w:p>
            <w:pPr>
              <w:pStyle w:val="yTable"/>
            </w:pPr>
            <w:r>
              <w:t>Anaesthesia for all procedures on eye unless otherwise specified</w:t>
            </w:r>
          </w:p>
        </w:tc>
        <w:tc>
          <w:tcPr>
            <w:tcW w:w="1276" w:type="dxa"/>
          </w:tcPr>
          <w:p>
            <w:pPr>
              <w:pStyle w:val="yTable"/>
              <w:keepNext/>
              <w:jc w:val="center"/>
            </w:pPr>
            <w:r>
              <w:br/>
              <w:t>5</w:t>
            </w:r>
          </w:p>
        </w:tc>
      </w:tr>
      <w:tr>
        <w:trPr>
          <w:cantSplit/>
        </w:trPr>
        <w:tc>
          <w:tcPr>
            <w:tcW w:w="5103" w:type="dxa"/>
          </w:tcPr>
          <w:p>
            <w:pPr>
              <w:pStyle w:val="yTable"/>
            </w:pPr>
            <w:r>
              <w:t> — lens surgery</w:t>
            </w:r>
          </w:p>
        </w:tc>
        <w:tc>
          <w:tcPr>
            <w:tcW w:w="1276" w:type="dxa"/>
          </w:tcPr>
          <w:p>
            <w:pPr>
              <w:pStyle w:val="yTable"/>
              <w:keepNext/>
              <w:jc w:val="center"/>
            </w:pPr>
            <w:r>
              <w:t>6</w:t>
            </w:r>
          </w:p>
        </w:tc>
      </w:tr>
      <w:tr>
        <w:trPr>
          <w:cantSplit/>
        </w:trPr>
        <w:tc>
          <w:tcPr>
            <w:tcW w:w="5103" w:type="dxa"/>
          </w:tcPr>
          <w:p>
            <w:pPr>
              <w:pStyle w:val="yTable"/>
            </w:pPr>
            <w:r>
              <w:t> — retinal surgery</w:t>
            </w:r>
          </w:p>
        </w:tc>
        <w:tc>
          <w:tcPr>
            <w:tcW w:w="1276" w:type="dxa"/>
          </w:tcPr>
          <w:p>
            <w:pPr>
              <w:pStyle w:val="yTable"/>
              <w:keepNext/>
              <w:jc w:val="center"/>
            </w:pPr>
            <w:r>
              <w:t>6</w:t>
            </w:r>
          </w:p>
        </w:tc>
      </w:tr>
      <w:tr>
        <w:trPr>
          <w:cantSplit/>
        </w:trPr>
        <w:tc>
          <w:tcPr>
            <w:tcW w:w="5103" w:type="dxa"/>
          </w:tcPr>
          <w:p>
            <w:pPr>
              <w:pStyle w:val="yTable"/>
            </w:pPr>
            <w:r>
              <w:t> — corneal transplant</w:t>
            </w:r>
          </w:p>
        </w:tc>
        <w:tc>
          <w:tcPr>
            <w:tcW w:w="1276" w:type="dxa"/>
          </w:tcPr>
          <w:p>
            <w:pPr>
              <w:pStyle w:val="yTable"/>
              <w:keepNext/>
              <w:jc w:val="center"/>
            </w:pPr>
            <w:r>
              <w:t>8</w:t>
            </w:r>
          </w:p>
        </w:tc>
      </w:tr>
      <w:tr>
        <w:trPr>
          <w:cantSplit/>
        </w:trPr>
        <w:tc>
          <w:tcPr>
            <w:tcW w:w="5103" w:type="dxa"/>
          </w:tcPr>
          <w:p>
            <w:pPr>
              <w:pStyle w:val="yTable"/>
            </w:pPr>
            <w:r>
              <w:t> — vitrectomy</w:t>
            </w:r>
          </w:p>
        </w:tc>
        <w:tc>
          <w:tcPr>
            <w:tcW w:w="1276" w:type="dxa"/>
          </w:tcPr>
          <w:p>
            <w:pPr>
              <w:pStyle w:val="yTable"/>
              <w:keepNext/>
              <w:jc w:val="center"/>
            </w:pPr>
            <w:r>
              <w:t>8</w:t>
            </w:r>
          </w:p>
        </w:tc>
      </w:tr>
      <w:tr>
        <w:trPr>
          <w:cantSplit/>
        </w:trPr>
        <w:tc>
          <w:tcPr>
            <w:tcW w:w="5103" w:type="dxa"/>
          </w:tcPr>
          <w:p>
            <w:pPr>
              <w:pStyle w:val="yTable"/>
            </w:pPr>
            <w:r>
              <w:t> — biopsy of conjunctiva</w:t>
            </w:r>
          </w:p>
        </w:tc>
        <w:tc>
          <w:tcPr>
            <w:tcW w:w="1276" w:type="dxa"/>
          </w:tcPr>
          <w:p>
            <w:pPr>
              <w:pStyle w:val="yTable"/>
              <w:keepNext/>
              <w:jc w:val="center"/>
            </w:pPr>
            <w:r>
              <w:t>5</w:t>
            </w:r>
          </w:p>
        </w:tc>
      </w:tr>
      <w:tr>
        <w:trPr>
          <w:cantSplit/>
        </w:trPr>
        <w:tc>
          <w:tcPr>
            <w:tcW w:w="5103" w:type="dxa"/>
          </w:tcPr>
          <w:p>
            <w:pPr>
              <w:pStyle w:val="yTable"/>
            </w:pPr>
            <w:r>
              <w:t> — ophthalmoscopy</w:t>
            </w:r>
          </w:p>
        </w:tc>
        <w:tc>
          <w:tcPr>
            <w:tcW w:w="1276" w:type="dxa"/>
          </w:tcPr>
          <w:p>
            <w:pPr>
              <w:pStyle w:val="yTable"/>
              <w:keepNext/>
              <w:jc w:val="center"/>
            </w:pPr>
            <w:r>
              <w:t>4</w:t>
            </w:r>
          </w:p>
        </w:tc>
      </w:tr>
      <w:tr>
        <w:trPr>
          <w:cantSplit/>
        </w:trPr>
        <w:tc>
          <w:tcPr>
            <w:tcW w:w="5103" w:type="dxa"/>
          </w:tcPr>
          <w:p>
            <w:pPr>
              <w:pStyle w:val="yTable"/>
            </w:pPr>
            <w:r>
              <w:t>Anaesthesia for all procedures on nose and accessory sinuses unless otherwise specified</w:t>
            </w:r>
          </w:p>
        </w:tc>
        <w:tc>
          <w:tcPr>
            <w:tcW w:w="1276" w:type="dxa"/>
          </w:tcPr>
          <w:p>
            <w:pPr>
              <w:pStyle w:val="yTable"/>
              <w:keepNext/>
              <w:jc w:val="center"/>
            </w:pPr>
            <w:r>
              <w:br/>
              <w:t>6</w:t>
            </w:r>
          </w:p>
        </w:tc>
      </w:tr>
      <w:tr>
        <w:trPr>
          <w:cantSplit/>
        </w:trPr>
        <w:tc>
          <w:tcPr>
            <w:tcW w:w="5103" w:type="dxa"/>
          </w:tcPr>
          <w:p>
            <w:pPr>
              <w:pStyle w:val="yTable"/>
            </w:pPr>
            <w:r>
              <w:t> — radical surgery</w:t>
            </w:r>
          </w:p>
        </w:tc>
        <w:tc>
          <w:tcPr>
            <w:tcW w:w="1276" w:type="dxa"/>
          </w:tcPr>
          <w:p>
            <w:pPr>
              <w:pStyle w:val="yTable"/>
              <w:keepNext/>
              <w:jc w:val="center"/>
            </w:pPr>
            <w:r>
              <w:t>7</w:t>
            </w:r>
          </w:p>
        </w:tc>
      </w:tr>
      <w:tr>
        <w:trPr>
          <w:cantSplit/>
        </w:trPr>
        <w:tc>
          <w:tcPr>
            <w:tcW w:w="5103" w:type="dxa"/>
          </w:tcPr>
          <w:p>
            <w:pPr>
              <w:pStyle w:val="yTable"/>
            </w:pPr>
            <w:r>
              <w:t> — biopsy, soft tissue</w:t>
            </w:r>
          </w:p>
        </w:tc>
        <w:tc>
          <w:tcPr>
            <w:tcW w:w="1276" w:type="dxa"/>
          </w:tcPr>
          <w:p>
            <w:pPr>
              <w:pStyle w:val="yTable"/>
              <w:keepNext/>
              <w:jc w:val="center"/>
            </w:pPr>
            <w:r>
              <w:t>4</w:t>
            </w:r>
          </w:p>
        </w:tc>
      </w:tr>
      <w:tr>
        <w:trPr>
          <w:cantSplit/>
        </w:trPr>
        <w:tc>
          <w:tcPr>
            <w:tcW w:w="5103" w:type="dxa"/>
          </w:tcPr>
          <w:p>
            <w:pPr>
              <w:pStyle w:val="yTable"/>
            </w:pPr>
            <w:r>
              <w:t>Anaesthesia for all intraoral procedures, including biopsy, unless otherwise specified</w:t>
            </w:r>
          </w:p>
        </w:tc>
        <w:tc>
          <w:tcPr>
            <w:tcW w:w="1276" w:type="dxa"/>
          </w:tcPr>
          <w:p>
            <w:pPr>
              <w:pStyle w:val="yTable"/>
              <w:keepNext/>
              <w:jc w:val="center"/>
            </w:pPr>
            <w:r>
              <w:br/>
              <w:t>6</w:t>
            </w:r>
          </w:p>
        </w:tc>
      </w:tr>
      <w:tr>
        <w:trPr>
          <w:cantSplit/>
        </w:trPr>
        <w:tc>
          <w:tcPr>
            <w:tcW w:w="5103" w:type="dxa"/>
          </w:tcPr>
          <w:p>
            <w:pPr>
              <w:pStyle w:val="yTable"/>
            </w:pPr>
            <w:r>
              <w:t> — repair of cleft palate</w:t>
            </w:r>
          </w:p>
        </w:tc>
        <w:tc>
          <w:tcPr>
            <w:tcW w:w="1276" w:type="dxa"/>
          </w:tcPr>
          <w:p>
            <w:pPr>
              <w:pStyle w:val="yTable"/>
              <w:keepNext/>
              <w:jc w:val="center"/>
            </w:pPr>
            <w:r>
              <w:t>7</w:t>
            </w:r>
          </w:p>
        </w:tc>
      </w:tr>
      <w:tr>
        <w:trPr>
          <w:cantSplit/>
        </w:trPr>
        <w:tc>
          <w:tcPr>
            <w:tcW w:w="5103" w:type="dxa"/>
          </w:tcPr>
          <w:p>
            <w:pPr>
              <w:pStyle w:val="yTable"/>
            </w:pPr>
            <w:r>
              <w:t> — excision of retropharyngeal tumour</w:t>
            </w:r>
          </w:p>
        </w:tc>
        <w:tc>
          <w:tcPr>
            <w:tcW w:w="1276" w:type="dxa"/>
          </w:tcPr>
          <w:p>
            <w:pPr>
              <w:pStyle w:val="yTable"/>
              <w:keepNext/>
              <w:jc w:val="center"/>
            </w:pPr>
            <w:r>
              <w:t>9</w:t>
            </w:r>
          </w:p>
        </w:tc>
      </w:tr>
      <w:tr>
        <w:trPr>
          <w:cantSplit/>
        </w:trPr>
        <w:tc>
          <w:tcPr>
            <w:tcW w:w="5103" w:type="dxa"/>
          </w:tcPr>
          <w:p>
            <w:pPr>
              <w:pStyle w:val="yTable"/>
            </w:pPr>
            <w:r>
              <w:t> — radical intraoral surgery</w:t>
            </w:r>
          </w:p>
        </w:tc>
        <w:tc>
          <w:tcPr>
            <w:tcW w:w="1276" w:type="dxa"/>
          </w:tcPr>
          <w:p>
            <w:pPr>
              <w:pStyle w:val="yTable"/>
              <w:keepNext/>
              <w:jc w:val="center"/>
            </w:pPr>
            <w:r>
              <w:t>10</w:t>
            </w:r>
          </w:p>
        </w:tc>
      </w:tr>
      <w:tr>
        <w:trPr>
          <w:cantSplit/>
        </w:trPr>
        <w:tc>
          <w:tcPr>
            <w:tcW w:w="5103" w:type="dxa"/>
          </w:tcPr>
          <w:p>
            <w:pPr>
              <w:pStyle w:val="yTable"/>
            </w:pPr>
            <w:r>
              <w:t>Anaesthesia for all procedures on facial bones unless otherwise specified</w:t>
            </w:r>
          </w:p>
        </w:tc>
        <w:tc>
          <w:tcPr>
            <w:tcW w:w="1276" w:type="dxa"/>
          </w:tcPr>
          <w:p>
            <w:pPr>
              <w:pStyle w:val="yTable"/>
              <w:keepNext/>
              <w:jc w:val="center"/>
            </w:pPr>
            <w:r>
              <w:br/>
              <w:t>5</w:t>
            </w:r>
          </w:p>
        </w:tc>
      </w:tr>
      <w:tr>
        <w:trPr>
          <w:cantSplit/>
        </w:trPr>
        <w:tc>
          <w:tcPr>
            <w:tcW w:w="5103" w:type="dxa"/>
          </w:tcPr>
          <w:p>
            <w:pPr>
              <w:pStyle w:val="yTable"/>
            </w:pPr>
            <w:r>
              <w:t> — extensive surgery on facial bones (including prognathism and extensive facial bone reconstruction)</w:t>
            </w:r>
          </w:p>
        </w:tc>
        <w:tc>
          <w:tcPr>
            <w:tcW w:w="1276" w:type="dxa"/>
          </w:tcPr>
          <w:p>
            <w:pPr>
              <w:pStyle w:val="yTable"/>
              <w:keepNext/>
              <w:jc w:val="center"/>
            </w:pPr>
            <w:r>
              <w:br/>
              <w:t>10</w:t>
            </w:r>
          </w:p>
        </w:tc>
      </w:tr>
      <w:tr>
        <w:trPr>
          <w:cantSplit/>
        </w:trPr>
        <w:tc>
          <w:tcPr>
            <w:tcW w:w="5103" w:type="dxa"/>
          </w:tcPr>
          <w:p>
            <w:pPr>
              <w:pStyle w:val="yTable"/>
            </w:pPr>
            <w:r>
              <w:t>Anaesthesia for all intracranial procedures unless otherwise specified</w:t>
            </w:r>
          </w:p>
        </w:tc>
        <w:tc>
          <w:tcPr>
            <w:tcW w:w="1276" w:type="dxa"/>
          </w:tcPr>
          <w:p>
            <w:pPr>
              <w:pStyle w:val="yTable"/>
              <w:keepNext/>
              <w:jc w:val="center"/>
            </w:pPr>
            <w:r>
              <w:br/>
              <w:t>15</w:t>
            </w:r>
          </w:p>
        </w:tc>
      </w:tr>
      <w:tr>
        <w:trPr>
          <w:cantSplit/>
        </w:trPr>
        <w:tc>
          <w:tcPr>
            <w:tcW w:w="5103" w:type="dxa"/>
          </w:tcPr>
          <w:p>
            <w:pPr>
              <w:pStyle w:val="yTable"/>
            </w:pPr>
            <w:r>
              <w:t> — subdural taps</w:t>
            </w:r>
          </w:p>
        </w:tc>
        <w:tc>
          <w:tcPr>
            <w:tcW w:w="1276" w:type="dxa"/>
          </w:tcPr>
          <w:p>
            <w:pPr>
              <w:pStyle w:val="yTable"/>
              <w:keepNext/>
              <w:jc w:val="center"/>
            </w:pPr>
            <w:r>
              <w:t>5</w:t>
            </w:r>
          </w:p>
        </w:tc>
      </w:tr>
      <w:tr>
        <w:trPr>
          <w:cantSplit/>
        </w:trPr>
        <w:tc>
          <w:tcPr>
            <w:tcW w:w="5103" w:type="dxa"/>
          </w:tcPr>
          <w:p>
            <w:pPr>
              <w:pStyle w:val="yTable"/>
            </w:pPr>
            <w:r>
              <w:t> — burr holes</w:t>
            </w:r>
          </w:p>
        </w:tc>
        <w:tc>
          <w:tcPr>
            <w:tcW w:w="1276" w:type="dxa"/>
          </w:tcPr>
          <w:p>
            <w:pPr>
              <w:pStyle w:val="yTable"/>
              <w:keepNext/>
              <w:jc w:val="center"/>
            </w:pPr>
            <w:r>
              <w:t>9</w:t>
            </w:r>
          </w:p>
        </w:tc>
      </w:tr>
      <w:tr>
        <w:trPr>
          <w:cantSplit/>
        </w:trPr>
        <w:tc>
          <w:tcPr>
            <w:tcW w:w="5103" w:type="dxa"/>
          </w:tcPr>
          <w:p>
            <w:pPr>
              <w:pStyle w:val="yTable"/>
            </w:pPr>
            <w:r>
              <w:t> — intracranial vascular procedures including those for aneurysms and arterio</w:t>
            </w:r>
            <w:r>
              <w:noBreakHyphen/>
              <w:t>venous abnormalities</w:t>
            </w:r>
          </w:p>
        </w:tc>
        <w:tc>
          <w:tcPr>
            <w:tcW w:w="1276" w:type="dxa"/>
          </w:tcPr>
          <w:p>
            <w:pPr>
              <w:pStyle w:val="yTable"/>
              <w:keepNext/>
              <w:jc w:val="center"/>
            </w:pPr>
            <w:r>
              <w:br/>
              <w:t>20</w:t>
            </w:r>
          </w:p>
        </w:tc>
      </w:tr>
      <w:tr>
        <w:trPr>
          <w:cantSplit/>
        </w:trPr>
        <w:tc>
          <w:tcPr>
            <w:tcW w:w="5103" w:type="dxa"/>
          </w:tcPr>
          <w:p>
            <w:pPr>
              <w:pStyle w:val="yTable"/>
            </w:pPr>
            <w:r>
              <w:t> — spinal fluid shunt procedures</w:t>
            </w:r>
          </w:p>
        </w:tc>
        <w:tc>
          <w:tcPr>
            <w:tcW w:w="1276" w:type="dxa"/>
          </w:tcPr>
          <w:p>
            <w:pPr>
              <w:pStyle w:val="yTable"/>
              <w:keepNext/>
              <w:jc w:val="center"/>
            </w:pPr>
            <w:r>
              <w:t>10</w:t>
            </w:r>
          </w:p>
        </w:tc>
      </w:tr>
      <w:tr>
        <w:trPr>
          <w:cantSplit/>
        </w:trPr>
        <w:tc>
          <w:tcPr>
            <w:tcW w:w="5103" w:type="dxa"/>
          </w:tcPr>
          <w:p>
            <w:pPr>
              <w:pStyle w:val="yTable"/>
            </w:pPr>
            <w:r>
              <w:t> — ablation of intracranial nerve</w:t>
            </w:r>
          </w:p>
        </w:tc>
        <w:tc>
          <w:tcPr>
            <w:tcW w:w="1276" w:type="dxa"/>
          </w:tcPr>
          <w:p>
            <w:pPr>
              <w:pStyle w:val="yTable"/>
              <w:keepNext/>
              <w:jc w:val="center"/>
            </w:pPr>
            <w:r>
              <w:t>6</w:t>
            </w:r>
          </w:p>
        </w:tc>
      </w:tr>
      <w:tr>
        <w:trPr>
          <w:cantSplit/>
        </w:trPr>
        <w:tc>
          <w:tcPr>
            <w:tcW w:w="5103" w:type="dxa"/>
          </w:tcPr>
          <w:p>
            <w:pPr>
              <w:pStyle w:val="yTable"/>
            </w:pPr>
            <w:r>
              <w:t>Anaesthesia for all cranial bone procedures</w:t>
            </w:r>
          </w:p>
        </w:tc>
        <w:tc>
          <w:tcPr>
            <w:tcW w:w="1276" w:type="dxa"/>
          </w:tcPr>
          <w:p>
            <w:pPr>
              <w:pStyle w:val="yTable"/>
              <w:keepNext/>
              <w:jc w:val="center"/>
            </w:pPr>
            <w:r>
              <w:t>12</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Neck</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neck unless otherwise specified</w:t>
            </w:r>
          </w:p>
        </w:tc>
        <w:tc>
          <w:tcPr>
            <w:tcW w:w="1276" w:type="dxa"/>
          </w:tcPr>
          <w:p>
            <w:pPr>
              <w:pStyle w:val="yTable"/>
              <w:keepNext/>
              <w:jc w:val="center"/>
            </w:pPr>
            <w:r>
              <w:br/>
            </w:r>
            <w:r>
              <w:br/>
              <w:t>5</w:t>
            </w:r>
          </w:p>
        </w:tc>
      </w:tr>
      <w:tr>
        <w:trPr>
          <w:cantSplit/>
        </w:trPr>
        <w:tc>
          <w:tcPr>
            <w:tcW w:w="5103" w:type="dxa"/>
          </w:tcPr>
          <w:p>
            <w:pPr>
              <w:pStyle w:val="yTable"/>
            </w:pPr>
            <w:r>
              <w:t>Anaesthesia for incision and drainage of large haematoma, large abscess, cellulitis, or similar lesion causing life threatening airway obstruction</w:t>
            </w:r>
          </w:p>
        </w:tc>
        <w:tc>
          <w:tcPr>
            <w:tcW w:w="1276" w:type="dxa"/>
          </w:tcPr>
          <w:p>
            <w:pPr>
              <w:pStyle w:val="yTable"/>
              <w:keepNext/>
              <w:jc w:val="center"/>
            </w:pPr>
            <w:r>
              <w:br/>
            </w:r>
            <w:r>
              <w:br/>
              <w:t>15</w:t>
            </w:r>
          </w:p>
        </w:tc>
      </w:tr>
      <w:tr>
        <w:trPr>
          <w:cantSplit/>
        </w:trPr>
        <w:tc>
          <w:tcPr>
            <w:tcW w:w="5103" w:type="dxa"/>
          </w:tcPr>
          <w:p>
            <w:pPr>
              <w:pStyle w:val="yTable"/>
            </w:pPr>
            <w:r>
              <w:t xml:space="preserve">Anaesthesia for all procedures on oesophagus, thyroid, larynx, trachea and lymphatic system muscles, nerves or other deep tissues of the neck unless otherwise specified </w:t>
            </w:r>
          </w:p>
        </w:tc>
        <w:tc>
          <w:tcPr>
            <w:tcW w:w="1276" w:type="dxa"/>
          </w:tcPr>
          <w:p>
            <w:pPr>
              <w:pStyle w:val="yTable"/>
              <w:keepNext/>
              <w:jc w:val="center"/>
            </w:pPr>
            <w:r>
              <w:br/>
            </w:r>
            <w:r>
              <w:br/>
            </w:r>
            <w:r>
              <w:br/>
              <w:t>6</w:t>
            </w:r>
          </w:p>
        </w:tc>
      </w:tr>
      <w:tr>
        <w:trPr>
          <w:cantSplit/>
        </w:trPr>
        <w:tc>
          <w:tcPr>
            <w:tcW w:w="5103" w:type="dxa"/>
          </w:tcPr>
          <w:p>
            <w:pPr>
              <w:pStyle w:val="yTable"/>
            </w:pPr>
            <w:r>
              <w:t> — for laryngectomy, hemi laryngectomy, laryngopharyngectomy, or pharyngectomy</w:t>
            </w:r>
          </w:p>
        </w:tc>
        <w:tc>
          <w:tcPr>
            <w:tcW w:w="1276" w:type="dxa"/>
          </w:tcPr>
          <w:p>
            <w:pPr>
              <w:pStyle w:val="yTable"/>
              <w:keepNext/>
              <w:jc w:val="center"/>
            </w:pPr>
            <w:r>
              <w:br/>
              <w:t>10</w:t>
            </w:r>
          </w:p>
        </w:tc>
      </w:tr>
      <w:tr>
        <w:trPr>
          <w:cantSplit/>
        </w:trPr>
        <w:tc>
          <w:tcPr>
            <w:tcW w:w="5103" w:type="dxa"/>
          </w:tcPr>
          <w:p>
            <w:pPr>
              <w:pStyle w:val="yTable"/>
            </w:pPr>
            <w:r>
              <w:t>Anaesthesia for laser surgery to the airway</w:t>
            </w:r>
          </w:p>
        </w:tc>
        <w:tc>
          <w:tcPr>
            <w:tcW w:w="1276" w:type="dxa"/>
          </w:tcPr>
          <w:p>
            <w:pPr>
              <w:pStyle w:val="yTable"/>
              <w:keepNext/>
              <w:jc w:val="center"/>
            </w:pPr>
            <w:r>
              <w:t>8</w:t>
            </w:r>
          </w:p>
        </w:tc>
      </w:tr>
      <w:tr>
        <w:trPr>
          <w:cantSplit/>
        </w:trPr>
        <w:tc>
          <w:tcPr>
            <w:tcW w:w="5103" w:type="dxa"/>
          </w:tcPr>
          <w:p>
            <w:pPr>
              <w:pStyle w:val="yTable"/>
            </w:pPr>
            <w:r>
              <w:t>Anaesthesia for all procedures on major vessels of neck unless otherwise specified</w:t>
            </w:r>
          </w:p>
        </w:tc>
        <w:tc>
          <w:tcPr>
            <w:tcW w:w="1276" w:type="dxa"/>
          </w:tcPr>
          <w:p>
            <w:pPr>
              <w:pStyle w:val="yTable"/>
              <w:keepNext/>
              <w:jc w:val="center"/>
            </w:pPr>
            <w:r>
              <w:br/>
              <w:t>10</w:t>
            </w:r>
          </w:p>
        </w:tc>
      </w:tr>
      <w:tr>
        <w:trPr>
          <w:cantSplit/>
        </w:trPr>
        <w:tc>
          <w:tcPr>
            <w:tcW w:w="5103" w:type="dxa"/>
          </w:tcPr>
          <w:p>
            <w:pPr>
              <w:pStyle w:val="yTable"/>
            </w:pPr>
            <w:r>
              <w:t> — simple ligation</w:t>
            </w:r>
          </w:p>
        </w:tc>
        <w:tc>
          <w:tcPr>
            <w:tcW w:w="1276" w:type="dxa"/>
          </w:tcPr>
          <w:p>
            <w:pPr>
              <w:pStyle w:val="yTable"/>
              <w:keepNext/>
              <w:jc w:val="center"/>
            </w:pPr>
            <w:r>
              <w:t>5</w:t>
            </w:r>
          </w:p>
        </w:tc>
      </w:tr>
      <w:tr>
        <w:trPr>
          <w:cantSplit/>
        </w:trPr>
        <w:tc>
          <w:tcPr>
            <w:tcW w:w="5103" w:type="dxa"/>
          </w:tcPr>
          <w:p>
            <w:pPr>
              <w:pStyle w:val="zytable"/>
              <w:ind w:left="0"/>
            </w:pPr>
          </w:p>
        </w:tc>
        <w:tc>
          <w:tcPr>
            <w:tcW w:w="1276" w:type="dxa"/>
          </w:tcPr>
          <w:p>
            <w:pPr>
              <w:pStyle w:val="yTable"/>
              <w:keepNext/>
              <w:jc w:val="center"/>
            </w:pPr>
          </w:p>
        </w:tc>
      </w:tr>
      <w:tr>
        <w:trPr>
          <w:cantSplit/>
        </w:trPr>
        <w:tc>
          <w:tcPr>
            <w:tcW w:w="5103" w:type="dxa"/>
          </w:tcPr>
          <w:p>
            <w:pPr>
              <w:pStyle w:val="yTable"/>
            </w:pPr>
            <w:r>
              <w:rPr>
                <w:b/>
              </w:rPr>
              <w:t>Thorax (Chest Wall/Shoulder Girdle)</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chest unless otherwise specified</w:t>
            </w:r>
          </w:p>
        </w:tc>
        <w:tc>
          <w:tcPr>
            <w:tcW w:w="1276" w:type="dxa"/>
          </w:tcPr>
          <w:p>
            <w:pPr>
              <w:pStyle w:val="yTable"/>
              <w:keepNext/>
              <w:jc w:val="center"/>
            </w:pPr>
            <w:r>
              <w:br/>
            </w:r>
            <w:r>
              <w:br/>
              <w:t>3</w:t>
            </w:r>
          </w:p>
        </w:tc>
      </w:tr>
      <w:tr>
        <w:trPr>
          <w:cantSplit/>
        </w:trPr>
        <w:tc>
          <w:tcPr>
            <w:tcW w:w="5103" w:type="dxa"/>
          </w:tcPr>
          <w:p>
            <w:pPr>
              <w:pStyle w:val="yTable"/>
            </w:pPr>
            <w:r>
              <w:t>Anaesthesia for all procedures on the breast unless otherwise specified</w:t>
            </w:r>
          </w:p>
        </w:tc>
        <w:tc>
          <w:tcPr>
            <w:tcW w:w="1276" w:type="dxa"/>
          </w:tcPr>
          <w:p>
            <w:pPr>
              <w:pStyle w:val="yTable"/>
              <w:keepNext/>
              <w:jc w:val="center"/>
            </w:pPr>
            <w:r>
              <w:br/>
              <w:t>4</w:t>
            </w:r>
          </w:p>
        </w:tc>
      </w:tr>
      <w:tr>
        <w:trPr>
          <w:cantSplit/>
        </w:trPr>
        <w:tc>
          <w:tcPr>
            <w:tcW w:w="5103" w:type="dxa"/>
          </w:tcPr>
          <w:p>
            <w:pPr>
              <w:pStyle w:val="yTable"/>
            </w:pPr>
            <w:r>
              <w:t> — reconstructive procedures on the breast (eg. reduction or augmentation, mammoplasty)</w:t>
            </w:r>
          </w:p>
        </w:tc>
        <w:tc>
          <w:tcPr>
            <w:tcW w:w="1276" w:type="dxa"/>
          </w:tcPr>
          <w:p>
            <w:pPr>
              <w:pStyle w:val="yTable"/>
              <w:keepNext/>
              <w:jc w:val="center"/>
            </w:pPr>
            <w:r>
              <w:br/>
              <w:t>5</w:t>
            </w:r>
          </w:p>
        </w:tc>
      </w:tr>
      <w:tr>
        <w:trPr>
          <w:cantSplit/>
        </w:trPr>
        <w:tc>
          <w:tcPr>
            <w:tcW w:w="5103" w:type="dxa"/>
          </w:tcPr>
          <w:p>
            <w:pPr>
              <w:pStyle w:val="yTable"/>
            </w:pPr>
            <w:r>
              <w:t> — removal of breast lump or for breast segmentectomy where axillary node dissection is performed</w:t>
            </w:r>
          </w:p>
        </w:tc>
        <w:tc>
          <w:tcPr>
            <w:tcW w:w="1276" w:type="dxa"/>
          </w:tcPr>
          <w:p>
            <w:pPr>
              <w:pStyle w:val="yTable"/>
              <w:keepNext/>
              <w:jc w:val="center"/>
            </w:pPr>
            <w:r>
              <w:br/>
            </w:r>
            <w:r>
              <w:br/>
              <w:t>5</w:t>
            </w:r>
          </w:p>
        </w:tc>
      </w:tr>
      <w:tr>
        <w:trPr>
          <w:cantSplit/>
        </w:trPr>
        <w:tc>
          <w:tcPr>
            <w:tcW w:w="5103" w:type="dxa"/>
          </w:tcPr>
          <w:p>
            <w:pPr>
              <w:pStyle w:val="yTable"/>
            </w:pPr>
            <w:r>
              <w:t> — mastectomy</w:t>
            </w:r>
          </w:p>
        </w:tc>
        <w:tc>
          <w:tcPr>
            <w:tcW w:w="1276" w:type="dxa"/>
          </w:tcPr>
          <w:p>
            <w:pPr>
              <w:pStyle w:val="yTable"/>
              <w:keepNext/>
              <w:jc w:val="center"/>
            </w:pPr>
            <w:r>
              <w:t>6</w:t>
            </w:r>
          </w:p>
        </w:tc>
      </w:tr>
      <w:tr>
        <w:trPr>
          <w:cantSplit/>
        </w:trPr>
        <w:tc>
          <w:tcPr>
            <w:tcW w:w="5103" w:type="dxa"/>
          </w:tcPr>
          <w:p>
            <w:pPr>
              <w:pStyle w:val="yTable"/>
            </w:pPr>
            <w:r>
              <w:t> — reconstructive procedures on the breast using myocutaneous flaps</w:t>
            </w:r>
          </w:p>
        </w:tc>
        <w:tc>
          <w:tcPr>
            <w:tcW w:w="1276" w:type="dxa"/>
          </w:tcPr>
          <w:p>
            <w:pPr>
              <w:pStyle w:val="yTable"/>
              <w:keepNext/>
              <w:jc w:val="center"/>
            </w:pPr>
            <w:r>
              <w:br/>
              <w:t>8</w:t>
            </w:r>
          </w:p>
        </w:tc>
      </w:tr>
      <w:tr>
        <w:trPr>
          <w:cantSplit/>
        </w:trPr>
        <w:tc>
          <w:tcPr>
            <w:tcW w:w="5103" w:type="dxa"/>
          </w:tcPr>
          <w:p>
            <w:pPr>
              <w:pStyle w:val="yTable"/>
            </w:pPr>
            <w:r>
              <w:t> — radical or modified radical procedures on breast with internal mammary node dissection</w:t>
            </w:r>
          </w:p>
        </w:tc>
        <w:tc>
          <w:tcPr>
            <w:tcW w:w="1276" w:type="dxa"/>
          </w:tcPr>
          <w:p>
            <w:pPr>
              <w:pStyle w:val="yTable"/>
              <w:keepNext/>
              <w:jc w:val="center"/>
            </w:pPr>
            <w:r>
              <w:br/>
              <w:t>13</w:t>
            </w:r>
          </w:p>
        </w:tc>
      </w:tr>
      <w:tr>
        <w:trPr>
          <w:cantSplit/>
        </w:trPr>
        <w:tc>
          <w:tcPr>
            <w:tcW w:w="5103" w:type="dxa"/>
          </w:tcPr>
          <w:p>
            <w:pPr>
              <w:pStyle w:val="yTable"/>
            </w:pPr>
            <w:r>
              <w:t> — electrical conversion of arrhythmias</w:t>
            </w:r>
          </w:p>
        </w:tc>
        <w:tc>
          <w:tcPr>
            <w:tcW w:w="1276" w:type="dxa"/>
          </w:tcPr>
          <w:p>
            <w:pPr>
              <w:pStyle w:val="yTable"/>
              <w:keepNext/>
              <w:jc w:val="center"/>
            </w:pPr>
            <w:r>
              <w:t>5</w:t>
            </w:r>
          </w:p>
        </w:tc>
      </w:tr>
      <w:tr>
        <w:trPr>
          <w:cantSplit/>
        </w:trPr>
        <w:tc>
          <w:tcPr>
            <w:tcW w:w="5103" w:type="dxa"/>
          </w:tcPr>
          <w:p>
            <w:pPr>
              <w:pStyle w:val="yTable"/>
            </w:pPr>
            <w:r>
              <w:t>Anaesthesia for percutaneous bone marrow biopsy of the sternum</w:t>
            </w:r>
          </w:p>
        </w:tc>
        <w:tc>
          <w:tcPr>
            <w:tcW w:w="1276" w:type="dxa"/>
          </w:tcPr>
          <w:p>
            <w:pPr>
              <w:pStyle w:val="yTable"/>
              <w:keepNext/>
              <w:jc w:val="center"/>
            </w:pPr>
            <w:r>
              <w:br/>
              <w:t>4</w:t>
            </w:r>
          </w:p>
        </w:tc>
      </w:tr>
      <w:tr>
        <w:trPr>
          <w:cantSplit/>
        </w:trPr>
        <w:tc>
          <w:tcPr>
            <w:tcW w:w="5103" w:type="dxa"/>
          </w:tcPr>
          <w:p>
            <w:pPr>
              <w:pStyle w:val="yTable"/>
            </w:pPr>
            <w:r>
              <w:t>Anaesthesia for all procedures on the clavicle, scapula or sternum unless otherwise specified</w:t>
            </w:r>
          </w:p>
        </w:tc>
        <w:tc>
          <w:tcPr>
            <w:tcW w:w="1276" w:type="dxa"/>
          </w:tcPr>
          <w:p>
            <w:pPr>
              <w:pStyle w:val="yTable"/>
              <w:keepNext/>
              <w:jc w:val="center"/>
            </w:pPr>
            <w:r>
              <w:br/>
              <w:t>5</w:t>
            </w:r>
          </w:p>
        </w:tc>
      </w:tr>
      <w:tr>
        <w:trPr>
          <w:cantSplit/>
        </w:trPr>
        <w:tc>
          <w:tcPr>
            <w:tcW w:w="5103" w:type="dxa"/>
          </w:tcPr>
          <w:p>
            <w:pPr>
              <w:pStyle w:val="yTable"/>
            </w:pPr>
            <w:r>
              <w:t> — radical surgery</w:t>
            </w:r>
          </w:p>
        </w:tc>
        <w:tc>
          <w:tcPr>
            <w:tcW w:w="1276" w:type="dxa"/>
          </w:tcPr>
          <w:p>
            <w:pPr>
              <w:pStyle w:val="yTable"/>
              <w:keepNext/>
              <w:jc w:val="center"/>
            </w:pPr>
            <w:r>
              <w:t>6</w:t>
            </w:r>
          </w:p>
        </w:tc>
      </w:tr>
      <w:tr>
        <w:trPr>
          <w:cantSplit/>
        </w:trPr>
        <w:tc>
          <w:tcPr>
            <w:tcW w:w="5103" w:type="dxa"/>
          </w:tcPr>
          <w:p>
            <w:pPr>
              <w:pStyle w:val="yTable"/>
            </w:pPr>
            <w:r>
              <w:t>Anaesthesia for partial rib resection unless otherwise specified</w:t>
            </w:r>
          </w:p>
        </w:tc>
        <w:tc>
          <w:tcPr>
            <w:tcW w:w="1276" w:type="dxa"/>
          </w:tcPr>
          <w:p>
            <w:pPr>
              <w:pStyle w:val="yTable"/>
              <w:keepNext/>
              <w:jc w:val="center"/>
            </w:pPr>
            <w:r>
              <w:br/>
              <w:t>6</w:t>
            </w:r>
          </w:p>
        </w:tc>
      </w:tr>
      <w:tr>
        <w:trPr>
          <w:cantSplit/>
        </w:trPr>
        <w:tc>
          <w:tcPr>
            <w:tcW w:w="5103" w:type="dxa"/>
          </w:tcPr>
          <w:p>
            <w:pPr>
              <w:pStyle w:val="yTable"/>
            </w:pPr>
            <w:r>
              <w:t> — thoracoplasty</w:t>
            </w:r>
          </w:p>
        </w:tc>
        <w:tc>
          <w:tcPr>
            <w:tcW w:w="1276" w:type="dxa"/>
          </w:tcPr>
          <w:p>
            <w:pPr>
              <w:pStyle w:val="yTable"/>
              <w:keepNext/>
              <w:jc w:val="center"/>
            </w:pPr>
            <w:r>
              <w:t>10</w:t>
            </w:r>
          </w:p>
        </w:tc>
      </w:tr>
      <w:tr>
        <w:trPr>
          <w:cantSplit/>
        </w:trPr>
        <w:tc>
          <w:tcPr>
            <w:tcW w:w="5103" w:type="dxa"/>
          </w:tcPr>
          <w:p>
            <w:pPr>
              <w:pStyle w:val="yTable"/>
            </w:pPr>
            <w:r>
              <w:t> — extensive procedures (eg. pectus excavatum)</w:t>
            </w:r>
          </w:p>
        </w:tc>
        <w:tc>
          <w:tcPr>
            <w:tcW w:w="1276" w:type="dxa"/>
          </w:tcPr>
          <w:p>
            <w:pPr>
              <w:pStyle w:val="yTable"/>
              <w:keepNext/>
              <w:jc w:val="center"/>
            </w:pPr>
            <w:r>
              <w:t>13</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Intrathoracic</w:t>
            </w:r>
          </w:p>
        </w:tc>
        <w:tc>
          <w:tcPr>
            <w:tcW w:w="1276" w:type="dxa"/>
          </w:tcPr>
          <w:p>
            <w:pPr>
              <w:pStyle w:val="yTable"/>
              <w:keepNext/>
              <w:jc w:val="center"/>
            </w:pPr>
          </w:p>
        </w:tc>
      </w:tr>
      <w:tr>
        <w:trPr>
          <w:cantSplit/>
        </w:trPr>
        <w:tc>
          <w:tcPr>
            <w:tcW w:w="5103" w:type="dxa"/>
          </w:tcPr>
          <w:p>
            <w:pPr>
              <w:pStyle w:val="yTable"/>
            </w:pPr>
            <w:r>
              <w:t>Anaesthesia for open procedures on the oesophagus</w:t>
            </w:r>
          </w:p>
        </w:tc>
        <w:tc>
          <w:tcPr>
            <w:tcW w:w="1276" w:type="dxa"/>
          </w:tcPr>
          <w:p>
            <w:pPr>
              <w:pStyle w:val="yTable"/>
              <w:keepNext/>
              <w:jc w:val="center"/>
            </w:pPr>
            <w:r>
              <w:t>15</w:t>
            </w:r>
          </w:p>
        </w:tc>
      </w:tr>
      <w:tr>
        <w:trPr>
          <w:cantSplit/>
        </w:trPr>
        <w:tc>
          <w:tcPr>
            <w:tcW w:w="5103" w:type="dxa"/>
          </w:tcPr>
          <w:p>
            <w:pPr>
              <w:pStyle w:val="yTable"/>
            </w:pPr>
            <w:r>
              <w:t>Anaesthesia for all closed chest procedures (including rigid oesophagoscopy or bronchoscopy) unless otherwise specified</w:t>
            </w:r>
          </w:p>
        </w:tc>
        <w:tc>
          <w:tcPr>
            <w:tcW w:w="1276" w:type="dxa"/>
          </w:tcPr>
          <w:p>
            <w:pPr>
              <w:pStyle w:val="yTable"/>
              <w:keepNext/>
              <w:jc w:val="center"/>
            </w:pPr>
            <w:r>
              <w:br/>
            </w:r>
            <w:r>
              <w:br/>
              <w:t>6</w:t>
            </w:r>
          </w:p>
        </w:tc>
      </w:tr>
      <w:tr>
        <w:trPr>
          <w:cantSplit/>
        </w:trPr>
        <w:tc>
          <w:tcPr>
            <w:tcW w:w="5103" w:type="dxa"/>
          </w:tcPr>
          <w:p>
            <w:pPr>
              <w:pStyle w:val="yTable"/>
            </w:pPr>
            <w:r>
              <w:t> — needle biopsy of pleura</w:t>
            </w:r>
          </w:p>
        </w:tc>
        <w:tc>
          <w:tcPr>
            <w:tcW w:w="1276" w:type="dxa"/>
          </w:tcPr>
          <w:p>
            <w:pPr>
              <w:pStyle w:val="yTable"/>
              <w:keepNext/>
              <w:jc w:val="center"/>
            </w:pPr>
            <w:r>
              <w:t>4</w:t>
            </w:r>
          </w:p>
        </w:tc>
      </w:tr>
      <w:tr>
        <w:trPr>
          <w:cantSplit/>
        </w:trPr>
        <w:tc>
          <w:tcPr>
            <w:tcW w:w="5103" w:type="dxa"/>
          </w:tcPr>
          <w:p>
            <w:pPr>
              <w:pStyle w:val="yTable"/>
            </w:pPr>
            <w:r>
              <w:t> — pneumocentesis</w:t>
            </w:r>
          </w:p>
        </w:tc>
        <w:tc>
          <w:tcPr>
            <w:tcW w:w="1276" w:type="dxa"/>
          </w:tcPr>
          <w:p>
            <w:pPr>
              <w:pStyle w:val="yTable"/>
              <w:keepNext/>
              <w:jc w:val="center"/>
            </w:pPr>
            <w:r>
              <w:t>4</w:t>
            </w:r>
          </w:p>
        </w:tc>
      </w:tr>
      <w:tr>
        <w:trPr>
          <w:cantSplit/>
        </w:trPr>
        <w:tc>
          <w:tcPr>
            <w:tcW w:w="5103" w:type="dxa"/>
          </w:tcPr>
          <w:p>
            <w:pPr>
              <w:pStyle w:val="yTable"/>
            </w:pPr>
            <w:r>
              <w:t> — thoracoscopy</w:t>
            </w:r>
          </w:p>
        </w:tc>
        <w:tc>
          <w:tcPr>
            <w:tcW w:w="1276" w:type="dxa"/>
          </w:tcPr>
          <w:p>
            <w:pPr>
              <w:pStyle w:val="yTable"/>
              <w:keepNext/>
              <w:jc w:val="center"/>
            </w:pPr>
            <w:r>
              <w:t>10</w:t>
            </w:r>
          </w:p>
        </w:tc>
      </w:tr>
      <w:tr>
        <w:trPr>
          <w:cantSplit/>
        </w:trPr>
        <w:tc>
          <w:tcPr>
            <w:tcW w:w="5103" w:type="dxa"/>
          </w:tcPr>
          <w:p>
            <w:pPr>
              <w:pStyle w:val="yTable"/>
            </w:pPr>
            <w:r>
              <w:t> — mediastinoscopy</w:t>
            </w:r>
          </w:p>
        </w:tc>
        <w:tc>
          <w:tcPr>
            <w:tcW w:w="1276" w:type="dxa"/>
          </w:tcPr>
          <w:p>
            <w:pPr>
              <w:pStyle w:val="yTable"/>
              <w:keepNext/>
              <w:jc w:val="center"/>
            </w:pPr>
            <w:r>
              <w:t>8</w:t>
            </w:r>
          </w:p>
        </w:tc>
      </w:tr>
      <w:tr>
        <w:trPr>
          <w:cantSplit/>
        </w:trPr>
        <w:tc>
          <w:tcPr>
            <w:tcW w:w="5103" w:type="dxa"/>
          </w:tcPr>
          <w:p>
            <w:pPr>
              <w:pStyle w:val="yTable"/>
            </w:pPr>
            <w:r>
              <w:t>Anaesthesia for all thoracotomy procedures involving lungs, pleura, diaphragm, and mediastinum unless otherwise specified</w:t>
            </w:r>
          </w:p>
        </w:tc>
        <w:tc>
          <w:tcPr>
            <w:tcW w:w="1276" w:type="dxa"/>
          </w:tcPr>
          <w:p>
            <w:pPr>
              <w:pStyle w:val="yTable"/>
              <w:keepNext/>
              <w:jc w:val="center"/>
            </w:pPr>
            <w:r>
              <w:br/>
            </w:r>
            <w:r>
              <w:br/>
              <w:t>13</w:t>
            </w:r>
          </w:p>
        </w:tc>
      </w:tr>
      <w:tr>
        <w:trPr>
          <w:cantSplit/>
        </w:trPr>
        <w:tc>
          <w:tcPr>
            <w:tcW w:w="5103" w:type="dxa"/>
          </w:tcPr>
          <w:p>
            <w:pPr>
              <w:pStyle w:val="yTable"/>
            </w:pPr>
            <w:r>
              <w:t> — pulmonary decortication</w:t>
            </w:r>
          </w:p>
        </w:tc>
        <w:tc>
          <w:tcPr>
            <w:tcW w:w="1276" w:type="dxa"/>
          </w:tcPr>
          <w:p>
            <w:pPr>
              <w:pStyle w:val="yTable"/>
              <w:keepNext/>
              <w:jc w:val="center"/>
            </w:pPr>
            <w:r>
              <w:t>15</w:t>
            </w:r>
          </w:p>
        </w:tc>
      </w:tr>
      <w:tr>
        <w:trPr>
          <w:cantSplit/>
        </w:trPr>
        <w:tc>
          <w:tcPr>
            <w:tcW w:w="5103" w:type="dxa"/>
          </w:tcPr>
          <w:p>
            <w:pPr>
              <w:pStyle w:val="yTable"/>
            </w:pPr>
            <w:r>
              <w:t> — pulmonary resection with thoracoplasty</w:t>
            </w:r>
          </w:p>
        </w:tc>
        <w:tc>
          <w:tcPr>
            <w:tcW w:w="1276" w:type="dxa"/>
          </w:tcPr>
          <w:p>
            <w:pPr>
              <w:pStyle w:val="yTable"/>
              <w:keepNext/>
              <w:jc w:val="center"/>
            </w:pPr>
            <w:r>
              <w:t>15</w:t>
            </w:r>
          </w:p>
        </w:tc>
      </w:tr>
      <w:tr>
        <w:trPr>
          <w:cantSplit/>
        </w:trPr>
        <w:tc>
          <w:tcPr>
            <w:tcW w:w="5103" w:type="dxa"/>
          </w:tcPr>
          <w:p>
            <w:pPr>
              <w:pStyle w:val="yTable"/>
              <w:tabs>
                <w:tab w:val="left" w:pos="567"/>
              </w:tabs>
              <w:ind w:left="567" w:hanging="567"/>
            </w:pPr>
            <w:r>
              <w:t> — intrathoracic repair of trauma to trachea and bronchi</w:t>
            </w:r>
          </w:p>
        </w:tc>
        <w:tc>
          <w:tcPr>
            <w:tcW w:w="1276" w:type="dxa"/>
          </w:tcPr>
          <w:p>
            <w:pPr>
              <w:pStyle w:val="yTable"/>
              <w:keepNext/>
              <w:jc w:val="center"/>
            </w:pPr>
            <w:r>
              <w:br/>
              <w:t>15</w:t>
            </w:r>
          </w:p>
        </w:tc>
      </w:tr>
      <w:tr>
        <w:trPr>
          <w:cantSplit/>
        </w:trPr>
        <w:tc>
          <w:tcPr>
            <w:tcW w:w="5103" w:type="dxa"/>
          </w:tcPr>
          <w:p>
            <w:pPr>
              <w:pStyle w:val="yTable"/>
            </w:pPr>
            <w:r>
              <w:t>Anaesthesia for all open procedures on the heart, pericardium, and great vessels of the chest</w:t>
            </w:r>
          </w:p>
        </w:tc>
        <w:tc>
          <w:tcPr>
            <w:tcW w:w="1276" w:type="dxa"/>
          </w:tcPr>
          <w:p>
            <w:pPr>
              <w:pStyle w:val="yTable"/>
              <w:keepNext/>
              <w:jc w:val="center"/>
            </w:pPr>
            <w:r>
              <w:br/>
              <w:t>20</w:t>
            </w:r>
          </w:p>
        </w:tc>
      </w:tr>
      <w:tr>
        <w:trPr>
          <w:cantSplit/>
        </w:trPr>
        <w:tc>
          <w:tcPr>
            <w:tcW w:w="5103" w:type="dxa"/>
          </w:tcPr>
          <w:p>
            <w:pPr>
              <w:pStyle w:val="yTable"/>
            </w:pPr>
            <w:r>
              <w:t>Anaesthesia for heart transplant</w:t>
            </w:r>
          </w:p>
        </w:tc>
        <w:tc>
          <w:tcPr>
            <w:tcW w:w="1276" w:type="dxa"/>
          </w:tcPr>
          <w:p>
            <w:pPr>
              <w:pStyle w:val="yTable"/>
              <w:keepNext/>
              <w:jc w:val="center"/>
            </w:pPr>
            <w:r>
              <w:t>20</w:t>
            </w:r>
          </w:p>
        </w:tc>
      </w:tr>
      <w:tr>
        <w:trPr>
          <w:cantSplit/>
        </w:trPr>
        <w:tc>
          <w:tcPr>
            <w:tcW w:w="5103" w:type="dxa"/>
          </w:tcPr>
          <w:p>
            <w:pPr>
              <w:pStyle w:val="yTable"/>
            </w:pPr>
            <w:r>
              <w:t>Anaesthesia for heart and lung transplant</w:t>
            </w:r>
          </w:p>
        </w:tc>
        <w:tc>
          <w:tcPr>
            <w:tcW w:w="1276" w:type="dxa"/>
          </w:tcPr>
          <w:p>
            <w:pPr>
              <w:pStyle w:val="yTable"/>
              <w:keepNext/>
              <w:jc w:val="center"/>
            </w:pPr>
            <w:r>
              <w:t>20</w:t>
            </w:r>
          </w:p>
        </w:tc>
      </w:tr>
      <w:tr>
        <w:trPr>
          <w:cantSplit/>
        </w:trPr>
        <w:tc>
          <w:tcPr>
            <w:tcW w:w="5103" w:type="dxa"/>
          </w:tcPr>
          <w:p>
            <w:pPr>
              <w:pStyle w:val="yTable"/>
            </w:pPr>
            <w:r>
              <w:t>Cadaver harvesting of heart and/or lungs</w:t>
            </w:r>
          </w:p>
        </w:tc>
        <w:tc>
          <w:tcPr>
            <w:tcW w:w="1276" w:type="dxa"/>
          </w:tcPr>
          <w:p>
            <w:pPr>
              <w:pStyle w:val="yTable"/>
              <w:keepNext/>
              <w:jc w:val="center"/>
            </w:pPr>
            <w: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Spine and spinal cord</w:t>
            </w:r>
          </w:p>
        </w:tc>
        <w:tc>
          <w:tcPr>
            <w:tcW w:w="1276" w:type="dxa"/>
          </w:tcPr>
          <w:p>
            <w:pPr>
              <w:pStyle w:val="yTable"/>
              <w:keepNext/>
              <w:jc w:val="center"/>
            </w:pPr>
          </w:p>
        </w:tc>
      </w:tr>
      <w:tr>
        <w:trPr>
          <w:cantSplit/>
        </w:trPr>
        <w:tc>
          <w:tcPr>
            <w:tcW w:w="5103" w:type="dxa"/>
          </w:tcPr>
          <w:p>
            <w:pPr>
              <w:pStyle w:val="yTable"/>
            </w:pPr>
            <w:r>
              <w:t>Anaesthesia for all procedures on the cervical spine and/or cord unless otherwise specified (for myelography and discography see items in ‘Other Procedures’)</w:t>
            </w:r>
          </w:p>
        </w:tc>
        <w:tc>
          <w:tcPr>
            <w:tcW w:w="1276" w:type="dxa"/>
          </w:tcPr>
          <w:p>
            <w:pPr>
              <w:pStyle w:val="yTable"/>
              <w:keepNext/>
              <w:jc w:val="center"/>
            </w:pPr>
            <w:r>
              <w:br/>
            </w:r>
            <w:r>
              <w:br/>
            </w:r>
            <w:r>
              <w:br/>
              <w:t>10</w:t>
            </w:r>
          </w:p>
        </w:tc>
      </w:tr>
      <w:tr>
        <w:trPr>
          <w:cantSplit/>
        </w:trPr>
        <w:tc>
          <w:tcPr>
            <w:tcW w:w="5103" w:type="dxa"/>
          </w:tcPr>
          <w:p>
            <w:pPr>
              <w:pStyle w:val="yTable"/>
            </w:pPr>
            <w:r>
              <w:t> — posterior cervical laminectomy in sitting position</w:t>
            </w:r>
          </w:p>
        </w:tc>
        <w:tc>
          <w:tcPr>
            <w:tcW w:w="1276" w:type="dxa"/>
          </w:tcPr>
          <w:p>
            <w:pPr>
              <w:pStyle w:val="yTable"/>
              <w:keepNext/>
              <w:jc w:val="center"/>
            </w:pPr>
            <w:r>
              <w:t>13</w:t>
            </w:r>
          </w:p>
        </w:tc>
      </w:tr>
      <w:tr>
        <w:trPr>
          <w:cantSplit/>
        </w:trPr>
        <w:tc>
          <w:tcPr>
            <w:tcW w:w="5103" w:type="dxa"/>
          </w:tcPr>
          <w:p>
            <w:pPr>
              <w:pStyle w:val="yTable"/>
            </w:pPr>
            <w:r>
              <w:t>Anaesthesia for all procedures on the thoracic spine and/or cord unless otherwise specified</w:t>
            </w:r>
          </w:p>
        </w:tc>
        <w:tc>
          <w:tcPr>
            <w:tcW w:w="1276" w:type="dxa"/>
          </w:tcPr>
          <w:p>
            <w:pPr>
              <w:pStyle w:val="yTable"/>
              <w:keepNext/>
              <w:jc w:val="center"/>
            </w:pPr>
            <w:r>
              <w:br/>
              <w:t>10</w:t>
            </w:r>
          </w:p>
        </w:tc>
      </w:tr>
      <w:tr>
        <w:trPr>
          <w:cantSplit/>
        </w:trPr>
        <w:tc>
          <w:tcPr>
            <w:tcW w:w="5103" w:type="dxa"/>
          </w:tcPr>
          <w:p>
            <w:pPr>
              <w:pStyle w:val="yTable"/>
            </w:pPr>
            <w:r>
              <w:t> — thoracolumbar sympathectomy</w:t>
            </w:r>
          </w:p>
        </w:tc>
        <w:tc>
          <w:tcPr>
            <w:tcW w:w="1276" w:type="dxa"/>
          </w:tcPr>
          <w:p>
            <w:pPr>
              <w:pStyle w:val="yTable"/>
              <w:keepNext/>
              <w:jc w:val="center"/>
            </w:pPr>
            <w:r>
              <w:t>13</w:t>
            </w:r>
          </w:p>
        </w:tc>
      </w:tr>
      <w:tr>
        <w:trPr>
          <w:cantSplit/>
        </w:trPr>
        <w:tc>
          <w:tcPr>
            <w:tcW w:w="5103" w:type="dxa"/>
          </w:tcPr>
          <w:p>
            <w:pPr>
              <w:pStyle w:val="yTable"/>
            </w:pPr>
            <w:r>
              <w:t>Anaesthesia for all procedures in the lumbar region unless otherwise specified</w:t>
            </w:r>
          </w:p>
        </w:tc>
        <w:tc>
          <w:tcPr>
            <w:tcW w:w="1276" w:type="dxa"/>
          </w:tcPr>
          <w:p>
            <w:pPr>
              <w:pStyle w:val="yTable"/>
              <w:keepNext/>
              <w:jc w:val="center"/>
            </w:pPr>
            <w:r>
              <w:br/>
              <w:t>8</w:t>
            </w:r>
          </w:p>
        </w:tc>
      </w:tr>
      <w:tr>
        <w:trPr>
          <w:cantSplit/>
        </w:trPr>
        <w:tc>
          <w:tcPr>
            <w:tcW w:w="5103" w:type="dxa"/>
          </w:tcPr>
          <w:p>
            <w:pPr>
              <w:pStyle w:val="yTable"/>
            </w:pPr>
            <w:r>
              <w:t> — lumbar sympathectomy</w:t>
            </w:r>
          </w:p>
        </w:tc>
        <w:tc>
          <w:tcPr>
            <w:tcW w:w="1276" w:type="dxa"/>
          </w:tcPr>
          <w:p>
            <w:pPr>
              <w:pStyle w:val="yTable"/>
              <w:keepNext/>
              <w:jc w:val="center"/>
            </w:pPr>
            <w:r>
              <w:t>7</w:t>
            </w:r>
          </w:p>
        </w:tc>
      </w:tr>
      <w:tr>
        <w:trPr>
          <w:cantSplit/>
        </w:trPr>
        <w:tc>
          <w:tcPr>
            <w:tcW w:w="5103" w:type="dxa"/>
          </w:tcPr>
          <w:p>
            <w:pPr>
              <w:pStyle w:val="yTable"/>
            </w:pPr>
            <w:r>
              <w:t> — chemonucleolysis</w:t>
            </w:r>
          </w:p>
        </w:tc>
        <w:tc>
          <w:tcPr>
            <w:tcW w:w="1276" w:type="dxa"/>
          </w:tcPr>
          <w:p>
            <w:pPr>
              <w:pStyle w:val="yTable"/>
              <w:keepNext/>
              <w:jc w:val="center"/>
            </w:pPr>
            <w:r>
              <w:t>10</w:t>
            </w:r>
          </w:p>
        </w:tc>
      </w:tr>
      <w:tr>
        <w:trPr>
          <w:cantSplit/>
        </w:trPr>
        <w:tc>
          <w:tcPr>
            <w:tcW w:w="5103" w:type="dxa"/>
          </w:tcPr>
          <w:p>
            <w:pPr>
              <w:pStyle w:val="yTable"/>
            </w:pPr>
            <w:r>
              <w:t>Anaesthesia for extensive spine and spinal cord procedures</w:t>
            </w:r>
          </w:p>
        </w:tc>
        <w:tc>
          <w:tcPr>
            <w:tcW w:w="1276" w:type="dxa"/>
          </w:tcPr>
          <w:p>
            <w:pPr>
              <w:pStyle w:val="yTable"/>
              <w:keepNext/>
              <w:jc w:val="center"/>
            </w:pPr>
            <w:r>
              <w:br/>
              <w:t>13</w:t>
            </w:r>
          </w:p>
        </w:tc>
      </w:tr>
      <w:tr>
        <w:trPr>
          <w:cantSplit/>
        </w:trPr>
        <w:tc>
          <w:tcPr>
            <w:tcW w:w="5103" w:type="dxa"/>
          </w:tcPr>
          <w:p>
            <w:pPr>
              <w:pStyle w:val="yTable"/>
            </w:pPr>
            <w:r>
              <w:t>Anaesthesia for manipulation of spine</w:t>
            </w:r>
          </w:p>
        </w:tc>
        <w:tc>
          <w:tcPr>
            <w:tcW w:w="1276" w:type="dxa"/>
          </w:tcPr>
          <w:p>
            <w:pPr>
              <w:pStyle w:val="yTable"/>
              <w:keepNext/>
              <w:jc w:val="center"/>
            </w:pPr>
            <w:r>
              <w:t>3</w:t>
            </w:r>
          </w:p>
        </w:tc>
      </w:tr>
      <w:tr>
        <w:trPr>
          <w:cantSplit/>
        </w:trPr>
        <w:tc>
          <w:tcPr>
            <w:tcW w:w="5103" w:type="dxa"/>
          </w:tcPr>
          <w:p>
            <w:pPr>
              <w:pStyle w:val="yTable"/>
            </w:pPr>
            <w:r>
              <w:t>Anaesthesia for percutaneous spinal procedures</w:t>
            </w:r>
          </w:p>
        </w:tc>
        <w:tc>
          <w:tcPr>
            <w:tcW w:w="1276" w:type="dxa"/>
          </w:tcPr>
          <w:p>
            <w:pPr>
              <w:pStyle w:val="yTable"/>
              <w:keepNext/>
              <w:jc w:val="center"/>
            </w:pPr>
            <w:r>
              <w:t>5</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Upper abdomen</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upper abdominal wall unless otherwise specified</w:t>
            </w:r>
          </w:p>
        </w:tc>
        <w:tc>
          <w:tcPr>
            <w:tcW w:w="1276" w:type="dxa"/>
          </w:tcPr>
          <w:p>
            <w:pPr>
              <w:pStyle w:val="yTable"/>
              <w:keepNext/>
              <w:jc w:val="center"/>
            </w:pPr>
            <w:r>
              <w:br/>
            </w:r>
            <w:r>
              <w:br/>
              <w:t>3</w:t>
            </w:r>
          </w:p>
        </w:tc>
      </w:tr>
      <w:tr>
        <w:trPr>
          <w:cantSplit/>
        </w:trPr>
        <w:tc>
          <w:tcPr>
            <w:tcW w:w="5103" w:type="dxa"/>
          </w:tcPr>
          <w:p>
            <w:pPr>
              <w:pStyle w:val="yTable"/>
            </w:pPr>
            <w:r>
              <w:t>Anaesthesia for all procedures on the nerves, muscles, tendons and fascia of the upper abdominal wall</w:t>
            </w:r>
          </w:p>
        </w:tc>
        <w:tc>
          <w:tcPr>
            <w:tcW w:w="1276" w:type="dxa"/>
          </w:tcPr>
          <w:p>
            <w:pPr>
              <w:pStyle w:val="yTable"/>
              <w:keepNext/>
              <w:jc w:val="center"/>
            </w:pPr>
            <w:r>
              <w:br/>
              <w:t>4</w:t>
            </w:r>
          </w:p>
        </w:tc>
      </w:tr>
      <w:tr>
        <w:trPr>
          <w:cantSplit/>
        </w:trPr>
        <w:tc>
          <w:tcPr>
            <w:tcW w:w="5103" w:type="dxa"/>
          </w:tcPr>
          <w:p>
            <w:pPr>
              <w:pStyle w:val="yTable"/>
            </w:pPr>
            <w:r>
              <w:t>Anaesthesia for diagnostic laparoscopy</w:t>
            </w:r>
          </w:p>
        </w:tc>
        <w:tc>
          <w:tcPr>
            <w:tcW w:w="1276" w:type="dxa"/>
          </w:tcPr>
          <w:p>
            <w:pPr>
              <w:pStyle w:val="yTable"/>
              <w:keepNext/>
              <w:jc w:val="center"/>
            </w:pPr>
            <w:r>
              <w:t>6</w:t>
            </w:r>
          </w:p>
        </w:tc>
      </w:tr>
      <w:tr>
        <w:trPr>
          <w:cantSplit/>
        </w:trPr>
        <w:tc>
          <w:tcPr>
            <w:tcW w:w="5103" w:type="dxa"/>
          </w:tcPr>
          <w:p>
            <w:pPr>
              <w:pStyle w:val="yTable"/>
            </w:pPr>
            <w:r>
              <w:t>Anaesthesia for laparoscopic procedures unless otherwise specified</w:t>
            </w:r>
          </w:p>
        </w:tc>
        <w:tc>
          <w:tcPr>
            <w:tcW w:w="1276" w:type="dxa"/>
          </w:tcPr>
          <w:p>
            <w:pPr>
              <w:pStyle w:val="yTable"/>
              <w:keepNext/>
              <w:jc w:val="center"/>
            </w:pPr>
            <w:r>
              <w:br/>
              <w:t>7</w:t>
            </w:r>
          </w:p>
        </w:tc>
      </w:tr>
      <w:tr>
        <w:trPr>
          <w:cantSplit/>
        </w:trPr>
        <w:tc>
          <w:tcPr>
            <w:tcW w:w="5103" w:type="dxa"/>
          </w:tcPr>
          <w:p>
            <w:pPr>
              <w:pStyle w:val="yTable"/>
            </w:pPr>
            <w:r>
              <w:t>Anaesthesia for extracorporeal shock wave lithotripsy</w:t>
            </w:r>
          </w:p>
        </w:tc>
        <w:tc>
          <w:tcPr>
            <w:tcW w:w="1276" w:type="dxa"/>
          </w:tcPr>
          <w:p>
            <w:pPr>
              <w:pStyle w:val="yTable"/>
              <w:keepNext/>
              <w:jc w:val="center"/>
            </w:pPr>
            <w:r>
              <w:t>6</w:t>
            </w:r>
          </w:p>
        </w:tc>
      </w:tr>
      <w:tr>
        <w:trPr>
          <w:cantSplit/>
        </w:trPr>
        <w:tc>
          <w:tcPr>
            <w:tcW w:w="5103" w:type="dxa"/>
          </w:tcPr>
          <w:p>
            <w:pPr>
              <w:pStyle w:val="yTable"/>
            </w:pPr>
            <w:r>
              <w:t>Anaesthesia for upper gastrointestinal endoscopic procedures</w:t>
            </w:r>
          </w:p>
        </w:tc>
        <w:tc>
          <w:tcPr>
            <w:tcW w:w="1276" w:type="dxa"/>
          </w:tcPr>
          <w:p>
            <w:pPr>
              <w:pStyle w:val="yTable"/>
              <w:keepNext/>
              <w:jc w:val="center"/>
            </w:pPr>
            <w:r>
              <w:br/>
              <w:t>5</w:t>
            </w:r>
          </w:p>
        </w:tc>
      </w:tr>
      <w:tr>
        <w:trPr>
          <w:cantSplit/>
        </w:trPr>
        <w:tc>
          <w:tcPr>
            <w:tcW w:w="5103" w:type="dxa"/>
          </w:tcPr>
          <w:p>
            <w:pPr>
              <w:pStyle w:val="yTable"/>
            </w:pPr>
            <w:r>
              <w:t>Anaesthesia for upper gastrointestinal endoscopic procedures in association with acute gastrointestinal haemorrhage</w:t>
            </w:r>
          </w:p>
        </w:tc>
        <w:tc>
          <w:tcPr>
            <w:tcW w:w="1276" w:type="dxa"/>
          </w:tcPr>
          <w:p>
            <w:pPr>
              <w:pStyle w:val="yTable"/>
              <w:keepNext/>
              <w:jc w:val="center"/>
            </w:pPr>
            <w:r>
              <w:br/>
            </w:r>
            <w:r>
              <w:br/>
              <w:t>6</w:t>
            </w:r>
          </w:p>
        </w:tc>
      </w:tr>
      <w:tr>
        <w:trPr>
          <w:cantSplit/>
        </w:trPr>
        <w:tc>
          <w:tcPr>
            <w:tcW w:w="5103" w:type="dxa"/>
          </w:tcPr>
          <w:p>
            <w:pPr>
              <w:pStyle w:val="yTable"/>
            </w:pPr>
            <w:r>
              <w:t>Anaesthesia for all hernia repairs in upper abdomen unless otherwise specified</w:t>
            </w:r>
          </w:p>
        </w:tc>
        <w:tc>
          <w:tcPr>
            <w:tcW w:w="1276" w:type="dxa"/>
          </w:tcPr>
          <w:p>
            <w:pPr>
              <w:pStyle w:val="yTable"/>
              <w:keepNext/>
              <w:jc w:val="center"/>
            </w:pPr>
            <w:r>
              <w:br/>
              <w:t>4</w:t>
            </w:r>
          </w:p>
        </w:tc>
      </w:tr>
      <w:tr>
        <w:trPr>
          <w:cantSplit/>
        </w:trPr>
        <w:tc>
          <w:tcPr>
            <w:tcW w:w="5103" w:type="dxa"/>
          </w:tcPr>
          <w:p>
            <w:pPr>
              <w:pStyle w:val="yTable"/>
              <w:ind w:left="567" w:hanging="578"/>
            </w:pPr>
            <w:r>
              <w:t> — repair of incisional hernia and/or wound dehiscence</w:t>
            </w:r>
          </w:p>
        </w:tc>
        <w:tc>
          <w:tcPr>
            <w:tcW w:w="1276" w:type="dxa"/>
          </w:tcPr>
          <w:p>
            <w:pPr>
              <w:pStyle w:val="yTable"/>
              <w:keepNext/>
              <w:jc w:val="center"/>
            </w:pPr>
            <w:r>
              <w:br/>
              <w:t>6</w:t>
            </w:r>
          </w:p>
        </w:tc>
      </w:tr>
      <w:tr>
        <w:trPr>
          <w:cantSplit/>
        </w:trPr>
        <w:tc>
          <w:tcPr>
            <w:tcW w:w="5103" w:type="dxa"/>
          </w:tcPr>
          <w:p>
            <w:pPr>
              <w:pStyle w:val="yTable"/>
            </w:pPr>
            <w:r>
              <w:t> — repair of omphalocele</w:t>
            </w:r>
          </w:p>
        </w:tc>
        <w:tc>
          <w:tcPr>
            <w:tcW w:w="1276" w:type="dxa"/>
          </w:tcPr>
          <w:p>
            <w:pPr>
              <w:pStyle w:val="yTable"/>
              <w:keepNext/>
              <w:jc w:val="center"/>
            </w:pPr>
            <w:r>
              <w:t>7</w:t>
            </w:r>
          </w:p>
        </w:tc>
      </w:tr>
      <w:tr>
        <w:trPr>
          <w:cantSplit/>
        </w:trPr>
        <w:tc>
          <w:tcPr>
            <w:tcW w:w="5103" w:type="dxa"/>
          </w:tcPr>
          <w:p>
            <w:pPr>
              <w:pStyle w:val="yTable"/>
            </w:pPr>
            <w:r>
              <w:t> — transabdominal repair of diaphragmatic hernia</w:t>
            </w:r>
          </w:p>
        </w:tc>
        <w:tc>
          <w:tcPr>
            <w:tcW w:w="1276" w:type="dxa"/>
          </w:tcPr>
          <w:p>
            <w:pPr>
              <w:pStyle w:val="yTable"/>
              <w:keepNext/>
              <w:jc w:val="center"/>
            </w:pPr>
            <w:r>
              <w:t>9</w:t>
            </w:r>
          </w:p>
        </w:tc>
      </w:tr>
      <w:tr>
        <w:trPr>
          <w:cantSplit/>
        </w:trPr>
        <w:tc>
          <w:tcPr>
            <w:tcW w:w="5103" w:type="dxa"/>
          </w:tcPr>
          <w:p>
            <w:pPr>
              <w:pStyle w:val="yTable"/>
            </w:pPr>
            <w:r>
              <w:t>Anaesthesia for all procedures on major abdominal blood vessels</w:t>
            </w:r>
          </w:p>
        </w:tc>
        <w:tc>
          <w:tcPr>
            <w:tcW w:w="1276" w:type="dxa"/>
          </w:tcPr>
          <w:p>
            <w:pPr>
              <w:pStyle w:val="yTable"/>
              <w:keepNext/>
              <w:jc w:val="center"/>
            </w:pPr>
            <w:r>
              <w:br/>
              <w:t>15</w:t>
            </w:r>
          </w:p>
        </w:tc>
      </w:tr>
      <w:tr>
        <w:trPr>
          <w:cantSplit/>
        </w:trPr>
        <w:tc>
          <w:tcPr>
            <w:tcW w:w="5103" w:type="dxa"/>
          </w:tcPr>
          <w:p>
            <w:pPr>
              <w:pStyle w:val="yTable"/>
            </w:pPr>
            <w:r>
              <w:t>Anaesthesia for all procedures within the peritoneal cavity in upper abdomen including cholecystectomy, gastrectomy, laparoscopic nephrectomy, bowel shunts and cadaver harvesting of organs unless otherwise specified</w:t>
            </w:r>
          </w:p>
        </w:tc>
        <w:tc>
          <w:tcPr>
            <w:tcW w:w="1276" w:type="dxa"/>
          </w:tcPr>
          <w:p>
            <w:pPr>
              <w:pStyle w:val="yTable"/>
              <w:keepNext/>
              <w:jc w:val="center"/>
            </w:pPr>
            <w:r>
              <w:br/>
            </w:r>
            <w:r>
              <w:br/>
            </w:r>
            <w:r>
              <w:br/>
            </w:r>
            <w:r>
              <w:br/>
              <w:t>8</w:t>
            </w:r>
          </w:p>
        </w:tc>
      </w:tr>
      <w:tr>
        <w:trPr>
          <w:cantSplit/>
        </w:trPr>
        <w:tc>
          <w:tcPr>
            <w:tcW w:w="5103" w:type="dxa"/>
          </w:tcPr>
          <w:p>
            <w:pPr>
              <w:pStyle w:val="yTable"/>
              <w:tabs>
                <w:tab w:val="left" w:pos="567"/>
              </w:tabs>
              <w:ind w:left="567" w:hanging="567"/>
            </w:pPr>
            <w:r>
              <w:t> — gastric reduction or gastroplasty for the treatment of morbid obesity</w:t>
            </w:r>
          </w:p>
        </w:tc>
        <w:tc>
          <w:tcPr>
            <w:tcW w:w="1276" w:type="dxa"/>
          </w:tcPr>
          <w:p>
            <w:pPr>
              <w:pStyle w:val="yTable"/>
              <w:keepNext/>
              <w:jc w:val="center"/>
            </w:pPr>
            <w:r>
              <w:br/>
              <w:t>10</w:t>
            </w:r>
          </w:p>
        </w:tc>
      </w:tr>
      <w:tr>
        <w:trPr>
          <w:cantSplit/>
        </w:trPr>
        <w:tc>
          <w:tcPr>
            <w:tcW w:w="5103" w:type="dxa"/>
          </w:tcPr>
          <w:p>
            <w:pPr>
              <w:pStyle w:val="yTable"/>
              <w:tabs>
                <w:tab w:val="left" w:pos="567"/>
              </w:tabs>
              <w:ind w:left="567" w:hanging="567"/>
            </w:pPr>
            <w:r>
              <w:t> — partial hepatectomy (excluding liver biopsy)</w:t>
            </w:r>
          </w:p>
        </w:tc>
        <w:tc>
          <w:tcPr>
            <w:tcW w:w="1276" w:type="dxa"/>
          </w:tcPr>
          <w:p>
            <w:pPr>
              <w:pStyle w:val="yTable"/>
              <w:keepNext/>
              <w:jc w:val="center"/>
            </w:pPr>
            <w:r>
              <w:t>13</w:t>
            </w:r>
          </w:p>
        </w:tc>
      </w:tr>
      <w:tr>
        <w:trPr>
          <w:cantSplit/>
        </w:trPr>
        <w:tc>
          <w:tcPr>
            <w:tcW w:w="5103" w:type="dxa"/>
          </w:tcPr>
          <w:p>
            <w:pPr>
              <w:pStyle w:val="yTable"/>
              <w:tabs>
                <w:tab w:val="left" w:pos="567"/>
              </w:tabs>
              <w:ind w:left="567" w:hanging="567"/>
            </w:pPr>
            <w:r>
              <w:t> — extended or trisegmental hepatectomy</w:t>
            </w:r>
          </w:p>
        </w:tc>
        <w:tc>
          <w:tcPr>
            <w:tcW w:w="1276" w:type="dxa"/>
          </w:tcPr>
          <w:p>
            <w:pPr>
              <w:pStyle w:val="yTable"/>
              <w:keepNext/>
              <w:jc w:val="center"/>
            </w:pPr>
            <w:r>
              <w:t>15</w:t>
            </w:r>
          </w:p>
        </w:tc>
      </w:tr>
      <w:tr>
        <w:trPr>
          <w:cantSplit/>
        </w:trPr>
        <w:tc>
          <w:tcPr>
            <w:tcW w:w="5103" w:type="dxa"/>
          </w:tcPr>
          <w:p>
            <w:pPr>
              <w:pStyle w:val="yTable"/>
              <w:tabs>
                <w:tab w:val="left" w:pos="567"/>
              </w:tabs>
              <w:ind w:left="567" w:hanging="567"/>
            </w:pPr>
            <w:r>
              <w:t> — pancreatectomy, partial or total (eg. Whipple procedure)</w:t>
            </w:r>
          </w:p>
        </w:tc>
        <w:tc>
          <w:tcPr>
            <w:tcW w:w="1276" w:type="dxa"/>
          </w:tcPr>
          <w:p>
            <w:pPr>
              <w:pStyle w:val="yTable"/>
              <w:keepNext/>
              <w:jc w:val="center"/>
            </w:pPr>
            <w:r>
              <w:br/>
              <w:t>12</w:t>
            </w:r>
          </w:p>
        </w:tc>
      </w:tr>
      <w:tr>
        <w:trPr>
          <w:cantSplit/>
        </w:trPr>
        <w:tc>
          <w:tcPr>
            <w:tcW w:w="5103" w:type="dxa"/>
          </w:tcPr>
          <w:p>
            <w:pPr>
              <w:pStyle w:val="yTable"/>
              <w:tabs>
                <w:tab w:val="left" w:pos="567"/>
              </w:tabs>
              <w:ind w:left="567" w:hanging="567"/>
            </w:pPr>
            <w:r>
              <w:t> — liver transplant (recipient)</w:t>
            </w:r>
          </w:p>
        </w:tc>
        <w:tc>
          <w:tcPr>
            <w:tcW w:w="1276" w:type="dxa"/>
          </w:tcPr>
          <w:p>
            <w:pPr>
              <w:pStyle w:val="yTable"/>
              <w:keepNext/>
              <w:jc w:val="center"/>
            </w:pPr>
            <w:r>
              <w:t>30</w:t>
            </w:r>
          </w:p>
        </w:tc>
      </w:tr>
      <w:tr>
        <w:trPr>
          <w:cantSplit/>
        </w:trPr>
        <w:tc>
          <w:tcPr>
            <w:tcW w:w="5103" w:type="dxa"/>
          </w:tcPr>
          <w:p>
            <w:pPr>
              <w:pStyle w:val="yTable"/>
              <w:tabs>
                <w:tab w:val="left" w:pos="567"/>
              </w:tabs>
              <w:ind w:left="567" w:hanging="567"/>
            </w:pPr>
            <w:r>
              <w:t> — neuro endocrine tumour removal (eg. carcinoid)</w:t>
            </w:r>
          </w:p>
        </w:tc>
        <w:tc>
          <w:tcPr>
            <w:tcW w:w="1276" w:type="dxa"/>
          </w:tcPr>
          <w:p>
            <w:pPr>
              <w:pStyle w:val="yTable"/>
              <w:keepNext/>
              <w:jc w:val="center"/>
            </w:pPr>
            <w:r>
              <w:br/>
              <w:t>10</w:t>
            </w:r>
          </w:p>
        </w:tc>
      </w:tr>
      <w:tr>
        <w:trPr>
          <w:cantSplit/>
        </w:trPr>
        <w:tc>
          <w:tcPr>
            <w:tcW w:w="5103" w:type="dxa"/>
          </w:tcPr>
          <w:p>
            <w:pPr>
              <w:pStyle w:val="yTable"/>
              <w:tabs>
                <w:tab w:val="left" w:pos="567"/>
              </w:tabs>
              <w:ind w:left="567" w:hanging="567"/>
            </w:pPr>
            <w:r>
              <w:t> — percutaneous procedures on an intra</w:t>
            </w:r>
            <w:r>
              <w:noBreakHyphen/>
              <w:t>abdominal organ in the upper abdomen</w:t>
            </w:r>
          </w:p>
        </w:tc>
        <w:tc>
          <w:tcPr>
            <w:tcW w:w="1276" w:type="dxa"/>
          </w:tcPr>
          <w:p>
            <w:pPr>
              <w:pStyle w:val="yTable"/>
              <w:keepNext/>
              <w:jc w:val="center"/>
            </w:pPr>
            <w:r>
              <w:br/>
              <w:t>6</w:t>
            </w:r>
          </w:p>
        </w:tc>
      </w:tr>
      <w:tr>
        <w:trPr>
          <w:cantSplit/>
        </w:trPr>
        <w:tc>
          <w:tcPr>
            <w:tcW w:w="5103" w:type="dxa"/>
          </w:tcPr>
          <w:p>
            <w:pPr>
              <w:pStyle w:val="zytable"/>
              <w:tabs>
                <w:tab w:val="left" w:pos="567"/>
              </w:tabs>
              <w:ind w:left="720" w:hanging="153"/>
            </w:pPr>
          </w:p>
        </w:tc>
        <w:tc>
          <w:tcPr>
            <w:tcW w:w="1276" w:type="dxa"/>
          </w:tcPr>
          <w:p>
            <w:pPr>
              <w:pStyle w:val="yTable"/>
              <w:keepNext/>
              <w:jc w:val="center"/>
            </w:pPr>
          </w:p>
        </w:tc>
      </w:tr>
      <w:tr>
        <w:trPr>
          <w:cantSplit/>
        </w:trPr>
        <w:tc>
          <w:tcPr>
            <w:tcW w:w="5103" w:type="dxa"/>
          </w:tcPr>
          <w:p>
            <w:pPr>
              <w:pStyle w:val="yTable"/>
            </w:pPr>
            <w:r>
              <w:rPr>
                <w:b/>
              </w:rPr>
              <w:t>Lower abdomen</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lower abdominal wall unless otherwise specified</w:t>
            </w:r>
          </w:p>
        </w:tc>
        <w:tc>
          <w:tcPr>
            <w:tcW w:w="1276" w:type="dxa"/>
          </w:tcPr>
          <w:p>
            <w:pPr>
              <w:pStyle w:val="yTable"/>
              <w:keepNext/>
              <w:jc w:val="center"/>
            </w:pPr>
            <w:r>
              <w:br/>
            </w:r>
            <w:r>
              <w:br/>
              <w:t>3</w:t>
            </w:r>
          </w:p>
        </w:tc>
      </w:tr>
      <w:tr>
        <w:trPr>
          <w:cantSplit/>
        </w:trPr>
        <w:tc>
          <w:tcPr>
            <w:tcW w:w="5103" w:type="dxa"/>
          </w:tcPr>
          <w:p>
            <w:pPr>
              <w:pStyle w:val="yTable"/>
            </w:pPr>
            <w:r>
              <w:t> — lipectomy</w:t>
            </w:r>
          </w:p>
        </w:tc>
        <w:tc>
          <w:tcPr>
            <w:tcW w:w="1276" w:type="dxa"/>
          </w:tcPr>
          <w:p>
            <w:pPr>
              <w:pStyle w:val="yTable"/>
              <w:keepNext/>
              <w:jc w:val="center"/>
            </w:pPr>
            <w:r>
              <w:t>5</w:t>
            </w:r>
          </w:p>
        </w:tc>
      </w:tr>
      <w:tr>
        <w:trPr>
          <w:cantSplit/>
        </w:trPr>
        <w:tc>
          <w:tcPr>
            <w:tcW w:w="5103" w:type="dxa"/>
          </w:tcPr>
          <w:p>
            <w:pPr>
              <w:pStyle w:val="yTable"/>
            </w:pPr>
            <w:r>
              <w:t>Anaesthesia for all procedures on the nerves, muscles, tendons and fascia of the lower abdominal wall (with the exception of abdominal lipectomy)</w:t>
            </w:r>
          </w:p>
        </w:tc>
        <w:tc>
          <w:tcPr>
            <w:tcW w:w="1276" w:type="dxa"/>
          </w:tcPr>
          <w:p>
            <w:pPr>
              <w:pStyle w:val="yTable"/>
              <w:keepNext/>
              <w:jc w:val="center"/>
            </w:pPr>
            <w:r>
              <w:br/>
            </w:r>
            <w:r>
              <w:br/>
            </w:r>
            <w:r>
              <w:br/>
              <w:t>4</w:t>
            </w:r>
          </w:p>
        </w:tc>
      </w:tr>
      <w:tr>
        <w:trPr>
          <w:cantSplit/>
        </w:trPr>
        <w:tc>
          <w:tcPr>
            <w:tcW w:w="5103" w:type="dxa"/>
          </w:tcPr>
          <w:p>
            <w:pPr>
              <w:pStyle w:val="yTable"/>
            </w:pPr>
            <w:r>
              <w:t>Anaesthesia for diagnostic laparoscopy</w:t>
            </w:r>
          </w:p>
        </w:tc>
        <w:tc>
          <w:tcPr>
            <w:tcW w:w="1276" w:type="dxa"/>
          </w:tcPr>
          <w:p>
            <w:pPr>
              <w:pStyle w:val="yTable"/>
              <w:keepNext/>
              <w:jc w:val="center"/>
            </w:pPr>
            <w:r>
              <w:t>6</w:t>
            </w:r>
          </w:p>
        </w:tc>
      </w:tr>
      <w:tr>
        <w:trPr>
          <w:cantSplit/>
        </w:trPr>
        <w:tc>
          <w:tcPr>
            <w:tcW w:w="5103" w:type="dxa"/>
          </w:tcPr>
          <w:p>
            <w:pPr>
              <w:pStyle w:val="yTable"/>
            </w:pPr>
            <w:r>
              <w:t>Anaesthesia for laparoscopic procedures</w:t>
            </w:r>
          </w:p>
        </w:tc>
        <w:tc>
          <w:tcPr>
            <w:tcW w:w="1276" w:type="dxa"/>
          </w:tcPr>
          <w:p>
            <w:pPr>
              <w:pStyle w:val="yTable"/>
              <w:keepNext/>
              <w:jc w:val="center"/>
            </w:pPr>
            <w:r>
              <w:t>7</w:t>
            </w:r>
          </w:p>
        </w:tc>
      </w:tr>
      <w:tr>
        <w:trPr>
          <w:cantSplit/>
        </w:trPr>
        <w:tc>
          <w:tcPr>
            <w:tcW w:w="5103" w:type="dxa"/>
          </w:tcPr>
          <w:p>
            <w:pPr>
              <w:pStyle w:val="yTable"/>
            </w:pPr>
            <w:r>
              <w:t>Anaesthesia for all lower intestinal endoscopic procedures (modifier for prone position is not applicable)</w:t>
            </w:r>
          </w:p>
        </w:tc>
        <w:tc>
          <w:tcPr>
            <w:tcW w:w="1276" w:type="dxa"/>
          </w:tcPr>
          <w:p>
            <w:pPr>
              <w:pStyle w:val="yTable"/>
              <w:keepNext/>
              <w:jc w:val="center"/>
            </w:pPr>
            <w:r>
              <w:br/>
            </w:r>
            <w:r>
              <w:br/>
              <w:t>4</w:t>
            </w:r>
          </w:p>
        </w:tc>
      </w:tr>
      <w:tr>
        <w:trPr>
          <w:cantSplit/>
        </w:trPr>
        <w:tc>
          <w:tcPr>
            <w:tcW w:w="5103" w:type="dxa"/>
          </w:tcPr>
          <w:p>
            <w:pPr>
              <w:pStyle w:val="yTable"/>
            </w:pPr>
            <w:r>
              <w:t>Anaesthesia for extracorporeal shock wave lithotripsy</w:t>
            </w:r>
          </w:p>
        </w:tc>
        <w:tc>
          <w:tcPr>
            <w:tcW w:w="1276" w:type="dxa"/>
          </w:tcPr>
          <w:p>
            <w:pPr>
              <w:pStyle w:val="yTable"/>
              <w:keepNext/>
              <w:jc w:val="center"/>
            </w:pPr>
            <w:r>
              <w:br/>
              <w:t>6</w:t>
            </w:r>
          </w:p>
        </w:tc>
      </w:tr>
      <w:tr>
        <w:trPr>
          <w:cantSplit/>
        </w:trPr>
        <w:tc>
          <w:tcPr>
            <w:tcW w:w="5103" w:type="dxa"/>
          </w:tcPr>
          <w:p>
            <w:pPr>
              <w:pStyle w:val="yTable"/>
            </w:pPr>
            <w:r>
              <w:t>Anaesthesia for all hernia repairs in lower abdomen unless otherwise specified</w:t>
            </w:r>
          </w:p>
        </w:tc>
        <w:tc>
          <w:tcPr>
            <w:tcW w:w="1276" w:type="dxa"/>
          </w:tcPr>
          <w:p>
            <w:pPr>
              <w:pStyle w:val="yTable"/>
              <w:keepNext/>
              <w:jc w:val="center"/>
            </w:pPr>
            <w:r>
              <w:br/>
              <w:t>4</w:t>
            </w:r>
          </w:p>
        </w:tc>
      </w:tr>
      <w:tr>
        <w:trPr>
          <w:cantSplit/>
        </w:trPr>
        <w:tc>
          <w:tcPr>
            <w:tcW w:w="5103" w:type="dxa"/>
          </w:tcPr>
          <w:p>
            <w:pPr>
              <w:pStyle w:val="yTable"/>
            </w:pPr>
            <w:r>
              <w:t> — repair of incisional hernia and/or wound dehiscence</w:t>
            </w:r>
          </w:p>
        </w:tc>
        <w:tc>
          <w:tcPr>
            <w:tcW w:w="1276" w:type="dxa"/>
          </w:tcPr>
          <w:p>
            <w:pPr>
              <w:pStyle w:val="yTable"/>
              <w:keepNext/>
              <w:jc w:val="center"/>
            </w:pPr>
            <w:r>
              <w:br/>
              <w:t>6</w:t>
            </w:r>
          </w:p>
        </w:tc>
      </w:tr>
      <w:tr>
        <w:trPr>
          <w:cantSplit/>
        </w:trPr>
        <w:tc>
          <w:tcPr>
            <w:tcW w:w="5103" w:type="dxa"/>
          </w:tcPr>
          <w:p>
            <w:pPr>
              <w:pStyle w:val="yTable"/>
            </w:pPr>
            <w:r>
              <w:t>Anaesthesia for all procedures within the peritoneal cavity in the lower abdomen (including appendicetomy) unless otherwise specified</w:t>
            </w:r>
          </w:p>
        </w:tc>
        <w:tc>
          <w:tcPr>
            <w:tcW w:w="1276" w:type="dxa"/>
          </w:tcPr>
          <w:p>
            <w:pPr>
              <w:pStyle w:val="yTable"/>
              <w:keepNext/>
              <w:jc w:val="center"/>
            </w:pPr>
            <w:r>
              <w:br/>
            </w:r>
            <w:r>
              <w:br/>
              <w:t>6</w:t>
            </w:r>
          </w:p>
        </w:tc>
      </w:tr>
      <w:tr>
        <w:trPr>
          <w:cantSplit/>
        </w:trPr>
        <w:tc>
          <w:tcPr>
            <w:tcW w:w="5103" w:type="dxa"/>
          </w:tcPr>
          <w:p>
            <w:pPr>
              <w:pStyle w:val="yTable"/>
            </w:pPr>
            <w:r>
              <w:t>Anaesthesia for bowel resection, including laparascopic bowel resection, unless otherwise specified</w:t>
            </w:r>
          </w:p>
        </w:tc>
        <w:tc>
          <w:tcPr>
            <w:tcW w:w="1276" w:type="dxa"/>
          </w:tcPr>
          <w:p>
            <w:pPr>
              <w:pStyle w:val="yTable"/>
              <w:keepNext/>
              <w:jc w:val="center"/>
            </w:pPr>
            <w:r>
              <w:br/>
            </w:r>
            <w:r>
              <w:br/>
              <w:t>8</w:t>
            </w:r>
          </w:p>
        </w:tc>
      </w:tr>
      <w:tr>
        <w:trPr>
          <w:cantSplit/>
        </w:trPr>
        <w:tc>
          <w:tcPr>
            <w:tcW w:w="5103" w:type="dxa"/>
          </w:tcPr>
          <w:p>
            <w:pPr>
              <w:pStyle w:val="yTable"/>
            </w:pPr>
            <w:r>
              <w:t> — amniocentesis</w:t>
            </w:r>
          </w:p>
        </w:tc>
        <w:tc>
          <w:tcPr>
            <w:tcW w:w="1276" w:type="dxa"/>
          </w:tcPr>
          <w:p>
            <w:pPr>
              <w:pStyle w:val="yTable"/>
              <w:keepNext/>
              <w:jc w:val="center"/>
            </w:pPr>
            <w:r>
              <w:t>4</w:t>
            </w:r>
          </w:p>
        </w:tc>
      </w:tr>
      <w:tr>
        <w:trPr>
          <w:cantSplit/>
        </w:trPr>
        <w:tc>
          <w:tcPr>
            <w:tcW w:w="5103" w:type="dxa"/>
          </w:tcPr>
          <w:p>
            <w:pPr>
              <w:pStyle w:val="yTable"/>
              <w:tabs>
                <w:tab w:val="left" w:pos="567"/>
              </w:tabs>
              <w:ind w:left="567" w:hanging="567"/>
            </w:pPr>
            <w:r>
              <w:t> — abdominoperineal resection, including pull through procedures, ultra low anterior resection and formation of bowel reservoir</w:t>
            </w:r>
          </w:p>
        </w:tc>
        <w:tc>
          <w:tcPr>
            <w:tcW w:w="1276" w:type="dxa"/>
          </w:tcPr>
          <w:p>
            <w:pPr>
              <w:pStyle w:val="yTable"/>
              <w:keepNext/>
              <w:jc w:val="center"/>
            </w:pPr>
            <w:r>
              <w:br/>
            </w:r>
            <w:r>
              <w:br/>
              <w:t>10</w:t>
            </w:r>
          </w:p>
        </w:tc>
      </w:tr>
      <w:tr>
        <w:trPr>
          <w:cantSplit/>
        </w:trPr>
        <w:tc>
          <w:tcPr>
            <w:tcW w:w="5103" w:type="dxa"/>
          </w:tcPr>
          <w:p>
            <w:pPr>
              <w:pStyle w:val="yTable"/>
            </w:pPr>
            <w:r>
              <w:t> — radical prostatectomy</w:t>
            </w:r>
          </w:p>
        </w:tc>
        <w:tc>
          <w:tcPr>
            <w:tcW w:w="1276" w:type="dxa"/>
          </w:tcPr>
          <w:p>
            <w:pPr>
              <w:pStyle w:val="yTable"/>
              <w:keepNext/>
              <w:jc w:val="center"/>
            </w:pPr>
            <w:r>
              <w:t>10</w:t>
            </w:r>
          </w:p>
        </w:tc>
      </w:tr>
      <w:tr>
        <w:trPr>
          <w:cantSplit/>
        </w:trPr>
        <w:tc>
          <w:tcPr>
            <w:tcW w:w="5103" w:type="dxa"/>
          </w:tcPr>
          <w:p>
            <w:pPr>
              <w:pStyle w:val="yTable"/>
            </w:pPr>
            <w:r>
              <w:t> — radical hysterectomy</w:t>
            </w:r>
          </w:p>
        </w:tc>
        <w:tc>
          <w:tcPr>
            <w:tcW w:w="1276" w:type="dxa"/>
          </w:tcPr>
          <w:p>
            <w:pPr>
              <w:pStyle w:val="yTable"/>
              <w:keepNext/>
              <w:jc w:val="center"/>
            </w:pPr>
            <w:r>
              <w:t>10</w:t>
            </w:r>
          </w:p>
        </w:tc>
      </w:tr>
      <w:tr>
        <w:trPr>
          <w:cantSplit/>
        </w:trPr>
        <w:tc>
          <w:tcPr>
            <w:tcW w:w="5103" w:type="dxa"/>
          </w:tcPr>
          <w:p>
            <w:pPr>
              <w:pStyle w:val="yTable"/>
            </w:pPr>
            <w:r>
              <w:t> — radical ovarian surgery</w:t>
            </w:r>
          </w:p>
        </w:tc>
        <w:tc>
          <w:tcPr>
            <w:tcW w:w="1276" w:type="dxa"/>
          </w:tcPr>
          <w:p>
            <w:pPr>
              <w:pStyle w:val="yTable"/>
              <w:keepNext/>
              <w:jc w:val="center"/>
            </w:pPr>
            <w:r>
              <w:t>10</w:t>
            </w:r>
          </w:p>
        </w:tc>
      </w:tr>
      <w:tr>
        <w:trPr>
          <w:cantSplit/>
        </w:trPr>
        <w:tc>
          <w:tcPr>
            <w:tcW w:w="5103" w:type="dxa"/>
          </w:tcPr>
          <w:p>
            <w:pPr>
              <w:pStyle w:val="yTable"/>
            </w:pPr>
            <w:r>
              <w:t> — pelvic exenteration</w:t>
            </w:r>
          </w:p>
        </w:tc>
        <w:tc>
          <w:tcPr>
            <w:tcW w:w="1276" w:type="dxa"/>
          </w:tcPr>
          <w:p>
            <w:pPr>
              <w:pStyle w:val="yTable"/>
              <w:keepNext/>
              <w:jc w:val="center"/>
            </w:pPr>
            <w:r>
              <w:t>10</w:t>
            </w:r>
          </w:p>
        </w:tc>
      </w:tr>
      <w:tr>
        <w:trPr>
          <w:cantSplit/>
        </w:trPr>
        <w:tc>
          <w:tcPr>
            <w:tcW w:w="5103" w:type="dxa"/>
          </w:tcPr>
          <w:p>
            <w:pPr>
              <w:pStyle w:val="yTable"/>
            </w:pPr>
            <w:r>
              <w:t> — Caesarean section</w:t>
            </w:r>
          </w:p>
        </w:tc>
        <w:tc>
          <w:tcPr>
            <w:tcW w:w="1276" w:type="dxa"/>
          </w:tcPr>
          <w:p>
            <w:pPr>
              <w:pStyle w:val="yTable"/>
              <w:keepNext/>
              <w:jc w:val="center"/>
            </w:pPr>
            <w:r>
              <w:t>10</w:t>
            </w:r>
          </w:p>
        </w:tc>
      </w:tr>
      <w:tr>
        <w:trPr>
          <w:cantSplit/>
        </w:trPr>
        <w:tc>
          <w:tcPr>
            <w:tcW w:w="5103" w:type="dxa"/>
          </w:tcPr>
          <w:p>
            <w:pPr>
              <w:pStyle w:val="yTable"/>
              <w:tabs>
                <w:tab w:val="left" w:pos="567"/>
              </w:tabs>
              <w:ind w:left="567" w:hanging="567"/>
            </w:pPr>
            <w:r>
              <w:t> — Caesarean hysterectomy or hysterectomy within 24 hours of delivery</w:t>
            </w:r>
          </w:p>
        </w:tc>
        <w:tc>
          <w:tcPr>
            <w:tcW w:w="1276" w:type="dxa"/>
          </w:tcPr>
          <w:p>
            <w:pPr>
              <w:pStyle w:val="yTable"/>
              <w:keepNext/>
              <w:jc w:val="center"/>
            </w:pPr>
            <w:r>
              <w:br/>
              <w:t>15</w:t>
            </w:r>
          </w:p>
        </w:tc>
      </w:tr>
      <w:tr>
        <w:trPr>
          <w:cantSplit/>
        </w:trPr>
        <w:tc>
          <w:tcPr>
            <w:tcW w:w="5103" w:type="dxa"/>
          </w:tcPr>
          <w:p>
            <w:pPr>
              <w:pStyle w:val="yTable"/>
            </w:pPr>
            <w:r>
              <w:t>Anaesthesia for all extraperitoneal procedures in lower abdomen, including urinary tract, unless otherwise specified</w:t>
            </w:r>
          </w:p>
        </w:tc>
        <w:tc>
          <w:tcPr>
            <w:tcW w:w="1276" w:type="dxa"/>
          </w:tcPr>
          <w:p>
            <w:pPr>
              <w:pStyle w:val="yTable"/>
              <w:keepNext/>
              <w:jc w:val="center"/>
            </w:pPr>
            <w:r>
              <w:br/>
            </w:r>
            <w:r>
              <w:br/>
              <w:t>6</w:t>
            </w:r>
          </w:p>
        </w:tc>
      </w:tr>
      <w:tr>
        <w:trPr>
          <w:cantSplit/>
        </w:trPr>
        <w:tc>
          <w:tcPr>
            <w:tcW w:w="5103" w:type="dxa"/>
          </w:tcPr>
          <w:p>
            <w:pPr>
              <w:pStyle w:val="yTable"/>
            </w:pPr>
            <w:r>
              <w:t> — renal procedures, including upper 1/3 or ureter</w:t>
            </w:r>
          </w:p>
        </w:tc>
        <w:tc>
          <w:tcPr>
            <w:tcW w:w="1276" w:type="dxa"/>
          </w:tcPr>
          <w:p>
            <w:pPr>
              <w:pStyle w:val="yTable"/>
              <w:keepNext/>
              <w:jc w:val="center"/>
            </w:pPr>
            <w:r>
              <w:t>7</w:t>
            </w:r>
          </w:p>
        </w:tc>
      </w:tr>
      <w:tr>
        <w:trPr>
          <w:cantSplit/>
        </w:trPr>
        <w:tc>
          <w:tcPr>
            <w:tcW w:w="5103" w:type="dxa"/>
          </w:tcPr>
          <w:p>
            <w:pPr>
              <w:pStyle w:val="yTable"/>
            </w:pPr>
            <w:r>
              <w:t> — total cystectomy</w:t>
            </w:r>
          </w:p>
        </w:tc>
        <w:tc>
          <w:tcPr>
            <w:tcW w:w="1276" w:type="dxa"/>
          </w:tcPr>
          <w:p>
            <w:pPr>
              <w:pStyle w:val="yTable"/>
              <w:keepNext/>
              <w:jc w:val="center"/>
            </w:pPr>
            <w:r>
              <w:t>10</w:t>
            </w:r>
          </w:p>
        </w:tc>
      </w:tr>
      <w:tr>
        <w:trPr>
          <w:cantSplit/>
        </w:trPr>
        <w:tc>
          <w:tcPr>
            <w:tcW w:w="5103" w:type="dxa"/>
          </w:tcPr>
          <w:p>
            <w:pPr>
              <w:pStyle w:val="yTable"/>
            </w:pPr>
            <w:r>
              <w:t> — adrenalectomy</w:t>
            </w:r>
          </w:p>
        </w:tc>
        <w:tc>
          <w:tcPr>
            <w:tcW w:w="1276" w:type="dxa"/>
          </w:tcPr>
          <w:p>
            <w:pPr>
              <w:pStyle w:val="yTable"/>
              <w:keepNext/>
              <w:jc w:val="center"/>
            </w:pPr>
            <w:r>
              <w:t>10</w:t>
            </w:r>
          </w:p>
        </w:tc>
      </w:tr>
      <w:tr>
        <w:trPr>
          <w:cantSplit/>
        </w:trPr>
        <w:tc>
          <w:tcPr>
            <w:tcW w:w="5103" w:type="dxa"/>
          </w:tcPr>
          <w:p>
            <w:pPr>
              <w:pStyle w:val="yTable"/>
            </w:pPr>
            <w:r>
              <w:t> — neuro endocrine tumour removal (eg. carcinoid)</w:t>
            </w:r>
          </w:p>
        </w:tc>
        <w:tc>
          <w:tcPr>
            <w:tcW w:w="1276" w:type="dxa"/>
          </w:tcPr>
          <w:p>
            <w:pPr>
              <w:pStyle w:val="yTable"/>
              <w:keepNext/>
              <w:jc w:val="center"/>
            </w:pPr>
            <w:r>
              <w:t>10</w:t>
            </w:r>
          </w:p>
        </w:tc>
      </w:tr>
      <w:tr>
        <w:trPr>
          <w:cantSplit/>
        </w:trPr>
        <w:tc>
          <w:tcPr>
            <w:tcW w:w="5103" w:type="dxa"/>
          </w:tcPr>
          <w:p>
            <w:pPr>
              <w:pStyle w:val="yTable"/>
            </w:pPr>
            <w:r>
              <w:t> — renal transplant (donor or recipient)</w:t>
            </w:r>
          </w:p>
        </w:tc>
        <w:tc>
          <w:tcPr>
            <w:tcW w:w="1276" w:type="dxa"/>
          </w:tcPr>
          <w:p>
            <w:pPr>
              <w:pStyle w:val="yTable"/>
              <w:keepNext/>
              <w:jc w:val="center"/>
            </w:pPr>
            <w:r>
              <w:t>10</w:t>
            </w:r>
          </w:p>
        </w:tc>
      </w:tr>
      <w:tr>
        <w:trPr>
          <w:cantSplit/>
        </w:trPr>
        <w:tc>
          <w:tcPr>
            <w:tcW w:w="5103" w:type="dxa"/>
          </w:tcPr>
          <w:p>
            <w:pPr>
              <w:pStyle w:val="yTable"/>
            </w:pPr>
            <w:r>
              <w:t>Anaesthesia for all procedures on major lower abdominal vessels unless otherwise specified</w:t>
            </w:r>
          </w:p>
        </w:tc>
        <w:tc>
          <w:tcPr>
            <w:tcW w:w="1276" w:type="dxa"/>
          </w:tcPr>
          <w:p>
            <w:pPr>
              <w:pStyle w:val="yTable"/>
              <w:keepNext/>
              <w:jc w:val="center"/>
            </w:pPr>
            <w:r>
              <w:br/>
              <w:t>15</w:t>
            </w:r>
          </w:p>
        </w:tc>
      </w:tr>
      <w:tr>
        <w:trPr>
          <w:cantSplit/>
        </w:trPr>
        <w:tc>
          <w:tcPr>
            <w:tcW w:w="5103" w:type="dxa"/>
          </w:tcPr>
          <w:p>
            <w:pPr>
              <w:pStyle w:val="yTable"/>
            </w:pPr>
            <w:r>
              <w:t> — inferior vena cava ligation</w:t>
            </w:r>
          </w:p>
        </w:tc>
        <w:tc>
          <w:tcPr>
            <w:tcW w:w="1276" w:type="dxa"/>
          </w:tcPr>
          <w:p>
            <w:pPr>
              <w:pStyle w:val="yTable"/>
              <w:keepNext/>
              <w:jc w:val="center"/>
            </w:pPr>
            <w:r>
              <w:t>10</w:t>
            </w:r>
          </w:p>
        </w:tc>
      </w:tr>
      <w:tr>
        <w:trPr>
          <w:cantSplit/>
        </w:trPr>
        <w:tc>
          <w:tcPr>
            <w:tcW w:w="5103" w:type="dxa"/>
          </w:tcPr>
          <w:p>
            <w:pPr>
              <w:pStyle w:val="yTable"/>
            </w:pPr>
            <w:r>
              <w:t> — percutaneous umbrella insertion</w:t>
            </w:r>
          </w:p>
        </w:tc>
        <w:tc>
          <w:tcPr>
            <w:tcW w:w="1276" w:type="dxa"/>
          </w:tcPr>
          <w:p>
            <w:pPr>
              <w:pStyle w:val="yTable"/>
              <w:keepNext/>
              <w:jc w:val="center"/>
            </w:pPr>
            <w:r>
              <w:t>5</w:t>
            </w:r>
          </w:p>
        </w:tc>
      </w:tr>
      <w:tr>
        <w:trPr>
          <w:cantSplit/>
        </w:trPr>
        <w:tc>
          <w:tcPr>
            <w:tcW w:w="5103" w:type="dxa"/>
          </w:tcPr>
          <w:p>
            <w:pPr>
              <w:pStyle w:val="yTable"/>
            </w:pPr>
            <w:r>
              <w:t>Anaesthesia for percutaneous procedures on an intra</w:t>
            </w:r>
            <w:r>
              <w:noBreakHyphen/>
              <w:t>abdominal organ in the lower abdomen</w:t>
            </w:r>
          </w:p>
        </w:tc>
        <w:tc>
          <w:tcPr>
            <w:tcW w:w="1276" w:type="dxa"/>
          </w:tcPr>
          <w:p>
            <w:pPr>
              <w:pStyle w:val="yTable"/>
              <w:keepNext/>
              <w:jc w:val="center"/>
            </w:pPr>
            <w:r>
              <w:br/>
              <w:t>6</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Perineum</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perineum (including biopsy of male genital system) unless otherwise specified</w:t>
            </w:r>
          </w:p>
        </w:tc>
        <w:tc>
          <w:tcPr>
            <w:tcW w:w="1276" w:type="dxa"/>
          </w:tcPr>
          <w:p>
            <w:pPr>
              <w:pStyle w:val="yTable"/>
              <w:keepNext/>
              <w:jc w:val="center"/>
            </w:pPr>
            <w:r>
              <w:br/>
            </w:r>
            <w:r>
              <w:br/>
              <w:t>3</w:t>
            </w:r>
          </w:p>
        </w:tc>
      </w:tr>
      <w:tr>
        <w:trPr>
          <w:cantSplit/>
        </w:trPr>
        <w:tc>
          <w:tcPr>
            <w:tcW w:w="5103" w:type="dxa"/>
          </w:tcPr>
          <w:p>
            <w:pPr>
              <w:pStyle w:val="yTable"/>
              <w:tabs>
                <w:tab w:val="left" w:pos="567"/>
              </w:tabs>
              <w:ind w:left="567" w:hanging="567"/>
            </w:pPr>
            <w:r>
              <w:t> — anorectal procedure (including endoscopy and/or biopsy)</w:t>
            </w:r>
          </w:p>
        </w:tc>
        <w:tc>
          <w:tcPr>
            <w:tcW w:w="1276" w:type="dxa"/>
          </w:tcPr>
          <w:p>
            <w:pPr>
              <w:pStyle w:val="yTable"/>
              <w:keepNext/>
              <w:jc w:val="center"/>
            </w:pPr>
            <w:r>
              <w:br/>
              <w:t>4</w:t>
            </w:r>
          </w:p>
        </w:tc>
      </w:tr>
      <w:tr>
        <w:trPr>
          <w:cantSplit/>
        </w:trPr>
        <w:tc>
          <w:tcPr>
            <w:tcW w:w="5103" w:type="dxa"/>
          </w:tcPr>
          <w:p>
            <w:pPr>
              <w:pStyle w:val="yTable"/>
              <w:ind w:left="567" w:hanging="567"/>
            </w:pPr>
            <w:r>
              <w:t> — radical pineal procedure including radical perineal prostatectomy or radical vulvectomy</w:t>
            </w:r>
          </w:p>
        </w:tc>
        <w:tc>
          <w:tcPr>
            <w:tcW w:w="1276" w:type="dxa"/>
          </w:tcPr>
          <w:p>
            <w:pPr>
              <w:pStyle w:val="yTable"/>
              <w:keepNext/>
              <w:jc w:val="center"/>
            </w:pPr>
            <w:r>
              <w:br/>
              <w:t>7</w:t>
            </w:r>
          </w:p>
        </w:tc>
      </w:tr>
      <w:tr>
        <w:trPr>
          <w:cantSplit/>
        </w:trPr>
        <w:tc>
          <w:tcPr>
            <w:tcW w:w="5103" w:type="dxa"/>
          </w:tcPr>
          <w:p>
            <w:pPr>
              <w:pStyle w:val="yTable"/>
              <w:ind w:left="567" w:hanging="567"/>
            </w:pPr>
            <w:r>
              <w:t> — vulvectomy</w:t>
            </w:r>
          </w:p>
        </w:tc>
        <w:tc>
          <w:tcPr>
            <w:tcW w:w="1276" w:type="dxa"/>
          </w:tcPr>
          <w:p>
            <w:pPr>
              <w:pStyle w:val="yTable"/>
              <w:keepNext/>
              <w:jc w:val="center"/>
            </w:pPr>
            <w:r>
              <w:t>4</w:t>
            </w:r>
          </w:p>
        </w:tc>
      </w:tr>
      <w:tr>
        <w:trPr>
          <w:cantSplit/>
        </w:trPr>
        <w:tc>
          <w:tcPr>
            <w:tcW w:w="5103" w:type="dxa"/>
          </w:tcPr>
          <w:p>
            <w:pPr>
              <w:pStyle w:val="yTable"/>
            </w:pPr>
            <w:r>
              <w:t>Anaesthesia for all transurethral procedures (including urethrocystoscopy) unless otherwise specified</w:t>
            </w:r>
          </w:p>
        </w:tc>
        <w:tc>
          <w:tcPr>
            <w:tcW w:w="1276" w:type="dxa"/>
          </w:tcPr>
          <w:p>
            <w:pPr>
              <w:pStyle w:val="yTable"/>
              <w:keepNext/>
              <w:jc w:val="center"/>
            </w:pPr>
            <w:r>
              <w:br/>
              <w:t>4</w:t>
            </w:r>
          </w:p>
        </w:tc>
      </w:tr>
      <w:tr>
        <w:trPr>
          <w:cantSplit/>
        </w:trPr>
        <w:tc>
          <w:tcPr>
            <w:tcW w:w="5103" w:type="dxa"/>
          </w:tcPr>
          <w:p>
            <w:pPr>
              <w:pStyle w:val="yTable"/>
            </w:pPr>
            <w:r>
              <w:t> — transurethral resection of bladder tumour(s)</w:t>
            </w:r>
          </w:p>
        </w:tc>
        <w:tc>
          <w:tcPr>
            <w:tcW w:w="1276" w:type="dxa"/>
          </w:tcPr>
          <w:p>
            <w:pPr>
              <w:pStyle w:val="yTable"/>
              <w:keepNext/>
              <w:jc w:val="center"/>
            </w:pPr>
            <w:r>
              <w:t>5</w:t>
            </w:r>
          </w:p>
        </w:tc>
      </w:tr>
      <w:tr>
        <w:trPr>
          <w:cantSplit/>
        </w:trPr>
        <w:tc>
          <w:tcPr>
            <w:tcW w:w="5103" w:type="dxa"/>
          </w:tcPr>
          <w:p>
            <w:pPr>
              <w:pStyle w:val="yTable"/>
            </w:pPr>
            <w:r>
              <w:t> — transurethral resection of prostate</w:t>
            </w:r>
          </w:p>
        </w:tc>
        <w:tc>
          <w:tcPr>
            <w:tcW w:w="1276" w:type="dxa"/>
          </w:tcPr>
          <w:p>
            <w:pPr>
              <w:pStyle w:val="yTable"/>
              <w:keepNext/>
              <w:jc w:val="center"/>
            </w:pPr>
            <w:r>
              <w:t>7</w:t>
            </w:r>
          </w:p>
        </w:tc>
      </w:tr>
      <w:tr>
        <w:trPr>
          <w:cantSplit/>
        </w:trPr>
        <w:tc>
          <w:tcPr>
            <w:tcW w:w="5103" w:type="dxa"/>
          </w:tcPr>
          <w:p>
            <w:pPr>
              <w:pStyle w:val="yTable"/>
            </w:pPr>
            <w:r>
              <w:t> — post</w:t>
            </w:r>
            <w:r>
              <w:noBreakHyphen/>
              <w:t>transurethral resection bleeding</w:t>
            </w:r>
          </w:p>
        </w:tc>
        <w:tc>
          <w:tcPr>
            <w:tcW w:w="1276" w:type="dxa"/>
          </w:tcPr>
          <w:p>
            <w:pPr>
              <w:pStyle w:val="yTable"/>
              <w:keepNext/>
              <w:jc w:val="center"/>
            </w:pPr>
            <w:r>
              <w:t>7</w:t>
            </w:r>
          </w:p>
        </w:tc>
      </w:tr>
      <w:tr>
        <w:trPr>
          <w:cantSplit/>
        </w:trPr>
        <w:tc>
          <w:tcPr>
            <w:tcW w:w="5103" w:type="dxa"/>
          </w:tcPr>
          <w:p>
            <w:pPr>
              <w:pStyle w:val="yTable"/>
            </w:pPr>
            <w:r>
              <w:t>Anaesthesia for all procedures on male external genitalia unless otherwise specified</w:t>
            </w:r>
          </w:p>
        </w:tc>
        <w:tc>
          <w:tcPr>
            <w:tcW w:w="1276" w:type="dxa"/>
          </w:tcPr>
          <w:p>
            <w:pPr>
              <w:pStyle w:val="yTable"/>
              <w:keepNext/>
              <w:jc w:val="center"/>
            </w:pPr>
            <w:r>
              <w:br/>
              <w:t>3</w:t>
            </w:r>
          </w:p>
        </w:tc>
      </w:tr>
      <w:tr>
        <w:trPr>
          <w:cantSplit/>
        </w:trPr>
        <w:tc>
          <w:tcPr>
            <w:tcW w:w="5103" w:type="dxa"/>
          </w:tcPr>
          <w:p>
            <w:pPr>
              <w:pStyle w:val="yTable"/>
            </w:pPr>
            <w:r>
              <w:t> — undescended testis, unilateral or bilateral</w:t>
            </w:r>
          </w:p>
        </w:tc>
        <w:tc>
          <w:tcPr>
            <w:tcW w:w="1276" w:type="dxa"/>
          </w:tcPr>
          <w:p>
            <w:pPr>
              <w:pStyle w:val="yTable"/>
              <w:keepNext/>
              <w:jc w:val="center"/>
            </w:pPr>
            <w:r>
              <w:t>4</w:t>
            </w:r>
          </w:p>
        </w:tc>
      </w:tr>
      <w:tr>
        <w:trPr>
          <w:cantSplit/>
        </w:trPr>
        <w:tc>
          <w:tcPr>
            <w:tcW w:w="5103" w:type="dxa"/>
          </w:tcPr>
          <w:p>
            <w:pPr>
              <w:pStyle w:val="yTable"/>
            </w:pPr>
            <w:r>
              <w:t>Anaesthesia for procedures on the cord and/or testes unless otherwise specified</w:t>
            </w:r>
          </w:p>
        </w:tc>
        <w:tc>
          <w:tcPr>
            <w:tcW w:w="1276" w:type="dxa"/>
          </w:tcPr>
          <w:p>
            <w:pPr>
              <w:pStyle w:val="yTable"/>
              <w:keepNext/>
              <w:jc w:val="center"/>
            </w:pPr>
            <w:r>
              <w:br/>
              <w:t>4</w:t>
            </w:r>
          </w:p>
        </w:tc>
      </w:tr>
      <w:tr>
        <w:trPr>
          <w:cantSplit/>
        </w:trPr>
        <w:tc>
          <w:tcPr>
            <w:tcW w:w="5103" w:type="dxa"/>
          </w:tcPr>
          <w:p>
            <w:pPr>
              <w:pStyle w:val="yTable"/>
            </w:pPr>
            <w:r>
              <w:t> — radical orchidectomy, inguinal</w:t>
            </w:r>
          </w:p>
        </w:tc>
        <w:tc>
          <w:tcPr>
            <w:tcW w:w="1276" w:type="dxa"/>
          </w:tcPr>
          <w:p>
            <w:pPr>
              <w:pStyle w:val="yTable"/>
              <w:keepNext/>
              <w:jc w:val="center"/>
            </w:pPr>
            <w:r>
              <w:t>4</w:t>
            </w:r>
          </w:p>
        </w:tc>
      </w:tr>
      <w:tr>
        <w:trPr>
          <w:cantSplit/>
        </w:trPr>
        <w:tc>
          <w:tcPr>
            <w:tcW w:w="5103" w:type="dxa"/>
          </w:tcPr>
          <w:p>
            <w:pPr>
              <w:pStyle w:val="yTable"/>
            </w:pPr>
            <w:r>
              <w:t> — radical orchidectomy, abdominal</w:t>
            </w:r>
          </w:p>
        </w:tc>
        <w:tc>
          <w:tcPr>
            <w:tcW w:w="1276" w:type="dxa"/>
          </w:tcPr>
          <w:p>
            <w:pPr>
              <w:pStyle w:val="yTable"/>
              <w:keepNext/>
              <w:jc w:val="center"/>
            </w:pPr>
            <w:r>
              <w:t>6</w:t>
            </w:r>
          </w:p>
        </w:tc>
      </w:tr>
      <w:tr>
        <w:trPr>
          <w:cantSplit/>
        </w:trPr>
        <w:tc>
          <w:tcPr>
            <w:tcW w:w="5103" w:type="dxa"/>
          </w:tcPr>
          <w:p>
            <w:pPr>
              <w:pStyle w:val="yTable"/>
            </w:pPr>
            <w:r>
              <w:t> — orchiopexy, unilateral or bilateral</w:t>
            </w:r>
          </w:p>
        </w:tc>
        <w:tc>
          <w:tcPr>
            <w:tcW w:w="1276" w:type="dxa"/>
          </w:tcPr>
          <w:p>
            <w:pPr>
              <w:pStyle w:val="yTable"/>
              <w:keepNext/>
              <w:jc w:val="center"/>
            </w:pPr>
            <w:r>
              <w:t>4</w:t>
            </w:r>
          </w:p>
        </w:tc>
      </w:tr>
      <w:tr>
        <w:trPr>
          <w:cantSplit/>
        </w:trPr>
        <w:tc>
          <w:tcPr>
            <w:tcW w:w="5103" w:type="dxa"/>
          </w:tcPr>
          <w:p>
            <w:pPr>
              <w:pStyle w:val="yTable"/>
            </w:pPr>
            <w:r>
              <w:t> — complete amputation of the penis</w:t>
            </w:r>
          </w:p>
        </w:tc>
        <w:tc>
          <w:tcPr>
            <w:tcW w:w="1276" w:type="dxa"/>
          </w:tcPr>
          <w:p>
            <w:pPr>
              <w:pStyle w:val="yTable"/>
              <w:keepNext/>
              <w:jc w:val="center"/>
            </w:pPr>
            <w:r>
              <w:t>4</w:t>
            </w:r>
          </w:p>
        </w:tc>
      </w:tr>
      <w:tr>
        <w:trPr>
          <w:cantSplit/>
        </w:trPr>
        <w:tc>
          <w:tcPr>
            <w:tcW w:w="5103" w:type="dxa"/>
          </w:tcPr>
          <w:p>
            <w:pPr>
              <w:pStyle w:val="yTable"/>
              <w:tabs>
                <w:tab w:val="left" w:pos="567"/>
              </w:tabs>
              <w:ind w:left="567" w:hanging="567"/>
            </w:pPr>
            <w:r>
              <w:t> — complete amputation of the penis with bilateral inguinal lymphadenectomy</w:t>
            </w:r>
          </w:p>
        </w:tc>
        <w:tc>
          <w:tcPr>
            <w:tcW w:w="1276" w:type="dxa"/>
          </w:tcPr>
          <w:p>
            <w:pPr>
              <w:pStyle w:val="yTable"/>
              <w:keepNext/>
              <w:jc w:val="center"/>
            </w:pPr>
            <w:r>
              <w:br/>
              <w:t>6</w:t>
            </w:r>
          </w:p>
        </w:tc>
      </w:tr>
      <w:tr>
        <w:trPr>
          <w:cantSplit/>
        </w:trPr>
        <w:tc>
          <w:tcPr>
            <w:tcW w:w="5103" w:type="dxa"/>
          </w:tcPr>
          <w:p>
            <w:pPr>
              <w:pStyle w:val="yTable"/>
              <w:ind w:left="567" w:hanging="567"/>
            </w:pPr>
            <w:r>
              <w:t> — complete amputation of the penis with bilateral inguinal and iliac lymphadenectomy</w:t>
            </w:r>
          </w:p>
        </w:tc>
        <w:tc>
          <w:tcPr>
            <w:tcW w:w="1276" w:type="dxa"/>
          </w:tcPr>
          <w:p>
            <w:pPr>
              <w:pStyle w:val="yTable"/>
              <w:keepNext/>
              <w:jc w:val="center"/>
            </w:pPr>
            <w:r>
              <w:br/>
              <w:t>8</w:t>
            </w:r>
          </w:p>
        </w:tc>
      </w:tr>
      <w:tr>
        <w:trPr>
          <w:cantSplit/>
        </w:trPr>
        <w:tc>
          <w:tcPr>
            <w:tcW w:w="5103" w:type="dxa"/>
          </w:tcPr>
          <w:p>
            <w:pPr>
              <w:pStyle w:val="yTable"/>
            </w:pPr>
            <w:r>
              <w:t> — insertion of penile prosthesis (perianal approach)</w:t>
            </w:r>
          </w:p>
        </w:tc>
        <w:tc>
          <w:tcPr>
            <w:tcW w:w="1276" w:type="dxa"/>
          </w:tcPr>
          <w:p>
            <w:pPr>
              <w:pStyle w:val="yTable"/>
              <w:keepNext/>
              <w:jc w:val="center"/>
            </w:pPr>
            <w:r>
              <w:t>4</w:t>
            </w:r>
          </w:p>
        </w:tc>
      </w:tr>
      <w:tr>
        <w:trPr>
          <w:cantSplit/>
        </w:trPr>
        <w:tc>
          <w:tcPr>
            <w:tcW w:w="5103" w:type="dxa"/>
          </w:tcPr>
          <w:p>
            <w:pPr>
              <w:pStyle w:val="yTable"/>
            </w:pPr>
            <w:r>
              <w:t>Anaesthesia for all vaginal procedures (including biopsy of labia, vagina, cervix or endometrium) unless otherwise specified</w:t>
            </w:r>
          </w:p>
        </w:tc>
        <w:tc>
          <w:tcPr>
            <w:tcW w:w="1276" w:type="dxa"/>
          </w:tcPr>
          <w:p>
            <w:pPr>
              <w:pStyle w:val="yTable"/>
              <w:keepNext/>
              <w:jc w:val="center"/>
            </w:pPr>
            <w:r>
              <w:br/>
            </w:r>
            <w:r>
              <w:br/>
              <w:t>4</w:t>
            </w:r>
          </w:p>
        </w:tc>
      </w:tr>
      <w:tr>
        <w:trPr>
          <w:cantSplit/>
        </w:trPr>
        <w:tc>
          <w:tcPr>
            <w:tcW w:w="5103" w:type="dxa"/>
          </w:tcPr>
          <w:p>
            <w:pPr>
              <w:pStyle w:val="yTable"/>
            </w:pPr>
            <w:r>
              <w:t> — colpotomy, colpectomy, colporrhaphy</w:t>
            </w:r>
          </w:p>
        </w:tc>
        <w:tc>
          <w:tcPr>
            <w:tcW w:w="1276" w:type="dxa"/>
          </w:tcPr>
          <w:p>
            <w:pPr>
              <w:pStyle w:val="yTable"/>
              <w:keepNext/>
              <w:jc w:val="center"/>
            </w:pPr>
            <w:r>
              <w:t>5</w:t>
            </w:r>
          </w:p>
        </w:tc>
      </w:tr>
      <w:tr>
        <w:trPr>
          <w:cantSplit/>
        </w:trPr>
        <w:tc>
          <w:tcPr>
            <w:tcW w:w="5103" w:type="dxa"/>
          </w:tcPr>
          <w:p>
            <w:pPr>
              <w:pStyle w:val="yTable"/>
            </w:pPr>
            <w:r>
              <w:t> — transvaginal assisted reproductive services</w:t>
            </w:r>
          </w:p>
        </w:tc>
        <w:tc>
          <w:tcPr>
            <w:tcW w:w="1276" w:type="dxa"/>
          </w:tcPr>
          <w:p>
            <w:pPr>
              <w:pStyle w:val="yTable"/>
              <w:keepNext/>
              <w:jc w:val="center"/>
            </w:pPr>
            <w:r>
              <w:t>4</w:t>
            </w:r>
          </w:p>
        </w:tc>
      </w:tr>
      <w:tr>
        <w:trPr>
          <w:cantSplit/>
        </w:trPr>
        <w:tc>
          <w:tcPr>
            <w:tcW w:w="5103" w:type="dxa"/>
          </w:tcPr>
          <w:p>
            <w:pPr>
              <w:pStyle w:val="yTable"/>
            </w:pPr>
            <w:r>
              <w:t> — vaginal hysterectomy</w:t>
            </w:r>
          </w:p>
        </w:tc>
        <w:tc>
          <w:tcPr>
            <w:tcW w:w="1276" w:type="dxa"/>
          </w:tcPr>
          <w:p>
            <w:pPr>
              <w:pStyle w:val="yTable"/>
              <w:keepNext/>
              <w:jc w:val="center"/>
            </w:pPr>
            <w:r>
              <w:t>6</w:t>
            </w:r>
          </w:p>
        </w:tc>
      </w:tr>
      <w:tr>
        <w:trPr>
          <w:cantSplit/>
        </w:trPr>
        <w:tc>
          <w:tcPr>
            <w:tcW w:w="5103" w:type="dxa"/>
          </w:tcPr>
          <w:p>
            <w:pPr>
              <w:pStyle w:val="yTable"/>
            </w:pPr>
            <w:r>
              <w:t> — vaginal delivery</w:t>
            </w:r>
          </w:p>
        </w:tc>
        <w:tc>
          <w:tcPr>
            <w:tcW w:w="1276" w:type="dxa"/>
          </w:tcPr>
          <w:p>
            <w:pPr>
              <w:pStyle w:val="yTable"/>
              <w:keepNext/>
              <w:jc w:val="center"/>
            </w:pPr>
            <w:r>
              <w:t>6</w:t>
            </w:r>
          </w:p>
        </w:tc>
      </w:tr>
      <w:tr>
        <w:trPr>
          <w:cantSplit/>
        </w:trPr>
        <w:tc>
          <w:tcPr>
            <w:tcW w:w="5103" w:type="dxa"/>
          </w:tcPr>
          <w:p>
            <w:pPr>
              <w:pStyle w:val="yTable"/>
            </w:pPr>
            <w:r>
              <w:t> — purse string ligation of cervix</w:t>
            </w:r>
          </w:p>
        </w:tc>
        <w:tc>
          <w:tcPr>
            <w:tcW w:w="1276" w:type="dxa"/>
          </w:tcPr>
          <w:p>
            <w:pPr>
              <w:pStyle w:val="yTable"/>
              <w:keepNext/>
              <w:jc w:val="center"/>
            </w:pPr>
            <w:r>
              <w:t>4</w:t>
            </w:r>
          </w:p>
        </w:tc>
      </w:tr>
      <w:tr>
        <w:trPr>
          <w:cantSplit/>
        </w:trPr>
        <w:tc>
          <w:tcPr>
            <w:tcW w:w="5103" w:type="dxa"/>
          </w:tcPr>
          <w:p>
            <w:pPr>
              <w:pStyle w:val="yTable"/>
            </w:pPr>
            <w:r>
              <w:t> — culdoscopy</w:t>
            </w:r>
          </w:p>
        </w:tc>
        <w:tc>
          <w:tcPr>
            <w:tcW w:w="1276" w:type="dxa"/>
          </w:tcPr>
          <w:p>
            <w:pPr>
              <w:pStyle w:val="yTable"/>
              <w:keepNext/>
              <w:jc w:val="center"/>
            </w:pPr>
            <w:r>
              <w:t>5</w:t>
            </w:r>
          </w:p>
        </w:tc>
      </w:tr>
      <w:tr>
        <w:trPr>
          <w:cantSplit/>
        </w:trPr>
        <w:tc>
          <w:tcPr>
            <w:tcW w:w="5103" w:type="dxa"/>
          </w:tcPr>
          <w:p>
            <w:pPr>
              <w:pStyle w:val="yTable"/>
            </w:pPr>
            <w:r>
              <w:t> — hysteroscopy</w:t>
            </w:r>
          </w:p>
        </w:tc>
        <w:tc>
          <w:tcPr>
            <w:tcW w:w="1276" w:type="dxa"/>
          </w:tcPr>
          <w:p>
            <w:pPr>
              <w:pStyle w:val="yTable"/>
              <w:keepNext/>
              <w:jc w:val="center"/>
            </w:pPr>
            <w:r>
              <w:t>4</w:t>
            </w:r>
          </w:p>
        </w:tc>
      </w:tr>
      <w:tr>
        <w:trPr>
          <w:cantSplit/>
        </w:trPr>
        <w:tc>
          <w:tcPr>
            <w:tcW w:w="5103" w:type="dxa"/>
          </w:tcPr>
          <w:p>
            <w:pPr>
              <w:pStyle w:val="yTable"/>
            </w:pPr>
            <w:r>
              <w:t> — correction of inverted uterus</w:t>
            </w:r>
          </w:p>
        </w:tc>
        <w:tc>
          <w:tcPr>
            <w:tcW w:w="1276" w:type="dxa"/>
          </w:tcPr>
          <w:p>
            <w:pPr>
              <w:pStyle w:val="yTable"/>
              <w:keepNext/>
              <w:jc w:val="center"/>
            </w:pPr>
            <w:r>
              <w:t>8</w:t>
            </w:r>
          </w:p>
        </w:tc>
      </w:tr>
      <w:tr>
        <w:trPr>
          <w:cantSplit/>
        </w:trPr>
        <w:tc>
          <w:tcPr>
            <w:tcW w:w="5103" w:type="dxa"/>
          </w:tcPr>
          <w:p>
            <w:pPr>
              <w:pStyle w:val="yTable"/>
            </w:pPr>
            <w:r>
              <w:t>Anaesthesia for evacuation of retained products of conception, as a complication of confinement</w:t>
            </w:r>
          </w:p>
        </w:tc>
        <w:tc>
          <w:tcPr>
            <w:tcW w:w="1276" w:type="dxa"/>
          </w:tcPr>
          <w:p>
            <w:pPr>
              <w:pStyle w:val="yTable"/>
              <w:keepNext/>
              <w:jc w:val="center"/>
            </w:pPr>
            <w:r>
              <w:br/>
              <w:t>4</w:t>
            </w:r>
          </w:p>
        </w:tc>
      </w:tr>
      <w:tr>
        <w:trPr>
          <w:cantSplit/>
        </w:trPr>
        <w:tc>
          <w:tcPr>
            <w:tcW w:w="5103" w:type="dxa"/>
          </w:tcPr>
          <w:p>
            <w:pPr>
              <w:pStyle w:val="yTable"/>
              <w:tabs>
                <w:tab w:val="left" w:pos="567"/>
              </w:tabs>
              <w:ind w:left="567" w:hanging="567"/>
            </w:pPr>
            <w:r>
              <w:t> — for the manual removal of retained placenta or for repair of vaginal or perineal tear following delivery</w:t>
            </w:r>
          </w:p>
        </w:tc>
        <w:tc>
          <w:tcPr>
            <w:tcW w:w="1276" w:type="dxa"/>
          </w:tcPr>
          <w:p>
            <w:pPr>
              <w:pStyle w:val="yTable"/>
              <w:keepNext/>
              <w:jc w:val="center"/>
            </w:pPr>
            <w:r>
              <w:br/>
            </w:r>
            <w:r>
              <w:br/>
              <w:t>5</w:t>
            </w:r>
          </w:p>
        </w:tc>
      </w:tr>
      <w:tr>
        <w:trPr>
          <w:cantSplit/>
        </w:trPr>
        <w:tc>
          <w:tcPr>
            <w:tcW w:w="5103" w:type="dxa"/>
          </w:tcPr>
          <w:p>
            <w:pPr>
              <w:pStyle w:val="yTable"/>
              <w:tabs>
                <w:tab w:val="left" w:pos="567"/>
              </w:tabs>
              <w:ind w:left="567" w:hanging="567"/>
            </w:pPr>
            <w:r>
              <w:t> — for vaginal procedures in the management of post partum haemorrhage</w:t>
            </w:r>
          </w:p>
        </w:tc>
        <w:tc>
          <w:tcPr>
            <w:tcW w:w="1276" w:type="dxa"/>
          </w:tcPr>
          <w:p>
            <w:pPr>
              <w:pStyle w:val="yTable"/>
              <w:keepNext/>
              <w:jc w:val="center"/>
            </w:pPr>
            <w:r>
              <w:br/>
              <w:t>7</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Pelvis — except hip</w:t>
            </w:r>
          </w:p>
        </w:tc>
        <w:tc>
          <w:tcPr>
            <w:tcW w:w="1276" w:type="dxa"/>
          </w:tcPr>
          <w:p>
            <w:pPr>
              <w:pStyle w:val="yTable"/>
              <w:keepNext/>
              <w:jc w:val="center"/>
            </w:pPr>
          </w:p>
        </w:tc>
      </w:tr>
      <w:tr>
        <w:trPr>
          <w:cantSplit/>
        </w:trPr>
        <w:tc>
          <w:tcPr>
            <w:tcW w:w="5103" w:type="dxa"/>
          </w:tcPr>
          <w:p>
            <w:pPr>
              <w:pStyle w:val="yTable"/>
            </w:pPr>
            <w:r>
              <w:t>Anaesthesia for all procedures on the skin and subcutaneous tissue of the pelvic region, except external genitalia</w:t>
            </w:r>
          </w:p>
        </w:tc>
        <w:tc>
          <w:tcPr>
            <w:tcW w:w="1276" w:type="dxa"/>
          </w:tcPr>
          <w:p>
            <w:pPr>
              <w:pStyle w:val="yTable"/>
              <w:keepNext/>
              <w:jc w:val="center"/>
            </w:pPr>
            <w:r>
              <w:br/>
            </w:r>
            <w:r>
              <w:br/>
              <w:t>3</w:t>
            </w:r>
          </w:p>
        </w:tc>
      </w:tr>
      <w:tr>
        <w:trPr>
          <w:cantSplit/>
        </w:trPr>
        <w:tc>
          <w:tcPr>
            <w:tcW w:w="5103" w:type="dxa"/>
          </w:tcPr>
          <w:p>
            <w:pPr>
              <w:pStyle w:val="yTable"/>
            </w:pPr>
            <w:r>
              <w:t>Anaesthesia for percutaneous bone marrow biopsy of the anterior iliac crest</w:t>
            </w:r>
          </w:p>
        </w:tc>
        <w:tc>
          <w:tcPr>
            <w:tcW w:w="1276" w:type="dxa"/>
          </w:tcPr>
          <w:p>
            <w:pPr>
              <w:pStyle w:val="yTable"/>
              <w:keepNext/>
              <w:jc w:val="center"/>
            </w:pPr>
            <w:r>
              <w:br/>
              <w:t>4</w:t>
            </w:r>
          </w:p>
        </w:tc>
      </w:tr>
      <w:tr>
        <w:trPr>
          <w:cantSplit/>
        </w:trPr>
        <w:tc>
          <w:tcPr>
            <w:tcW w:w="5103" w:type="dxa"/>
          </w:tcPr>
          <w:p>
            <w:pPr>
              <w:pStyle w:val="yTable"/>
              <w:tabs>
                <w:tab w:val="left" w:pos="567"/>
              </w:tabs>
              <w:ind w:left="567" w:hanging="567"/>
            </w:pPr>
            <w:r>
              <w:t> — percutaneous bone marrow biopsy of the posterior iliac crest</w:t>
            </w:r>
          </w:p>
        </w:tc>
        <w:tc>
          <w:tcPr>
            <w:tcW w:w="1276" w:type="dxa"/>
          </w:tcPr>
          <w:p>
            <w:pPr>
              <w:pStyle w:val="yTable"/>
              <w:keepNext/>
              <w:jc w:val="center"/>
            </w:pPr>
            <w:r>
              <w:br/>
              <w:t>5</w:t>
            </w:r>
          </w:p>
        </w:tc>
      </w:tr>
      <w:tr>
        <w:trPr>
          <w:cantSplit/>
        </w:trPr>
        <w:tc>
          <w:tcPr>
            <w:tcW w:w="5103" w:type="dxa"/>
          </w:tcPr>
          <w:p>
            <w:pPr>
              <w:pStyle w:val="yTable"/>
            </w:pPr>
            <w:r>
              <w:t>Anaesthesia for percutaneous bone marrow harvesting from the pelvis</w:t>
            </w:r>
          </w:p>
        </w:tc>
        <w:tc>
          <w:tcPr>
            <w:tcW w:w="1276" w:type="dxa"/>
          </w:tcPr>
          <w:p>
            <w:pPr>
              <w:pStyle w:val="yTable"/>
              <w:keepNext/>
              <w:jc w:val="center"/>
            </w:pPr>
            <w:r>
              <w:br/>
              <w:t>6</w:t>
            </w:r>
          </w:p>
        </w:tc>
      </w:tr>
      <w:tr>
        <w:trPr>
          <w:cantSplit/>
        </w:trPr>
        <w:tc>
          <w:tcPr>
            <w:tcW w:w="5103" w:type="dxa"/>
          </w:tcPr>
          <w:p>
            <w:pPr>
              <w:pStyle w:val="yTable"/>
            </w:pPr>
            <w:r>
              <w:t>Anaesthesia for procedures on bony pelvis</w:t>
            </w:r>
          </w:p>
        </w:tc>
        <w:tc>
          <w:tcPr>
            <w:tcW w:w="1276" w:type="dxa"/>
          </w:tcPr>
          <w:p>
            <w:pPr>
              <w:pStyle w:val="yTable"/>
              <w:keepNext/>
              <w:jc w:val="center"/>
            </w:pPr>
            <w:r>
              <w:t>6</w:t>
            </w:r>
          </w:p>
        </w:tc>
      </w:tr>
      <w:tr>
        <w:trPr>
          <w:cantSplit/>
        </w:trPr>
        <w:tc>
          <w:tcPr>
            <w:tcW w:w="5103" w:type="dxa"/>
          </w:tcPr>
          <w:p>
            <w:pPr>
              <w:pStyle w:val="yTable"/>
            </w:pPr>
            <w:r>
              <w:t>Anaesthesia for body cast application or revision</w:t>
            </w:r>
          </w:p>
        </w:tc>
        <w:tc>
          <w:tcPr>
            <w:tcW w:w="1276" w:type="dxa"/>
          </w:tcPr>
          <w:p>
            <w:pPr>
              <w:pStyle w:val="yTable"/>
              <w:keepNext/>
              <w:jc w:val="center"/>
            </w:pPr>
            <w:r>
              <w:t>3</w:t>
            </w:r>
          </w:p>
        </w:tc>
      </w:tr>
      <w:tr>
        <w:trPr>
          <w:cantSplit/>
        </w:trPr>
        <w:tc>
          <w:tcPr>
            <w:tcW w:w="5103" w:type="dxa"/>
          </w:tcPr>
          <w:p>
            <w:pPr>
              <w:pStyle w:val="yTable"/>
            </w:pPr>
            <w:r>
              <w:t>Anaesthesia for interpelviabdominal (hind quarter) amputation</w:t>
            </w:r>
          </w:p>
        </w:tc>
        <w:tc>
          <w:tcPr>
            <w:tcW w:w="1276" w:type="dxa"/>
          </w:tcPr>
          <w:p>
            <w:pPr>
              <w:pStyle w:val="yTable"/>
              <w:keepNext/>
              <w:jc w:val="center"/>
            </w:pPr>
            <w:r>
              <w:br/>
              <w:t>15</w:t>
            </w:r>
          </w:p>
        </w:tc>
      </w:tr>
      <w:tr>
        <w:trPr>
          <w:cantSplit/>
        </w:trPr>
        <w:tc>
          <w:tcPr>
            <w:tcW w:w="5103" w:type="dxa"/>
          </w:tcPr>
          <w:p>
            <w:pPr>
              <w:pStyle w:val="yTable"/>
            </w:pPr>
            <w:r>
              <w:t>Anaesthesia for radical procedures for tumour of pelvis, except hind quarter amputation</w:t>
            </w:r>
          </w:p>
        </w:tc>
        <w:tc>
          <w:tcPr>
            <w:tcW w:w="1276" w:type="dxa"/>
          </w:tcPr>
          <w:p>
            <w:pPr>
              <w:pStyle w:val="yTable"/>
              <w:keepNext/>
              <w:jc w:val="center"/>
            </w:pPr>
            <w:r>
              <w:br/>
              <w:t>10</w:t>
            </w:r>
          </w:p>
        </w:tc>
      </w:tr>
      <w:tr>
        <w:trPr>
          <w:cantSplit/>
        </w:trPr>
        <w:tc>
          <w:tcPr>
            <w:tcW w:w="5103" w:type="dxa"/>
          </w:tcPr>
          <w:p>
            <w:pPr>
              <w:pStyle w:val="yTable"/>
            </w:pPr>
            <w:r>
              <w:t>Anaesthesia for closed procedures involving symphysis pubis or sacroiliac joint</w:t>
            </w:r>
          </w:p>
        </w:tc>
        <w:tc>
          <w:tcPr>
            <w:tcW w:w="1276" w:type="dxa"/>
          </w:tcPr>
          <w:p>
            <w:pPr>
              <w:pStyle w:val="yTable"/>
              <w:keepNext/>
              <w:jc w:val="center"/>
            </w:pPr>
            <w:r>
              <w:br/>
              <w:t>4</w:t>
            </w:r>
          </w:p>
        </w:tc>
      </w:tr>
      <w:tr>
        <w:trPr>
          <w:cantSplit/>
        </w:trPr>
        <w:tc>
          <w:tcPr>
            <w:tcW w:w="5103" w:type="dxa"/>
          </w:tcPr>
          <w:p>
            <w:pPr>
              <w:pStyle w:val="yTable"/>
            </w:pPr>
            <w:r>
              <w:t>Anaesthesia for open procedures involving symphysis pubis or sacroiliac joint</w:t>
            </w:r>
          </w:p>
        </w:tc>
        <w:tc>
          <w:tcPr>
            <w:tcW w:w="1276" w:type="dxa"/>
          </w:tcPr>
          <w:p>
            <w:pPr>
              <w:pStyle w:val="yTable"/>
              <w:keepNext/>
              <w:jc w:val="center"/>
            </w:pPr>
            <w:r>
              <w:b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Upper leg — except knee</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upper leg</w:t>
            </w:r>
          </w:p>
        </w:tc>
        <w:tc>
          <w:tcPr>
            <w:tcW w:w="1276" w:type="dxa"/>
          </w:tcPr>
          <w:p>
            <w:pPr>
              <w:pStyle w:val="yTable"/>
              <w:keepNext/>
              <w:jc w:val="center"/>
            </w:pPr>
            <w:r>
              <w:br/>
              <w:t>3</w:t>
            </w:r>
          </w:p>
        </w:tc>
      </w:tr>
      <w:tr>
        <w:trPr>
          <w:cantSplit/>
        </w:trPr>
        <w:tc>
          <w:tcPr>
            <w:tcW w:w="5103" w:type="dxa"/>
          </w:tcPr>
          <w:p>
            <w:pPr>
              <w:pStyle w:val="yTable"/>
              <w:ind w:left="567" w:hanging="567"/>
            </w:pPr>
            <w:r>
              <w:t> — on the nerves, muscles, tendons, fascia, or bursae of the upper leg</w:t>
            </w:r>
          </w:p>
        </w:tc>
        <w:tc>
          <w:tcPr>
            <w:tcW w:w="1276" w:type="dxa"/>
          </w:tcPr>
          <w:p>
            <w:pPr>
              <w:pStyle w:val="yTable"/>
              <w:keepNext/>
              <w:jc w:val="center"/>
            </w:pPr>
            <w:r>
              <w:br/>
              <w:t>4</w:t>
            </w:r>
          </w:p>
        </w:tc>
      </w:tr>
      <w:tr>
        <w:trPr>
          <w:cantSplit/>
        </w:trPr>
        <w:tc>
          <w:tcPr>
            <w:tcW w:w="5103" w:type="dxa"/>
          </w:tcPr>
          <w:p>
            <w:pPr>
              <w:pStyle w:val="yTable"/>
            </w:pPr>
            <w:r>
              <w:t>Anaesthesia for all closed procedures involving hip joint</w:t>
            </w:r>
          </w:p>
        </w:tc>
        <w:tc>
          <w:tcPr>
            <w:tcW w:w="1276" w:type="dxa"/>
          </w:tcPr>
          <w:p>
            <w:pPr>
              <w:pStyle w:val="yTable"/>
              <w:keepNext/>
              <w:jc w:val="center"/>
            </w:pPr>
            <w:r>
              <w:br/>
              <w:t>4</w:t>
            </w:r>
          </w:p>
        </w:tc>
      </w:tr>
      <w:tr>
        <w:trPr>
          <w:cantSplit/>
        </w:trPr>
        <w:tc>
          <w:tcPr>
            <w:tcW w:w="5103" w:type="dxa"/>
          </w:tcPr>
          <w:p>
            <w:pPr>
              <w:pStyle w:val="yTable"/>
            </w:pPr>
            <w:r>
              <w:t>Anaesthesia for arthroscopic procedures of hip joint</w:t>
            </w:r>
          </w:p>
        </w:tc>
        <w:tc>
          <w:tcPr>
            <w:tcW w:w="1276" w:type="dxa"/>
          </w:tcPr>
          <w:p>
            <w:pPr>
              <w:pStyle w:val="yTable"/>
              <w:keepNext/>
              <w:jc w:val="center"/>
            </w:pPr>
            <w:r>
              <w:t>4</w:t>
            </w:r>
          </w:p>
        </w:tc>
      </w:tr>
      <w:tr>
        <w:trPr>
          <w:cantSplit/>
        </w:trPr>
        <w:tc>
          <w:tcPr>
            <w:tcW w:w="5103" w:type="dxa"/>
          </w:tcPr>
          <w:p>
            <w:pPr>
              <w:pStyle w:val="yTable"/>
            </w:pPr>
            <w:r>
              <w:t>Anaesthesia for all open procedures involving hip joint unless otherwise specified</w:t>
            </w:r>
          </w:p>
        </w:tc>
        <w:tc>
          <w:tcPr>
            <w:tcW w:w="1276" w:type="dxa"/>
          </w:tcPr>
          <w:p>
            <w:pPr>
              <w:pStyle w:val="yTable"/>
              <w:keepNext/>
              <w:jc w:val="center"/>
            </w:pPr>
            <w:r>
              <w:br/>
              <w:t>6</w:t>
            </w:r>
          </w:p>
        </w:tc>
      </w:tr>
      <w:tr>
        <w:trPr>
          <w:cantSplit/>
        </w:trPr>
        <w:tc>
          <w:tcPr>
            <w:tcW w:w="5103" w:type="dxa"/>
          </w:tcPr>
          <w:p>
            <w:pPr>
              <w:pStyle w:val="yTable"/>
            </w:pPr>
            <w:r>
              <w:t> — hip disarticulation</w:t>
            </w:r>
          </w:p>
        </w:tc>
        <w:tc>
          <w:tcPr>
            <w:tcW w:w="1276" w:type="dxa"/>
          </w:tcPr>
          <w:p>
            <w:pPr>
              <w:pStyle w:val="yTable"/>
              <w:keepNext/>
              <w:jc w:val="center"/>
            </w:pPr>
            <w:r>
              <w:t>10</w:t>
            </w:r>
          </w:p>
        </w:tc>
      </w:tr>
      <w:tr>
        <w:trPr>
          <w:cantSplit/>
        </w:trPr>
        <w:tc>
          <w:tcPr>
            <w:tcW w:w="5103" w:type="dxa"/>
          </w:tcPr>
          <w:p>
            <w:pPr>
              <w:pStyle w:val="yTable"/>
            </w:pPr>
            <w:r>
              <w:t> — total hip replacement or revision</w:t>
            </w:r>
          </w:p>
        </w:tc>
        <w:tc>
          <w:tcPr>
            <w:tcW w:w="1276" w:type="dxa"/>
          </w:tcPr>
          <w:p>
            <w:pPr>
              <w:pStyle w:val="yTable"/>
              <w:keepNext/>
              <w:jc w:val="center"/>
            </w:pPr>
            <w:r>
              <w:t>10</w:t>
            </w:r>
          </w:p>
        </w:tc>
      </w:tr>
      <w:tr>
        <w:trPr>
          <w:cantSplit/>
        </w:trPr>
        <w:tc>
          <w:tcPr>
            <w:tcW w:w="5103" w:type="dxa"/>
          </w:tcPr>
          <w:p>
            <w:pPr>
              <w:pStyle w:val="yTable"/>
            </w:pPr>
            <w:r>
              <w:t>Anaesthesia for bilateral total hip replacement</w:t>
            </w:r>
          </w:p>
        </w:tc>
        <w:tc>
          <w:tcPr>
            <w:tcW w:w="1276" w:type="dxa"/>
          </w:tcPr>
          <w:p>
            <w:pPr>
              <w:pStyle w:val="yTable"/>
              <w:keepNext/>
              <w:jc w:val="center"/>
            </w:pPr>
            <w:r>
              <w:t>14</w:t>
            </w:r>
          </w:p>
        </w:tc>
      </w:tr>
      <w:tr>
        <w:trPr>
          <w:cantSplit/>
        </w:trPr>
        <w:tc>
          <w:tcPr>
            <w:tcW w:w="5103" w:type="dxa"/>
          </w:tcPr>
          <w:p>
            <w:pPr>
              <w:pStyle w:val="yTable"/>
            </w:pPr>
            <w:r>
              <w:t>Anaesthesia for all closed procedures involving upper 2/3 of femur</w:t>
            </w:r>
          </w:p>
        </w:tc>
        <w:tc>
          <w:tcPr>
            <w:tcW w:w="1276" w:type="dxa"/>
          </w:tcPr>
          <w:p>
            <w:pPr>
              <w:pStyle w:val="yTable"/>
              <w:keepNext/>
              <w:jc w:val="center"/>
            </w:pPr>
            <w:r>
              <w:br/>
              <w:t>4</w:t>
            </w:r>
          </w:p>
        </w:tc>
      </w:tr>
      <w:tr>
        <w:trPr>
          <w:cantSplit/>
        </w:trPr>
        <w:tc>
          <w:tcPr>
            <w:tcW w:w="5103" w:type="dxa"/>
          </w:tcPr>
          <w:p>
            <w:pPr>
              <w:pStyle w:val="yTable"/>
            </w:pPr>
            <w:r>
              <w:t>Anaesthesia for all open procedures involving upper 2/3 of femur unless otherwise specified</w:t>
            </w:r>
          </w:p>
        </w:tc>
        <w:tc>
          <w:tcPr>
            <w:tcW w:w="1276" w:type="dxa"/>
          </w:tcPr>
          <w:p>
            <w:pPr>
              <w:pStyle w:val="yTable"/>
              <w:keepNext/>
              <w:jc w:val="center"/>
            </w:pPr>
            <w:r>
              <w:br/>
              <w:t>6</w:t>
            </w:r>
          </w:p>
        </w:tc>
      </w:tr>
      <w:tr>
        <w:trPr>
          <w:cantSplit/>
        </w:trPr>
        <w:tc>
          <w:tcPr>
            <w:tcW w:w="5103" w:type="dxa"/>
          </w:tcPr>
          <w:p>
            <w:pPr>
              <w:pStyle w:val="yTable"/>
            </w:pPr>
            <w:r>
              <w:t> — amputation</w:t>
            </w:r>
          </w:p>
        </w:tc>
        <w:tc>
          <w:tcPr>
            <w:tcW w:w="1276" w:type="dxa"/>
          </w:tcPr>
          <w:p>
            <w:pPr>
              <w:pStyle w:val="yTable"/>
              <w:keepNext/>
              <w:jc w:val="center"/>
            </w:pPr>
            <w:r>
              <w:t>5</w:t>
            </w:r>
          </w:p>
        </w:tc>
      </w:tr>
      <w:tr>
        <w:trPr>
          <w:cantSplit/>
        </w:trPr>
        <w:tc>
          <w:tcPr>
            <w:tcW w:w="5103" w:type="dxa"/>
          </w:tcPr>
          <w:p>
            <w:pPr>
              <w:pStyle w:val="yTable"/>
            </w:pPr>
            <w:r>
              <w:t> — radical resection</w:t>
            </w:r>
          </w:p>
        </w:tc>
        <w:tc>
          <w:tcPr>
            <w:tcW w:w="1276" w:type="dxa"/>
          </w:tcPr>
          <w:p>
            <w:pPr>
              <w:pStyle w:val="yTable"/>
              <w:keepNext/>
              <w:jc w:val="center"/>
            </w:pPr>
            <w:r>
              <w:t>8</w:t>
            </w:r>
          </w:p>
        </w:tc>
      </w:tr>
      <w:tr>
        <w:trPr>
          <w:cantSplit/>
        </w:trPr>
        <w:tc>
          <w:tcPr>
            <w:tcW w:w="5103" w:type="dxa"/>
          </w:tcPr>
          <w:p>
            <w:pPr>
              <w:pStyle w:val="yTable"/>
            </w:pPr>
            <w:r>
              <w:t>Anaesthesia for all procedures involving veins of the upper leg including exploration</w:t>
            </w:r>
          </w:p>
        </w:tc>
        <w:tc>
          <w:tcPr>
            <w:tcW w:w="1276" w:type="dxa"/>
          </w:tcPr>
          <w:p>
            <w:pPr>
              <w:pStyle w:val="yTable"/>
              <w:keepNext/>
              <w:jc w:val="center"/>
            </w:pPr>
            <w:r>
              <w:br/>
              <w:t>4</w:t>
            </w:r>
          </w:p>
        </w:tc>
      </w:tr>
      <w:tr>
        <w:trPr>
          <w:cantSplit/>
        </w:trPr>
        <w:tc>
          <w:tcPr>
            <w:tcW w:w="5103" w:type="dxa"/>
          </w:tcPr>
          <w:p>
            <w:pPr>
              <w:pStyle w:val="yTable"/>
            </w:pPr>
            <w:r>
              <w:t>Anaesthesia for all procedures involving arteries of the upper leg, including bypass graft, unless otherwise specified</w:t>
            </w:r>
          </w:p>
        </w:tc>
        <w:tc>
          <w:tcPr>
            <w:tcW w:w="1276" w:type="dxa"/>
          </w:tcPr>
          <w:p>
            <w:pPr>
              <w:pStyle w:val="yTable"/>
              <w:keepNext/>
              <w:jc w:val="center"/>
            </w:pPr>
            <w:r>
              <w:br/>
            </w:r>
            <w:r>
              <w:br/>
              <w:t>8</w:t>
            </w:r>
          </w:p>
        </w:tc>
      </w:tr>
      <w:tr>
        <w:trPr>
          <w:cantSplit/>
        </w:trPr>
        <w:tc>
          <w:tcPr>
            <w:tcW w:w="5103" w:type="dxa"/>
          </w:tcPr>
          <w:p>
            <w:pPr>
              <w:pStyle w:val="yTable"/>
            </w:pPr>
            <w:r>
              <w:t> — femoral artery ligation</w:t>
            </w:r>
          </w:p>
        </w:tc>
        <w:tc>
          <w:tcPr>
            <w:tcW w:w="1276" w:type="dxa"/>
          </w:tcPr>
          <w:p>
            <w:pPr>
              <w:pStyle w:val="yTable"/>
              <w:keepNext/>
              <w:jc w:val="center"/>
            </w:pPr>
            <w:r>
              <w:t>4</w:t>
            </w:r>
          </w:p>
        </w:tc>
      </w:tr>
      <w:tr>
        <w:trPr>
          <w:cantSplit/>
        </w:trPr>
        <w:tc>
          <w:tcPr>
            <w:tcW w:w="5103" w:type="dxa"/>
          </w:tcPr>
          <w:p>
            <w:pPr>
              <w:pStyle w:val="yTable"/>
            </w:pPr>
            <w:r>
              <w:t> — femoral artery embolectomy</w:t>
            </w:r>
          </w:p>
        </w:tc>
        <w:tc>
          <w:tcPr>
            <w:tcW w:w="1276" w:type="dxa"/>
          </w:tcPr>
          <w:p>
            <w:pPr>
              <w:pStyle w:val="yTable"/>
              <w:keepNext/>
              <w:jc w:val="center"/>
            </w:pPr>
            <w:r>
              <w:t>6</w:t>
            </w:r>
          </w:p>
        </w:tc>
      </w:tr>
      <w:tr>
        <w:trPr>
          <w:cantSplit/>
        </w:trPr>
        <w:tc>
          <w:tcPr>
            <w:tcW w:w="5103" w:type="dxa"/>
          </w:tcPr>
          <w:p>
            <w:pPr>
              <w:pStyle w:val="yTable"/>
            </w:pPr>
            <w:r>
              <w:t> — for microsurgical reimplantation of upper leg</w:t>
            </w:r>
          </w:p>
        </w:tc>
        <w:tc>
          <w:tcPr>
            <w:tcW w:w="1276" w:type="dxa"/>
          </w:tcPr>
          <w:p>
            <w:pPr>
              <w:pStyle w:val="yTable"/>
              <w:keepNext/>
              <w:jc w:val="center"/>
            </w:pPr>
            <w:r>
              <w:t>15</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Knee and popliteal area</w:t>
            </w:r>
          </w:p>
        </w:tc>
        <w:tc>
          <w:tcPr>
            <w:tcW w:w="1276" w:type="dxa"/>
          </w:tcPr>
          <w:p>
            <w:pPr>
              <w:pStyle w:val="yTable"/>
              <w:keepNext/>
              <w:jc w:val="center"/>
            </w:pPr>
          </w:p>
        </w:tc>
      </w:tr>
      <w:tr>
        <w:trPr>
          <w:cantSplit/>
        </w:trPr>
        <w:tc>
          <w:tcPr>
            <w:tcW w:w="5103" w:type="dxa"/>
          </w:tcPr>
          <w:p>
            <w:pPr>
              <w:pStyle w:val="yTable"/>
            </w:pPr>
            <w:r>
              <w:t>Anaesthesia for all procedures on the skin and subcutaneous tissue of the knee and/or popliteal area</w:t>
            </w:r>
          </w:p>
        </w:tc>
        <w:tc>
          <w:tcPr>
            <w:tcW w:w="1276" w:type="dxa"/>
          </w:tcPr>
          <w:p>
            <w:pPr>
              <w:pStyle w:val="yTable"/>
              <w:keepNext/>
              <w:jc w:val="center"/>
            </w:pPr>
            <w:r>
              <w:br/>
              <w:t>3</w:t>
            </w:r>
          </w:p>
        </w:tc>
      </w:tr>
      <w:tr>
        <w:trPr>
          <w:cantSplit/>
        </w:trPr>
        <w:tc>
          <w:tcPr>
            <w:tcW w:w="5103" w:type="dxa"/>
          </w:tcPr>
          <w:p>
            <w:pPr>
              <w:pStyle w:val="yTable"/>
            </w:pPr>
            <w:r>
              <w:t>Anaesthesia for all procedures on nerves, muscles, tendons, fascia and bursae of the knee and/or popliteal area</w:t>
            </w:r>
          </w:p>
        </w:tc>
        <w:tc>
          <w:tcPr>
            <w:tcW w:w="1276" w:type="dxa"/>
          </w:tcPr>
          <w:p>
            <w:pPr>
              <w:pStyle w:val="yTable"/>
              <w:keepNext/>
              <w:jc w:val="center"/>
            </w:pPr>
            <w:r>
              <w:br/>
            </w:r>
            <w:r>
              <w:br/>
              <w:t>4</w:t>
            </w:r>
          </w:p>
        </w:tc>
      </w:tr>
      <w:tr>
        <w:trPr>
          <w:cantSplit/>
        </w:trPr>
        <w:tc>
          <w:tcPr>
            <w:tcW w:w="5103" w:type="dxa"/>
          </w:tcPr>
          <w:p>
            <w:pPr>
              <w:pStyle w:val="yTable"/>
            </w:pPr>
            <w:r>
              <w:t>Anaesthesia for all closed procedures on the lower 1/3 of femur</w:t>
            </w:r>
          </w:p>
        </w:tc>
        <w:tc>
          <w:tcPr>
            <w:tcW w:w="1276" w:type="dxa"/>
          </w:tcPr>
          <w:p>
            <w:pPr>
              <w:pStyle w:val="yTable"/>
              <w:keepNext/>
              <w:jc w:val="center"/>
            </w:pPr>
            <w:r>
              <w:br/>
              <w:t>4</w:t>
            </w:r>
          </w:p>
        </w:tc>
      </w:tr>
      <w:tr>
        <w:trPr>
          <w:cantSplit/>
        </w:trPr>
        <w:tc>
          <w:tcPr>
            <w:tcW w:w="5103" w:type="dxa"/>
          </w:tcPr>
          <w:p>
            <w:pPr>
              <w:pStyle w:val="yTable"/>
            </w:pPr>
            <w:r>
              <w:t>Anaesthesia for all open procedures on the lower 1/3 of femur</w:t>
            </w:r>
          </w:p>
        </w:tc>
        <w:tc>
          <w:tcPr>
            <w:tcW w:w="1276" w:type="dxa"/>
          </w:tcPr>
          <w:p>
            <w:pPr>
              <w:pStyle w:val="yTable"/>
              <w:keepNext/>
              <w:jc w:val="center"/>
            </w:pPr>
            <w:r>
              <w:br/>
              <w:t>5</w:t>
            </w:r>
          </w:p>
        </w:tc>
      </w:tr>
      <w:tr>
        <w:trPr>
          <w:cantSplit/>
        </w:trPr>
        <w:tc>
          <w:tcPr>
            <w:tcW w:w="5103" w:type="dxa"/>
          </w:tcPr>
          <w:p>
            <w:pPr>
              <w:pStyle w:val="yTable"/>
            </w:pPr>
            <w:r>
              <w:t>Anaesthesia for all closed procedures on the knee joint</w:t>
            </w:r>
          </w:p>
        </w:tc>
        <w:tc>
          <w:tcPr>
            <w:tcW w:w="1276" w:type="dxa"/>
          </w:tcPr>
          <w:p>
            <w:pPr>
              <w:pStyle w:val="yTable"/>
              <w:keepNext/>
              <w:jc w:val="center"/>
            </w:pPr>
            <w:r>
              <w:t>3</w:t>
            </w:r>
          </w:p>
        </w:tc>
      </w:tr>
      <w:tr>
        <w:trPr>
          <w:cantSplit/>
        </w:trPr>
        <w:tc>
          <w:tcPr>
            <w:tcW w:w="5103" w:type="dxa"/>
          </w:tcPr>
          <w:p>
            <w:pPr>
              <w:pStyle w:val="yTable"/>
            </w:pPr>
            <w:r>
              <w:t>Anaesthesia for arthroscopic procedures of the knee joint</w:t>
            </w:r>
          </w:p>
        </w:tc>
        <w:tc>
          <w:tcPr>
            <w:tcW w:w="1276" w:type="dxa"/>
          </w:tcPr>
          <w:p>
            <w:pPr>
              <w:pStyle w:val="yTable"/>
              <w:keepNext/>
              <w:jc w:val="center"/>
            </w:pPr>
            <w:r>
              <w:br/>
              <w:t>4</w:t>
            </w:r>
          </w:p>
        </w:tc>
      </w:tr>
      <w:tr>
        <w:trPr>
          <w:cantSplit/>
        </w:trPr>
        <w:tc>
          <w:tcPr>
            <w:tcW w:w="5103" w:type="dxa"/>
          </w:tcPr>
          <w:p>
            <w:pPr>
              <w:pStyle w:val="yTable"/>
            </w:pPr>
            <w:r>
              <w:t>Anaesthesia for all closed procedures on upper ends of the tibia and fibula, and/or patella</w:t>
            </w:r>
          </w:p>
        </w:tc>
        <w:tc>
          <w:tcPr>
            <w:tcW w:w="1276" w:type="dxa"/>
          </w:tcPr>
          <w:p>
            <w:pPr>
              <w:pStyle w:val="yTable"/>
              <w:keepNext/>
              <w:jc w:val="center"/>
            </w:pPr>
            <w:r>
              <w:br/>
              <w:t>3</w:t>
            </w:r>
          </w:p>
        </w:tc>
      </w:tr>
      <w:tr>
        <w:trPr>
          <w:cantSplit/>
        </w:trPr>
        <w:tc>
          <w:tcPr>
            <w:tcW w:w="5103" w:type="dxa"/>
          </w:tcPr>
          <w:p>
            <w:pPr>
              <w:pStyle w:val="yTable"/>
            </w:pPr>
            <w:r>
              <w:t>Anaesthesia for all open procedures on upper ends of the tibia and fibula, and/or patella</w:t>
            </w:r>
          </w:p>
        </w:tc>
        <w:tc>
          <w:tcPr>
            <w:tcW w:w="1276" w:type="dxa"/>
          </w:tcPr>
          <w:p>
            <w:pPr>
              <w:pStyle w:val="yTable"/>
              <w:keepNext/>
              <w:jc w:val="center"/>
            </w:pPr>
            <w:r>
              <w:br/>
              <w:t>4</w:t>
            </w:r>
          </w:p>
        </w:tc>
      </w:tr>
      <w:tr>
        <w:trPr>
          <w:cantSplit/>
        </w:trPr>
        <w:tc>
          <w:tcPr>
            <w:tcW w:w="5103" w:type="dxa"/>
          </w:tcPr>
          <w:p>
            <w:pPr>
              <w:pStyle w:val="yTable"/>
            </w:pPr>
            <w:r>
              <w:t>Anaesthesia for open procedures on the knee joint unless otherwise specified</w:t>
            </w:r>
          </w:p>
        </w:tc>
        <w:tc>
          <w:tcPr>
            <w:tcW w:w="1276" w:type="dxa"/>
          </w:tcPr>
          <w:p>
            <w:pPr>
              <w:pStyle w:val="yTable"/>
              <w:keepNext/>
              <w:jc w:val="center"/>
            </w:pPr>
            <w:r>
              <w:br/>
              <w:t>4</w:t>
            </w:r>
          </w:p>
        </w:tc>
      </w:tr>
      <w:tr>
        <w:trPr>
          <w:cantSplit/>
        </w:trPr>
        <w:tc>
          <w:tcPr>
            <w:tcW w:w="5103" w:type="dxa"/>
          </w:tcPr>
          <w:p>
            <w:pPr>
              <w:pStyle w:val="yTable"/>
            </w:pPr>
            <w:r>
              <w:t> — knee replacement</w:t>
            </w:r>
          </w:p>
        </w:tc>
        <w:tc>
          <w:tcPr>
            <w:tcW w:w="1276" w:type="dxa"/>
          </w:tcPr>
          <w:p>
            <w:pPr>
              <w:pStyle w:val="yTable"/>
              <w:keepNext/>
              <w:jc w:val="center"/>
            </w:pPr>
            <w:r>
              <w:t>7</w:t>
            </w:r>
          </w:p>
        </w:tc>
      </w:tr>
      <w:tr>
        <w:trPr>
          <w:cantSplit/>
        </w:trPr>
        <w:tc>
          <w:tcPr>
            <w:tcW w:w="5103" w:type="dxa"/>
          </w:tcPr>
          <w:p>
            <w:pPr>
              <w:pStyle w:val="yTable"/>
            </w:pPr>
            <w:r>
              <w:t> — bilateral knee replacement</w:t>
            </w:r>
          </w:p>
        </w:tc>
        <w:tc>
          <w:tcPr>
            <w:tcW w:w="1276" w:type="dxa"/>
          </w:tcPr>
          <w:p>
            <w:pPr>
              <w:pStyle w:val="yTable"/>
              <w:keepNext/>
              <w:jc w:val="center"/>
            </w:pPr>
            <w:r>
              <w:t>10</w:t>
            </w:r>
          </w:p>
        </w:tc>
      </w:tr>
      <w:tr>
        <w:trPr>
          <w:cantSplit/>
        </w:trPr>
        <w:tc>
          <w:tcPr>
            <w:tcW w:w="5103" w:type="dxa"/>
          </w:tcPr>
          <w:p>
            <w:pPr>
              <w:pStyle w:val="yTable"/>
            </w:pPr>
            <w:r>
              <w:t> — disarticulation of knee</w:t>
            </w:r>
          </w:p>
        </w:tc>
        <w:tc>
          <w:tcPr>
            <w:tcW w:w="1276" w:type="dxa"/>
          </w:tcPr>
          <w:p>
            <w:pPr>
              <w:pStyle w:val="yTable"/>
              <w:keepNext/>
              <w:jc w:val="center"/>
            </w:pPr>
            <w:r>
              <w:t>5</w:t>
            </w:r>
          </w:p>
        </w:tc>
      </w:tr>
      <w:tr>
        <w:trPr>
          <w:cantSplit/>
        </w:trPr>
        <w:tc>
          <w:tcPr>
            <w:tcW w:w="5103" w:type="dxa"/>
          </w:tcPr>
          <w:p>
            <w:pPr>
              <w:pStyle w:val="yTable"/>
            </w:pPr>
            <w:r>
              <w:t>Anaesthesia for all cast applications, removal, or repair involving the knee joint</w:t>
            </w:r>
          </w:p>
        </w:tc>
        <w:tc>
          <w:tcPr>
            <w:tcW w:w="1276" w:type="dxa"/>
          </w:tcPr>
          <w:p>
            <w:pPr>
              <w:pStyle w:val="yTable"/>
              <w:keepNext/>
              <w:jc w:val="center"/>
            </w:pPr>
            <w:r>
              <w:br/>
              <w:t>3</w:t>
            </w:r>
          </w:p>
        </w:tc>
      </w:tr>
      <w:tr>
        <w:trPr>
          <w:cantSplit/>
        </w:trPr>
        <w:tc>
          <w:tcPr>
            <w:tcW w:w="5103" w:type="dxa"/>
          </w:tcPr>
          <w:p>
            <w:pPr>
              <w:pStyle w:val="yTable"/>
            </w:pPr>
            <w:r>
              <w:t>Anaesthesia for all procedures on the veins of the knee and popliteal area unless otherwise specified</w:t>
            </w:r>
          </w:p>
        </w:tc>
        <w:tc>
          <w:tcPr>
            <w:tcW w:w="1276" w:type="dxa"/>
          </w:tcPr>
          <w:p>
            <w:pPr>
              <w:pStyle w:val="yTable"/>
              <w:keepNext/>
              <w:jc w:val="center"/>
            </w:pPr>
            <w:r>
              <w:br/>
              <w:t>4</w:t>
            </w:r>
          </w:p>
        </w:tc>
      </w:tr>
      <w:tr>
        <w:trPr>
          <w:cantSplit/>
        </w:trPr>
        <w:tc>
          <w:tcPr>
            <w:tcW w:w="5103" w:type="dxa"/>
          </w:tcPr>
          <w:p>
            <w:pPr>
              <w:pStyle w:val="yTable"/>
            </w:pPr>
            <w:r>
              <w:t> — repair of arteriovenous fistula</w:t>
            </w:r>
          </w:p>
        </w:tc>
        <w:tc>
          <w:tcPr>
            <w:tcW w:w="1276" w:type="dxa"/>
          </w:tcPr>
          <w:p>
            <w:pPr>
              <w:pStyle w:val="yTable"/>
              <w:keepNext/>
              <w:jc w:val="center"/>
            </w:pPr>
            <w:r>
              <w:t>5</w:t>
            </w:r>
          </w:p>
        </w:tc>
      </w:tr>
      <w:tr>
        <w:trPr>
          <w:cantSplit/>
        </w:trPr>
        <w:tc>
          <w:tcPr>
            <w:tcW w:w="5103" w:type="dxa"/>
          </w:tcPr>
          <w:p>
            <w:pPr>
              <w:pStyle w:val="yTable"/>
            </w:pPr>
            <w:r>
              <w:t>Anaesthesia for all procedures on the arteries of the knee and popliteal area unless otherwise specified</w:t>
            </w:r>
          </w:p>
        </w:tc>
        <w:tc>
          <w:tcPr>
            <w:tcW w:w="1276" w:type="dxa"/>
          </w:tcPr>
          <w:p>
            <w:pPr>
              <w:pStyle w:val="yTable"/>
              <w:keepNext/>
              <w:jc w:val="center"/>
            </w:pPr>
            <w:r>
              <w:b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Lower leg — below knee (</w:t>
            </w:r>
            <w:r>
              <w:rPr>
                <w:b/>
                <w:i/>
              </w:rPr>
              <w:t>includes ankle and foot</w:t>
            </w:r>
            <w:r>
              <w:rPr>
                <w:b/>
              </w:rPr>
              <w:t>)</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lower leg, ankle and foot</w:t>
            </w:r>
          </w:p>
        </w:tc>
        <w:tc>
          <w:tcPr>
            <w:tcW w:w="1276" w:type="dxa"/>
          </w:tcPr>
          <w:p>
            <w:pPr>
              <w:pStyle w:val="yTable"/>
              <w:keepNext/>
              <w:jc w:val="center"/>
            </w:pPr>
            <w:r>
              <w:br/>
              <w:t>3</w:t>
            </w:r>
          </w:p>
        </w:tc>
      </w:tr>
      <w:tr>
        <w:trPr>
          <w:cantSplit/>
        </w:trPr>
        <w:tc>
          <w:tcPr>
            <w:tcW w:w="5103" w:type="dxa"/>
          </w:tcPr>
          <w:p>
            <w:pPr>
              <w:pStyle w:val="yTable"/>
            </w:pPr>
            <w:r>
              <w:t>Anaesthesia for all procedures on the nerves, muscles, tendons and fascia of the lower leg, ankle, and foot unless otherwise specified</w:t>
            </w:r>
          </w:p>
        </w:tc>
        <w:tc>
          <w:tcPr>
            <w:tcW w:w="1276" w:type="dxa"/>
          </w:tcPr>
          <w:p>
            <w:pPr>
              <w:pStyle w:val="yTable"/>
              <w:keepNext/>
              <w:jc w:val="center"/>
            </w:pPr>
            <w:r>
              <w:br/>
            </w:r>
            <w:r>
              <w:br/>
              <w:t>4</w:t>
            </w:r>
          </w:p>
        </w:tc>
      </w:tr>
      <w:tr>
        <w:trPr>
          <w:cantSplit/>
        </w:trPr>
        <w:tc>
          <w:tcPr>
            <w:tcW w:w="5103" w:type="dxa"/>
          </w:tcPr>
          <w:p>
            <w:pPr>
              <w:pStyle w:val="yTable"/>
            </w:pPr>
            <w:r>
              <w:t>Anaesthesia for all closed procedures on the lower leg, ankle and foot</w:t>
            </w:r>
          </w:p>
        </w:tc>
        <w:tc>
          <w:tcPr>
            <w:tcW w:w="1276" w:type="dxa"/>
          </w:tcPr>
          <w:p>
            <w:pPr>
              <w:pStyle w:val="yTable"/>
              <w:keepNext/>
              <w:jc w:val="center"/>
            </w:pPr>
            <w:r>
              <w:br/>
              <w:t>3</w:t>
            </w:r>
          </w:p>
        </w:tc>
      </w:tr>
      <w:tr>
        <w:trPr>
          <w:cantSplit/>
        </w:trPr>
        <w:tc>
          <w:tcPr>
            <w:tcW w:w="5103" w:type="dxa"/>
          </w:tcPr>
          <w:p>
            <w:pPr>
              <w:pStyle w:val="yTable"/>
            </w:pPr>
            <w:r>
              <w:t>Anaesthesia for arthroscopic procedure of ankle joint</w:t>
            </w:r>
          </w:p>
        </w:tc>
        <w:tc>
          <w:tcPr>
            <w:tcW w:w="1276" w:type="dxa"/>
          </w:tcPr>
          <w:p>
            <w:pPr>
              <w:pStyle w:val="yTable"/>
              <w:keepNext/>
              <w:jc w:val="center"/>
            </w:pPr>
            <w:r>
              <w:t>4</w:t>
            </w:r>
          </w:p>
        </w:tc>
      </w:tr>
      <w:tr>
        <w:trPr>
          <w:cantSplit/>
        </w:trPr>
        <w:tc>
          <w:tcPr>
            <w:tcW w:w="5103" w:type="dxa"/>
          </w:tcPr>
          <w:p>
            <w:pPr>
              <w:pStyle w:val="yTable"/>
            </w:pPr>
            <w:r>
              <w:t> — gastrocnemius recession</w:t>
            </w:r>
          </w:p>
        </w:tc>
        <w:tc>
          <w:tcPr>
            <w:tcW w:w="1276" w:type="dxa"/>
          </w:tcPr>
          <w:p>
            <w:pPr>
              <w:pStyle w:val="yTable"/>
              <w:keepNext/>
              <w:jc w:val="center"/>
            </w:pPr>
            <w:r>
              <w:t>5</w:t>
            </w:r>
          </w:p>
        </w:tc>
      </w:tr>
      <w:tr>
        <w:trPr>
          <w:cantSplit/>
        </w:trPr>
        <w:tc>
          <w:tcPr>
            <w:tcW w:w="5103" w:type="dxa"/>
          </w:tcPr>
          <w:p>
            <w:pPr>
              <w:pStyle w:val="yTable"/>
            </w:pPr>
            <w:r>
              <w:t>Anaesthesia for all open procedures on the bones of the lower leg, ankle and foot, including amputation, unless otherwise specified</w:t>
            </w:r>
          </w:p>
        </w:tc>
        <w:tc>
          <w:tcPr>
            <w:tcW w:w="1276" w:type="dxa"/>
          </w:tcPr>
          <w:p>
            <w:pPr>
              <w:pStyle w:val="yTable"/>
              <w:keepNext/>
              <w:jc w:val="center"/>
            </w:pPr>
            <w:r>
              <w:br/>
            </w:r>
            <w:r>
              <w:br/>
              <w:t>4</w:t>
            </w:r>
          </w:p>
        </w:tc>
      </w:tr>
      <w:tr>
        <w:trPr>
          <w:cantSplit/>
        </w:trPr>
        <w:tc>
          <w:tcPr>
            <w:tcW w:w="5103" w:type="dxa"/>
          </w:tcPr>
          <w:p>
            <w:pPr>
              <w:pStyle w:val="yTable"/>
            </w:pPr>
            <w:r>
              <w:t> — radical resection</w:t>
            </w:r>
          </w:p>
        </w:tc>
        <w:tc>
          <w:tcPr>
            <w:tcW w:w="1276" w:type="dxa"/>
          </w:tcPr>
          <w:p>
            <w:pPr>
              <w:pStyle w:val="yTable"/>
              <w:keepNext/>
              <w:jc w:val="center"/>
            </w:pPr>
            <w:r>
              <w:t>5</w:t>
            </w:r>
          </w:p>
        </w:tc>
      </w:tr>
      <w:tr>
        <w:trPr>
          <w:cantSplit/>
        </w:trPr>
        <w:tc>
          <w:tcPr>
            <w:tcW w:w="5103" w:type="dxa"/>
          </w:tcPr>
          <w:p>
            <w:pPr>
              <w:pStyle w:val="yTable"/>
            </w:pPr>
            <w:r>
              <w:t> — osteotomy or osteoplasty of tibia and fibula</w:t>
            </w:r>
          </w:p>
        </w:tc>
        <w:tc>
          <w:tcPr>
            <w:tcW w:w="1276" w:type="dxa"/>
          </w:tcPr>
          <w:p>
            <w:pPr>
              <w:pStyle w:val="yTable"/>
              <w:keepNext/>
              <w:jc w:val="center"/>
            </w:pPr>
            <w:r>
              <w:t>5</w:t>
            </w:r>
          </w:p>
        </w:tc>
      </w:tr>
      <w:tr>
        <w:trPr>
          <w:cantSplit/>
        </w:trPr>
        <w:tc>
          <w:tcPr>
            <w:tcW w:w="5103" w:type="dxa"/>
          </w:tcPr>
          <w:p>
            <w:pPr>
              <w:pStyle w:val="yTable"/>
            </w:pPr>
            <w:r>
              <w:t> — total ankle replacement</w:t>
            </w:r>
          </w:p>
        </w:tc>
        <w:tc>
          <w:tcPr>
            <w:tcW w:w="1276" w:type="dxa"/>
          </w:tcPr>
          <w:p>
            <w:pPr>
              <w:pStyle w:val="yTable"/>
              <w:keepNext/>
              <w:jc w:val="center"/>
            </w:pPr>
            <w:r>
              <w:t>7</w:t>
            </w:r>
          </w:p>
        </w:tc>
      </w:tr>
      <w:tr>
        <w:trPr>
          <w:cantSplit/>
        </w:trPr>
        <w:tc>
          <w:tcPr>
            <w:tcW w:w="5103" w:type="dxa"/>
          </w:tcPr>
          <w:p>
            <w:pPr>
              <w:pStyle w:val="yTable"/>
            </w:pPr>
            <w:r>
              <w:t>Anaesthesia for lower leg cast application, removal or repair</w:t>
            </w:r>
          </w:p>
        </w:tc>
        <w:tc>
          <w:tcPr>
            <w:tcW w:w="1276" w:type="dxa"/>
          </w:tcPr>
          <w:p>
            <w:pPr>
              <w:pStyle w:val="yTable"/>
              <w:keepNext/>
              <w:jc w:val="center"/>
            </w:pPr>
            <w:r>
              <w:br/>
              <w:t>3</w:t>
            </w:r>
          </w:p>
        </w:tc>
      </w:tr>
      <w:tr>
        <w:trPr>
          <w:cantSplit/>
        </w:trPr>
        <w:tc>
          <w:tcPr>
            <w:tcW w:w="5103" w:type="dxa"/>
          </w:tcPr>
          <w:p>
            <w:pPr>
              <w:pStyle w:val="yTable"/>
            </w:pPr>
            <w:r>
              <w:t>Anaesthesia for all procedures on arteries of the lower leg, including bypass graft unless otherwise specified</w:t>
            </w:r>
          </w:p>
        </w:tc>
        <w:tc>
          <w:tcPr>
            <w:tcW w:w="1276" w:type="dxa"/>
          </w:tcPr>
          <w:p>
            <w:pPr>
              <w:pStyle w:val="yTable"/>
              <w:keepNext/>
              <w:jc w:val="center"/>
            </w:pPr>
            <w:r>
              <w:br/>
              <w:t>8</w:t>
            </w:r>
          </w:p>
        </w:tc>
      </w:tr>
      <w:tr>
        <w:trPr>
          <w:cantSplit/>
        </w:trPr>
        <w:tc>
          <w:tcPr>
            <w:tcW w:w="5103" w:type="dxa"/>
          </w:tcPr>
          <w:p>
            <w:pPr>
              <w:pStyle w:val="yTable"/>
            </w:pPr>
            <w:r>
              <w:t> — embolectomy</w:t>
            </w:r>
          </w:p>
        </w:tc>
        <w:tc>
          <w:tcPr>
            <w:tcW w:w="1276" w:type="dxa"/>
          </w:tcPr>
          <w:p>
            <w:pPr>
              <w:pStyle w:val="yTable"/>
              <w:keepNext/>
              <w:jc w:val="center"/>
            </w:pPr>
            <w:r>
              <w:t>6</w:t>
            </w:r>
          </w:p>
        </w:tc>
      </w:tr>
      <w:tr>
        <w:trPr>
          <w:cantSplit/>
        </w:trPr>
        <w:tc>
          <w:tcPr>
            <w:tcW w:w="5103" w:type="dxa"/>
          </w:tcPr>
          <w:p>
            <w:pPr>
              <w:pStyle w:val="yTable"/>
            </w:pPr>
            <w:r>
              <w:t>Anaesthesia for all procedures on the veins of the lower leg unless otherwise specified</w:t>
            </w:r>
          </w:p>
        </w:tc>
        <w:tc>
          <w:tcPr>
            <w:tcW w:w="1276" w:type="dxa"/>
          </w:tcPr>
          <w:p>
            <w:pPr>
              <w:pStyle w:val="yTable"/>
              <w:keepNext/>
              <w:jc w:val="center"/>
            </w:pPr>
            <w:r>
              <w:br/>
              <w:t>4</w:t>
            </w:r>
          </w:p>
        </w:tc>
      </w:tr>
      <w:tr>
        <w:trPr>
          <w:cantSplit/>
        </w:trPr>
        <w:tc>
          <w:tcPr>
            <w:tcW w:w="5103" w:type="dxa"/>
          </w:tcPr>
          <w:p>
            <w:pPr>
              <w:pStyle w:val="yTable"/>
            </w:pPr>
            <w:r>
              <w:t> — venous thrombectomy</w:t>
            </w:r>
          </w:p>
        </w:tc>
        <w:tc>
          <w:tcPr>
            <w:tcW w:w="1276" w:type="dxa"/>
          </w:tcPr>
          <w:p>
            <w:pPr>
              <w:pStyle w:val="yTable"/>
              <w:keepNext/>
              <w:jc w:val="center"/>
            </w:pPr>
            <w:r>
              <w:t>5</w:t>
            </w:r>
          </w:p>
        </w:tc>
      </w:tr>
      <w:tr>
        <w:trPr>
          <w:cantSplit/>
        </w:trPr>
        <w:tc>
          <w:tcPr>
            <w:tcW w:w="5103" w:type="dxa"/>
          </w:tcPr>
          <w:p>
            <w:pPr>
              <w:pStyle w:val="yTable"/>
              <w:tabs>
                <w:tab w:val="left" w:pos="567"/>
              </w:tabs>
              <w:ind w:left="567" w:hanging="567"/>
            </w:pPr>
            <w:r>
              <w:t> — for microsurgical reimplantation of the lower leg, ankle or foot</w:t>
            </w:r>
          </w:p>
        </w:tc>
        <w:tc>
          <w:tcPr>
            <w:tcW w:w="1276" w:type="dxa"/>
          </w:tcPr>
          <w:p>
            <w:pPr>
              <w:pStyle w:val="yTable"/>
              <w:keepNext/>
              <w:jc w:val="center"/>
            </w:pPr>
            <w:r>
              <w:br/>
              <w:t>15</w:t>
            </w:r>
          </w:p>
        </w:tc>
      </w:tr>
      <w:tr>
        <w:trPr>
          <w:cantSplit/>
        </w:trPr>
        <w:tc>
          <w:tcPr>
            <w:tcW w:w="5103" w:type="dxa"/>
          </w:tcPr>
          <w:p>
            <w:pPr>
              <w:pStyle w:val="yTable"/>
            </w:pPr>
            <w:r>
              <w:t> — for microsurgical reimplantation of the toe</w:t>
            </w:r>
          </w:p>
        </w:tc>
        <w:tc>
          <w:tcPr>
            <w:tcW w:w="1276" w:type="dxa"/>
          </w:tcPr>
          <w:p>
            <w:pPr>
              <w:pStyle w:val="yTable"/>
              <w:keepNext/>
              <w:jc w:val="center"/>
            </w:pPr>
            <w: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Shoulder and axilla (</w:t>
            </w:r>
            <w:r>
              <w:rPr>
                <w:b/>
                <w:i/>
              </w:rPr>
              <w:t>includes humeral head and neck, sternoclavicular joint, acromioclavicular joint and shoulder joint</w:t>
            </w:r>
            <w:r>
              <w:rPr>
                <w:b/>
              </w:rPr>
              <w:t>)</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shoulder or axilla</w:t>
            </w:r>
          </w:p>
        </w:tc>
        <w:tc>
          <w:tcPr>
            <w:tcW w:w="1276" w:type="dxa"/>
          </w:tcPr>
          <w:p>
            <w:pPr>
              <w:pStyle w:val="yTable"/>
              <w:keepNext/>
              <w:jc w:val="center"/>
            </w:pPr>
            <w:r>
              <w:br/>
              <w:t>3</w:t>
            </w:r>
          </w:p>
        </w:tc>
      </w:tr>
      <w:tr>
        <w:trPr>
          <w:cantSplit/>
        </w:trPr>
        <w:tc>
          <w:tcPr>
            <w:tcW w:w="5103" w:type="dxa"/>
          </w:tcPr>
          <w:p>
            <w:pPr>
              <w:pStyle w:val="yTable"/>
            </w:pPr>
            <w:r>
              <w:t>Anaesthesia for all procedures on nerves, muscles, tendons, fascia and bursae of shoulder and axilla, including axillary dissection</w:t>
            </w:r>
          </w:p>
        </w:tc>
        <w:tc>
          <w:tcPr>
            <w:tcW w:w="1276" w:type="dxa"/>
          </w:tcPr>
          <w:p>
            <w:pPr>
              <w:pStyle w:val="yTable"/>
              <w:keepNext/>
              <w:jc w:val="center"/>
            </w:pPr>
            <w:r>
              <w:br/>
            </w:r>
            <w:r>
              <w:br/>
              <w:t>5</w:t>
            </w:r>
          </w:p>
        </w:tc>
      </w:tr>
      <w:tr>
        <w:trPr>
          <w:cantSplit/>
        </w:trPr>
        <w:tc>
          <w:tcPr>
            <w:tcW w:w="5103" w:type="dxa"/>
          </w:tcPr>
          <w:p>
            <w:pPr>
              <w:pStyle w:val="yTable"/>
            </w:pPr>
            <w:r>
              <w:t>Anaesthesia for all closed procedures on humeral head and neck, sternoclavicular joint, acromioclavicular joint or the shoulder joint</w:t>
            </w:r>
          </w:p>
        </w:tc>
        <w:tc>
          <w:tcPr>
            <w:tcW w:w="1276" w:type="dxa"/>
          </w:tcPr>
          <w:p>
            <w:pPr>
              <w:pStyle w:val="yTable"/>
              <w:keepNext/>
              <w:jc w:val="center"/>
            </w:pPr>
            <w:r>
              <w:br/>
            </w:r>
            <w:r>
              <w:br/>
              <w:t>4</w:t>
            </w:r>
          </w:p>
        </w:tc>
      </w:tr>
      <w:tr>
        <w:trPr>
          <w:cantSplit/>
        </w:trPr>
        <w:tc>
          <w:tcPr>
            <w:tcW w:w="5103" w:type="dxa"/>
          </w:tcPr>
          <w:p>
            <w:pPr>
              <w:pStyle w:val="yTable"/>
            </w:pPr>
            <w:r>
              <w:t>Anaesthesia for all arthroscopic procedures of the shoulder joint</w:t>
            </w:r>
          </w:p>
        </w:tc>
        <w:tc>
          <w:tcPr>
            <w:tcW w:w="1276" w:type="dxa"/>
          </w:tcPr>
          <w:p>
            <w:pPr>
              <w:pStyle w:val="yTable"/>
              <w:keepNext/>
              <w:jc w:val="center"/>
            </w:pPr>
            <w:r>
              <w:br/>
              <w:t>5</w:t>
            </w:r>
          </w:p>
        </w:tc>
      </w:tr>
      <w:tr>
        <w:trPr>
          <w:cantSplit/>
        </w:trPr>
        <w:tc>
          <w:tcPr>
            <w:tcW w:w="5103" w:type="dxa"/>
          </w:tcPr>
          <w:p>
            <w:pPr>
              <w:pStyle w:val="yTable"/>
            </w:pPr>
            <w:r>
              <w:t>Anaesthesia for all open procedures on the humeral head and neck, sternoclavicular joint, acromioclavicular joint or the shoulder joint unless otherwise specified</w:t>
            </w:r>
          </w:p>
        </w:tc>
        <w:tc>
          <w:tcPr>
            <w:tcW w:w="1276" w:type="dxa"/>
          </w:tcPr>
          <w:p>
            <w:pPr>
              <w:pStyle w:val="yTable"/>
              <w:keepNext/>
              <w:jc w:val="center"/>
            </w:pPr>
            <w:r>
              <w:br/>
            </w:r>
            <w:r>
              <w:br/>
            </w:r>
            <w:r>
              <w:br/>
              <w:t>5</w:t>
            </w:r>
          </w:p>
        </w:tc>
      </w:tr>
      <w:tr>
        <w:trPr>
          <w:cantSplit/>
        </w:trPr>
        <w:tc>
          <w:tcPr>
            <w:tcW w:w="5103" w:type="dxa"/>
          </w:tcPr>
          <w:p>
            <w:pPr>
              <w:pStyle w:val="yTable"/>
            </w:pPr>
            <w:r>
              <w:t> — radical resection</w:t>
            </w:r>
          </w:p>
        </w:tc>
        <w:tc>
          <w:tcPr>
            <w:tcW w:w="1276" w:type="dxa"/>
          </w:tcPr>
          <w:p>
            <w:pPr>
              <w:pStyle w:val="yTable"/>
              <w:keepNext/>
              <w:jc w:val="center"/>
            </w:pPr>
            <w:r>
              <w:t>6</w:t>
            </w:r>
          </w:p>
        </w:tc>
      </w:tr>
      <w:tr>
        <w:trPr>
          <w:cantSplit/>
        </w:trPr>
        <w:tc>
          <w:tcPr>
            <w:tcW w:w="5103" w:type="dxa"/>
          </w:tcPr>
          <w:p>
            <w:pPr>
              <w:pStyle w:val="yTable"/>
            </w:pPr>
            <w:r>
              <w:t> — shoulder disarticulation</w:t>
            </w:r>
          </w:p>
        </w:tc>
        <w:tc>
          <w:tcPr>
            <w:tcW w:w="1276" w:type="dxa"/>
          </w:tcPr>
          <w:p>
            <w:pPr>
              <w:pStyle w:val="yTable"/>
              <w:keepNext/>
              <w:jc w:val="center"/>
            </w:pPr>
            <w:r>
              <w:t>9</w:t>
            </w:r>
          </w:p>
        </w:tc>
      </w:tr>
      <w:tr>
        <w:trPr>
          <w:cantSplit/>
        </w:trPr>
        <w:tc>
          <w:tcPr>
            <w:tcW w:w="5103" w:type="dxa"/>
          </w:tcPr>
          <w:p>
            <w:pPr>
              <w:pStyle w:val="yTable"/>
            </w:pPr>
            <w:r>
              <w:t> — interthoracoscapular (forequarter) amputation</w:t>
            </w:r>
          </w:p>
        </w:tc>
        <w:tc>
          <w:tcPr>
            <w:tcW w:w="1276" w:type="dxa"/>
          </w:tcPr>
          <w:p>
            <w:pPr>
              <w:pStyle w:val="yTable"/>
              <w:keepNext/>
              <w:jc w:val="center"/>
            </w:pPr>
            <w:r>
              <w:t>15</w:t>
            </w:r>
          </w:p>
        </w:tc>
      </w:tr>
      <w:tr>
        <w:trPr>
          <w:cantSplit/>
        </w:trPr>
        <w:tc>
          <w:tcPr>
            <w:tcW w:w="5103" w:type="dxa"/>
          </w:tcPr>
          <w:p>
            <w:pPr>
              <w:pStyle w:val="yTable"/>
            </w:pPr>
            <w:r>
              <w:t> — total shoulder replacement</w:t>
            </w:r>
          </w:p>
        </w:tc>
        <w:tc>
          <w:tcPr>
            <w:tcW w:w="1276" w:type="dxa"/>
          </w:tcPr>
          <w:p>
            <w:pPr>
              <w:pStyle w:val="yTable"/>
              <w:keepNext/>
              <w:jc w:val="center"/>
            </w:pPr>
            <w:r>
              <w:t>10</w:t>
            </w:r>
          </w:p>
        </w:tc>
      </w:tr>
      <w:tr>
        <w:trPr>
          <w:cantSplit/>
        </w:trPr>
        <w:tc>
          <w:tcPr>
            <w:tcW w:w="5103" w:type="dxa"/>
          </w:tcPr>
          <w:p>
            <w:pPr>
              <w:pStyle w:val="yTable"/>
              <w:keepNext/>
              <w:keepLines/>
            </w:pPr>
            <w:r>
              <w:t>Anaesthesia for all procedures on arteries of shoulder and axilla unless otherwise specified</w:t>
            </w:r>
          </w:p>
        </w:tc>
        <w:tc>
          <w:tcPr>
            <w:tcW w:w="1276" w:type="dxa"/>
          </w:tcPr>
          <w:p>
            <w:pPr>
              <w:pStyle w:val="yTable"/>
              <w:keepNext/>
              <w:jc w:val="center"/>
            </w:pPr>
            <w:r>
              <w:br/>
              <w:t>8</w:t>
            </w:r>
          </w:p>
        </w:tc>
      </w:tr>
      <w:tr>
        <w:trPr>
          <w:cantSplit/>
        </w:trPr>
        <w:tc>
          <w:tcPr>
            <w:tcW w:w="5103" w:type="dxa"/>
          </w:tcPr>
          <w:p>
            <w:pPr>
              <w:pStyle w:val="yTable"/>
            </w:pPr>
            <w:r>
              <w:t> — axillary</w:t>
            </w:r>
            <w:r>
              <w:noBreakHyphen/>
              <w:t>brachial aneurysm</w:t>
            </w:r>
          </w:p>
        </w:tc>
        <w:tc>
          <w:tcPr>
            <w:tcW w:w="1276" w:type="dxa"/>
          </w:tcPr>
          <w:p>
            <w:pPr>
              <w:pStyle w:val="yTable"/>
              <w:keepNext/>
              <w:jc w:val="center"/>
            </w:pPr>
            <w:r>
              <w:t>10</w:t>
            </w:r>
          </w:p>
        </w:tc>
      </w:tr>
      <w:tr>
        <w:trPr>
          <w:cantSplit/>
        </w:trPr>
        <w:tc>
          <w:tcPr>
            <w:tcW w:w="5103" w:type="dxa"/>
          </w:tcPr>
          <w:p>
            <w:pPr>
              <w:pStyle w:val="yTable"/>
            </w:pPr>
            <w:r>
              <w:t> — bypass graft</w:t>
            </w:r>
          </w:p>
        </w:tc>
        <w:tc>
          <w:tcPr>
            <w:tcW w:w="1276" w:type="dxa"/>
          </w:tcPr>
          <w:p>
            <w:pPr>
              <w:pStyle w:val="yTable"/>
              <w:keepNext/>
              <w:jc w:val="center"/>
            </w:pPr>
            <w:r>
              <w:t>8</w:t>
            </w:r>
          </w:p>
        </w:tc>
      </w:tr>
      <w:tr>
        <w:trPr>
          <w:cantSplit/>
        </w:trPr>
        <w:tc>
          <w:tcPr>
            <w:tcW w:w="5103" w:type="dxa"/>
          </w:tcPr>
          <w:p>
            <w:pPr>
              <w:pStyle w:val="yTable"/>
            </w:pPr>
            <w:r>
              <w:t> — axillary</w:t>
            </w:r>
            <w:r>
              <w:noBreakHyphen/>
              <w:t>femoral bypass graft</w:t>
            </w:r>
          </w:p>
        </w:tc>
        <w:tc>
          <w:tcPr>
            <w:tcW w:w="1276" w:type="dxa"/>
          </w:tcPr>
          <w:p>
            <w:pPr>
              <w:pStyle w:val="yTable"/>
              <w:keepNext/>
              <w:jc w:val="center"/>
            </w:pPr>
            <w:r>
              <w:t>10</w:t>
            </w:r>
          </w:p>
        </w:tc>
      </w:tr>
      <w:tr>
        <w:trPr>
          <w:cantSplit/>
        </w:trPr>
        <w:tc>
          <w:tcPr>
            <w:tcW w:w="5103" w:type="dxa"/>
          </w:tcPr>
          <w:p>
            <w:pPr>
              <w:pStyle w:val="yTable"/>
            </w:pPr>
            <w:r>
              <w:t>Anaesthesia for all procedures on veins of shoulder and axilla</w:t>
            </w:r>
          </w:p>
        </w:tc>
        <w:tc>
          <w:tcPr>
            <w:tcW w:w="1276" w:type="dxa"/>
          </w:tcPr>
          <w:p>
            <w:pPr>
              <w:pStyle w:val="yTable"/>
              <w:keepNext/>
              <w:jc w:val="center"/>
            </w:pPr>
            <w:r>
              <w:br/>
              <w:t>4</w:t>
            </w:r>
          </w:p>
        </w:tc>
      </w:tr>
      <w:tr>
        <w:trPr>
          <w:cantSplit/>
        </w:trPr>
        <w:tc>
          <w:tcPr>
            <w:tcW w:w="5103" w:type="dxa"/>
          </w:tcPr>
          <w:p>
            <w:pPr>
              <w:pStyle w:val="yTable"/>
            </w:pPr>
            <w:r>
              <w:t>Anaesthesia for all shoulder cast application, removal or repair unless otherwise specified</w:t>
            </w:r>
          </w:p>
        </w:tc>
        <w:tc>
          <w:tcPr>
            <w:tcW w:w="1276" w:type="dxa"/>
          </w:tcPr>
          <w:p>
            <w:pPr>
              <w:pStyle w:val="yTable"/>
              <w:keepNext/>
              <w:jc w:val="center"/>
            </w:pPr>
            <w:r>
              <w:br/>
              <w:t>3</w:t>
            </w:r>
          </w:p>
        </w:tc>
      </w:tr>
      <w:tr>
        <w:trPr>
          <w:cantSplit/>
        </w:trPr>
        <w:tc>
          <w:tcPr>
            <w:tcW w:w="5103" w:type="dxa"/>
          </w:tcPr>
          <w:p>
            <w:pPr>
              <w:pStyle w:val="yTable"/>
            </w:pPr>
            <w:r>
              <w:t> — shoulder spica</w:t>
            </w:r>
          </w:p>
        </w:tc>
        <w:tc>
          <w:tcPr>
            <w:tcW w:w="1276" w:type="dxa"/>
          </w:tcPr>
          <w:p>
            <w:pPr>
              <w:pStyle w:val="yTable"/>
              <w:keepNext/>
              <w:jc w:val="center"/>
            </w:pPr>
            <w:r>
              <w:t>4</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Upper arm and elbow</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upper arm and elbow</w:t>
            </w:r>
          </w:p>
        </w:tc>
        <w:tc>
          <w:tcPr>
            <w:tcW w:w="1276" w:type="dxa"/>
          </w:tcPr>
          <w:p>
            <w:pPr>
              <w:pStyle w:val="yTable"/>
              <w:keepNext/>
              <w:jc w:val="center"/>
            </w:pPr>
            <w:r>
              <w:br/>
              <w:t>3</w:t>
            </w:r>
          </w:p>
        </w:tc>
      </w:tr>
      <w:tr>
        <w:trPr>
          <w:cantSplit/>
        </w:trPr>
        <w:tc>
          <w:tcPr>
            <w:tcW w:w="5103" w:type="dxa"/>
          </w:tcPr>
          <w:p>
            <w:pPr>
              <w:pStyle w:val="yTable"/>
            </w:pPr>
            <w:r>
              <w:t>Anaesthesia for all procedures on the nerves, muscles, tendons, fascia and bursae of upper arm and elbow, unless otherwise specified</w:t>
            </w:r>
          </w:p>
        </w:tc>
        <w:tc>
          <w:tcPr>
            <w:tcW w:w="1276" w:type="dxa"/>
          </w:tcPr>
          <w:p>
            <w:pPr>
              <w:pStyle w:val="yTable"/>
              <w:keepNext/>
              <w:jc w:val="center"/>
            </w:pPr>
            <w:r>
              <w:br/>
            </w:r>
            <w:r>
              <w:br/>
              <w:t>4</w:t>
            </w:r>
          </w:p>
        </w:tc>
      </w:tr>
      <w:tr>
        <w:trPr>
          <w:cantSplit/>
        </w:trPr>
        <w:tc>
          <w:tcPr>
            <w:tcW w:w="5103" w:type="dxa"/>
          </w:tcPr>
          <w:p>
            <w:pPr>
              <w:pStyle w:val="yTable"/>
            </w:pPr>
            <w:r>
              <w:t> — tenotomy, elbow to shoulder, open</w:t>
            </w:r>
          </w:p>
        </w:tc>
        <w:tc>
          <w:tcPr>
            <w:tcW w:w="1276" w:type="dxa"/>
          </w:tcPr>
          <w:p>
            <w:pPr>
              <w:pStyle w:val="yTable"/>
              <w:keepNext/>
              <w:jc w:val="center"/>
            </w:pPr>
            <w:r>
              <w:t>5</w:t>
            </w:r>
          </w:p>
        </w:tc>
      </w:tr>
      <w:tr>
        <w:trPr>
          <w:cantSplit/>
        </w:trPr>
        <w:tc>
          <w:tcPr>
            <w:tcW w:w="5103" w:type="dxa"/>
          </w:tcPr>
          <w:p>
            <w:pPr>
              <w:pStyle w:val="yTable"/>
            </w:pPr>
            <w:r>
              <w:t> — tenoplasty, elbow to shoulder</w:t>
            </w:r>
          </w:p>
        </w:tc>
        <w:tc>
          <w:tcPr>
            <w:tcW w:w="1276" w:type="dxa"/>
          </w:tcPr>
          <w:p>
            <w:pPr>
              <w:pStyle w:val="yTable"/>
              <w:keepNext/>
              <w:jc w:val="center"/>
            </w:pPr>
            <w:r>
              <w:t>5</w:t>
            </w:r>
          </w:p>
        </w:tc>
      </w:tr>
      <w:tr>
        <w:trPr>
          <w:cantSplit/>
        </w:trPr>
        <w:tc>
          <w:tcPr>
            <w:tcW w:w="5103" w:type="dxa"/>
          </w:tcPr>
          <w:p>
            <w:pPr>
              <w:pStyle w:val="yTable"/>
            </w:pPr>
            <w:r>
              <w:t> — tenodesis, rupture of long tendon of biceps</w:t>
            </w:r>
          </w:p>
        </w:tc>
        <w:tc>
          <w:tcPr>
            <w:tcW w:w="1276" w:type="dxa"/>
          </w:tcPr>
          <w:p>
            <w:pPr>
              <w:pStyle w:val="yTable"/>
              <w:keepNext/>
              <w:jc w:val="center"/>
            </w:pPr>
            <w:r>
              <w:t>5</w:t>
            </w:r>
          </w:p>
        </w:tc>
      </w:tr>
      <w:tr>
        <w:trPr>
          <w:cantSplit/>
        </w:trPr>
        <w:tc>
          <w:tcPr>
            <w:tcW w:w="5103" w:type="dxa"/>
          </w:tcPr>
          <w:p>
            <w:pPr>
              <w:pStyle w:val="yTable"/>
            </w:pPr>
            <w:r>
              <w:t>Anaesthesia for all closed procedures on the humerus and elbow</w:t>
            </w:r>
          </w:p>
        </w:tc>
        <w:tc>
          <w:tcPr>
            <w:tcW w:w="1276" w:type="dxa"/>
          </w:tcPr>
          <w:p>
            <w:pPr>
              <w:pStyle w:val="yTable"/>
              <w:keepNext/>
              <w:jc w:val="center"/>
            </w:pPr>
            <w:r>
              <w:br/>
              <w:t>3</w:t>
            </w:r>
          </w:p>
        </w:tc>
      </w:tr>
      <w:tr>
        <w:trPr>
          <w:cantSplit/>
        </w:trPr>
        <w:tc>
          <w:tcPr>
            <w:tcW w:w="5103" w:type="dxa"/>
          </w:tcPr>
          <w:p>
            <w:pPr>
              <w:pStyle w:val="yTable"/>
            </w:pPr>
            <w:r>
              <w:t>Anaesthesia for arthroscopic procedures of elbow joint</w:t>
            </w:r>
          </w:p>
        </w:tc>
        <w:tc>
          <w:tcPr>
            <w:tcW w:w="1276" w:type="dxa"/>
          </w:tcPr>
          <w:p>
            <w:pPr>
              <w:pStyle w:val="yTable"/>
              <w:keepNext/>
              <w:jc w:val="center"/>
            </w:pPr>
            <w:r>
              <w:br/>
              <w:t>4</w:t>
            </w:r>
          </w:p>
        </w:tc>
      </w:tr>
      <w:tr>
        <w:trPr>
          <w:cantSplit/>
        </w:trPr>
        <w:tc>
          <w:tcPr>
            <w:tcW w:w="5103" w:type="dxa"/>
          </w:tcPr>
          <w:p>
            <w:pPr>
              <w:pStyle w:val="yTable"/>
            </w:pPr>
            <w:r>
              <w:t>Anaesthesia for all open procedures on the humerus and elbow unless otherwise specified</w:t>
            </w:r>
          </w:p>
        </w:tc>
        <w:tc>
          <w:tcPr>
            <w:tcW w:w="1276" w:type="dxa"/>
          </w:tcPr>
          <w:p>
            <w:pPr>
              <w:pStyle w:val="yTable"/>
              <w:keepNext/>
              <w:jc w:val="center"/>
            </w:pPr>
            <w:r>
              <w:br/>
              <w:t>5</w:t>
            </w:r>
          </w:p>
        </w:tc>
      </w:tr>
      <w:tr>
        <w:trPr>
          <w:cantSplit/>
        </w:trPr>
        <w:tc>
          <w:tcPr>
            <w:tcW w:w="5103" w:type="dxa"/>
          </w:tcPr>
          <w:p>
            <w:pPr>
              <w:pStyle w:val="yTable"/>
            </w:pPr>
            <w:r>
              <w:t> — radical procedures</w:t>
            </w:r>
          </w:p>
        </w:tc>
        <w:tc>
          <w:tcPr>
            <w:tcW w:w="1276" w:type="dxa"/>
          </w:tcPr>
          <w:p>
            <w:pPr>
              <w:pStyle w:val="yTable"/>
              <w:keepNext/>
              <w:jc w:val="center"/>
            </w:pPr>
            <w:r>
              <w:t>6</w:t>
            </w:r>
          </w:p>
        </w:tc>
      </w:tr>
      <w:tr>
        <w:trPr>
          <w:cantSplit/>
        </w:trPr>
        <w:tc>
          <w:tcPr>
            <w:tcW w:w="5103" w:type="dxa"/>
          </w:tcPr>
          <w:p>
            <w:pPr>
              <w:pStyle w:val="yTable"/>
            </w:pPr>
            <w:r>
              <w:t> — total elbow replacement</w:t>
            </w:r>
          </w:p>
        </w:tc>
        <w:tc>
          <w:tcPr>
            <w:tcW w:w="1276" w:type="dxa"/>
          </w:tcPr>
          <w:p>
            <w:pPr>
              <w:pStyle w:val="yTable"/>
              <w:keepNext/>
              <w:jc w:val="center"/>
            </w:pPr>
            <w:r>
              <w:t>7</w:t>
            </w:r>
          </w:p>
        </w:tc>
      </w:tr>
      <w:tr>
        <w:trPr>
          <w:cantSplit/>
        </w:trPr>
        <w:tc>
          <w:tcPr>
            <w:tcW w:w="5103" w:type="dxa"/>
          </w:tcPr>
          <w:p>
            <w:pPr>
              <w:pStyle w:val="yTable"/>
            </w:pPr>
            <w:r>
              <w:t>Anaesthesia for all procedures on the arteries of the upper arm unless otherwise specified</w:t>
            </w:r>
          </w:p>
        </w:tc>
        <w:tc>
          <w:tcPr>
            <w:tcW w:w="1276" w:type="dxa"/>
          </w:tcPr>
          <w:p>
            <w:pPr>
              <w:pStyle w:val="yTable"/>
              <w:keepNext/>
              <w:jc w:val="center"/>
            </w:pPr>
            <w:r>
              <w:br/>
              <w:t>8</w:t>
            </w:r>
          </w:p>
        </w:tc>
      </w:tr>
      <w:tr>
        <w:trPr>
          <w:cantSplit/>
        </w:trPr>
        <w:tc>
          <w:tcPr>
            <w:tcW w:w="5103" w:type="dxa"/>
          </w:tcPr>
          <w:p>
            <w:pPr>
              <w:pStyle w:val="yTable"/>
            </w:pPr>
            <w:r>
              <w:t> — embolectomy</w:t>
            </w:r>
          </w:p>
        </w:tc>
        <w:tc>
          <w:tcPr>
            <w:tcW w:w="1276" w:type="dxa"/>
          </w:tcPr>
          <w:p>
            <w:pPr>
              <w:pStyle w:val="yTable"/>
              <w:keepNext/>
              <w:jc w:val="center"/>
            </w:pPr>
            <w:r>
              <w:t>6</w:t>
            </w:r>
          </w:p>
        </w:tc>
      </w:tr>
      <w:tr>
        <w:trPr>
          <w:cantSplit/>
        </w:trPr>
        <w:tc>
          <w:tcPr>
            <w:tcW w:w="5103" w:type="dxa"/>
          </w:tcPr>
          <w:p>
            <w:pPr>
              <w:pStyle w:val="yTable"/>
            </w:pPr>
            <w:r>
              <w:t>Anaesthesia for all procedures on the veins of the upper arm unless otherwise specified</w:t>
            </w:r>
          </w:p>
        </w:tc>
        <w:tc>
          <w:tcPr>
            <w:tcW w:w="1276" w:type="dxa"/>
          </w:tcPr>
          <w:p>
            <w:pPr>
              <w:pStyle w:val="yTable"/>
              <w:keepNext/>
              <w:jc w:val="center"/>
            </w:pPr>
            <w:r>
              <w:br/>
              <w:t>4</w:t>
            </w:r>
          </w:p>
        </w:tc>
      </w:tr>
      <w:tr>
        <w:trPr>
          <w:cantSplit/>
        </w:trPr>
        <w:tc>
          <w:tcPr>
            <w:tcW w:w="5103" w:type="dxa"/>
          </w:tcPr>
          <w:p>
            <w:pPr>
              <w:pStyle w:val="yTable"/>
            </w:pPr>
            <w:r>
              <w:t> — for microsurgical reimplantation of the upper arm</w:t>
            </w:r>
          </w:p>
        </w:tc>
        <w:tc>
          <w:tcPr>
            <w:tcW w:w="1276" w:type="dxa"/>
          </w:tcPr>
          <w:p>
            <w:pPr>
              <w:pStyle w:val="yTable"/>
              <w:keepNext/>
              <w:jc w:val="center"/>
            </w:pPr>
            <w:r>
              <w:t>15</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Forearm, wrist and hand</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forearm, wrist and hand</w:t>
            </w:r>
          </w:p>
        </w:tc>
        <w:tc>
          <w:tcPr>
            <w:tcW w:w="1276" w:type="dxa"/>
          </w:tcPr>
          <w:p>
            <w:pPr>
              <w:pStyle w:val="yTable"/>
              <w:keepNext/>
              <w:jc w:val="center"/>
            </w:pPr>
            <w:r>
              <w:br/>
              <w:t>3</w:t>
            </w:r>
          </w:p>
        </w:tc>
      </w:tr>
      <w:tr>
        <w:trPr>
          <w:cantSplit/>
        </w:trPr>
        <w:tc>
          <w:tcPr>
            <w:tcW w:w="5103" w:type="dxa"/>
          </w:tcPr>
          <w:p>
            <w:pPr>
              <w:pStyle w:val="yTable"/>
            </w:pPr>
            <w:r>
              <w:t>Anaesthesia for all procedures on the nerves, muscles, tendons, fascia and bursae of the forearm, wrist and hand</w:t>
            </w:r>
          </w:p>
        </w:tc>
        <w:tc>
          <w:tcPr>
            <w:tcW w:w="1276" w:type="dxa"/>
          </w:tcPr>
          <w:p>
            <w:pPr>
              <w:pStyle w:val="yTable"/>
              <w:keepNext/>
              <w:jc w:val="center"/>
            </w:pPr>
            <w:r>
              <w:br/>
            </w:r>
            <w:r>
              <w:br/>
              <w:t>4</w:t>
            </w:r>
          </w:p>
        </w:tc>
      </w:tr>
      <w:tr>
        <w:trPr>
          <w:cantSplit/>
        </w:trPr>
        <w:tc>
          <w:tcPr>
            <w:tcW w:w="5103" w:type="dxa"/>
          </w:tcPr>
          <w:p>
            <w:pPr>
              <w:pStyle w:val="yTable"/>
            </w:pPr>
            <w:r>
              <w:t>Anaesthesia for all closed procedures on radius, ulna, wrist, or hand bones</w:t>
            </w:r>
          </w:p>
        </w:tc>
        <w:tc>
          <w:tcPr>
            <w:tcW w:w="1276" w:type="dxa"/>
          </w:tcPr>
          <w:p>
            <w:pPr>
              <w:pStyle w:val="yTable"/>
              <w:keepNext/>
              <w:jc w:val="center"/>
            </w:pPr>
            <w:r>
              <w:br/>
              <w:t>3</w:t>
            </w:r>
          </w:p>
        </w:tc>
      </w:tr>
      <w:tr>
        <w:trPr>
          <w:cantSplit/>
        </w:trPr>
        <w:tc>
          <w:tcPr>
            <w:tcW w:w="5103" w:type="dxa"/>
          </w:tcPr>
          <w:p>
            <w:pPr>
              <w:pStyle w:val="yTable"/>
            </w:pPr>
            <w:r>
              <w:t>Anaesthesia for all open procedures on radius, ulna, wrist, or hand bones unless otherwise specified</w:t>
            </w:r>
          </w:p>
        </w:tc>
        <w:tc>
          <w:tcPr>
            <w:tcW w:w="1276" w:type="dxa"/>
          </w:tcPr>
          <w:p>
            <w:pPr>
              <w:pStyle w:val="yTable"/>
              <w:keepNext/>
              <w:jc w:val="center"/>
            </w:pPr>
            <w:r>
              <w:br/>
              <w:t>4</w:t>
            </w:r>
          </w:p>
        </w:tc>
      </w:tr>
      <w:tr>
        <w:trPr>
          <w:cantSplit/>
        </w:trPr>
        <w:tc>
          <w:tcPr>
            <w:tcW w:w="5103" w:type="dxa"/>
          </w:tcPr>
          <w:p>
            <w:pPr>
              <w:pStyle w:val="yTable"/>
            </w:pPr>
            <w:r>
              <w:t> — total wrist replacement</w:t>
            </w:r>
          </w:p>
        </w:tc>
        <w:tc>
          <w:tcPr>
            <w:tcW w:w="1276" w:type="dxa"/>
          </w:tcPr>
          <w:p>
            <w:pPr>
              <w:pStyle w:val="yTable"/>
              <w:keepNext/>
              <w:jc w:val="center"/>
            </w:pPr>
            <w:r>
              <w:t>7</w:t>
            </w:r>
          </w:p>
        </w:tc>
      </w:tr>
      <w:tr>
        <w:trPr>
          <w:cantSplit/>
        </w:trPr>
        <w:tc>
          <w:tcPr>
            <w:tcW w:w="5103" w:type="dxa"/>
          </w:tcPr>
          <w:p>
            <w:pPr>
              <w:pStyle w:val="yTable"/>
            </w:pPr>
            <w:r>
              <w:t>Anaesthesia for arthroscopic procedures of the wrist joint</w:t>
            </w:r>
          </w:p>
        </w:tc>
        <w:tc>
          <w:tcPr>
            <w:tcW w:w="1276" w:type="dxa"/>
          </w:tcPr>
          <w:p>
            <w:pPr>
              <w:pStyle w:val="yTable"/>
              <w:keepNext/>
              <w:jc w:val="center"/>
            </w:pPr>
            <w:r>
              <w:br/>
              <w:t>4</w:t>
            </w:r>
          </w:p>
        </w:tc>
      </w:tr>
      <w:tr>
        <w:trPr>
          <w:cantSplit/>
        </w:trPr>
        <w:tc>
          <w:tcPr>
            <w:tcW w:w="5103" w:type="dxa"/>
          </w:tcPr>
          <w:p>
            <w:pPr>
              <w:pStyle w:val="yTable"/>
            </w:pPr>
            <w:r>
              <w:t>Anaesthesia for all procedures on the arteries of the forearm, wrist, and hand unless otherwise specified</w:t>
            </w:r>
          </w:p>
        </w:tc>
        <w:tc>
          <w:tcPr>
            <w:tcW w:w="1276" w:type="dxa"/>
          </w:tcPr>
          <w:p>
            <w:pPr>
              <w:pStyle w:val="yTable"/>
              <w:keepNext/>
              <w:jc w:val="center"/>
            </w:pPr>
            <w:r>
              <w:br/>
              <w:t>8</w:t>
            </w:r>
          </w:p>
        </w:tc>
      </w:tr>
      <w:tr>
        <w:trPr>
          <w:cantSplit/>
        </w:trPr>
        <w:tc>
          <w:tcPr>
            <w:tcW w:w="5103" w:type="dxa"/>
          </w:tcPr>
          <w:p>
            <w:pPr>
              <w:pStyle w:val="yTable"/>
            </w:pPr>
            <w:r>
              <w:t> — embolectomy</w:t>
            </w:r>
          </w:p>
        </w:tc>
        <w:tc>
          <w:tcPr>
            <w:tcW w:w="1276" w:type="dxa"/>
          </w:tcPr>
          <w:p>
            <w:pPr>
              <w:pStyle w:val="yTable"/>
              <w:keepNext/>
              <w:jc w:val="center"/>
            </w:pPr>
            <w:r>
              <w:t>6</w:t>
            </w:r>
          </w:p>
        </w:tc>
      </w:tr>
      <w:tr>
        <w:trPr>
          <w:cantSplit/>
        </w:trPr>
        <w:tc>
          <w:tcPr>
            <w:tcW w:w="5103" w:type="dxa"/>
          </w:tcPr>
          <w:p>
            <w:pPr>
              <w:pStyle w:val="yTable"/>
            </w:pPr>
            <w:r>
              <w:t>Anaesthesia for all procedures on the veins of the forearm, wrist, and hand unless otherwise specified</w:t>
            </w:r>
          </w:p>
        </w:tc>
        <w:tc>
          <w:tcPr>
            <w:tcW w:w="1276" w:type="dxa"/>
          </w:tcPr>
          <w:p>
            <w:pPr>
              <w:pStyle w:val="yTable"/>
              <w:keepNext/>
              <w:jc w:val="center"/>
            </w:pPr>
            <w:r>
              <w:br/>
              <w:t>4</w:t>
            </w:r>
          </w:p>
        </w:tc>
      </w:tr>
      <w:tr>
        <w:trPr>
          <w:cantSplit/>
        </w:trPr>
        <w:tc>
          <w:tcPr>
            <w:tcW w:w="5103" w:type="dxa"/>
          </w:tcPr>
          <w:p>
            <w:pPr>
              <w:pStyle w:val="yTable"/>
            </w:pPr>
            <w:r>
              <w:t>Anaesthesia for forearm, wrist, or hand cast application, removal or repair</w:t>
            </w:r>
          </w:p>
        </w:tc>
        <w:tc>
          <w:tcPr>
            <w:tcW w:w="1276" w:type="dxa"/>
          </w:tcPr>
          <w:p>
            <w:pPr>
              <w:pStyle w:val="yTable"/>
              <w:keepNext/>
              <w:jc w:val="center"/>
            </w:pPr>
            <w:r>
              <w:br/>
              <w:t>3</w:t>
            </w:r>
          </w:p>
        </w:tc>
      </w:tr>
      <w:tr>
        <w:trPr>
          <w:cantSplit/>
        </w:trPr>
        <w:tc>
          <w:tcPr>
            <w:tcW w:w="5103" w:type="dxa"/>
          </w:tcPr>
          <w:p>
            <w:pPr>
              <w:pStyle w:val="yTable"/>
              <w:tabs>
                <w:tab w:val="left" w:pos="567"/>
              </w:tabs>
              <w:ind w:left="567" w:hanging="567"/>
            </w:pPr>
            <w:r>
              <w:t> — for microsurgical reimplantation of forearm, wrist or hand</w:t>
            </w:r>
          </w:p>
        </w:tc>
        <w:tc>
          <w:tcPr>
            <w:tcW w:w="1276" w:type="dxa"/>
          </w:tcPr>
          <w:p>
            <w:pPr>
              <w:pStyle w:val="yTable"/>
              <w:keepNext/>
              <w:jc w:val="center"/>
            </w:pPr>
            <w:r>
              <w:br/>
              <w:t>15</w:t>
            </w:r>
          </w:p>
        </w:tc>
      </w:tr>
      <w:tr>
        <w:trPr>
          <w:cantSplit/>
        </w:trPr>
        <w:tc>
          <w:tcPr>
            <w:tcW w:w="5103" w:type="dxa"/>
          </w:tcPr>
          <w:p>
            <w:pPr>
              <w:pStyle w:val="yTable"/>
            </w:pPr>
            <w:r>
              <w:t> — for microsurgical reimplantation of a finger</w:t>
            </w:r>
          </w:p>
        </w:tc>
        <w:tc>
          <w:tcPr>
            <w:tcW w:w="1276" w:type="dxa"/>
          </w:tcPr>
          <w:p>
            <w:pPr>
              <w:pStyle w:val="yTable"/>
              <w:keepNext/>
              <w:jc w:val="center"/>
            </w:pPr>
            <w: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Burns</w:t>
            </w:r>
          </w:p>
        </w:tc>
        <w:tc>
          <w:tcPr>
            <w:tcW w:w="1276" w:type="dxa"/>
          </w:tcPr>
          <w:p>
            <w:pPr>
              <w:pStyle w:val="yTable"/>
              <w:keepNext/>
              <w:jc w:val="center"/>
            </w:pPr>
          </w:p>
        </w:tc>
      </w:tr>
      <w:tr>
        <w:trPr>
          <w:cantSplit/>
        </w:trPr>
        <w:tc>
          <w:tcPr>
            <w:tcW w:w="5103" w:type="dxa"/>
          </w:tcPr>
          <w:p>
            <w:pPr>
              <w:pStyle w:val="yTable"/>
            </w:pPr>
            <w:r>
              <w:t>Anaesthesia for excision of debridement of burns with or without skin grafting</w:t>
            </w:r>
          </w:p>
        </w:tc>
        <w:tc>
          <w:tcPr>
            <w:tcW w:w="1276" w:type="dxa"/>
          </w:tcPr>
          <w:p>
            <w:pPr>
              <w:pStyle w:val="yTable"/>
              <w:keepNext/>
              <w:jc w:val="center"/>
            </w:pPr>
          </w:p>
        </w:tc>
      </w:tr>
      <w:tr>
        <w:trPr>
          <w:cantSplit/>
        </w:trPr>
        <w:tc>
          <w:tcPr>
            <w:tcW w:w="5103" w:type="dxa"/>
          </w:tcPr>
          <w:p>
            <w:pPr>
              <w:pStyle w:val="yTable"/>
              <w:tabs>
                <w:tab w:val="left" w:pos="567"/>
              </w:tabs>
              <w:ind w:left="567" w:hanging="567"/>
            </w:pPr>
            <w:r>
              <w:t> — where the burnt area involves not more than 3% of total body surface</w:t>
            </w:r>
          </w:p>
        </w:tc>
        <w:tc>
          <w:tcPr>
            <w:tcW w:w="1276" w:type="dxa"/>
          </w:tcPr>
          <w:p>
            <w:pPr>
              <w:pStyle w:val="yTable"/>
              <w:keepNext/>
              <w:jc w:val="center"/>
            </w:pPr>
            <w:r>
              <w:br/>
              <w:t>3</w:t>
            </w:r>
          </w:p>
        </w:tc>
      </w:tr>
      <w:tr>
        <w:trPr>
          <w:cantSplit/>
        </w:trPr>
        <w:tc>
          <w:tcPr>
            <w:tcW w:w="5103" w:type="dxa"/>
          </w:tcPr>
          <w:p>
            <w:pPr>
              <w:pStyle w:val="yTable"/>
              <w:tabs>
                <w:tab w:val="left" w:pos="567"/>
              </w:tabs>
              <w:ind w:left="720" w:hanging="720"/>
            </w:pPr>
            <w:r>
              <w:t> — where the burnt area involves more than 3% but less than 10% of total body surface</w:t>
            </w:r>
          </w:p>
        </w:tc>
        <w:tc>
          <w:tcPr>
            <w:tcW w:w="1276" w:type="dxa"/>
          </w:tcPr>
          <w:p>
            <w:pPr>
              <w:pStyle w:val="yTable"/>
              <w:keepNext/>
              <w:jc w:val="center"/>
            </w:pPr>
            <w:r>
              <w:br/>
              <w:t>5</w:t>
            </w:r>
          </w:p>
        </w:tc>
      </w:tr>
      <w:tr>
        <w:trPr>
          <w:cantSplit/>
        </w:trPr>
        <w:tc>
          <w:tcPr>
            <w:tcW w:w="5103" w:type="dxa"/>
          </w:tcPr>
          <w:p>
            <w:pPr>
              <w:pStyle w:val="yTable"/>
              <w:tabs>
                <w:tab w:val="left" w:pos="567"/>
              </w:tabs>
              <w:ind w:left="567" w:hanging="567"/>
            </w:pPr>
            <w:r>
              <w:t> — where the burnt area involves 10% or more but less than 20% of total body surface</w:t>
            </w:r>
          </w:p>
        </w:tc>
        <w:tc>
          <w:tcPr>
            <w:tcW w:w="1276" w:type="dxa"/>
          </w:tcPr>
          <w:p>
            <w:pPr>
              <w:pStyle w:val="yTable"/>
              <w:keepNext/>
              <w:jc w:val="center"/>
            </w:pPr>
            <w:r>
              <w:br/>
              <w:t>7</w:t>
            </w:r>
          </w:p>
        </w:tc>
      </w:tr>
      <w:tr>
        <w:trPr>
          <w:cantSplit/>
        </w:trPr>
        <w:tc>
          <w:tcPr>
            <w:tcW w:w="5103" w:type="dxa"/>
          </w:tcPr>
          <w:p>
            <w:pPr>
              <w:pStyle w:val="yTable"/>
              <w:tabs>
                <w:tab w:val="left" w:pos="567"/>
              </w:tabs>
              <w:ind w:left="720" w:hanging="720"/>
            </w:pPr>
            <w:r>
              <w:t> — where the burnt area involves 20% or more but less than 30% of total body surface</w:t>
            </w:r>
          </w:p>
        </w:tc>
        <w:tc>
          <w:tcPr>
            <w:tcW w:w="1276" w:type="dxa"/>
          </w:tcPr>
          <w:p>
            <w:pPr>
              <w:pStyle w:val="yTable"/>
              <w:keepNext/>
              <w:jc w:val="center"/>
            </w:pPr>
            <w:r>
              <w:br/>
              <w:t>9</w:t>
            </w:r>
          </w:p>
        </w:tc>
      </w:tr>
      <w:tr>
        <w:trPr>
          <w:cantSplit/>
        </w:trPr>
        <w:tc>
          <w:tcPr>
            <w:tcW w:w="5103" w:type="dxa"/>
          </w:tcPr>
          <w:p>
            <w:pPr>
              <w:pStyle w:val="yTable"/>
              <w:tabs>
                <w:tab w:val="left" w:pos="567"/>
              </w:tabs>
              <w:ind w:left="720" w:hanging="720"/>
            </w:pPr>
            <w:r>
              <w:t> — where the burnt area involves 30% or more but less than 40% of total body surface</w:t>
            </w:r>
          </w:p>
        </w:tc>
        <w:tc>
          <w:tcPr>
            <w:tcW w:w="1276" w:type="dxa"/>
          </w:tcPr>
          <w:p>
            <w:pPr>
              <w:pStyle w:val="yTable"/>
              <w:keepNext/>
              <w:jc w:val="center"/>
            </w:pPr>
            <w:r>
              <w:br/>
              <w:t>11</w:t>
            </w:r>
          </w:p>
        </w:tc>
      </w:tr>
      <w:tr>
        <w:trPr>
          <w:cantSplit/>
        </w:trPr>
        <w:tc>
          <w:tcPr>
            <w:tcW w:w="5103" w:type="dxa"/>
          </w:tcPr>
          <w:p>
            <w:pPr>
              <w:pStyle w:val="yTable"/>
              <w:tabs>
                <w:tab w:val="left" w:pos="567"/>
              </w:tabs>
              <w:ind w:left="720" w:hanging="720"/>
            </w:pPr>
            <w:r>
              <w:t> — where the burnt area involves 40% or more but less than 50% of total body surface</w:t>
            </w:r>
          </w:p>
        </w:tc>
        <w:tc>
          <w:tcPr>
            <w:tcW w:w="1276" w:type="dxa"/>
          </w:tcPr>
          <w:p>
            <w:pPr>
              <w:pStyle w:val="yTable"/>
              <w:keepNext/>
              <w:jc w:val="center"/>
            </w:pPr>
            <w:r>
              <w:br/>
              <w:t>13</w:t>
            </w:r>
          </w:p>
        </w:tc>
      </w:tr>
      <w:tr>
        <w:trPr>
          <w:cantSplit/>
        </w:trPr>
        <w:tc>
          <w:tcPr>
            <w:tcW w:w="5103" w:type="dxa"/>
          </w:tcPr>
          <w:p>
            <w:pPr>
              <w:pStyle w:val="yTable"/>
              <w:tabs>
                <w:tab w:val="left" w:pos="567"/>
              </w:tabs>
              <w:ind w:left="720" w:hanging="720"/>
            </w:pPr>
            <w:r>
              <w:t> — where the burnt area involves 50% or more but less than 60% of total body surface</w:t>
            </w:r>
          </w:p>
        </w:tc>
        <w:tc>
          <w:tcPr>
            <w:tcW w:w="1276" w:type="dxa"/>
          </w:tcPr>
          <w:p>
            <w:pPr>
              <w:pStyle w:val="yTable"/>
              <w:keepNext/>
              <w:jc w:val="center"/>
            </w:pPr>
            <w:r>
              <w:br/>
              <w:t>15</w:t>
            </w:r>
          </w:p>
        </w:tc>
      </w:tr>
      <w:tr>
        <w:trPr>
          <w:cantSplit/>
        </w:trPr>
        <w:tc>
          <w:tcPr>
            <w:tcW w:w="5103" w:type="dxa"/>
          </w:tcPr>
          <w:p>
            <w:pPr>
              <w:pStyle w:val="yTable"/>
              <w:tabs>
                <w:tab w:val="left" w:pos="567"/>
              </w:tabs>
              <w:ind w:left="720" w:hanging="720"/>
            </w:pPr>
            <w:r>
              <w:t> — where the burnt area involves 60% or more but less than 70% of total body surface</w:t>
            </w:r>
          </w:p>
        </w:tc>
        <w:tc>
          <w:tcPr>
            <w:tcW w:w="1276" w:type="dxa"/>
          </w:tcPr>
          <w:p>
            <w:pPr>
              <w:pStyle w:val="yTable"/>
              <w:keepNext/>
              <w:jc w:val="center"/>
            </w:pPr>
            <w:r>
              <w:br/>
              <w:t>17</w:t>
            </w:r>
          </w:p>
        </w:tc>
      </w:tr>
      <w:tr>
        <w:trPr>
          <w:cantSplit/>
        </w:trPr>
        <w:tc>
          <w:tcPr>
            <w:tcW w:w="5103" w:type="dxa"/>
          </w:tcPr>
          <w:p>
            <w:pPr>
              <w:pStyle w:val="yTable"/>
              <w:tabs>
                <w:tab w:val="left" w:pos="567"/>
              </w:tabs>
              <w:ind w:left="720" w:hanging="720"/>
            </w:pPr>
            <w:r>
              <w:t> — where the burnt area involves 70% or more but less than 80% of total body surface</w:t>
            </w:r>
          </w:p>
        </w:tc>
        <w:tc>
          <w:tcPr>
            <w:tcW w:w="1276" w:type="dxa"/>
          </w:tcPr>
          <w:p>
            <w:pPr>
              <w:pStyle w:val="yTable"/>
              <w:keepNext/>
              <w:jc w:val="center"/>
            </w:pPr>
            <w:r>
              <w:br/>
              <w:t>19</w:t>
            </w:r>
          </w:p>
        </w:tc>
      </w:tr>
      <w:tr>
        <w:trPr>
          <w:cantSplit/>
        </w:trPr>
        <w:tc>
          <w:tcPr>
            <w:tcW w:w="5103" w:type="dxa"/>
          </w:tcPr>
          <w:p>
            <w:pPr>
              <w:pStyle w:val="yTable"/>
              <w:tabs>
                <w:tab w:val="left" w:pos="567"/>
              </w:tabs>
              <w:ind w:left="720" w:hanging="720"/>
            </w:pPr>
            <w:r>
              <w:t> — where the burnt area involves 80% or more of total body surface</w:t>
            </w:r>
          </w:p>
        </w:tc>
        <w:tc>
          <w:tcPr>
            <w:tcW w:w="1276" w:type="dxa"/>
          </w:tcPr>
          <w:p>
            <w:pPr>
              <w:pStyle w:val="yTable"/>
              <w:keepNext/>
              <w:jc w:val="center"/>
            </w:pPr>
            <w:r>
              <w:br/>
              <w:t>21</w:t>
            </w:r>
          </w:p>
        </w:tc>
      </w:tr>
      <w:tr>
        <w:trPr>
          <w:cantSplit/>
        </w:trPr>
        <w:tc>
          <w:tcPr>
            <w:tcW w:w="5103" w:type="dxa"/>
          </w:tcPr>
          <w:p>
            <w:pPr>
              <w:pStyle w:val="zytable"/>
              <w:ind w:left="720" w:hanging="720"/>
            </w:pPr>
          </w:p>
        </w:tc>
        <w:tc>
          <w:tcPr>
            <w:tcW w:w="1276" w:type="dxa"/>
          </w:tcPr>
          <w:p>
            <w:pPr>
              <w:pStyle w:val="yTable"/>
              <w:keepNext/>
              <w:ind w:left="720" w:hanging="720"/>
              <w:jc w:val="center"/>
            </w:pPr>
          </w:p>
        </w:tc>
      </w:tr>
      <w:tr>
        <w:trPr>
          <w:cantSplit/>
        </w:trPr>
        <w:tc>
          <w:tcPr>
            <w:tcW w:w="5103" w:type="dxa"/>
          </w:tcPr>
          <w:p>
            <w:pPr>
              <w:pStyle w:val="yTable"/>
            </w:pPr>
            <w:r>
              <w:rPr>
                <w:b/>
              </w:rPr>
              <w:t>Other procedures</w:t>
            </w:r>
          </w:p>
        </w:tc>
        <w:tc>
          <w:tcPr>
            <w:tcW w:w="1276" w:type="dxa"/>
          </w:tcPr>
          <w:p>
            <w:pPr>
              <w:pStyle w:val="yTable"/>
              <w:keepNext/>
              <w:jc w:val="center"/>
            </w:pPr>
          </w:p>
        </w:tc>
      </w:tr>
      <w:tr>
        <w:trPr>
          <w:cantSplit/>
        </w:trPr>
        <w:tc>
          <w:tcPr>
            <w:tcW w:w="5103" w:type="dxa"/>
          </w:tcPr>
          <w:p>
            <w:pPr>
              <w:pStyle w:val="yTable"/>
            </w:pPr>
            <w:r>
              <w:t>Anaesthesia for injection procedure for myelography:</w:t>
            </w:r>
          </w:p>
        </w:tc>
        <w:tc>
          <w:tcPr>
            <w:tcW w:w="1276" w:type="dxa"/>
          </w:tcPr>
          <w:p>
            <w:pPr>
              <w:pStyle w:val="yTable"/>
              <w:keepNext/>
              <w:jc w:val="center"/>
            </w:pPr>
          </w:p>
        </w:tc>
      </w:tr>
      <w:tr>
        <w:trPr>
          <w:cantSplit/>
        </w:trPr>
        <w:tc>
          <w:tcPr>
            <w:tcW w:w="5103" w:type="dxa"/>
          </w:tcPr>
          <w:p>
            <w:pPr>
              <w:pStyle w:val="yTable"/>
            </w:pPr>
            <w:r>
              <w:t> — lumbar or thoracic</w:t>
            </w:r>
          </w:p>
        </w:tc>
        <w:tc>
          <w:tcPr>
            <w:tcW w:w="1276" w:type="dxa"/>
          </w:tcPr>
          <w:p>
            <w:pPr>
              <w:pStyle w:val="yTable"/>
              <w:keepNext/>
              <w:jc w:val="center"/>
            </w:pPr>
            <w:r>
              <w:t>5</w:t>
            </w:r>
          </w:p>
        </w:tc>
      </w:tr>
      <w:tr>
        <w:trPr>
          <w:cantSplit/>
        </w:trPr>
        <w:tc>
          <w:tcPr>
            <w:tcW w:w="5103" w:type="dxa"/>
          </w:tcPr>
          <w:p>
            <w:pPr>
              <w:pStyle w:val="yTable"/>
            </w:pPr>
            <w:r>
              <w:t> — cervical</w:t>
            </w:r>
          </w:p>
        </w:tc>
        <w:tc>
          <w:tcPr>
            <w:tcW w:w="1276" w:type="dxa"/>
          </w:tcPr>
          <w:p>
            <w:pPr>
              <w:pStyle w:val="yTable"/>
              <w:keepNext/>
              <w:jc w:val="center"/>
            </w:pPr>
            <w:r>
              <w:t>6</w:t>
            </w:r>
          </w:p>
        </w:tc>
      </w:tr>
      <w:tr>
        <w:trPr>
          <w:cantSplit/>
        </w:trPr>
        <w:tc>
          <w:tcPr>
            <w:tcW w:w="5103" w:type="dxa"/>
          </w:tcPr>
          <w:p>
            <w:pPr>
              <w:pStyle w:val="yTable"/>
            </w:pPr>
            <w:r>
              <w:t> — posterior fossa</w:t>
            </w:r>
          </w:p>
        </w:tc>
        <w:tc>
          <w:tcPr>
            <w:tcW w:w="1276" w:type="dxa"/>
          </w:tcPr>
          <w:p>
            <w:pPr>
              <w:pStyle w:val="yTable"/>
              <w:keepNext/>
              <w:jc w:val="center"/>
            </w:pPr>
            <w:r>
              <w:t>9</w:t>
            </w:r>
          </w:p>
        </w:tc>
      </w:tr>
      <w:tr>
        <w:trPr>
          <w:cantSplit/>
        </w:trPr>
        <w:tc>
          <w:tcPr>
            <w:tcW w:w="5103" w:type="dxa"/>
          </w:tcPr>
          <w:p>
            <w:pPr>
              <w:pStyle w:val="yTable"/>
            </w:pPr>
            <w:r>
              <w:t>Anaesthesia for injection procedure for discography:</w:t>
            </w:r>
          </w:p>
        </w:tc>
        <w:tc>
          <w:tcPr>
            <w:tcW w:w="1276" w:type="dxa"/>
          </w:tcPr>
          <w:p>
            <w:pPr>
              <w:pStyle w:val="yTable"/>
              <w:keepNext/>
              <w:jc w:val="center"/>
            </w:pPr>
          </w:p>
        </w:tc>
      </w:tr>
      <w:tr>
        <w:trPr>
          <w:cantSplit/>
        </w:trPr>
        <w:tc>
          <w:tcPr>
            <w:tcW w:w="5103" w:type="dxa"/>
          </w:tcPr>
          <w:p>
            <w:pPr>
              <w:pStyle w:val="yTable"/>
            </w:pPr>
            <w:r>
              <w:t> — lumbar or thoracic</w:t>
            </w:r>
          </w:p>
        </w:tc>
        <w:tc>
          <w:tcPr>
            <w:tcW w:w="1276" w:type="dxa"/>
          </w:tcPr>
          <w:p>
            <w:pPr>
              <w:pStyle w:val="yTable"/>
              <w:keepNext/>
              <w:jc w:val="center"/>
            </w:pPr>
            <w:r>
              <w:t>5</w:t>
            </w:r>
          </w:p>
        </w:tc>
      </w:tr>
      <w:tr>
        <w:trPr>
          <w:cantSplit/>
        </w:trPr>
        <w:tc>
          <w:tcPr>
            <w:tcW w:w="5103" w:type="dxa"/>
          </w:tcPr>
          <w:p>
            <w:pPr>
              <w:pStyle w:val="yTable"/>
            </w:pPr>
            <w:r>
              <w:t> — cervical</w:t>
            </w:r>
          </w:p>
        </w:tc>
        <w:tc>
          <w:tcPr>
            <w:tcW w:w="1276" w:type="dxa"/>
          </w:tcPr>
          <w:p>
            <w:pPr>
              <w:pStyle w:val="yTable"/>
              <w:keepNext/>
              <w:jc w:val="center"/>
            </w:pPr>
            <w:r>
              <w:t>6</w:t>
            </w:r>
          </w:p>
        </w:tc>
      </w:tr>
      <w:tr>
        <w:trPr>
          <w:cantSplit/>
        </w:trPr>
        <w:tc>
          <w:tcPr>
            <w:tcW w:w="5103" w:type="dxa"/>
          </w:tcPr>
          <w:p>
            <w:pPr>
              <w:pStyle w:val="yTable"/>
            </w:pPr>
            <w:r>
              <w:t>Anaesthesia for peripheral arteriogram</w:t>
            </w:r>
          </w:p>
        </w:tc>
        <w:tc>
          <w:tcPr>
            <w:tcW w:w="1276" w:type="dxa"/>
          </w:tcPr>
          <w:p>
            <w:pPr>
              <w:pStyle w:val="yTable"/>
              <w:keepNext/>
              <w:jc w:val="center"/>
            </w:pPr>
            <w:r>
              <w:t>5</w:t>
            </w:r>
          </w:p>
        </w:tc>
      </w:tr>
      <w:tr>
        <w:trPr>
          <w:cantSplit/>
        </w:trPr>
        <w:tc>
          <w:tcPr>
            <w:tcW w:w="5103" w:type="dxa"/>
          </w:tcPr>
          <w:p>
            <w:pPr>
              <w:pStyle w:val="yTable"/>
            </w:pPr>
            <w:r>
              <w:t>Anaesthesia for arteriograms:</w:t>
            </w:r>
          </w:p>
        </w:tc>
        <w:tc>
          <w:tcPr>
            <w:tcW w:w="1276" w:type="dxa"/>
          </w:tcPr>
          <w:p>
            <w:pPr>
              <w:pStyle w:val="yTable"/>
              <w:keepNext/>
              <w:jc w:val="center"/>
            </w:pPr>
          </w:p>
        </w:tc>
      </w:tr>
      <w:tr>
        <w:trPr>
          <w:cantSplit/>
        </w:trPr>
        <w:tc>
          <w:tcPr>
            <w:tcW w:w="5103" w:type="dxa"/>
          </w:tcPr>
          <w:p>
            <w:pPr>
              <w:pStyle w:val="yTable"/>
            </w:pPr>
            <w:r>
              <w:t> — carotid, cerebral or vertebral</w:t>
            </w:r>
          </w:p>
        </w:tc>
        <w:tc>
          <w:tcPr>
            <w:tcW w:w="1276" w:type="dxa"/>
          </w:tcPr>
          <w:p>
            <w:pPr>
              <w:pStyle w:val="yTable"/>
              <w:keepNext/>
              <w:jc w:val="center"/>
            </w:pPr>
            <w:r>
              <w:t>5</w:t>
            </w:r>
          </w:p>
        </w:tc>
      </w:tr>
      <w:tr>
        <w:trPr>
          <w:cantSplit/>
        </w:trPr>
        <w:tc>
          <w:tcPr>
            <w:tcW w:w="5103" w:type="dxa"/>
          </w:tcPr>
          <w:p>
            <w:pPr>
              <w:pStyle w:val="yTable"/>
            </w:pPr>
            <w:r>
              <w:t> — retrograde, brachial or femoral</w:t>
            </w:r>
          </w:p>
        </w:tc>
        <w:tc>
          <w:tcPr>
            <w:tcW w:w="1276" w:type="dxa"/>
          </w:tcPr>
          <w:p>
            <w:pPr>
              <w:pStyle w:val="yTable"/>
              <w:keepNext/>
              <w:jc w:val="center"/>
            </w:pPr>
            <w:r>
              <w:t>5</w:t>
            </w:r>
          </w:p>
        </w:tc>
      </w:tr>
      <w:tr>
        <w:trPr>
          <w:cantSplit/>
        </w:trPr>
        <w:tc>
          <w:tcPr>
            <w:tcW w:w="5103" w:type="dxa"/>
          </w:tcPr>
          <w:p>
            <w:pPr>
              <w:pStyle w:val="yTable"/>
            </w:pPr>
            <w:r>
              <w:t>Anaesthesia for computerised axial tomography scanning, magnetic resonance scanning, ultrasound scanning or digital subtraction angiography scanning</w:t>
            </w:r>
          </w:p>
        </w:tc>
        <w:tc>
          <w:tcPr>
            <w:tcW w:w="1276" w:type="dxa"/>
          </w:tcPr>
          <w:p>
            <w:pPr>
              <w:pStyle w:val="yTable"/>
              <w:keepNext/>
              <w:jc w:val="center"/>
            </w:pPr>
            <w:r>
              <w:br/>
            </w:r>
            <w:r>
              <w:br/>
              <w:t>7</w:t>
            </w:r>
          </w:p>
        </w:tc>
      </w:tr>
      <w:tr>
        <w:trPr>
          <w:cantSplit/>
        </w:trPr>
        <w:tc>
          <w:tcPr>
            <w:tcW w:w="5103" w:type="dxa"/>
          </w:tcPr>
          <w:p>
            <w:pPr>
              <w:pStyle w:val="yTable"/>
            </w:pPr>
            <w:r>
              <w:t>Anaesthesia for radiology unless otherwise specified</w:t>
            </w:r>
          </w:p>
        </w:tc>
        <w:tc>
          <w:tcPr>
            <w:tcW w:w="1276" w:type="dxa"/>
          </w:tcPr>
          <w:p>
            <w:pPr>
              <w:pStyle w:val="yTable"/>
              <w:keepNext/>
              <w:jc w:val="center"/>
            </w:pPr>
            <w:r>
              <w:t>4</w:t>
            </w:r>
          </w:p>
        </w:tc>
      </w:tr>
      <w:tr>
        <w:trPr>
          <w:cantSplit/>
        </w:trPr>
        <w:tc>
          <w:tcPr>
            <w:tcW w:w="5103" w:type="dxa"/>
          </w:tcPr>
          <w:p>
            <w:pPr>
              <w:pStyle w:val="yTable"/>
            </w:pPr>
            <w:r>
              <w:t>Anaesthesia for retrograde cystography, retrograde urethrography or retrograde cystourethrography</w:t>
            </w:r>
          </w:p>
        </w:tc>
        <w:tc>
          <w:tcPr>
            <w:tcW w:w="1276" w:type="dxa"/>
          </w:tcPr>
          <w:p>
            <w:pPr>
              <w:pStyle w:val="yTable"/>
              <w:keepNext/>
              <w:jc w:val="center"/>
            </w:pPr>
            <w:r>
              <w:br/>
              <w:t>4</w:t>
            </w:r>
          </w:p>
        </w:tc>
      </w:tr>
      <w:tr>
        <w:trPr>
          <w:cantSplit/>
        </w:trPr>
        <w:tc>
          <w:tcPr>
            <w:tcW w:w="5103" w:type="dxa"/>
          </w:tcPr>
          <w:p>
            <w:pPr>
              <w:pStyle w:val="yTable"/>
            </w:pPr>
            <w:r>
              <w:t>Anaesthesia for flouroscopy</w:t>
            </w:r>
          </w:p>
        </w:tc>
        <w:tc>
          <w:tcPr>
            <w:tcW w:w="1276" w:type="dxa"/>
          </w:tcPr>
          <w:p>
            <w:pPr>
              <w:pStyle w:val="yTable"/>
              <w:keepNext/>
              <w:jc w:val="center"/>
            </w:pPr>
            <w:r>
              <w:t>5</w:t>
            </w:r>
          </w:p>
        </w:tc>
      </w:tr>
      <w:tr>
        <w:trPr>
          <w:cantSplit/>
        </w:trPr>
        <w:tc>
          <w:tcPr>
            <w:tcW w:w="5103" w:type="dxa"/>
          </w:tcPr>
          <w:p>
            <w:pPr>
              <w:pStyle w:val="yTable"/>
            </w:pPr>
            <w:r>
              <w:t>Anaesthesia for small bowel enema, barium or other opaque study of the small bowel</w:t>
            </w:r>
          </w:p>
        </w:tc>
        <w:tc>
          <w:tcPr>
            <w:tcW w:w="1276" w:type="dxa"/>
          </w:tcPr>
          <w:p>
            <w:pPr>
              <w:pStyle w:val="yTable"/>
              <w:keepNext/>
              <w:jc w:val="center"/>
            </w:pPr>
            <w:r>
              <w:br/>
              <w:t>5</w:t>
            </w:r>
          </w:p>
        </w:tc>
      </w:tr>
      <w:tr>
        <w:trPr>
          <w:cantSplit/>
        </w:trPr>
        <w:tc>
          <w:tcPr>
            <w:tcW w:w="5103" w:type="dxa"/>
          </w:tcPr>
          <w:p>
            <w:pPr>
              <w:pStyle w:val="yTable"/>
            </w:pPr>
            <w:r>
              <w:t>Anaesthesia for bronchography</w:t>
            </w:r>
          </w:p>
        </w:tc>
        <w:tc>
          <w:tcPr>
            <w:tcW w:w="1276" w:type="dxa"/>
          </w:tcPr>
          <w:p>
            <w:pPr>
              <w:pStyle w:val="yTable"/>
              <w:keepNext/>
              <w:jc w:val="center"/>
            </w:pPr>
            <w:r>
              <w:t>6</w:t>
            </w:r>
          </w:p>
        </w:tc>
      </w:tr>
      <w:tr>
        <w:trPr>
          <w:cantSplit/>
        </w:trPr>
        <w:tc>
          <w:tcPr>
            <w:tcW w:w="5103" w:type="dxa"/>
          </w:tcPr>
          <w:p>
            <w:pPr>
              <w:pStyle w:val="yTable"/>
            </w:pPr>
            <w:r>
              <w:t>Anaesthesia for phlebography</w:t>
            </w:r>
          </w:p>
        </w:tc>
        <w:tc>
          <w:tcPr>
            <w:tcW w:w="1276" w:type="dxa"/>
          </w:tcPr>
          <w:p>
            <w:pPr>
              <w:pStyle w:val="yTable"/>
              <w:keepNext/>
              <w:jc w:val="center"/>
            </w:pPr>
            <w:r>
              <w:t>5</w:t>
            </w:r>
          </w:p>
        </w:tc>
      </w:tr>
      <w:tr>
        <w:trPr>
          <w:cantSplit/>
        </w:trPr>
        <w:tc>
          <w:tcPr>
            <w:tcW w:w="5103" w:type="dxa"/>
          </w:tcPr>
          <w:p>
            <w:pPr>
              <w:pStyle w:val="yTable"/>
            </w:pPr>
            <w:r>
              <w:t>Anaesthesia for heart, 2 dimensional real time transoesophageal examination</w:t>
            </w:r>
          </w:p>
        </w:tc>
        <w:tc>
          <w:tcPr>
            <w:tcW w:w="1276" w:type="dxa"/>
          </w:tcPr>
          <w:p>
            <w:pPr>
              <w:pStyle w:val="yTable"/>
              <w:keepNext/>
              <w:jc w:val="center"/>
            </w:pPr>
            <w:r>
              <w:br/>
              <w:t>6</w:t>
            </w:r>
          </w:p>
        </w:tc>
      </w:tr>
      <w:tr>
        <w:trPr>
          <w:cantSplit/>
        </w:trPr>
        <w:tc>
          <w:tcPr>
            <w:tcW w:w="5103" w:type="dxa"/>
          </w:tcPr>
          <w:p>
            <w:pPr>
              <w:pStyle w:val="yTable"/>
            </w:pPr>
            <w:r>
              <w:t>Anaesthesia for peripheral venous cannulation</w:t>
            </w:r>
          </w:p>
        </w:tc>
        <w:tc>
          <w:tcPr>
            <w:tcW w:w="1276" w:type="dxa"/>
          </w:tcPr>
          <w:p>
            <w:pPr>
              <w:pStyle w:val="yTable"/>
              <w:keepNext/>
              <w:jc w:val="center"/>
            </w:pPr>
            <w:r>
              <w:t>3</w:t>
            </w:r>
          </w:p>
        </w:tc>
      </w:tr>
      <w:tr>
        <w:trPr>
          <w:cantSplit/>
        </w:trPr>
        <w:tc>
          <w:tcPr>
            <w:tcW w:w="5103" w:type="dxa"/>
          </w:tcPr>
          <w:p>
            <w:pPr>
              <w:pStyle w:val="yTable"/>
            </w:pPr>
            <w:r>
              <w:t>Anaesthesia for cardiac catheterisation including coronary arteriography, ventriculography, cardiac mapping, insertion of automatic defibrillator or transvenous pacemaker</w:t>
            </w:r>
          </w:p>
        </w:tc>
        <w:tc>
          <w:tcPr>
            <w:tcW w:w="1276" w:type="dxa"/>
          </w:tcPr>
          <w:p>
            <w:pPr>
              <w:pStyle w:val="yTable"/>
              <w:keepNext/>
              <w:jc w:val="center"/>
            </w:pPr>
            <w:r>
              <w:br/>
            </w:r>
            <w:r>
              <w:br/>
            </w:r>
            <w:r>
              <w:br/>
              <w:t>7</w:t>
            </w:r>
          </w:p>
        </w:tc>
      </w:tr>
      <w:tr>
        <w:trPr>
          <w:cantSplit/>
        </w:trPr>
        <w:tc>
          <w:tcPr>
            <w:tcW w:w="5103" w:type="dxa"/>
          </w:tcPr>
          <w:p>
            <w:pPr>
              <w:pStyle w:val="yTable"/>
            </w:pPr>
            <w:r>
              <w:t>Anaesthesia for cardiac electrophysiological procedures including radio frequency ablation</w:t>
            </w:r>
          </w:p>
        </w:tc>
        <w:tc>
          <w:tcPr>
            <w:tcW w:w="1276" w:type="dxa"/>
          </w:tcPr>
          <w:p>
            <w:pPr>
              <w:pStyle w:val="yTable"/>
              <w:keepNext/>
              <w:jc w:val="center"/>
            </w:pPr>
            <w:r>
              <w:br/>
              <w:t>10</w:t>
            </w:r>
          </w:p>
        </w:tc>
      </w:tr>
      <w:tr>
        <w:trPr>
          <w:cantSplit/>
        </w:trPr>
        <w:tc>
          <w:tcPr>
            <w:tcW w:w="5103" w:type="dxa"/>
          </w:tcPr>
          <w:p>
            <w:pPr>
              <w:pStyle w:val="yTable"/>
            </w:pPr>
            <w:r>
              <w:t>Anaesthesia for central vein catheterisation or insertion of right heart balloon catheter</w:t>
            </w:r>
          </w:p>
        </w:tc>
        <w:tc>
          <w:tcPr>
            <w:tcW w:w="1276" w:type="dxa"/>
          </w:tcPr>
          <w:p>
            <w:pPr>
              <w:pStyle w:val="yTable"/>
              <w:keepNext/>
              <w:jc w:val="center"/>
            </w:pPr>
            <w:r>
              <w:br/>
              <w:t>5</w:t>
            </w:r>
          </w:p>
        </w:tc>
      </w:tr>
      <w:tr>
        <w:trPr>
          <w:cantSplit/>
        </w:trPr>
        <w:tc>
          <w:tcPr>
            <w:tcW w:w="5103" w:type="dxa"/>
          </w:tcPr>
          <w:p>
            <w:pPr>
              <w:pStyle w:val="yTable"/>
            </w:pPr>
            <w:r>
              <w:t>Anaesthesia for lumbar puncture, cisternal puncture, or epidural injection</w:t>
            </w:r>
          </w:p>
        </w:tc>
        <w:tc>
          <w:tcPr>
            <w:tcW w:w="1276" w:type="dxa"/>
          </w:tcPr>
          <w:p>
            <w:pPr>
              <w:pStyle w:val="yTable"/>
              <w:keepNext/>
              <w:jc w:val="center"/>
            </w:pPr>
            <w:r>
              <w:br/>
              <w:t>5</w:t>
            </w:r>
          </w:p>
        </w:tc>
      </w:tr>
      <w:tr>
        <w:trPr>
          <w:cantSplit/>
        </w:trPr>
        <w:tc>
          <w:tcPr>
            <w:tcW w:w="5103" w:type="dxa"/>
          </w:tcPr>
          <w:p>
            <w:pPr>
              <w:pStyle w:val="yTable"/>
            </w:pPr>
            <w:r>
              <w:t>Anaesthesia for harvesting of bone marrow for the purpose of transplantation</w:t>
            </w:r>
          </w:p>
        </w:tc>
        <w:tc>
          <w:tcPr>
            <w:tcW w:w="1276" w:type="dxa"/>
          </w:tcPr>
          <w:p>
            <w:pPr>
              <w:pStyle w:val="yTable"/>
              <w:keepNext/>
              <w:jc w:val="center"/>
            </w:pPr>
            <w:r>
              <w:br/>
              <w:t>5</w:t>
            </w:r>
          </w:p>
        </w:tc>
      </w:tr>
      <w:tr>
        <w:trPr>
          <w:cantSplit/>
        </w:trPr>
        <w:tc>
          <w:tcPr>
            <w:tcW w:w="5103" w:type="dxa"/>
          </w:tcPr>
          <w:p>
            <w:pPr>
              <w:pStyle w:val="yTable"/>
            </w:pPr>
            <w:r>
              <w:t>Anaesthesia for muscle biopsy for malignant hyperpyrexia</w:t>
            </w:r>
          </w:p>
        </w:tc>
        <w:tc>
          <w:tcPr>
            <w:tcW w:w="1276" w:type="dxa"/>
          </w:tcPr>
          <w:p>
            <w:pPr>
              <w:pStyle w:val="yTable"/>
              <w:keepNext/>
              <w:jc w:val="center"/>
            </w:pPr>
            <w:r>
              <w:br/>
              <w:t>10</w:t>
            </w:r>
          </w:p>
        </w:tc>
      </w:tr>
      <w:tr>
        <w:trPr>
          <w:cantSplit/>
        </w:trPr>
        <w:tc>
          <w:tcPr>
            <w:tcW w:w="5103" w:type="dxa"/>
          </w:tcPr>
          <w:p>
            <w:pPr>
              <w:pStyle w:val="yTable"/>
            </w:pPr>
            <w:r>
              <w:t>Anaesthesia for electroencephalography</w:t>
            </w:r>
          </w:p>
        </w:tc>
        <w:tc>
          <w:tcPr>
            <w:tcW w:w="1276" w:type="dxa"/>
          </w:tcPr>
          <w:p>
            <w:pPr>
              <w:pStyle w:val="yTable"/>
              <w:keepNext/>
              <w:jc w:val="center"/>
            </w:pPr>
            <w:r>
              <w:t>5</w:t>
            </w:r>
          </w:p>
        </w:tc>
      </w:tr>
      <w:tr>
        <w:trPr>
          <w:cantSplit/>
        </w:trPr>
        <w:tc>
          <w:tcPr>
            <w:tcW w:w="5103" w:type="dxa"/>
          </w:tcPr>
          <w:p>
            <w:pPr>
              <w:pStyle w:val="yTable"/>
            </w:pPr>
            <w:r>
              <w:t>Anaesthesia for brain stem evoked audiometry</w:t>
            </w:r>
          </w:p>
        </w:tc>
        <w:tc>
          <w:tcPr>
            <w:tcW w:w="1276" w:type="dxa"/>
          </w:tcPr>
          <w:p>
            <w:pPr>
              <w:pStyle w:val="yTable"/>
              <w:keepNext/>
              <w:jc w:val="center"/>
            </w:pPr>
            <w:r>
              <w:t>5</w:t>
            </w:r>
          </w:p>
        </w:tc>
      </w:tr>
      <w:tr>
        <w:trPr>
          <w:cantSplit/>
        </w:trPr>
        <w:tc>
          <w:tcPr>
            <w:tcW w:w="5103" w:type="dxa"/>
          </w:tcPr>
          <w:p>
            <w:pPr>
              <w:pStyle w:val="yTable"/>
            </w:pPr>
            <w:r>
              <w:t>Anaesthesia for electrocochleography by extratympanic method or transtympanic membrane insertion method</w:t>
            </w:r>
          </w:p>
        </w:tc>
        <w:tc>
          <w:tcPr>
            <w:tcW w:w="1276" w:type="dxa"/>
          </w:tcPr>
          <w:p>
            <w:pPr>
              <w:pStyle w:val="yTable"/>
              <w:keepNext/>
              <w:jc w:val="center"/>
            </w:pPr>
            <w:r>
              <w:br/>
            </w:r>
            <w:r>
              <w:br/>
              <w:t>5</w:t>
            </w:r>
          </w:p>
        </w:tc>
      </w:tr>
      <w:tr>
        <w:trPr>
          <w:cantSplit/>
        </w:trPr>
        <w:tc>
          <w:tcPr>
            <w:tcW w:w="5103" w:type="dxa"/>
          </w:tcPr>
          <w:p>
            <w:pPr>
              <w:pStyle w:val="yTable"/>
            </w:pPr>
            <w:r>
              <w:t>Anaesthesia for a therapeutic procedure where it can be demonstrated that there is a clinical need for anaesthesia</w:t>
            </w:r>
          </w:p>
        </w:tc>
        <w:tc>
          <w:tcPr>
            <w:tcW w:w="1276" w:type="dxa"/>
          </w:tcPr>
          <w:p>
            <w:pPr>
              <w:pStyle w:val="yTable"/>
              <w:keepNext/>
              <w:jc w:val="center"/>
            </w:pPr>
            <w:r>
              <w:br/>
            </w:r>
            <w:r>
              <w:br/>
              <w:t>5</w:t>
            </w:r>
          </w:p>
        </w:tc>
      </w:tr>
      <w:tr>
        <w:trPr>
          <w:cantSplit/>
        </w:trPr>
        <w:tc>
          <w:tcPr>
            <w:tcW w:w="5103" w:type="dxa"/>
          </w:tcPr>
          <w:p>
            <w:pPr>
              <w:pStyle w:val="yTable"/>
            </w:pPr>
            <w:r>
              <w:t>Anaesthesia during hyperbaric therapy where the medical practitioner is not confined in the chamber (including the administration of oxygen)</w:t>
            </w:r>
          </w:p>
        </w:tc>
        <w:tc>
          <w:tcPr>
            <w:tcW w:w="1276" w:type="dxa"/>
          </w:tcPr>
          <w:p>
            <w:pPr>
              <w:pStyle w:val="yTable"/>
              <w:keepNext/>
              <w:jc w:val="center"/>
            </w:pPr>
            <w:r>
              <w:br/>
            </w:r>
            <w:r>
              <w:br/>
              <w:t>8</w:t>
            </w:r>
          </w:p>
        </w:tc>
      </w:tr>
      <w:tr>
        <w:trPr>
          <w:cantSplit/>
        </w:trPr>
        <w:tc>
          <w:tcPr>
            <w:tcW w:w="5103" w:type="dxa"/>
          </w:tcPr>
          <w:p>
            <w:pPr>
              <w:pStyle w:val="yTable"/>
            </w:pPr>
            <w:r>
              <w:t>Anaesthesia during hyperbaric therapy where the medical practitioner is confined in the chamber (including the administration of oxygen)</w:t>
            </w:r>
          </w:p>
        </w:tc>
        <w:tc>
          <w:tcPr>
            <w:tcW w:w="1276" w:type="dxa"/>
          </w:tcPr>
          <w:p>
            <w:pPr>
              <w:pStyle w:val="yTable"/>
              <w:keepNext/>
              <w:jc w:val="center"/>
            </w:pPr>
            <w:r>
              <w:br/>
            </w:r>
            <w:r>
              <w:br/>
              <w:t>15</w:t>
            </w:r>
          </w:p>
        </w:tc>
      </w:tr>
      <w:tr>
        <w:trPr>
          <w:cantSplit/>
        </w:trPr>
        <w:tc>
          <w:tcPr>
            <w:tcW w:w="5103" w:type="dxa"/>
          </w:tcPr>
          <w:p>
            <w:pPr>
              <w:pStyle w:val="yTable"/>
            </w:pPr>
            <w:r>
              <w:t>Anaesthesia for brachytherapy using radioactive sealed sources</w:t>
            </w:r>
          </w:p>
        </w:tc>
        <w:tc>
          <w:tcPr>
            <w:tcW w:w="1276" w:type="dxa"/>
          </w:tcPr>
          <w:p>
            <w:pPr>
              <w:pStyle w:val="yTable"/>
              <w:keepNext/>
              <w:jc w:val="center"/>
            </w:pPr>
            <w:r>
              <w:br/>
              <w:t>5</w:t>
            </w:r>
          </w:p>
        </w:tc>
      </w:tr>
      <w:tr>
        <w:trPr>
          <w:cantSplit/>
        </w:trPr>
        <w:tc>
          <w:tcPr>
            <w:tcW w:w="5103" w:type="dxa"/>
          </w:tcPr>
          <w:p>
            <w:pPr>
              <w:pStyle w:val="yTable"/>
            </w:pPr>
            <w:r>
              <w:t>Anaesthesia for therapeutic nuclear medicine</w:t>
            </w:r>
          </w:p>
        </w:tc>
        <w:tc>
          <w:tcPr>
            <w:tcW w:w="1276" w:type="dxa"/>
          </w:tcPr>
          <w:p>
            <w:pPr>
              <w:pStyle w:val="yTable"/>
              <w:keepNext/>
              <w:jc w:val="center"/>
            </w:pPr>
            <w:r>
              <w:t>5</w:t>
            </w:r>
          </w:p>
        </w:tc>
      </w:tr>
      <w:tr>
        <w:trPr>
          <w:cantSplit/>
        </w:trPr>
        <w:tc>
          <w:tcPr>
            <w:tcW w:w="5103" w:type="dxa"/>
          </w:tcPr>
          <w:p>
            <w:pPr>
              <w:pStyle w:val="yTable"/>
            </w:pPr>
            <w:r>
              <w:t>Anaesthesia for radiotherapy</w:t>
            </w:r>
          </w:p>
        </w:tc>
        <w:tc>
          <w:tcPr>
            <w:tcW w:w="1276" w:type="dxa"/>
          </w:tcPr>
          <w:p>
            <w:pPr>
              <w:pStyle w:val="yTable"/>
              <w:keepNext/>
              <w:jc w:val="center"/>
            </w:pPr>
            <w:r>
              <w:t>7</w:t>
            </w:r>
          </w:p>
        </w:tc>
      </w:tr>
      <w:tr>
        <w:trPr>
          <w:cantSplit/>
        </w:trPr>
        <w:tc>
          <w:tcPr>
            <w:tcW w:w="5103" w:type="dxa"/>
            <w:tcBorders>
              <w:bottom w:val="single" w:sz="4" w:space="0" w:color="auto"/>
            </w:tcBorders>
          </w:tcPr>
          <w:p>
            <w:pPr>
              <w:pStyle w:val="yTable"/>
            </w:pPr>
            <w:r>
              <w:t>Anaesthesia where no procedure ensues</w:t>
            </w:r>
          </w:p>
        </w:tc>
        <w:tc>
          <w:tcPr>
            <w:tcW w:w="1276" w:type="dxa"/>
            <w:tcBorders>
              <w:bottom w:val="single" w:sz="4" w:space="0" w:color="auto"/>
            </w:tcBorders>
          </w:tcPr>
          <w:p>
            <w:pPr>
              <w:pStyle w:val="yTable"/>
              <w:keepNext/>
              <w:jc w:val="center"/>
            </w:pPr>
            <w:r>
              <w:t>3</w:t>
            </w:r>
          </w:p>
        </w:tc>
      </w:tr>
      <w:tr>
        <w:trPr>
          <w:cantSplit/>
        </w:trPr>
        <w:tc>
          <w:tcPr>
            <w:tcW w:w="5103" w:type="dxa"/>
          </w:tcPr>
          <w:p>
            <w:pPr>
              <w:pStyle w:val="zytable"/>
            </w:pPr>
          </w:p>
        </w:tc>
        <w:tc>
          <w:tcPr>
            <w:tcW w:w="1276" w:type="dxa"/>
          </w:tcPr>
          <w:p>
            <w:pPr>
              <w:pStyle w:val="yTable"/>
              <w:keepNext/>
              <w:jc w:val="center"/>
            </w:pPr>
          </w:p>
        </w:tc>
      </w:tr>
    </w:tbl>
    <w:p>
      <w:pPr>
        <w:pStyle w:val="yTable"/>
        <w:ind w:left="709"/>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379"/>
      </w:tblGrid>
      <w:tr>
        <w:trPr>
          <w:cantSplit/>
        </w:trPr>
        <w:tc>
          <w:tcPr>
            <w:tcW w:w="6379" w:type="dxa"/>
          </w:tcPr>
          <w:p>
            <w:pPr>
              <w:pStyle w:val="yTable"/>
            </w:pPr>
            <w:r>
              <w:rPr>
                <w:i/>
              </w:rPr>
              <w:t>The AMA recognise that in determining the number of units applicable, the anaesthetist shall have regard to equivalent procedures</w:t>
            </w:r>
          </w:p>
        </w:tc>
      </w:tr>
    </w:tbl>
    <w:p>
      <w:pPr>
        <w:pStyle w:val="yTable"/>
        <w:spacing w:before="120" w:after="60"/>
        <w:ind w:left="709"/>
      </w:pPr>
      <w:r>
        <w:rPr>
          <w:b/>
        </w:rPr>
        <w:t>PART B — THERAPEUTIC AND DIAGNOSTIC SERVICES</w:t>
      </w:r>
    </w:p>
    <w:tbl>
      <w:tblPr>
        <w:tblW w:w="0" w:type="auto"/>
        <w:tblInd w:w="680" w:type="dxa"/>
        <w:tblLayout w:type="fixed"/>
        <w:tblCellMar>
          <w:left w:w="113" w:type="dxa"/>
          <w:right w:w="113" w:type="dxa"/>
        </w:tblCellMar>
        <w:tblLook w:val="0000" w:firstRow="0" w:lastRow="0" w:firstColumn="0" w:lastColumn="0" w:noHBand="0" w:noVBand="0"/>
      </w:tblPr>
      <w:tblGrid>
        <w:gridCol w:w="3402"/>
        <w:gridCol w:w="1039"/>
        <w:gridCol w:w="1040"/>
        <w:gridCol w:w="898"/>
      </w:tblGrid>
      <w:tr>
        <w:trPr>
          <w:cantSplit/>
        </w:trPr>
        <w:tc>
          <w:tcPr>
            <w:tcW w:w="3402" w:type="dxa"/>
            <w:tcBorders>
              <w:top w:val="single" w:sz="4" w:space="0" w:color="auto"/>
              <w:bottom w:val="single" w:sz="4" w:space="0" w:color="auto"/>
            </w:tcBorders>
          </w:tcPr>
          <w:p>
            <w:pPr>
              <w:pStyle w:val="yTable"/>
            </w:pPr>
            <w:r>
              <w:rPr>
                <w:b/>
              </w:rPr>
              <w:t>Description of service, etc.</w:t>
            </w:r>
          </w:p>
        </w:tc>
        <w:tc>
          <w:tcPr>
            <w:tcW w:w="1039" w:type="dxa"/>
            <w:tcBorders>
              <w:top w:val="single" w:sz="4" w:space="0" w:color="auto"/>
              <w:bottom w:val="single" w:sz="4" w:space="0" w:color="auto"/>
            </w:tcBorders>
          </w:tcPr>
          <w:p>
            <w:pPr>
              <w:pStyle w:val="yTable"/>
              <w:jc w:val="center"/>
            </w:pPr>
            <w:r>
              <w:rPr>
                <w:b/>
              </w:rPr>
              <w:t>Mus</w:t>
            </w:r>
          </w:p>
        </w:tc>
        <w:tc>
          <w:tcPr>
            <w:tcW w:w="1040" w:type="dxa"/>
            <w:tcBorders>
              <w:top w:val="single" w:sz="4" w:space="0" w:color="auto"/>
              <w:bottom w:val="single" w:sz="4" w:space="0" w:color="auto"/>
            </w:tcBorders>
          </w:tcPr>
          <w:p>
            <w:pPr>
              <w:pStyle w:val="yTable"/>
              <w:jc w:val="center"/>
            </w:pPr>
            <w:r>
              <w:rPr>
                <w:b/>
              </w:rPr>
              <w:t>TUs</w:t>
            </w:r>
          </w:p>
        </w:tc>
        <w:tc>
          <w:tcPr>
            <w:tcW w:w="898" w:type="dxa"/>
            <w:tcBorders>
              <w:top w:val="single" w:sz="4" w:space="0" w:color="auto"/>
              <w:bottom w:val="single" w:sz="4" w:space="0" w:color="auto"/>
            </w:tcBorders>
          </w:tcPr>
          <w:p>
            <w:pPr>
              <w:pStyle w:val="yTable"/>
              <w:jc w:val="center"/>
            </w:pPr>
            <w:r>
              <w:rPr>
                <w:b/>
              </w:rPr>
              <w:t>BUs</w:t>
            </w:r>
          </w:p>
        </w:tc>
      </w:tr>
      <w:tr>
        <w:trPr>
          <w:cantSplit/>
        </w:trPr>
        <w:tc>
          <w:tcPr>
            <w:tcW w:w="3402" w:type="dxa"/>
          </w:tcPr>
          <w:p>
            <w:pPr>
              <w:pStyle w:val="yTable"/>
            </w:pPr>
            <w:r>
              <w:t>Collection of blood for autologous transfusion or when homologous blood is required for immediate transfusion in an emergency situation</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3</w:t>
            </w:r>
          </w:p>
        </w:tc>
      </w:tr>
      <w:tr>
        <w:trPr>
          <w:cantSplit/>
        </w:trPr>
        <w:tc>
          <w:tcPr>
            <w:tcW w:w="3402" w:type="dxa"/>
          </w:tcPr>
          <w:p>
            <w:pPr>
              <w:pStyle w:val="yTable"/>
            </w:pPr>
            <w:r>
              <w:t>Administration of blood or bone marrow already collected when performed in association with the administration of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4</w:t>
            </w:r>
          </w:p>
        </w:tc>
      </w:tr>
      <w:tr>
        <w:trPr>
          <w:cantSplit/>
        </w:trPr>
        <w:tc>
          <w:tcPr>
            <w:tcW w:w="3402" w:type="dxa"/>
          </w:tcPr>
          <w:p>
            <w:pPr>
              <w:pStyle w:val="yTable"/>
            </w:pPr>
            <w:r>
              <w:t>Venous cannulation and blood transfusion (or blood products) not associated with anaesthesia</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pPr>
            <w:r>
              <w:t>Intubation, endotracheal, emergency procedure, where the patient’s airway is unsecured and at high risk of occlusion, (eg. epiglottitis or haematoma post thyroidectomy) not associated with surgery</w:t>
            </w:r>
          </w:p>
        </w:tc>
        <w:tc>
          <w:tcPr>
            <w:tcW w:w="1039" w:type="dxa"/>
          </w:tcPr>
          <w:p>
            <w:pPr>
              <w:pStyle w:val="yTable"/>
              <w:jc w:val="center"/>
            </w:pPr>
            <w:r>
              <w:br/>
            </w:r>
            <w:r>
              <w:br/>
            </w:r>
            <w:r>
              <w:br/>
            </w:r>
            <w:r>
              <w:br/>
            </w:r>
            <w:r>
              <w:br/>
            </w:r>
            <w:r>
              <w:br/>
              <w:t>yes</w:t>
            </w:r>
          </w:p>
        </w:tc>
        <w:tc>
          <w:tcPr>
            <w:tcW w:w="1040" w:type="dxa"/>
          </w:tcPr>
          <w:p>
            <w:pPr>
              <w:pStyle w:val="yTable"/>
              <w:jc w:val="center"/>
            </w:pPr>
            <w:r>
              <w:br/>
            </w:r>
            <w:r>
              <w:br/>
            </w:r>
            <w:r>
              <w:br/>
            </w:r>
            <w:r>
              <w:br/>
            </w:r>
            <w:r>
              <w:br/>
            </w:r>
            <w:r>
              <w:br/>
              <w:t>yes</w:t>
            </w:r>
          </w:p>
        </w:tc>
        <w:tc>
          <w:tcPr>
            <w:tcW w:w="898" w:type="dxa"/>
          </w:tcPr>
          <w:p>
            <w:pPr>
              <w:pStyle w:val="yTable"/>
              <w:jc w:val="center"/>
            </w:pPr>
            <w:r>
              <w:br/>
            </w:r>
            <w:r>
              <w:br/>
            </w:r>
            <w:r>
              <w:br/>
            </w:r>
            <w:r>
              <w:br/>
            </w:r>
            <w:r>
              <w:br/>
            </w:r>
            <w:r>
              <w:br/>
              <w:t>15</w:t>
            </w:r>
          </w:p>
        </w:tc>
      </w:tr>
      <w:tr>
        <w:trPr>
          <w:cantSplit/>
        </w:trPr>
        <w:tc>
          <w:tcPr>
            <w:tcW w:w="3402" w:type="dxa"/>
          </w:tcPr>
          <w:p>
            <w:pPr>
              <w:pStyle w:val="yTable"/>
            </w:pPr>
            <w:r>
              <w:t>Intubation, endotracheal, not associated with anaesthesia, when subsequent management is not in an intensive care unit</w:t>
            </w:r>
          </w:p>
        </w:tc>
        <w:tc>
          <w:tcPr>
            <w:tcW w:w="1039" w:type="dxa"/>
          </w:tcPr>
          <w:p>
            <w:pPr>
              <w:pStyle w:val="yTable"/>
              <w:jc w:val="center"/>
            </w:pPr>
            <w:r>
              <w:br/>
            </w:r>
            <w:r>
              <w:br/>
            </w:r>
            <w:r>
              <w:br/>
              <w:t>yes</w:t>
            </w:r>
          </w:p>
        </w:tc>
        <w:tc>
          <w:tcPr>
            <w:tcW w:w="1040" w:type="dxa"/>
          </w:tcPr>
          <w:p>
            <w:pPr>
              <w:pStyle w:val="yTable"/>
              <w:jc w:val="center"/>
            </w:pPr>
            <w:r>
              <w:br/>
            </w:r>
            <w:r>
              <w:br/>
            </w:r>
            <w:r>
              <w:br/>
              <w:t>yes</w:t>
            </w:r>
          </w:p>
        </w:tc>
        <w:tc>
          <w:tcPr>
            <w:tcW w:w="898" w:type="dxa"/>
          </w:tcPr>
          <w:p>
            <w:pPr>
              <w:pStyle w:val="yTable"/>
              <w:jc w:val="center"/>
            </w:pPr>
            <w:r>
              <w:br/>
            </w:r>
            <w:r>
              <w:br/>
            </w:r>
            <w:r>
              <w:br/>
              <w:t>4</w:t>
            </w:r>
          </w:p>
        </w:tc>
      </w:tr>
      <w:tr>
        <w:trPr>
          <w:cantSplit/>
        </w:trPr>
        <w:tc>
          <w:tcPr>
            <w:tcW w:w="3402" w:type="dxa"/>
          </w:tcPr>
          <w:p>
            <w:pPr>
              <w:pStyle w:val="yTable"/>
            </w:pPr>
            <w:r>
              <w:t>Awake endotracheal intubation with flexible fibreoptic scope, associated with difficult airway, when performed in association with the administration of anaesthesia</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4</w:t>
            </w:r>
          </w:p>
        </w:tc>
      </w:tr>
      <w:tr>
        <w:trPr>
          <w:cantSplit/>
        </w:trPr>
        <w:tc>
          <w:tcPr>
            <w:tcW w:w="3402" w:type="dxa"/>
          </w:tcPr>
          <w:p>
            <w:pPr>
              <w:pStyle w:val="yTable"/>
            </w:pPr>
            <w:r>
              <w:t>Double lumen endobronchial tube or bronchial blocker, insertion of, when performed in association with the administration of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4</w:t>
            </w:r>
          </w:p>
        </w:tc>
      </w:tr>
      <w:tr>
        <w:trPr>
          <w:cantSplit/>
        </w:trPr>
        <w:tc>
          <w:tcPr>
            <w:tcW w:w="3402" w:type="dxa"/>
          </w:tcPr>
          <w:p>
            <w:pPr>
              <w:pStyle w:val="yTable"/>
            </w:pPr>
            <w:r>
              <w:t>Venous cannulation and commencement of intravenous infusion, under age of 3 years, not associated with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3</w:t>
            </w:r>
          </w:p>
        </w:tc>
      </w:tr>
      <w:tr>
        <w:trPr>
          <w:cantSplit/>
        </w:trPr>
        <w:tc>
          <w:tcPr>
            <w:tcW w:w="3402" w:type="dxa"/>
          </w:tcPr>
          <w:p>
            <w:pPr>
              <w:pStyle w:val="yTable"/>
            </w:pPr>
            <w:r>
              <w:t>Venous cannulation, cutdown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pPr>
            <w:r>
              <w:t>Venous cannulation and commencement of intravenous infusion not associated with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2</w:t>
            </w:r>
          </w:p>
        </w:tc>
      </w:tr>
      <w:tr>
        <w:trPr>
          <w:cantSplit/>
        </w:trPr>
        <w:tc>
          <w:tcPr>
            <w:tcW w:w="3402" w:type="dxa"/>
          </w:tcPr>
          <w:p>
            <w:pPr>
              <w:pStyle w:val="yTable"/>
            </w:pPr>
            <w:r>
              <w:t>Right heart balloon catheter, insertion of, including pulmonary wedge pressure and cardiac output measurement</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7</w:t>
            </w:r>
          </w:p>
        </w:tc>
      </w:tr>
      <w:tr>
        <w:trPr>
          <w:cantSplit/>
        </w:trPr>
        <w:tc>
          <w:tcPr>
            <w:tcW w:w="3402" w:type="dxa"/>
          </w:tcPr>
          <w:p>
            <w:pPr>
              <w:pStyle w:val="yTable"/>
            </w:pPr>
            <w:r>
              <w:t>Pulmonary artery pressure monitoring</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3</w:t>
            </w:r>
          </w:p>
        </w:tc>
      </w:tr>
      <w:tr>
        <w:trPr>
          <w:cantSplit/>
        </w:trPr>
        <w:tc>
          <w:tcPr>
            <w:tcW w:w="3402" w:type="dxa"/>
          </w:tcPr>
          <w:p>
            <w:pPr>
              <w:pStyle w:val="yTable"/>
            </w:pPr>
            <w:r>
              <w:t>Left atrial pressure monitoring via left atrial catheter</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3</w:t>
            </w:r>
          </w:p>
        </w:tc>
      </w:tr>
      <w:tr>
        <w:trPr>
          <w:cantSplit/>
        </w:trPr>
        <w:tc>
          <w:tcPr>
            <w:tcW w:w="3402" w:type="dxa"/>
          </w:tcPr>
          <w:p>
            <w:pPr>
              <w:pStyle w:val="yTable"/>
            </w:pPr>
            <w:r>
              <w:t>Invasive pressure monitoring, not otherwise listed</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3</w:t>
            </w:r>
          </w:p>
        </w:tc>
      </w:tr>
      <w:tr>
        <w:trPr>
          <w:cantSplit/>
        </w:trPr>
        <w:tc>
          <w:tcPr>
            <w:tcW w:w="3402" w:type="dxa"/>
          </w:tcPr>
          <w:p>
            <w:pPr>
              <w:pStyle w:val="yTable"/>
            </w:pPr>
            <w:r>
              <w:t>Central vein catheterization, percutaneous via jugular, subclavian or femoral vein</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3</w:t>
            </w:r>
          </w:p>
        </w:tc>
      </w:tr>
      <w:tr>
        <w:trPr>
          <w:cantSplit/>
        </w:trPr>
        <w:tc>
          <w:tcPr>
            <w:tcW w:w="3402" w:type="dxa"/>
          </w:tcPr>
          <w:p>
            <w:pPr>
              <w:pStyle w:val="yTable"/>
            </w:pPr>
            <w:r>
              <w:t>Central vein catheterization by cutdown</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pPr>
            <w:r>
              <w:t>Central venous pressure monitoring</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pPr>
            <w:r>
              <w:t>Arterial cannulation, percutaneous</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pPr>
            <w:r>
              <w:t>Arterial puncture, withdrawal of blood for diagnosis</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w:t>
            </w:r>
          </w:p>
        </w:tc>
      </w:tr>
      <w:tr>
        <w:trPr>
          <w:cantSplit/>
        </w:trPr>
        <w:tc>
          <w:tcPr>
            <w:tcW w:w="3402" w:type="dxa"/>
          </w:tcPr>
          <w:p>
            <w:pPr>
              <w:pStyle w:val="yTable"/>
            </w:pPr>
            <w:r>
              <w:t>Arterial cannulation, by cutdown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pPr>
            <w:r>
              <w:t>Intra arterial pressure monitoring</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pPr>
            <w:r>
              <w:t>Catheterization, umbilical artery, newborn, for diagnosis, or therapy</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pPr>
            <w:r>
              <w:t>Intra</w:t>
            </w:r>
            <w:r>
              <w:noBreakHyphen/>
              <w:t>arterial infusion or retrograde intravenous perfusion of a sympatholytic agent</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4</w:t>
            </w:r>
          </w:p>
        </w:tc>
      </w:tr>
      <w:tr>
        <w:trPr>
          <w:cantSplit/>
        </w:trPr>
        <w:tc>
          <w:tcPr>
            <w:tcW w:w="3402" w:type="dxa"/>
          </w:tcPr>
          <w:p>
            <w:pPr>
              <w:pStyle w:val="yTable"/>
            </w:pPr>
            <w:r>
              <w:t>Intravenous regional anaesthesia of limb by retrograde perfusion</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4</w:t>
            </w:r>
          </w:p>
        </w:tc>
      </w:tr>
      <w:tr>
        <w:trPr>
          <w:cantSplit/>
        </w:trPr>
        <w:tc>
          <w:tcPr>
            <w:tcW w:w="3402" w:type="dxa"/>
          </w:tcPr>
          <w:p>
            <w:pPr>
              <w:pStyle w:val="yTable"/>
            </w:pPr>
            <w:r>
              <w:t>Perfusion of limb or organ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12</w:t>
            </w:r>
          </w:p>
        </w:tc>
      </w:tr>
      <w:tr>
        <w:trPr>
          <w:cantSplit/>
        </w:trPr>
        <w:tc>
          <w:tcPr>
            <w:tcW w:w="3402" w:type="dxa"/>
          </w:tcPr>
          <w:p>
            <w:pPr>
              <w:pStyle w:val="yTable"/>
            </w:pPr>
            <w:r>
              <w:t>Medical management of cardio</w:t>
            </w:r>
            <w:r>
              <w:noBreakHyphen/>
              <w:t>pulmonary bypass perfusion using heart/lung machine</w:t>
            </w:r>
          </w:p>
        </w:tc>
        <w:tc>
          <w:tcPr>
            <w:tcW w:w="1039" w:type="dxa"/>
          </w:tcPr>
          <w:p>
            <w:pPr>
              <w:pStyle w:val="yTable"/>
              <w:jc w:val="center"/>
            </w:pPr>
            <w:r>
              <w:br/>
            </w:r>
            <w:r>
              <w:br/>
              <w:t>yes</w:t>
            </w:r>
          </w:p>
        </w:tc>
        <w:tc>
          <w:tcPr>
            <w:tcW w:w="1040" w:type="dxa"/>
          </w:tcPr>
          <w:p>
            <w:pPr>
              <w:pStyle w:val="yTable"/>
              <w:jc w:val="center"/>
            </w:pPr>
            <w:r>
              <w:br/>
            </w:r>
            <w:r>
              <w:br/>
              <w:t>yes</w:t>
            </w:r>
          </w:p>
        </w:tc>
        <w:tc>
          <w:tcPr>
            <w:tcW w:w="898" w:type="dxa"/>
          </w:tcPr>
          <w:p>
            <w:pPr>
              <w:pStyle w:val="yTable"/>
              <w:jc w:val="center"/>
            </w:pPr>
            <w:r>
              <w:br/>
            </w:r>
            <w:r>
              <w:br/>
              <w:t>20</w:t>
            </w:r>
          </w:p>
        </w:tc>
      </w:tr>
      <w:tr>
        <w:trPr>
          <w:cantSplit/>
        </w:trPr>
        <w:tc>
          <w:tcPr>
            <w:tcW w:w="3402" w:type="dxa"/>
          </w:tcPr>
          <w:p>
            <w:pPr>
              <w:pStyle w:val="yTable"/>
            </w:pPr>
            <w:r>
              <w:t>Hypothermia, total body</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pPr>
            <w:r>
              <w:t>Cardioplegia, blood or crystalloid, administration by any route</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pPr>
            <w:r>
              <w:t>Deep hypothermia to a core temperature of less than 22 degrees in association with circulatory arrest</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15</w:t>
            </w:r>
          </w:p>
        </w:tc>
      </w:tr>
      <w:tr>
        <w:trPr>
          <w:cantSplit/>
        </w:trPr>
        <w:tc>
          <w:tcPr>
            <w:tcW w:w="3402" w:type="dxa"/>
          </w:tcPr>
          <w:p>
            <w:pPr>
              <w:pStyle w:val="yTable"/>
            </w:pPr>
            <w:r>
              <w:t>Standby medical management of cardio</w:t>
            </w:r>
            <w:r>
              <w:noBreakHyphen/>
              <w:t>pulmonary bypass perfusion using heart/lung machine</w:t>
            </w:r>
          </w:p>
        </w:tc>
        <w:tc>
          <w:tcPr>
            <w:tcW w:w="1039" w:type="dxa"/>
          </w:tcPr>
          <w:p>
            <w:pPr>
              <w:pStyle w:val="yTable"/>
              <w:jc w:val="center"/>
            </w:pPr>
            <w:r>
              <w:br/>
            </w:r>
            <w:r>
              <w:br/>
              <w:t>no</w:t>
            </w:r>
          </w:p>
        </w:tc>
        <w:tc>
          <w:tcPr>
            <w:tcW w:w="1040" w:type="dxa"/>
          </w:tcPr>
          <w:p>
            <w:pPr>
              <w:pStyle w:val="yTable"/>
              <w:jc w:val="center"/>
            </w:pPr>
            <w:r>
              <w:br/>
            </w:r>
            <w:r>
              <w:br/>
              <w:t>yes</w:t>
            </w:r>
          </w:p>
        </w:tc>
        <w:tc>
          <w:tcPr>
            <w:tcW w:w="898" w:type="dxa"/>
          </w:tcPr>
          <w:p>
            <w:pPr>
              <w:pStyle w:val="yTable"/>
              <w:jc w:val="center"/>
            </w:pPr>
            <w:r>
              <w:br/>
            </w:r>
            <w:r>
              <w:br/>
              <w:t>5</w:t>
            </w:r>
          </w:p>
        </w:tc>
      </w:tr>
      <w:tr>
        <w:trPr>
          <w:cantSplit/>
        </w:trPr>
        <w:tc>
          <w:tcPr>
            <w:tcW w:w="3402" w:type="dxa"/>
          </w:tcPr>
          <w:p>
            <w:pPr>
              <w:pStyle w:val="yTable"/>
            </w:pPr>
            <w:r>
              <w:t>Major nerve block (proximal to the elbow or knee), including intercostal nerve clock(s) or plexus block to provide post operative pain relief</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4</w:t>
            </w:r>
          </w:p>
        </w:tc>
      </w:tr>
      <w:tr>
        <w:trPr>
          <w:cantSplit/>
        </w:trPr>
        <w:tc>
          <w:tcPr>
            <w:tcW w:w="3402" w:type="dxa"/>
          </w:tcPr>
          <w:p>
            <w:pPr>
              <w:pStyle w:val="yTable"/>
            </w:pPr>
            <w:r>
              <w:t>Minor nerve block (specify type) to provide post operative pain relief (does not include subcutaneous infiltration)</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2</w:t>
            </w:r>
          </w:p>
        </w:tc>
      </w:tr>
      <w:tr>
        <w:trPr>
          <w:cantSplit/>
        </w:trPr>
        <w:tc>
          <w:tcPr>
            <w:tcW w:w="3402" w:type="dxa"/>
          </w:tcPr>
          <w:p>
            <w:pPr>
              <w:pStyle w:val="yTable"/>
            </w:pPr>
            <w:r>
              <w:t>Intrathecal or epidural injection (initial) of a therapeutic substance, with or without insertion of a catheter, in association with anaesthesia and surgery, for post operative pain management</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5</w:t>
            </w:r>
          </w:p>
        </w:tc>
      </w:tr>
      <w:tr>
        <w:trPr>
          <w:cantSplit/>
        </w:trPr>
        <w:tc>
          <w:tcPr>
            <w:tcW w:w="3402" w:type="dxa"/>
          </w:tcPr>
          <w:p>
            <w:pPr>
              <w:pStyle w:val="yTable"/>
            </w:pPr>
            <w:r>
              <w:t>Intrathecal or epidural injection (subsequent) of a therapeutic substance, in association with anaesthesia and surgery, for post operative pain management</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3</w:t>
            </w:r>
          </w:p>
        </w:tc>
      </w:tr>
      <w:tr>
        <w:trPr>
          <w:cantSplit/>
        </w:trPr>
        <w:tc>
          <w:tcPr>
            <w:tcW w:w="3402" w:type="dxa"/>
          </w:tcPr>
          <w:p>
            <w:pPr>
              <w:pStyle w:val="yTable"/>
            </w:pPr>
            <w:r>
              <w:t>Subarachnoid puncture, lumbar, diagnostic</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pPr>
            <w:r>
              <w:t>Insertion of subarachnoid drain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pPr>
            <w:r>
              <w:t>Intrathecal, or epidural or injection, (initial or commencement of infusion) of a therapeutic substance, including up to one hour of continuous attendance by a medical practitioner</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8</w:t>
            </w:r>
          </w:p>
        </w:tc>
      </w:tr>
      <w:tr>
        <w:trPr>
          <w:cantSplit/>
        </w:trPr>
        <w:tc>
          <w:tcPr>
            <w:tcW w:w="3402" w:type="dxa"/>
          </w:tcPr>
          <w:p>
            <w:pPr>
              <w:pStyle w:val="yTable"/>
            </w:pPr>
            <w:r>
              <w:t>Intrathecal, or epidural or injection, (initial or commencement of infusion) of a therapeutic substance, where continuous attendance by a medical practitioner extends beyond one hour, add one unit for each 15 minutes over the first hour</w:t>
            </w:r>
          </w:p>
        </w:tc>
        <w:tc>
          <w:tcPr>
            <w:tcW w:w="1039" w:type="dxa"/>
          </w:tcPr>
          <w:p>
            <w:pPr>
              <w:pStyle w:val="yTable"/>
              <w:jc w:val="center"/>
            </w:pPr>
            <w:r>
              <w:br/>
            </w:r>
            <w:r>
              <w:br/>
            </w:r>
            <w:r>
              <w:br/>
            </w:r>
            <w:r>
              <w:br/>
            </w:r>
            <w:r>
              <w:br/>
            </w:r>
            <w:r>
              <w:br/>
            </w:r>
            <w:r>
              <w:br/>
              <w:t>no</w:t>
            </w:r>
          </w:p>
        </w:tc>
        <w:tc>
          <w:tcPr>
            <w:tcW w:w="1040" w:type="dxa"/>
          </w:tcPr>
          <w:p>
            <w:pPr>
              <w:pStyle w:val="yTable"/>
              <w:jc w:val="center"/>
            </w:pPr>
            <w:r>
              <w:br/>
            </w:r>
            <w:r>
              <w:br/>
            </w:r>
            <w:r>
              <w:br/>
            </w:r>
            <w:r>
              <w:br/>
            </w:r>
            <w:r>
              <w:br/>
            </w:r>
            <w:r>
              <w:br/>
            </w:r>
            <w:r>
              <w:br/>
              <w:t>no</w:t>
            </w:r>
          </w:p>
        </w:tc>
        <w:tc>
          <w:tcPr>
            <w:tcW w:w="898" w:type="dxa"/>
          </w:tcPr>
          <w:p>
            <w:pPr>
              <w:pStyle w:val="yTable"/>
              <w:jc w:val="center"/>
            </w:pPr>
            <w:r>
              <w:br/>
            </w:r>
            <w:r>
              <w:br/>
            </w:r>
            <w:r>
              <w:br/>
            </w:r>
            <w:r>
              <w:br/>
            </w:r>
            <w:r>
              <w:br/>
            </w:r>
            <w:r>
              <w:br/>
            </w:r>
            <w:r>
              <w:br/>
              <w:t>0</w:t>
            </w:r>
          </w:p>
        </w:tc>
      </w:tr>
      <w:tr>
        <w:trPr>
          <w:cantSplit/>
        </w:trPr>
        <w:tc>
          <w:tcPr>
            <w:tcW w:w="3402" w:type="dxa"/>
          </w:tcPr>
          <w:p>
            <w:pPr>
              <w:pStyle w:val="yTable"/>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39" w:type="dxa"/>
          </w:tcPr>
          <w:p>
            <w:pPr>
              <w:pStyle w:val="yTable"/>
              <w:jc w:val="center"/>
            </w:pPr>
            <w:r>
              <w:br/>
            </w:r>
            <w:r>
              <w:br/>
            </w:r>
            <w:r>
              <w:br/>
            </w:r>
            <w:r>
              <w:br/>
            </w:r>
            <w:r>
              <w:br/>
            </w:r>
            <w:r>
              <w:br/>
              <w:t>no</w:t>
            </w:r>
          </w:p>
        </w:tc>
        <w:tc>
          <w:tcPr>
            <w:tcW w:w="1040" w:type="dxa"/>
          </w:tcPr>
          <w:p>
            <w:pPr>
              <w:pStyle w:val="yTable"/>
              <w:jc w:val="center"/>
            </w:pPr>
            <w:r>
              <w:br/>
            </w:r>
            <w:r>
              <w:br/>
            </w:r>
            <w:r>
              <w:br/>
            </w:r>
            <w:r>
              <w:br/>
            </w:r>
            <w:r>
              <w:br/>
            </w:r>
            <w:r>
              <w:br/>
              <w:t>no</w:t>
            </w:r>
          </w:p>
        </w:tc>
        <w:tc>
          <w:tcPr>
            <w:tcW w:w="898" w:type="dxa"/>
          </w:tcPr>
          <w:p>
            <w:pPr>
              <w:pStyle w:val="yTable"/>
              <w:jc w:val="center"/>
            </w:pPr>
            <w:r>
              <w:br/>
            </w:r>
            <w:r>
              <w:br/>
            </w:r>
            <w:r>
              <w:br/>
            </w:r>
            <w:r>
              <w:br/>
            </w:r>
            <w:r>
              <w:br/>
            </w:r>
            <w:r>
              <w:br/>
              <w:t>15</w:t>
            </w:r>
          </w:p>
        </w:tc>
      </w:tr>
      <w:tr>
        <w:trPr>
          <w:cantSplit/>
        </w:trPr>
        <w:tc>
          <w:tcPr>
            <w:tcW w:w="3402" w:type="dxa"/>
          </w:tcPr>
          <w:p>
            <w:pPr>
              <w:pStyle w:val="yTable"/>
            </w:pPr>
            <w:r>
              <w:t xml:space="preserve">Intrathecal, or epidural or injection, (initial or commencement of infusion) of a therapeutic substance, where continuous </w:t>
            </w:r>
            <w:r>
              <w:rPr>
                <w:b/>
              </w:rPr>
              <w:t>after hours</w:t>
            </w:r>
            <w:r>
              <w:t xml:space="preserve"> attendance by a medical practitioner extends beyond the first hour, add one unit for each 15 minutes of the first hour for a patient in labour</w:t>
            </w:r>
          </w:p>
        </w:tc>
        <w:tc>
          <w:tcPr>
            <w:tcW w:w="1039" w:type="dxa"/>
          </w:tcPr>
          <w:p>
            <w:pPr>
              <w:pStyle w:val="yTable"/>
              <w:jc w:val="center"/>
            </w:pPr>
            <w:r>
              <w:br/>
            </w:r>
            <w:r>
              <w:br/>
            </w:r>
            <w:r>
              <w:br/>
            </w:r>
            <w:r>
              <w:br/>
            </w:r>
            <w:r>
              <w:br/>
            </w:r>
            <w:r>
              <w:br/>
            </w:r>
            <w:r>
              <w:br/>
            </w:r>
            <w:r>
              <w:br/>
              <w:t>no</w:t>
            </w:r>
          </w:p>
        </w:tc>
        <w:tc>
          <w:tcPr>
            <w:tcW w:w="1040" w:type="dxa"/>
          </w:tcPr>
          <w:p>
            <w:pPr>
              <w:pStyle w:val="yTable"/>
              <w:jc w:val="center"/>
            </w:pPr>
            <w:r>
              <w:br/>
            </w:r>
            <w:r>
              <w:br/>
            </w:r>
            <w:r>
              <w:br/>
            </w:r>
            <w:r>
              <w:br/>
            </w:r>
            <w:r>
              <w:br/>
            </w:r>
            <w:r>
              <w:br/>
            </w:r>
            <w:r>
              <w:br/>
            </w:r>
            <w:r>
              <w:br/>
              <w:t>no</w:t>
            </w:r>
          </w:p>
        </w:tc>
        <w:tc>
          <w:tcPr>
            <w:tcW w:w="898" w:type="dxa"/>
          </w:tcPr>
          <w:p>
            <w:pPr>
              <w:pStyle w:val="yTable"/>
              <w:jc w:val="center"/>
            </w:pPr>
            <w:r>
              <w:br/>
            </w:r>
            <w:r>
              <w:br/>
            </w:r>
            <w:r>
              <w:br/>
            </w:r>
            <w:r>
              <w:br/>
            </w:r>
            <w:r>
              <w:br/>
            </w:r>
            <w:r>
              <w:br/>
            </w:r>
            <w:r>
              <w:br/>
            </w:r>
            <w:r>
              <w:br/>
              <w:t>0</w:t>
            </w:r>
          </w:p>
        </w:tc>
      </w:tr>
      <w:tr>
        <w:trPr>
          <w:cantSplit/>
        </w:trPr>
        <w:tc>
          <w:tcPr>
            <w:tcW w:w="3402" w:type="dxa"/>
          </w:tcPr>
          <w:p>
            <w:pPr>
              <w:pStyle w:val="yTable"/>
            </w:pPr>
            <w:r>
              <w:t>Subsequent injection (or revision of infusion) of a therapeutic substance to maintain regional anaesthesia or analgesia where the period of continuous medical practitioner attendance is 15 minutes or less</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3</w:t>
            </w:r>
          </w:p>
        </w:tc>
      </w:tr>
      <w:tr>
        <w:trPr>
          <w:cantSplit/>
        </w:trPr>
        <w:tc>
          <w:tcPr>
            <w:tcW w:w="3402" w:type="dxa"/>
          </w:tcPr>
          <w:p>
            <w:pPr>
              <w:pStyle w:val="yTable"/>
            </w:pPr>
            <w:r>
              <w:t>Subsequent injection (or revision of infusion) of a therapeutic substance to maintain regional anaesthesia or analgesia where the period of continuous medical practitioner attendance is more than 15 minutes</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4</w:t>
            </w:r>
          </w:p>
        </w:tc>
      </w:tr>
      <w:tr>
        <w:trPr>
          <w:cantSplit/>
        </w:trPr>
        <w:tc>
          <w:tcPr>
            <w:tcW w:w="3402" w:type="dxa"/>
          </w:tcPr>
          <w:p>
            <w:pPr>
              <w:pStyle w:val="yTable"/>
            </w:pPr>
            <w:r>
              <w:t>Interpleural block, initial injection or commencement of infusion of a therapeutic substance</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pPr>
            <w:r>
              <w:t>Intrathecal, epidural or caudal injection of neurolytic substance</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20</w:t>
            </w:r>
          </w:p>
        </w:tc>
      </w:tr>
      <w:tr>
        <w:trPr>
          <w:cantSplit/>
        </w:trPr>
        <w:tc>
          <w:tcPr>
            <w:tcW w:w="3402" w:type="dxa"/>
          </w:tcPr>
          <w:p>
            <w:pPr>
              <w:pStyle w:val="yTable"/>
            </w:pPr>
            <w:r>
              <w:t>Intrathecal, epidural or caudal injection of substance other than anaesthetic, contrast or neurolytic solutions, not being a service to which another item in the Group applies</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8</w:t>
            </w:r>
          </w:p>
        </w:tc>
      </w:tr>
      <w:tr>
        <w:trPr>
          <w:cantSplit/>
        </w:trPr>
        <w:tc>
          <w:tcPr>
            <w:tcW w:w="3402" w:type="dxa"/>
          </w:tcPr>
          <w:p>
            <w:pPr>
              <w:pStyle w:val="yTable"/>
            </w:pPr>
            <w:r>
              <w:t>Epidural injection of blood for blood patch</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8</w:t>
            </w:r>
          </w:p>
        </w:tc>
      </w:tr>
      <w:tr>
        <w:trPr>
          <w:cantSplit/>
        </w:trPr>
        <w:tc>
          <w:tcPr>
            <w:tcW w:w="3402" w:type="dxa"/>
          </w:tcPr>
          <w:p>
            <w:pPr>
              <w:pStyle w:val="yTable"/>
            </w:pPr>
            <w:r>
              <w:t>Injection of an anaesthetic agent</w:t>
            </w:r>
          </w:p>
        </w:tc>
        <w:tc>
          <w:tcPr>
            <w:tcW w:w="1039" w:type="dxa"/>
          </w:tcPr>
          <w:p>
            <w:pPr>
              <w:pStyle w:val="zytable"/>
              <w:ind w:left="0"/>
              <w:jc w:val="center"/>
            </w:pPr>
          </w:p>
        </w:tc>
        <w:tc>
          <w:tcPr>
            <w:tcW w:w="1040" w:type="dxa"/>
          </w:tcPr>
          <w:p>
            <w:pPr>
              <w:pStyle w:val="zytable"/>
              <w:ind w:left="0"/>
              <w:jc w:val="center"/>
            </w:pPr>
          </w:p>
        </w:tc>
        <w:tc>
          <w:tcPr>
            <w:tcW w:w="898" w:type="dxa"/>
          </w:tcPr>
          <w:p>
            <w:pPr>
              <w:pStyle w:val="yTable"/>
              <w:jc w:val="center"/>
            </w:pPr>
          </w:p>
        </w:tc>
      </w:tr>
      <w:tr>
        <w:trPr>
          <w:cantSplit/>
        </w:trPr>
        <w:tc>
          <w:tcPr>
            <w:tcW w:w="3402" w:type="dxa"/>
          </w:tcPr>
          <w:p>
            <w:pPr>
              <w:pStyle w:val="yTable"/>
              <w:tabs>
                <w:tab w:val="left" w:pos="596"/>
              </w:tabs>
              <w:ind w:left="596" w:hanging="596"/>
            </w:pPr>
            <w:r>
              <w:t> — trigeminal nerve, primary division of</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tabs>
                <w:tab w:val="left" w:pos="596"/>
              </w:tabs>
              <w:ind w:left="596" w:hanging="596"/>
            </w:pPr>
            <w:r>
              <w:t> — trigeminal nerve, peripheral branch of</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tabs>
                <w:tab w:val="left" w:pos="596"/>
              </w:tabs>
              <w:ind w:left="596" w:hanging="596"/>
            </w:pPr>
            <w:r>
              <w:t> — facial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tabs>
                <w:tab w:val="left" w:pos="596"/>
              </w:tabs>
              <w:ind w:left="596" w:hanging="596"/>
            </w:pPr>
            <w:r>
              <w:t> — retrobulbar or peribulbar</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greater occipital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tabs>
                <w:tab w:val="left" w:pos="596"/>
              </w:tabs>
              <w:ind w:left="596" w:hanging="596"/>
            </w:pPr>
            <w:r>
              <w:t> — vagus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glossopharyngeal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phrenic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spinal accessory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cervical plexus</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brachial plexus</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suprascapular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intercostal nerve, single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intercostal nerves, multiple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ilioinguinal, iliohypogastric or genito femoral nerves, one or more of</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tabs>
                <w:tab w:val="left" w:pos="596"/>
              </w:tabs>
              <w:ind w:left="596" w:hanging="596"/>
            </w:pPr>
            <w:r>
              <w:t> — pudendal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ulnar, radial or median nerve of main trunk, one or more of, not being associated with a brachial plexus block</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5</w:t>
            </w:r>
          </w:p>
        </w:tc>
      </w:tr>
      <w:tr>
        <w:trPr>
          <w:cantSplit/>
        </w:trPr>
        <w:tc>
          <w:tcPr>
            <w:tcW w:w="3402" w:type="dxa"/>
          </w:tcPr>
          <w:p>
            <w:pPr>
              <w:pStyle w:val="yTable"/>
              <w:tabs>
                <w:tab w:val="left" w:pos="596"/>
              </w:tabs>
              <w:ind w:left="596" w:hanging="596"/>
            </w:pPr>
            <w:r>
              <w:t> — paracervical (uterine)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obturator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femoral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saphenous, sural, popliteal or posterior tibial nerve of main trunk, one or more of</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tabs>
                <w:tab w:val="left" w:pos="596"/>
              </w:tabs>
              <w:ind w:left="596" w:hanging="596"/>
            </w:pPr>
            <w:r>
              <w:t> — paravertebral, cervical, thoracic, lumbar, sacral or coccygeal nerves, single vertebral level</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7</w:t>
            </w:r>
          </w:p>
        </w:tc>
      </w:tr>
      <w:tr>
        <w:trPr>
          <w:cantSplit/>
        </w:trPr>
        <w:tc>
          <w:tcPr>
            <w:tcW w:w="3402" w:type="dxa"/>
          </w:tcPr>
          <w:p>
            <w:pPr>
              <w:pStyle w:val="yTable"/>
              <w:tabs>
                <w:tab w:val="left" w:pos="596"/>
              </w:tabs>
              <w:ind w:left="596" w:hanging="596"/>
            </w:pPr>
            <w:r>
              <w:t> — paravertebral nerves, multiple levels</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pPr>
            <w:r>
              <w:t> — sciatic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other peripheral nerve or branch</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sphenopalatine ganglion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10</w:t>
            </w:r>
          </w:p>
        </w:tc>
      </w:tr>
      <w:tr>
        <w:trPr>
          <w:cantSplit/>
        </w:trPr>
        <w:tc>
          <w:tcPr>
            <w:tcW w:w="3402" w:type="dxa"/>
          </w:tcPr>
          <w:p>
            <w:pPr>
              <w:pStyle w:val="yTable"/>
              <w:tabs>
                <w:tab w:val="left" w:pos="596"/>
              </w:tabs>
              <w:ind w:left="596" w:hanging="596"/>
            </w:pPr>
            <w:r>
              <w:t> — carotid sinus, as an independent percutaneous procedure</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8</w:t>
            </w:r>
          </w:p>
        </w:tc>
      </w:tr>
      <w:tr>
        <w:trPr>
          <w:cantSplit/>
        </w:trPr>
        <w:tc>
          <w:tcPr>
            <w:tcW w:w="3402" w:type="dxa"/>
          </w:tcPr>
          <w:p>
            <w:pPr>
              <w:pStyle w:val="yTable"/>
              <w:tabs>
                <w:tab w:val="left" w:pos="596"/>
              </w:tabs>
              <w:ind w:left="596" w:hanging="596"/>
            </w:pPr>
            <w:r>
              <w:t> — stellate ganglion (cervical sympathetic block)</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8</w:t>
            </w:r>
          </w:p>
        </w:tc>
      </w:tr>
      <w:tr>
        <w:trPr>
          <w:cantSplit/>
        </w:trPr>
        <w:tc>
          <w:tcPr>
            <w:tcW w:w="3402" w:type="dxa"/>
          </w:tcPr>
          <w:p>
            <w:pPr>
              <w:pStyle w:val="yTable"/>
              <w:tabs>
                <w:tab w:val="left" w:pos="596"/>
              </w:tabs>
              <w:ind w:left="596" w:hanging="596"/>
            </w:pPr>
            <w:r>
              <w:t> — lumbar or thoracic nerves (paravertebral sympathetic block)</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8</w:t>
            </w:r>
          </w:p>
        </w:tc>
      </w:tr>
      <w:tr>
        <w:trPr>
          <w:cantSplit/>
        </w:trPr>
        <w:tc>
          <w:tcPr>
            <w:tcW w:w="3402" w:type="dxa"/>
          </w:tcPr>
          <w:p>
            <w:pPr>
              <w:pStyle w:val="yTable"/>
              <w:tabs>
                <w:tab w:val="left" w:pos="596"/>
              </w:tabs>
              <w:ind w:left="596" w:hanging="596"/>
            </w:pPr>
            <w:r>
              <w:t> — coeliac plexus or splanchnic nerves</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pPr>
            <w:r>
              <w:t>Cranial nerve other than trigeminal, destruction by a neurolytic agent, not being a service associated with the injection of botulinum toxin</w:t>
            </w:r>
          </w:p>
        </w:tc>
        <w:tc>
          <w:tcPr>
            <w:tcW w:w="1039" w:type="dxa"/>
          </w:tcPr>
          <w:p>
            <w:pPr>
              <w:spacing w:before="60"/>
              <w:jc w:val="center"/>
              <w:rPr>
                <w:sz w:val="22"/>
              </w:rPr>
            </w:pPr>
            <w:r>
              <w:rPr>
                <w:sz w:val="22"/>
              </w:rPr>
              <w:br/>
            </w:r>
            <w:r>
              <w:rPr>
                <w:sz w:val="22"/>
              </w:rPr>
              <w:br/>
            </w:r>
            <w:r>
              <w:rPr>
                <w:sz w:val="22"/>
              </w:rPr>
              <w:br/>
              <w:t>no</w:t>
            </w:r>
          </w:p>
        </w:tc>
        <w:tc>
          <w:tcPr>
            <w:tcW w:w="1040" w:type="dxa"/>
          </w:tcPr>
          <w:p>
            <w:pPr>
              <w:spacing w:before="60"/>
              <w:jc w:val="center"/>
              <w:rPr>
                <w:sz w:val="22"/>
              </w:rPr>
            </w:pPr>
            <w:r>
              <w:rPr>
                <w:sz w:val="22"/>
              </w:rPr>
              <w:br/>
            </w:r>
            <w:r>
              <w:rPr>
                <w:sz w:val="22"/>
              </w:rPr>
              <w:br/>
            </w:r>
            <w:r>
              <w:rPr>
                <w:sz w:val="22"/>
              </w:rPr>
              <w:br/>
              <w:t>no</w:t>
            </w:r>
          </w:p>
        </w:tc>
        <w:tc>
          <w:tcPr>
            <w:tcW w:w="898" w:type="dxa"/>
          </w:tcPr>
          <w:p>
            <w:pPr>
              <w:spacing w:before="60"/>
              <w:jc w:val="center"/>
              <w:rPr>
                <w:sz w:val="22"/>
              </w:rPr>
            </w:pPr>
            <w:r>
              <w:rPr>
                <w:sz w:val="22"/>
              </w:rPr>
              <w:br/>
            </w:r>
            <w:r>
              <w:rPr>
                <w:sz w:val="22"/>
              </w:rPr>
              <w:br/>
            </w:r>
            <w:r>
              <w:rPr>
                <w:sz w:val="22"/>
              </w:rPr>
              <w:br/>
              <w:t>20</w:t>
            </w:r>
          </w:p>
        </w:tc>
      </w:tr>
      <w:tr>
        <w:trPr>
          <w:cantSplit/>
        </w:trPr>
        <w:tc>
          <w:tcPr>
            <w:tcW w:w="3402" w:type="dxa"/>
          </w:tcPr>
          <w:p>
            <w:pPr>
              <w:pStyle w:val="yTable"/>
            </w:pPr>
            <w:r>
              <w:t>Nerve branch, not covered by any other item in this Group, destruction by a neurolytic agent, not being a service associated with the injection of botulinum toxin</w:t>
            </w:r>
          </w:p>
        </w:tc>
        <w:tc>
          <w:tcPr>
            <w:tcW w:w="1039" w:type="dxa"/>
          </w:tcPr>
          <w:p>
            <w:pPr>
              <w:spacing w:before="60"/>
              <w:jc w:val="center"/>
              <w:rPr>
                <w:sz w:val="22"/>
              </w:rPr>
            </w:pPr>
            <w:r>
              <w:rPr>
                <w:sz w:val="22"/>
              </w:rPr>
              <w:br/>
            </w:r>
            <w:r>
              <w:rPr>
                <w:sz w:val="22"/>
              </w:rPr>
              <w:br/>
            </w:r>
            <w:r>
              <w:rPr>
                <w:sz w:val="22"/>
              </w:rPr>
              <w:br/>
            </w:r>
            <w:r>
              <w:rPr>
                <w:sz w:val="22"/>
              </w:rPr>
              <w:br/>
              <w:t>no</w:t>
            </w:r>
          </w:p>
        </w:tc>
        <w:tc>
          <w:tcPr>
            <w:tcW w:w="1040" w:type="dxa"/>
          </w:tcPr>
          <w:p>
            <w:pPr>
              <w:spacing w:before="60"/>
              <w:jc w:val="center"/>
              <w:rPr>
                <w:sz w:val="22"/>
              </w:rPr>
            </w:pPr>
            <w:r>
              <w:rPr>
                <w:sz w:val="22"/>
              </w:rPr>
              <w:br/>
            </w:r>
            <w:r>
              <w:rPr>
                <w:sz w:val="22"/>
              </w:rPr>
              <w:br/>
            </w:r>
            <w:r>
              <w:rPr>
                <w:sz w:val="22"/>
              </w:rPr>
              <w:br/>
            </w:r>
            <w:r>
              <w:rPr>
                <w:sz w:val="22"/>
              </w:rPr>
              <w:br/>
              <w:t>no</w:t>
            </w:r>
          </w:p>
        </w:tc>
        <w:tc>
          <w:tcPr>
            <w:tcW w:w="898" w:type="dxa"/>
          </w:tcPr>
          <w:p>
            <w:pPr>
              <w:spacing w:before="60"/>
              <w:jc w:val="center"/>
              <w:rPr>
                <w:sz w:val="22"/>
              </w:rPr>
            </w:pPr>
            <w:r>
              <w:rPr>
                <w:sz w:val="22"/>
              </w:rPr>
              <w:br/>
            </w:r>
            <w:r>
              <w:rPr>
                <w:sz w:val="22"/>
              </w:rPr>
              <w:br/>
            </w:r>
            <w:r>
              <w:rPr>
                <w:sz w:val="22"/>
              </w:rPr>
              <w:br/>
            </w:r>
            <w:r>
              <w:rPr>
                <w:sz w:val="22"/>
              </w:rPr>
              <w:br/>
              <w:t>10</w:t>
            </w:r>
          </w:p>
        </w:tc>
      </w:tr>
      <w:tr>
        <w:trPr>
          <w:cantSplit/>
        </w:trPr>
        <w:tc>
          <w:tcPr>
            <w:tcW w:w="3402" w:type="dxa"/>
          </w:tcPr>
          <w:p>
            <w:pPr>
              <w:pStyle w:val="yTable"/>
            </w:pPr>
            <w:r>
              <w:t>Coeliac plexus or splanchnic nerves, destruction by a neurolytic agent</w:t>
            </w:r>
          </w:p>
        </w:tc>
        <w:tc>
          <w:tcPr>
            <w:tcW w:w="1039" w:type="dxa"/>
          </w:tcPr>
          <w:p>
            <w:pPr>
              <w:spacing w:before="60"/>
              <w:jc w:val="center"/>
              <w:rPr>
                <w:sz w:val="22"/>
              </w:rPr>
            </w:pPr>
            <w:r>
              <w:rPr>
                <w:sz w:val="22"/>
              </w:rPr>
              <w:br/>
            </w:r>
            <w:r>
              <w:rPr>
                <w:sz w:val="22"/>
              </w:rPr>
              <w:br/>
              <w:t>no</w:t>
            </w:r>
          </w:p>
        </w:tc>
        <w:tc>
          <w:tcPr>
            <w:tcW w:w="1040" w:type="dxa"/>
          </w:tcPr>
          <w:p>
            <w:pPr>
              <w:spacing w:before="60"/>
              <w:jc w:val="center"/>
              <w:rPr>
                <w:sz w:val="22"/>
              </w:rPr>
            </w:pPr>
            <w:r>
              <w:rPr>
                <w:sz w:val="22"/>
              </w:rPr>
              <w:br/>
            </w:r>
            <w:r>
              <w:rPr>
                <w:sz w:val="22"/>
              </w:rPr>
              <w:br/>
              <w:t>no</w:t>
            </w:r>
          </w:p>
        </w:tc>
        <w:tc>
          <w:tcPr>
            <w:tcW w:w="898" w:type="dxa"/>
          </w:tcPr>
          <w:p>
            <w:pPr>
              <w:spacing w:before="60"/>
              <w:jc w:val="center"/>
              <w:rPr>
                <w:sz w:val="22"/>
              </w:rPr>
            </w:pPr>
            <w:r>
              <w:rPr>
                <w:sz w:val="22"/>
              </w:rPr>
              <w:br/>
            </w:r>
            <w:r>
              <w:rPr>
                <w:sz w:val="22"/>
              </w:rPr>
              <w:br/>
              <w:t>20</w:t>
            </w:r>
          </w:p>
        </w:tc>
      </w:tr>
      <w:tr>
        <w:trPr>
          <w:cantSplit/>
        </w:trPr>
        <w:tc>
          <w:tcPr>
            <w:tcW w:w="3402" w:type="dxa"/>
          </w:tcPr>
          <w:p>
            <w:pPr>
              <w:pStyle w:val="yTable"/>
            </w:pPr>
            <w:r>
              <w:t>Lumbar sympathetic chain, destruction by a neurolytic agent</w:t>
            </w:r>
          </w:p>
        </w:tc>
        <w:tc>
          <w:tcPr>
            <w:tcW w:w="1039" w:type="dxa"/>
          </w:tcPr>
          <w:p>
            <w:pPr>
              <w:spacing w:before="60"/>
              <w:jc w:val="center"/>
              <w:rPr>
                <w:sz w:val="22"/>
              </w:rPr>
            </w:pPr>
            <w:r>
              <w:rPr>
                <w:sz w:val="22"/>
              </w:rPr>
              <w:br/>
              <w:t>no</w:t>
            </w:r>
          </w:p>
        </w:tc>
        <w:tc>
          <w:tcPr>
            <w:tcW w:w="1040" w:type="dxa"/>
          </w:tcPr>
          <w:p>
            <w:pPr>
              <w:spacing w:before="60"/>
              <w:jc w:val="center"/>
              <w:rPr>
                <w:sz w:val="22"/>
              </w:rPr>
            </w:pPr>
            <w:r>
              <w:rPr>
                <w:sz w:val="22"/>
              </w:rPr>
              <w:br/>
              <w:t>no</w:t>
            </w:r>
          </w:p>
        </w:tc>
        <w:tc>
          <w:tcPr>
            <w:tcW w:w="898" w:type="dxa"/>
          </w:tcPr>
          <w:p>
            <w:pPr>
              <w:spacing w:before="60"/>
              <w:jc w:val="center"/>
              <w:rPr>
                <w:sz w:val="22"/>
              </w:rPr>
            </w:pPr>
            <w:r>
              <w:rPr>
                <w:sz w:val="22"/>
              </w:rPr>
              <w:br/>
              <w:t>15</w:t>
            </w:r>
          </w:p>
        </w:tc>
      </w:tr>
      <w:tr>
        <w:trPr>
          <w:cantSplit/>
        </w:trPr>
        <w:tc>
          <w:tcPr>
            <w:tcW w:w="3402" w:type="dxa"/>
          </w:tcPr>
          <w:p>
            <w:pPr>
              <w:pStyle w:val="yTable"/>
            </w:pPr>
            <w:r>
              <w:t>Cervical or thoracic sympathetic chain, destruction by a neurolytic agent</w:t>
            </w:r>
          </w:p>
        </w:tc>
        <w:tc>
          <w:tcPr>
            <w:tcW w:w="1039" w:type="dxa"/>
          </w:tcPr>
          <w:p>
            <w:pPr>
              <w:spacing w:before="60"/>
              <w:jc w:val="center"/>
              <w:rPr>
                <w:sz w:val="22"/>
              </w:rPr>
            </w:pPr>
            <w:r>
              <w:rPr>
                <w:sz w:val="22"/>
              </w:rPr>
              <w:br/>
            </w:r>
            <w:r>
              <w:rPr>
                <w:sz w:val="22"/>
              </w:rPr>
              <w:br/>
              <w:t>no</w:t>
            </w:r>
          </w:p>
        </w:tc>
        <w:tc>
          <w:tcPr>
            <w:tcW w:w="1040" w:type="dxa"/>
          </w:tcPr>
          <w:p>
            <w:pPr>
              <w:spacing w:before="60"/>
              <w:jc w:val="center"/>
              <w:rPr>
                <w:sz w:val="22"/>
              </w:rPr>
            </w:pPr>
            <w:r>
              <w:rPr>
                <w:sz w:val="22"/>
              </w:rPr>
              <w:br/>
            </w:r>
            <w:r>
              <w:rPr>
                <w:sz w:val="22"/>
              </w:rPr>
              <w:br/>
              <w:t>no</w:t>
            </w:r>
          </w:p>
        </w:tc>
        <w:tc>
          <w:tcPr>
            <w:tcW w:w="898" w:type="dxa"/>
          </w:tcPr>
          <w:p>
            <w:pPr>
              <w:spacing w:before="60"/>
              <w:jc w:val="center"/>
              <w:rPr>
                <w:sz w:val="22"/>
              </w:rPr>
            </w:pPr>
            <w:r>
              <w:rPr>
                <w:sz w:val="22"/>
              </w:rPr>
              <w:br/>
            </w:r>
            <w:r>
              <w:rPr>
                <w:sz w:val="22"/>
              </w:rPr>
              <w:br/>
              <w:t>20</w:t>
            </w:r>
          </w:p>
        </w:tc>
      </w:tr>
      <w:tr>
        <w:trPr>
          <w:cantSplit/>
        </w:trPr>
        <w:tc>
          <w:tcPr>
            <w:tcW w:w="3402" w:type="dxa"/>
          </w:tcPr>
          <w:p>
            <w:pPr>
              <w:pStyle w:val="yTable"/>
            </w:pPr>
            <w:r>
              <w:t>Cardioversion, elective, electrical conversion of arrhythmia, external</w:t>
            </w:r>
          </w:p>
        </w:tc>
        <w:tc>
          <w:tcPr>
            <w:tcW w:w="1039" w:type="dxa"/>
          </w:tcPr>
          <w:p>
            <w:pPr>
              <w:spacing w:before="60"/>
              <w:jc w:val="center"/>
              <w:rPr>
                <w:sz w:val="22"/>
              </w:rPr>
            </w:pPr>
            <w:r>
              <w:rPr>
                <w:sz w:val="22"/>
              </w:rPr>
              <w:br/>
              <w:t>no</w:t>
            </w:r>
          </w:p>
        </w:tc>
        <w:tc>
          <w:tcPr>
            <w:tcW w:w="1040" w:type="dxa"/>
          </w:tcPr>
          <w:p>
            <w:pPr>
              <w:spacing w:before="60"/>
              <w:jc w:val="center"/>
              <w:rPr>
                <w:sz w:val="22"/>
              </w:rPr>
            </w:pPr>
            <w:r>
              <w:rPr>
                <w:sz w:val="22"/>
              </w:rPr>
              <w:br/>
              <w:t>no</w:t>
            </w:r>
          </w:p>
        </w:tc>
        <w:tc>
          <w:tcPr>
            <w:tcW w:w="898" w:type="dxa"/>
          </w:tcPr>
          <w:p>
            <w:pPr>
              <w:spacing w:before="60"/>
              <w:jc w:val="center"/>
              <w:rPr>
                <w:sz w:val="22"/>
              </w:rPr>
            </w:pPr>
            <w:r>
              <w:rPr>
                <w:sz w:val="22"/>
              </w:rPr>
              <w:br/>
              <w:t>4</w:t>
            </w:r>
          </w:p>
        </w:tc>
      </w:tr>
      <w:tr>
        <w:trPr>
          <w:cantSplit/>
        </w:trPr>
        <w:tc>
          <w:tcPr>
            <w:tcW w:w="3402" w:type="dxa"/>
          </w:tcPr>
          <w:p>
            <w:pPr>
              <w:pStyle w:val="yTable"/>
            </w:pPr>
            <w:r>
              <w:t>Hyperbaric oxygen treatment when the specialist is inside the chamber</w:t>
            </w:r>
          </w:p>
        </w:tc>
        <w:tc>
          <w:tcPr>
            <w:tcW w:w="1039" w:type="dxa"/>
          </w:tcPr>
          <w:p>
            <w:pPr>
              <w:spacing w:before="60"/>
              <w:jc w:val="center"/>
              <w:rPr>
                <w:sz w:val="22"/>
              </w:rPr>
            </w:pPr>
            <w:r>
              <w:rPr>
                <w:sz w:val="22"/>
              </w:rPr>
              <w:br/>
              <w:t>yes</w:t>
            </w:r>
          </w:p>
        </w:tc>
        <w:tc>
          <w:tcPr>
            <w:tcW w:w="1040" w:type="dxa"/>
          </w:tcPr>
          <w:p>
            <w:pPr>
              <w:spacing w:before="60"/>
              <w:jc w:val="center"/>
              <w:rPr>
                <w:sz w:val="22"/>
              </w:rPr>
            </w:pPr>
            <w:r>
              <w:rPr>
                <w:sz w:val="22"/>
              </w:rPr>
              <w:br/>
              <w:t>yes</w:t>
            </w:r>
          </w:p>
        </w:tc>
        <w:tc>
          <w:tcPr>
            <w:tcW w:w="898" w:type="dxa"/>
          </w:tcPr>
          <w:p>
            <w:pPr>
              <w:spacing w:before="60"/>
              <w:jc w:val="center"/>
              <w:rPr>
                <w:sz w:val="22"/>
              </w:rPr>
            </w:pPr>
            <w:r>
              <w:rPr>
                <w:sz w:val="22"/>
              </w:rPr>
              <w:br/>
              <w:t>15</w:t>
            </w:r>
          </w:p>
        </w:tc>
      </w:tr>
      <w:tr>
        <w:trPr>
          <w:cantSplit/>
        </w:trPr>
        <w:tc>
          <w:tcPr>
            <w:tcW w:w="3402" w:type="dxa"/>
          </w:tcPr>
          <w:p>
            <w:pPr>
              <w:pStyle w:val="yTable"/>
            </w:pPr>
            <w:r>
              <w:t>Hyperbaric oxygen treatment when the specialist is outside the chamber</w:t>
            </w:r>
          </w:p>
        </w:tc>
        <w:tc>
          <w:tcPr>
            <w:tcW w:w="1039" w:type="dxa"/>
          </w:tcPr>
          <w:p>
            <w:pPr>
              <w:spacing w:before="60"/>
              <w:jc w:val="center"/>
              <w:rPr>
                <w:sz w:val="22"/>
              </w:rPr>
            </w:pPr>
            <w:r>
              <w:rPr>
                <w:sz w:val="22"/>
              </w:rPr>
              <w:br/>
              <w:t>yes</w:t>
            </w:r>
          </w:p>
        </w:tc>
        <w:tc>
          <w:tcPr>
            <w:tcW w:w="1040" w:type="dxa"/>
          </w:tcPr>
          <w:p>
            <w:pPr>
              <w:spacing w:before="60"/>
              <w:jc w:val="center"/>
              <w:rPr>
                <w:sz w:val="22"/>
              </w:rPr>
            </w:pPr>
            <w:r>
              <w:rPr>
                <w:sz w:val="22"/>
              </w:rPr>
              <w:br/>
              <w:t>yes</w:t>
            </w:r>
          </w:p>
        </w:tc>
        <w:tc>
          <w:tcPr>
            <w:tcW w:w="898" w:type="dxa"/>
          </w:tcPr>
          <w:p>
            <w:pPr>
              <w:spacing w:before="60"/>
              <w:jc w:val="center"/>
              <w:rPr>
                <w:sz w:val="22"/>
              </w:rPr>
            </w:pPr>
            <w:r>
              <w:rPr>
                <w:sz w:val="22"/>
              </w:rPr>
              <w:br/>
              <w:t>8</w:t>
            </w:r>
          </w:p>
        </w:tc>
      </w:tr>
      <w:tr>
        <w:trPr>
          <w:cantSplit/>
        </w:trPr>
        <w:tc>
          <w:tcPr>
            <w:tcW w:w="3402" w:type="dxa"/>
          </w:tcPr>
          <w:p>
            <w:pPr>
              <w:pStyle w:val="yTable"/>
            </w:pPr>
            <w:r>
              <w:t xml:space="preserve">Heart, 2 dimensional real time transoesophageal examination of, at least 2 oesophageal windows performed using a mechanical sector scanner or phased array transducer with — </w:t>
            </w:r>
          </w:p>
        </w:tc>
        <w:tc>
          <w:tcPr>
            <w:tcW w:w="1039" w:type="dxa"/>
          </w:tcPr>
          <w:p>
            <w:pPr>
              <w:jc w:val="center"/>
              <w:rPr>
                <w:sz w:val="22"/>
              </w:rPr>
            </w:pPr>
            <w:r>
              <w:rPr>
                <w:sz w:val="22"/>
              </w:rPr>
              <w:br/>
            </w:r>
            <w:r>
              <w:rPr>
                <w:sz w:val="22"/>
              </w:rPr>
              <w:br/>
            </w:r>
            <w:r>
              <w:rPr>
                <w:sz w:val="22"/>
              </w:rPr>
              <w:br/>
            </w:r>
            <w:r>
              <w:rPr>
                <w:sz w:val="22"/>
              </w:rPr>
              <w:br/>
            </w:r>
            <w:r>
              <w:rPr>
                <w:sz w:val="22"/>
              </w:rPr>
              <w:br/>
            </w:r>
          </w:p>
        </w:tc>
        <w:tc>
          <w:tcPr>
            <w:tcW w:w="1040" w:type="dxa"/>
          </w:tcPr>
          <w:p>
            <w:pPr>
              <w:jc w:val="center"/>
              <w:rPr>
                <w:sz w:val="22"/>
              </w:rPr>
            </w:pPr>
            <w:r>
              <w:rPr>
                <w:sz w:val="22"/>
              </w:rPr>
              <w:br/>
            </w:r>
            <w:r>
              <w:rPr>
                <w:sz w:val="22"/>
              </w:rPr>
              <w:br/>
            </w:r>
            <w:r>
              <w:rPr>
                <w:sz w:val="22"/>
              </w:rPr>
              <w:br/>
            </w:r>
            <w:r>
              <w:rPr>
                <w:sz w:val="22"/>
              </w:rPr>
              <w:br/>
            </w:r>
            <w:r>
              <w:rPr>
                <w:sz w:val="22"/>
              </w:rPr>
              <w:br/>
            </w:r>
          </w:p>
        </w:tc>
        <w:tc>
          <w:tcPr>
            <w:tcW w:w="898" w:type="dxa"/>
          </w:tcPr>
          <w:p>
            <w:pPr>
              <w:jc w:val="center"/>
              <w:rPr>
                <w:sz w:val="22"/>
              </w:rPr>
            </w:pPr>
            <w:r>
              <w:rPr>
                <w:sz w:val="22"/>
              </w:rPr>
              <w:br/>
            </w:r>
            <w:r>
              <w:rPr>
                <w:sz w:val="22"/>
              </w:rPr>
              <w:br/>
            </w:r>
            <w:r>
              <w:rPr>
                <w:sz w:val="22"/>
              </w:rPr>
              <w:br/>
            </w:r>
          </w:p>
          <w:p>
            <w:pPr>
              <w:jc w:val="center"/>
              <w:rPr>
                <w:sz w:val="22"/>
              </w:rPr>
            </w:pPr>
            <w:r>
              <w:rPr>
                <w:sz w:val="22"/>
              </w:rPr>
              <w:br/>
            </w:r>
          </w:p>
        </w:tc>
      </w:tr>
      <w:tr>
        <w:trPr>
          <w:cantSplit/>
        </w:trPr>
        <w:tc>
          <w:tcPr>
            <w:tcW w:w="3402" w:type="dxa"/>
          </w:tcPr>
          <w:p>
            <w:pPr>
              <w:pStyle w:val="yTable"/>
              <w:tabs>
                <w:tab w:val="left" w:pos="313"/>
                <w:tab w:val="left" w:pos="738"/>
              </w:tabs>
              <w:ind w:left="738" w:hanging="738"/>
            </w:pPr>
            <w:r>
              <w:tab/>
              <w:t>(a)</w:t>
            </w:r>
            <w:r>
              <w:tab/>
              <w:t>measurement blood flow velocities across the cardiac valves using pulsed wave and continuous Doppler techniques;</w:t>
            </w:r>
          </w:p>
        </w:tc>
        <w:tc>
          <w:tcPr>
            <w:tcW w:w="1039" w:type="dxa"/>
          </w:tcPr>
          <w:p>
            <w:pPr>
              <w:jc w:val="center"/>
              <w:rPr>
                <w:sz w:val="22"/>
              </w:rPr>
            </w:pPr>
          </w:p>
        </w:tc>
        <w:tc>
          <w:tcPr>
            <w:tcW w:w="1040" w:type="dxa"/>
          </w:tcPr>
          <w:p>
            <w:pPr>
              <w:jc w:val="center"/>
              <w:rPr>
                <w:sz w:val="22"/>
              </w:rPr>
            </w:pPr>
          </w:p>
        </w:tc>
        <w:tc>
          <w:tcPr>
            <w:tcW w:w="898" w:type="dxa"/>
          </w:tcPr>
          <w:p>
            <w:pPr>
              <w:jc w:val="center"/>
              <w:rPr>
                <w:sz w:val="22"/>
              </w:rPr>
            </w:pPr>
          </w:p>
        </w:tc>
      </w:tr>
      <w:tr>
        <w:trPr>
          <w:cantSplit/>
        </w:trPr>
        <w:tc>
          <w:tcPr>
            <w:tcW w:w="3402" w:type="dxa"/>
          </w:tcPr>
          <w:p>
            <w:pPr>
              <w:pStyle w:val="yTable"/>
              <w:tabs>
                <w:tab w:val="left" w:pos="313"/>
                <w:tab w:val="left" w:pos="738"/>
              </w:tabs>
              <w:ind w:left="738" w:hanging="738"/>
            </w:pPr>
            <w:r>
              <w:tab/>
              <w:t>(b)</w:t>
            </w:r>
            <w:r>
              <w:tab/>
              <w:t xml:space="preserve">real time colour flow mapping from at least 2 oesophageal windows; and </w:t>
            </w:r>
          </w:p>
          <w:p>
            <w:pPr>
              <w:pStyle w:val="yTable"/>
              <w:tabs>
                <w:tab w:val="left" w:pos="313"/>
                <w:tab w:val="left" w:pos="738"/>
              </w:tabs>
              <w:ind w:left="738" w:hanging="738"/>
            </w:pPr>
            <w:r>
              <w:tab/>
              <w:t>(c)</w:t>
            </w:r>
            <w:r>
              <w:tab/>
              <w:t>recording on video tape</w:t>
            </w:r>
          </w:p>
        </w:tc>
        <w:tc>
          <w:tcPr>
            <w:tcW w:w="1039" w:type="dxa"/>
          </w:tcPr>
          <w:p>
            <w:pPr>
              <w:spacing w:before="60"/>
              <w:jc w:val="center"/>
              <w:rPr>
                <w:sz w:val="22"/>
              </w:rPr>
            </w:pPr>
            <w:r>
              <w:rPr>
                <w:sz w:val="22"/>
              </w:rPr>
              <w:br/>
            </w:r>
            <w:r>
              <w:rPr>
                <w:sz w:val="22"/>
              </w:rPr>
              <w:br/>
            </w:r>
            <w:r>
              <w:rPr>
                <w:sz w:val="22"/>
              </w:rPr>
              <w:br/>
            </w:r>
          </w:p>
          <w:p>
            <w:pPr>
              <w:spacing w:before="60"/>
              <w:jc w:val="center"/>
              <w:rPr>
                <w:sz w:val="22"/>
              </w:rPr>
            </w:pPr>
            <w:r>
              <w:rPr>
                <w:sz w:val="22"/>
              </w:rPr>
              <w:t>no</w:t>
            </w:r>
          </w:p>
        </w:tc>
        <w:tc>
          <w:tcPr>
            <w:tcW w:w="1040" w:type="dxa"/>
          </w:tcPr>
          <w:p>
            <w:pPr>
              <w:spacing w:before="60"/>
              <w:jc w:val="center"/>
              <w:rPr>
                <w:sz w:val="22"/>
              </w:rPr>
            </w:pPr>
            <w:r>
              <w:rPr>
                <w:sz w:val="22"/>
              </w:rPr>
              <w:br/>
            </w:r>
            <w:r>
              <w:rPr>
                <w:sz w:val="22"/>
              </w:rPr>
              <w:br/>
            </w:r>
            <w:r>
              <w:rPr>
                <w:sz w:val="22"/>
              </w:rPr>
              <w:br/>
            </w:r>
          </w:p>
          <w:p>
            <w:pPr>
              <w:spacing w:before="60"/>
              <w:jc w:val="center"/>
              <w:rPr>
                <w:sz w:val="22"/>
              </w:rPr>
            </w:pPr>
            <w:r>
              <w:rPr>
                <w:sz w:val="22"/>
              </w:rPr>
              <w:t>no</w:t>
            </w:r>
          </w:p>
        </w:tc>
        <w:tc>
          <w:tcPr>
            <w:tcW w:w="898" w:type="dxa"/>
          </w:tcPr>
          <w:p>
            <w:pPr>
              <w:spacing w:before="60"/>
              <w:jc w:val="center"/>
              <w:rPr>
                <w:sz w:val="22"/>
              </w:rPr>
            </w:pPr>
            <w:r>
              <w:rPr>
                <w:sz w:val="22"/>
              </w:rPr>
              <w:br/>
            </w:r>
            <w:r>
              <w:rPr>
                <w:sz w:val="22"/>
              </w:rPr>
              <w:br/>
            </w:r>
            <w:r>
              <w:rPr>
                <w:sz w:val="22"/>
              </w:rPr>
              <w:br/>
            </w:r>
          </w:p>
          <w:p>
            <w:pPr>
              <w:spacing w:before="60"/>
              <w:jc w:val="center"/>
              <w:rPr>
                <w:sz w:val="22"/>
              </w:rPr>
            </w:pPr>
            <w:r>
              <w:rPr>
                <w:sz w:val="22"/>
              </w:rPr>
              <w:t>10</w:t>
            </w:r>
          </w:p>
        </w:tc>
      </w:tr>
      <w:tr>
        <w:trPr>
          <w:cantSplit/>
        </w:trPr>
        <w:tc>
          <w:tcPr>
            <w:tcW w:w="3402" w:type="dxa"/>
          </w:tcPr>
          <w:p>
            <w:pPr>
              <w:pStyle w:val="yTable"/>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39" w:type="dxa"/>
          </w:tcPr>
          <w:p>
            <w:pPr>
              <w:spacing w:before="6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1040" w:type="dxa"/>
          </w:tcPr>
          <w:p>
            <w:pPr>
              <w:spacing w:before="6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898" w:type="dxa"/>
          </w:tcPr>
          <w:p>
            <w:pPr>
              <w:spacing w:before="6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14</w:t>
            </w:r>
          </w:p>
        </w:tc>
      </w:tr>
      <w:tr>
        <w:trPr>
          <w:cantSplit/>
        </w:trPr>
        <w:tc>
          <w:tcPr>
            <w:tcW w:w="3402" w:type="dxa"/>
          </w:tcPr>
          <w:p>
            <w:pPr>
              <w:pStyle w:val="yTable"/>
            </w:pPr>
            <w:r>
              <w:t>Skin testing for allergy to anaesthetic agents</w:t>
            </w:r>
          </w:p>
        </w:tc>
        <w:tc>
          <w:tcPr>
            <w:tcW w:w="1039" w:type="dxa"/>
          </w:tcPr>
          <w:p>
            <w:pPr>
              <w:spacing w:before="60"/>
              <w:jc w:val="center"/>
              <w:rPr>
                <w:sz w:val="22"/>
              </w:rPr>
            </w:pPr>
            <w:r>
              <w:rPr>
                <w:sz w:val="22"/>
              </w:rPr>
              <w:br/>
              <w:t>no</w:t>
            </w:r>
          </w:p>
        </w:tc>
        <w:tc>
          <w:tcPr>
            <w:tcW w:w="1040" w:type="dxa"/>
          </w:tcPr>
          <w:p>
            <w:pPr>
              <w:spacing w:before="60"/>
              <w:jc w:val="center"/>
              <w:rPr>
                <w:sz w:val="22"/>
              </w:rPr>
            </w:pPr>
            <w:r>
              <w:rPr>
                <w:sz w:val="22"/>
              </w:rPr>
              <w:br/>
              <w:t>yes</w:t>
            </w:r>
          </w:p>
        </w:tc>
        <w:tc>
          <w:tcPr>
            <w:tcW w:w="898" w:type="dxa"/>
          </w:tcPr>
          <w:p>
            <w:pPr>
              <w:spacing w:before="60"/>
              <w:jc w:val="center"/>
              <w:rPr>
                <w:sz w:val="22"/>
              </w:rPr>
            </w:pPr>
            <w:r>
              <w:rPr>
                <w:sz w:val="22"/>
              </w:rPr>
              <w:br/>
              <w:t>4</w:t>
            </w:r>
          </w:p>
        </w:tc>
      </w:tr>
      <w:tr>
        <w:trPr>
          <w:cantSplit/>
        </w:trPr>
        <w:tc>
          <w:tcPr>
            <w:tcW w:w="3402" w:type="dxa"/>
            <w:tcBorders>
              <w:bottom w:val="single" w:sz="4" w:space="0" w:color="auto"/>
            </w:tcBorders>
          </w:tcPr>
          <w:p>
            <w:pPr>
              <w:pStyle w:val="yTable"/>
            </w:pPr>
            <w:r>
              <w:t>Assistance in the administration of an anaesthetic</w:t>
            </w:r>
          </w:p>
        </w:tc>
        <w:tc>
          <w:tcPr>
            <w:tcW w:w="1039" w:type="dxa"/>
            <w:tcBorders>
              <w:bottom w:val="single" w:sz="4" w:space="0" w:color="auto"/>
            </w:tcBorders>
          </w:tcPr>
          <w:p>
            <w:pPr>
              <w:spacing w:before="60"/>
              <w:jc w:val="center"/>
              <w:rPr>
                <w:sz w:val="22"/>
              </w:rPr>
            </w:pPr>
            <w:r>
              <w:rPr>
                <w:sz w:val="22"/>
              </w:rPr>
              <w:br/>
              <w:t>yes</w:t>
            </w:r>
          </w:p>
        </w:tc>
        <w:tc>
          <w:tcPr>
            <w:tcW w:w="1040" w:type="dxa"/>
            <w:tcBorders>
              <w:bottom w:val="single" w:sz="4" w:space="0" w:color="auto"/>
            </w:tcBorders>
          </w:tcPr>
          <w:p>
            <w:pPr>
              <w:spacing w:before="60"/>
              <w:jc w:val="center"/>
              <w:rPr>
                <w:sz w:val="22"/>
              </w:rPr>
            </w:pPr>
            <w:r>
              <w:rPr>
                <w:sz w:val="22"/>
              </w:rPr>
              <w:br/>
              <w:t>yes</w:t>
            </w:r>
          </w:p>
        </w:tc>
        <w:tc>
          <w:tcPr>
            <w:tcW w:w="898" w:type="dxa"/>
            <w:tcBorders>
              <w:bottom w:val="single" w:sz="4" w:space="0" w:color="auto"/>
            </w:tcBorders>
          </w:tcPr>
          <w:p>
            <w:pPr>
              <w:spacing w:before="60"/>
              <w:jc w:val="center"/>
              <w:rPr>
                <w:sz w:val="22"/>
              </w:rPr>
            </w:pPr>
            <w:r>
              <w:rPr>
                <w:sz w:val="22"/>
              </w:rPr>
              <w:br/>
              <w:t>5</w:t>
            </w:r>
          </w:p>
        </w:tc>
      </w:tr>
      <w:tr>
        <w:trPr>
          <w:cantSplit/>
        </w:trPr>
        <w:tc>
          <w:tcPr>
            <w:tcW w:w="3402" w:type="dxa"/>
          </w:tcPr>
          <w:p>
            <w:pPr>
              <w:pStyle w:val="zytable"/>
              <w:tabs>
                <w:tab w:val="left" w:pos="313"/>
                <w:tab w:val="left" w:pos="738"/>
              </w:tabs>
              <w:ind w:left="1440" w:hanging="873"/>
            </w:pPr>
          </w:p>
        </w:tc>
        <w:tc>
          <w:tcPr>
            <w:tcW w:w="1039" w:type="dxa"/>
          </w:tcPr>
          <w:p>
            <w:pPr>
              <w:pStyle w:val="zytable"/>
              <w:jc w:val="center"/>
            </w:pPr>
          </w:p>
        </w:tc>
        <w:tc>
          <w:tcPr>
            <w:tcW w:w="1040" w:type="dxa"/>
          </w:tcPr>
          <w:p>
            <w:pPr>
              <w:pStyle w:val="zytable"/>
              <w:jc w:val="center"/>
            </w:pPr>
          </w:p>
        </w:tc>
        <w:tc>
          <w:tcPr>
            <w:tcW w:w="898" w:type="dxa"/>
          </w:tcPr>
          <w:p>
            <w:pPr>
              <w:pStyle w:val="yTable"/>
            </w:pPr>
          </w:p>
        </w:tc>
      </w:tr>
    </w:tbl>
    <w:p>
      <w:pPr>
        <w:pStyle w:val="yTable"/>
        <w:tabs>
          <w:tab w:val="left" w:pos="709"/>
        </w:tabs>
      </w:pPr>
      <w:r>
        <w:rPr>
          <w:b/>
        </w:rPr>
        <w:tab/>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379"/>
      </w:tblGrid>
      <w:tr>
        <w:trPr>
          <w:cantSplit/>
        </w:trPr>
        <w:tc>
          <w:tcPr>
            <w:tcW w:w="6379" w:type="dxa"/>
          </w:tcPr>
          <w:p>
            <w:pPr>
              <w:pStyle w:val="yTable"/>
            </w:pPr>
            <w:r>
              <w:rPr>
                <w:i/>
              </w:rPr>
              <w:t>For an unlisted service, the number of units is to be determined by reference to the nearest listed anaesthetic procedure</w:t>
            </w:r>
          </w:p>
        </w:tc>
      </w:tr>
    </w:tbl>
    <w:p>
      <w:pPr>
        <w:pStyle w:val="yFootnotesection"/>
        <w:tabs>
          <w:tab w:val="clear" w:pos="893"/>
          <w:tab w:val="left" w:pos="567"/>
        </w:tabs>
        <w:ind w:left="567" w:hanging="567"/>
      </w:pPr>
      <w:r>
        <w:tab/>
        <w:t>[Part 1 amended in Gazette 19 Mar 2004 p. 864-96; 29 Oct 2004 p. 4941</w:t>
      </w:r>
      <w:r>
        <w:noBreakHyphen/>
        <w:t>2; 21 Jan 2005 p. 279-81.]</w:t>
      </w:r>
    </w:p>
    <w:p>
      <w:pPr>
        <w:pStyle w:val="yMiscellaneousHeading"/>
        <w:spacing w:before="240"/>
        <w:ind w:left="425" w:right="295"/>
        <w:rPr>
          <w:b/>
          <w:sz w:val="24"/>
        </w:rPr>
      </w:pPr>
      <w:r>
        <w:rPr>
          <w:b/>
          <w:sz w:val="24"/>
        </w:rPr>
        <w:t>Part 2 — Medical procedures</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Pr>
          <w:p>
            <w:pPr>
              <w:pStyle w:val="yTable"/>
              <w:keepNext/>
              <w:rPr>
                <w:b/>
              </w:rPr>
            </w:pPr>
            <w:r>
              <w:rPr>
                <w:b/>
              </w:rPr>
              <w:t>Type of procedure</w:t>
            </w:r>
          </w:p>
        </w:tc>
        <w:tc>
          <w:tcPr>
            <w:tcW w:w="1701" w:type="dxa"/>
          </w:tcPr>
          <w:p>
            <w:pPr>
              <w:pStyle w:val="yTable"/>
              <w:keepNext/>
              <w:jc w:val="center"/>
              <w:rPr>
                <w:b/>
              </w:rPr>
            </w:pPr>
            <w:r>
              <w:rPr>
                <w:b/>
              </w:rPr>
              <w:t>Fee</w:t>
            </w:r>
            <w:r>
              <w:rPr>
                <w:b/>
              </w:rPr>
              <w:br/>
              <w:t>$</w:t>
            </w:r>
          </w:p>
        </w:tc>
      </w:tr>
      <w:tr>
        <w:tc>
          <w:tcPr>
            <w:tcW w:w="5387" w:type="dxa"/>
          </w:tcPr>
          <w:p>
            <w:pPr>
              <w:pStyle w:val="yTable"/>
            </w:pPr>
            <w:r>
              <w:t>GENERAL</w:t>
            </w:r>
          </w:p>
        </w:tc>
        <w:tc>
          <w:tcPr>
            <w:tcW w:w="1701" w:type="dxa"/>
          </w:tcPr>
          <w:p>
            <w:pPr>
              <w:pStyle w:val="yTable"/>
              <w:tabs>
                <w:tab w:val="decimal" w:pos="879"/>
              </w:tabs>
              <w:ind w:right="29"/>
            </w:pPr>
          </w:p>
        </w:tc>
      </w:tr>
      <w:tr>
        <w:tc>
          <w:tcPr>
            <w:tcW w:w="5387" w:type="dxa"/>
          </w:tcPr>
          <w:p>
            <w:pPr>
              <w:pStyle w:val="yTable"/>
            </w:pPr>
            <w:r>
              <w:t>Localised burns</w:t>
            </w:r>
          </w:p>
        </w:tc>
        <w:tc>
          <w:tcPr>
            <w:tcW w:w="1701" w:type="dxa"/>
          </w:tcPr>
          <w:p>
            <w:pPr>
              <w:pStyle w:val="yTable"/>
              <w:tabs>
                <w:tab w:val="decimal" w:pos="879"/>
              </w:tabs>
              <w:ind w:left="426" w:right="29"/>
            </w:pPr>
            <w:r>
              <w:t>41.25</w:t>
            </w:r>
          </w:p>
        </w:tc>
      </w:tr>
      <w:tr>
        <w:tc>
          <w:tcPr>
            <w:tcW w:w="5387" w:type="dxa"/>
          </w:tcPr>
          <w:p>
            <w:pPr>
              <w:pStyle w:val="yTable"/>
              <w:ind w:left="596" w:hanging="596"/>
            </w:pPr>
            <w:r>
              <w:t>Localised burns, including dressing of, under general anaesthetic</w:t>
            </w:r>
          </w:p>
        </w:tc>
        <w:tc>
          <w:tcPr>
            <w:tcW w:w="1701" w:type="dxa"/>
          </w:tcPr>
          <w:p>
            <w:pPr>
              <w:pStyle w:val="yTable"/>
              <w:tabs>
                <w:tab w:val="decimal" w:pos="879"/>
              </w:tabs>
              <w:ind w:left="426" w:right="29"/>
            </w:pPr>
            <w:r>
              <w:br/>
              <w:t>117.45</w:t>
            </w:r>
          </w:p>
        </w:tc>
      </w:tr>
      <w:tr>
        <w:tc>
          <w:tcPr>
            <w:tcW w:w="5387" w:type="dxa"/>
          </w:tcPr>
          <w:p>
            <w:pPr>
              <w:pStyle w:val="yTable"/>
            </w:pPr>
            <w:r>
              <w:t>Extensive burns</w:t>
            </w:r>
          </w:p>
        </w:tc>
        <w:tc>
          <w:tcPr>
            <w:tcW w:w="1701" w:type="dxa"/>
          </w:tcPr>
          <w:p>
            <w:pPr>
              <w:pStyle w:val="yTable"/>
              <w:tabs>
                <w:tab w:val="decimal" w:pos="879"/>
              </w:tabs>
              <w:ind w:left="426" w:right="29"/>
            </w:pPr>
            <w:r>
              <w:t>71.15</w:t>
            </w:r>
          </w:p>
        </w:tc>
      </w:tr>
      <w:tr>
        <w:tc>
          <w:tcPr>
            <w:tcW w:w="5387" w:type="dxa"/>
          </w:tcPr>
          <w:p>
            <w:pPr>
              <w:pStyle w:val="yTable"/>
              <w:ind w:left="596" w:hanging="596"/>
            </w:pPr>
            <w:r>
              <w:t>Extensive burns, including dressing of, under general anaesthetic</w:t>
            </w:r>
          </w:p>
        </w:tc>
        <w:tc>
          <w:tcPr>
            <w:tcW w:w="1701" w:type="dxa"/>
          </w:tcPr>
          <w:p>
            <w:pPr>
              <w:pStyle w:val="yTable"/>
              <w:tabs>
                <w:tab w:val="decimal" w:pos="879"/>
              </w:tabs>
              <w:ind w:left="426"/>
            </w:pPr>
            <w:r>
              <w:br/>
              <w:t>248.55</w:t>
            </w:r>
          </w:p>
        </w:tc>
      </w:tr>
      <w:tr>
        <w:tc>
          <w:tcPr>
            <w:tcW w:w="5387" w:type="dxa"/>
          </w:tcPr>
          <w:p>
            <w:pPr>
              <w:pStyle w:val="yTable"/>
            </w:pPr>
            <w:r>
              <w:t>Dressing of wounds, under general anaesthetic</w:t>
            </w:r>
          </w:p>
        </w:tc>
        <w:tc>
          <w:tcPr>
            <w:tcW w:w="1701" w:type="dxa"/>
          </w:tcPr>
          <w:p>
            <w:pPr>
              <w:pStyle w:val="yTable"/>
              <w:tabs>
                <w:tab w:val="decimal" w:pos="879"/>
              </w:tabs>
              <w:ind w:left="426"/>
            </w:pPr>
            <w:r>
              <w:t>117.45</w:t>
            </w:r>
          </w:p>
        </w:tc>
      </w:tr>
      <w:tr>
        <w:tc>
          <w:tcPr>
            <w:tcW w:w="5387" w:type="dxa"/>
          </w:tcPr>
          <w:p>
            <w:pPr>
              <w:pStyle w:val="yTable"/>
            </w:pPr>
            <w:r>
              <w:t>Acupuncture, including consultation</w:t>
            </w:r>
          </w:p>
        </w:tc>
        <w:tc>
          <w:tcPr>
            <w:tcW w:w="1701" w:type="dxa"/>
          </w:tcPr>
          <w:p>
            <w:pPr>
              <w:pStyle w:val="yTable"/>
              <w:tabs>
                <w:tab w:val="decimal" w:pos="879"/>
              </w:tabs>
              <w:ind w:left="426"/>
            </w:pPr>
            <w:r>
              <w:t>54.80</w:t>
            </w:r>
          </w:p>
        </w:tc>
      </w:tr>
    </w:tbl>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c>
          <w:tcPr>
            <w:tcW w:w="5387" w:type="dxa"/>
          </w:tcPr>
          <w:p>
            <w:pPr>
              <w:pStyle w:val="yTable"/>
            </w:pPr>
            <w:r>
              <w:t>DISLOCATIONS</w:t>
            </w:r>
          </w:p>
        </w:tc>
        <w:tc>
          <w:tcPr>
            <w:tcW w:w="1701" w:type="dxa"/>
          </w:tcPr>
          <w:p>
            <w:pPr>
              <w:pStyle w:val="yTable"/>
              <w:jc w:val="center"/>
            </w:pPr>
          </w:p>
        </w:tc>
      </w:tr>
      <w:tr>
        <w:tc>
          <w:tcPr>
            <w:tcW w:w="5387" w:type="dxa"/>
          </w:tcPr>
          <w:p>
            <w:pPr>
              <w:pStyle w:val="yDefstart"/>
            </w:pPr>
            <w:r>
              <w:tab/>
            </w:r>
            <w:r>
              <w:rPr>
                <w:b/>
                <w:sz w:val="18"/>
              </w:rPr>
              <w:t>“</w:t>
            </w:r>
            <w:r>
              <w:rPr>
                <w:rStyle w:val="CharDefText"/>
                <w:sz w:val="18"/>
              </w:rPr>
              <w:t>closed reduction</w:t>
            </w:r>
            <w:r>
              <w:rPr>
                <w:b/>
                <w:sz w:val="18"/>
              </w:rPr>
              <w:t>”</w:t>
            </w:r>
            <w:r>
              <w:rPr>
                <w:sz w:val="18"/>
              </w:rPr>
              <w:t xml:space="preserve"> means</w:t>
            </w:r>
            <w:r>
              <w:t xml:space="preserve"> </w:t>
            </w:r>
            <w:r>
              <w:rPr>
                <w:sz w:val="18"/>
              </w:rPr>
              <w:t>non-operative reduction of the dislocation, and included percutaneous fixation and/or external splintage by cast or splint</w:t>
            </w:r>
          </w:p>
        </w:tc>
        <w:tc>
          <w:tcPr>
            <w:tcW w:w="1701" w:type="dxa"/>
          </w:tcPr>
          <w:p>
            <w:pPr>
              <w:pStyle w:val="yTable"/>
            </w:pPr>
          </w:p>
        </w:tc>
      </w:tr>
      <w:tr>
        <w:tc>
          <w:tcPr>
            <w:tcW w:w="5387" w:type="dxa"/>
          </w:tcPr>
          <w:p>
            <w:pPr>
              <w:pStyle w:val="yDefstart"/>
            </w:pPr>
            <w:r>
              <w:fldChar w:fldCharType="begin"/>
            </w:r>
            <w:r>
              <w:instrText xml:space="preserve"> LISTNUM ScheduleDefinitionNumbers \l1 </w:instrText>
            </w:r>
            <w:r>
              <w:fldChar w:fldCharType="end"/>
            </w: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701" w:type="dxa"/>
          </w:tcPr>
          <w:p>
            <w:pPr>
              <w:pStyle w:val="yTable"/>
            </w:pPr>
          </w:p>
        </w:tc>
      </w:tr>
      <w:tr>
        <w:tc>
          <w:tcPr>
            <w:tcW w:w="5387" w:type="dxa"/>
          </w:tcPr>
          <w:p>
            <w:pPr>
              <w:pStyle w:val="yDefstart"/>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701" w:type="dxa"/>
          </w:tcPr>
          <w:p>
            <w:pPr>
              <w:pStyle w:val="yTable"/>
            </w:pPr>
          </w:p>
        </w:tc>
      </w:tr>
      <w:tr>
        <w:tc>
          <w:tcPr>
            <w:tcW w:w="5387" w:type="dxa"/>
          </w:tcPr>
          <w:p>
            <w:pPr>
              <w:pStyle w:val="yTable"/>
              <w:rPr>
                <w:b/>
                <w:sz w:val="18"/>
              </w:rPr>
            </w:pPr>
            <w:r>
              <w:rPr>
                <w:b/>
                <w:sz w:val="18"/>
              </w:rPr>
              <w:t>[Where injuries are associated with a compound (open)</w:t>
            </w:r>
          </w:p>
          <w:p>
            <w:pPr>
              <w:pStyle w:val="yTable"/>
              <w:spacing w:before="0"/>
            </w:pPr>
            <w:r>
              <w:rPr>
                <w:b/>
                <w:sz w:val="18"/>
              </w:rPr>
              <w:t xml:space="preserve"> wound, an additional fee of 50% of the fee listed is to apply]</w:t>
            </w:r>
          </w:p>
        </w:tc>
        <w:tc>
          <w:tcPr>
            <w:tcW w:w="1701" w:type="dxa"/>
          </w:tcPr>
          <w:p>
            <w:pPr>
              <w:pStyle w:val="yTable"/>
              <w:spacing w:before="0"/>
              <w:jc w:val="center"/>
            </w:pPr>
            <w:r>
              <w:br/>
            </w:r>
          </w:p>
        </w:tc>
      </w:tr>
    </w:tbl>
    <w:p>
      <w:pPr>
        <w:rPr>
          <w:sz w:val="12"/>
        </w:rPr>
      </w:pP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Pr>
          <w:p>
            <w:pPr>
              <w:pStyle w:val="yTable"/>
              <w:rPr>
                <w:b/>
                <w:sz w:val="18"/>
              </w:rPr>
            </w:pPr>
          </w:p>
        </w:tc>
        <w:tc>
          <w:tcPr>
            <w:tcW w:w="1701" w:type="dxa"/>
          </w:tcPr>
          <w:p>
            <w:pPr>
              <w:pStyle w:val="yTable"/>
              <w:spacing w:before="0"/>
              <w:jc w:val="center"/>
            </w:pPr>
            <w:r>
              <w:t>$</w:t>
            </w:r>
          </w:p>
        </w:tc>
      </w:tr>
      <w:tr>
        <w:tc>
          <w:tcPr>
            <w:tcW w:w="5387" w:type="dxa"/>
          </w:tcPr>
          <w:p>
            <w:pPr>
              <w:pStyle w:val="yTable"/>
            </w:pPr>
            <w:r>
              <w:t>Elbow, by closed reduction</w:t>
            </w:r>
          </w:p>
        </w:tc>
        <w:tc>
          <w:tcPr>
            <w:tcW w:w="1701" w:type="dxa"/>
          </w:tcPr>
          <w:p>
            <w:pPr>
              <w:pStyle w:val="yTable"/>
              <w:tabs>
                <w:tab w:val="decimal" w:pos="879"/>
              </w:tabs>
              <w:ind w:right="294"/>
            </w:pPr>
            <w:r>
              <w:t>221.40</w:t>
            </w:r>
          </w:p>
        </w:tc>
      </w:tr>
      <w:tr>
        <w:tc>
          <w:tcPr>
            <w:tcW w:w="5387" w:type="dxa"/>
          </w:tcPr>
          <w:p>
            <w:pPr>
              <w:pStyle w:val="yTable"/>
              <w:spacing w:before="0"/>
            </w:pPr>
            <w:r>
              <w:t>Elbow, by open reduction</w:t>
            </w:r>
          </w:p>
        </w:tc>
        <w:tc>
          <w:tcPr>
            <w:tcW w:w="1701" w:type="dxa"/>
          </w:tcPr>
          <w:p>
            <w:pPr>
              <w:pStyle w:val="yTable"/>
              <w:tabs>
                <w:tab w:val="decimal" w:pos="879"/>
              </w:tabs>
              <w:spacing w:before="0"/>
              <w:ind w:left="426" w:right="29"/>
            </w:pPr>
            <w:r>
              <w:t>293.65</w:t>
            </w:r>
          </w:p>
        </w:tc>
      </w:tr>
      <w:tr>
        <w:tc>
          <w:tcPr>
            <w:tcW w:w="5387" w:type="dxa"/>
          </w:tcPr>
          <w:p>
            <w:pPr>
              <w:pStyle w:val="yTable"/>
            </w:pPr>
            <w:r>
              <w:t>Interphalangeal joint, by closed reduction</w:t>
            </w:r>
          </w:p>
        </w:tc>
        <w:tc>
          <w:tcPr>
            <w:tcW w:w="1701" w:type="dxa"/>
          </w:tcPr>
          <w:p>
            <w:pPr>
              <w:pStyle w:val="yTable"/>
              <w:tabs>
                <w:tab w:val="decimal" w:pos="879"/>
              </w:tabs>
              <w:ind w:left="426" w:right="29"/>
            </w:pPr>
            <w:r>
              <w:t>94.90</w:t>
            </w:r>
          </w:p>
        </w:tc>
      </w:tr>
      <w:tr>
        <w:tc>
          <w:tcPr>
            <w:tcW w:w="5387" w:type="dxa"/>
          </w:tcPr>
          <w:p>
            <w:pPr>
              <w:pStyle w:val="yTable"/>
              <w:spacing w:before="0"/>
            </w:pPr>
            <w:r>
              <w:t>Interphalangeal joint, by open reduction</w:t>
            </w:r>
          </w:p>
        </w:tc>
        <w:tc>
          <w:tcPr>
            <w:tcW w:w="1701" w:type="dxa"/>
          </w:tcPr>
          <w:p>
            <w:pPr>
              <w:pStyle w:val="yTable"/>
              <w:tabs>
                <w:tab w:val="decimal" w:pos="879"/>
              </w:tabs>
              <w:spacing w:before="0"/>
              <w:ind w:left="426" w:right="29"/>
            </w:pPr>
            <w:r>
              <w:t>126.55</w:t>
            </w:r>
          </w:p>
        </w:tc>
      </w:tr>
      <w:tr>
        <w:tc>
          <w:tcPr>
            <w:tcW w:w="5387" w:type="dxa"/>
          </w:tcPr>
          <w:p>
            <w:pPr>
              <w:pStyle w:val="yTable"/>
            </w:pPr>
            <w:r>
              <w:t>Mandible, by closed reduction</w:t>
            </w:r>
          </w:p>
        </w:tc>
        <w:tc>
          <w:tcPr>
            <w:tcW w:w="1701" w:type="dxa"/>
          </w:tcPr>
          <w:p>
            <w:pPr>
              <w:pStyle w:val="yTable"/>
              <w:tabs>
                <w:tab w:val="decimal" w:pos="879"/>
              </w:tabs>
              <w:ind w:left="426" w:right="29"/>
            </w:pPr>
            <w:r>
              <w:t>79.10</w:t>
            </w:r>
          </w:p>
        </w:tc>
      </w:tr>
      <w:tr>
        <w:tc>
          <w:tcPr>
            <w:tcW w:w="5387" w:type="dxa"/>
          </w:tcPr>
          <w:p>
            <w:pPr>
              <w:pStyle w:val="yTable"/>
            </w:pPr>
            <w:r>
              <w:t>Clavicle, by closed reduction</w:t>
            </w:r>
          </w:p>
        </w:tc>
        <w:tc>
          <w:tcPr>
            <w:tcW w:w="1701" w:type="dxa"/>
          </w:tcPr>
          <w:p>
            <w:pPr>
              <w:pStyle w:val="yTable"/>
              <w:tabs>
                <w:tab w:val="decimal" w:pos="879"/>
              </w:tabs>
              <w:ind w:left="426" w:right="29"/>
            </w:pPr>
            <w:r>
              <w:t>93.80</w:t>
            </w:r>
          </w:p>
        </w:tc>
      </w:tr>
      <w:tr>
        <w:tc>
          <w:tcPr>
            <w:tcW w:w="5387" w:type="dxa"/>
          </w:tcPr>
          <w:p>
            <w:pPr>
              <w:pStyle w:val="yTable"/>
              <w:spacing w:before="0"/>
            </w:pPr>
            <w:r>
              <w:t>Clavicle, by open reduction</w:t>
            </w:r>
          </w:p>
        </w:tc>
        <w:tc>
          <w:tcPr>
            <w:tcW w:w="1701" w:type="dxa"/>
          </w:tcPr>
          <w:p>
            <w:pPr>
              <w:pStyle w:val="yTable"/>
              <w:tabs>
                <w:tab w:val="decimal" w:pos="879"/>
              </w:tabs>
              <w:spacing w:before="0"/>
              <w:ind w:left="426" w:right="29"/>
            </w:pPr>
            <w:r>
              <w:t>189.80</w:t>
            </w:r>
          </w:p>
        </w:tc>
      </w:tr>
      <w:tr>
        <w:tc>
          <w:tcPr>
            <w:tcW w:w="5387" w:type="dxa"/>
          </w:tcPr>
          <w:p>
            <w:pPr>
              <w:pStyle w:val="yTable"/>
            </w:pPr>
            <w:r>
              <w:t>Shoulder, not requiring general anaesthetic</w:t>
            </w:r>
          </w:p>
        </w:tc>
        <w:tc>
          <w:tcPr>
            <w:tcW w:w="1701" w:type="dxa"/>
          </w:tcPr>
          <w:p>
            <w:pPr>
              <w:pStyle w:val="yTable"/>
              <w:tabs>
                <w:tab w:val="decimal" w:pos="879"/>
              </w:tabs>
              <w:ind w:left="426" w:right="29"/>
            </w:pPr>
            <w:r>
              <w:t>105.55</w:t>
            </w:r>
          </w:p>
        </w:tc>
      </w:tr>
      <w:tr>
        <w:tc>
          <w:tcPr>
            <w:tcW w:w="5387" w:type="dxa"/>
          </w:tcPr>
          <w:p>
            <w:pPr>
              <w:pStyle w:val="yTable"/>
              <w:spacing w:before="0"/>
            </w:pPr>
            <w:r>
              <w:t>Shoulder, by open reduction, with general anaesthetic</w:t>
            </w:r>
          </w:p>
        </w:tc>
        <w:tc>
          <w:tcPr>
            <w:tcW w:w="1701" w:type="dxa"/>
          </w:tcPr>
          <w:p>
            <w:pPr>
              <w:pStyle w:val="yTable"/>
              <w:tabs>
                <w:tab w:val="decimal" w:pos="879"/>
              </w:tabs>
              <w:spacing w:before="0"/>
              <w:ind w:left="426" w:right="29"/>
            </w:pPr>
            <w:r>
              <w:t>378.45</w:t>
            </w:r>
          </w:p>
        </w:tc>
      </w:tr>
      <w:tr>
        <w:tc>
          <w:tcPr>
            <w:tcW w:w="5387" w:type="dxa"/>
          </w:tcPr>
          <w:p>
            <w:pPr>
              <w:pStyle w:val="yTable"/>
              <w:spacing w:before="0"/>
            </w:pPr>
            <w:r>
              <w:t>Shoulder, other, with general anaesthetic</w:t>
            </w:r>
          </w:p>
        </w:tc>
        <w:tc>
          <w:tcPr>
            <w:tcW w:w="1701" w:type="dxa"/>
          </w:tcPr>
          <w:p>
            <w:pPr>
              <w:pStyle w:val="yTable"/>
              <w:tabs>
                <w:tab w:val="decimal" w:pos="879"/>
              </w:tabs>
              <w:spacing w:before="0"/>
              <w:ind w:left="426" w:right="29"/>
            </w:pPr>
            <w:r>
              <w:t>187.50</w:t>
            </w:r>
          </w:p>
        </w:tc>
      </w:tr>
      <w:tr>
        <w:tc>
          <w:tcPr>
            <w:tcW w:w="5387" w:type="dxa"/>
          </w:tcPr>
          <w:p>
            <w:pPr>
              <w:pStyle w:val="yTable"/>
            </w:pPr>
            <w:r>
              <w:t>Metacarpophalangeal joint, by closed reduction</w:t>
            </w:r>
          </w:p>
        </w:tc>
        <w:tc>
          <w:tcPr>
            <w:tcW w:w="1701" w:type="dxa"/>
          </w:tcPr>
          <w:p>
            <w:pPr>
              <w:pStyle w:val="yTable"/>
              <w:tabs>
                <w:tab w:val="decimal" w:pos="879"/>
              </w:tabs>
              <w:ind w:left="426" w:right="29"/>
            </w:pPr>
            <w:r>
              <w:t>126.55</w:t>
            </w:r>
          </w:p>
        </w:tc>
      </w:tr>
      <w:tr>
        <w:tc>
          <w:tcPr>
            <w:tcW w:w="5387" w:type="dxa"/>
          </w:tcPr>
          <w:p>
            <w:pPr>
              <w:pStyle w:val="yTable"/>
              <w:spacing w:before="0"/>
            </w:pPr>
            <w:r>
              <w:t>Metacarpophalangeal joint, by open reduction</w:t>
            </w:r>
          </w:p>
        </w:tc>
        <w:tc>
          <w:tcPr>
            <w:tcW w:w="1701" w:type="dxa"/>
          </w:tcPr>
          <w:p>
            <w:pPr>
              <w:pStyle w:val="yTable"/>
              <w:tabs>
                <w:tab w:val="decimal" w:pos="879"/>
              </w:tabs>
              <w:spacing w:before="0"/>
              <w:ind w:left="426" w:right="29"/>
            </w:pPr>
            <w:r>
              <w:t>169.45</w:t>
            </w:r>
          </w:p>
        </w:tc>
      </w:tr>
      <w:tr>
        <w:tc>
          <w:tcPr>
            <w:tcW w:w="5387" w:type="dxa"/>
          </w:tcPr>
          <w:p>
            <w:pPr>
              <w:pStyle w:val="yTable"/>
            </w:pPr>
            <w:r>
              <w:t>Patella, by closed reduction</w:t>
            </w:r>
          </w:p>
        </w:tc>
        <w:tc>
          <w:tcPr>
            <w:tcW w:w="1701" w:type="dxa"/>
          </w:tcPr>
          <w:p>
            <w:pPr>
              <w:pStyle w:val="yTable"/>
              <w:tabs>
                <w:tab w:val="decimal" w:pos="879"/>
              </w:tabs>
              <w:ind w:left="426" w:right="29"/>
            </w:pPr>
            <w:r>
              <w:t>142.30</w:t>
            </w:r>
          </w:p>
        </w:tc>
      </w:tr>
      <w:tr>
        <w:tc>
          <w:tcPr>
            <w:tcW w:w="5387" w:type="dxa"/>
          </w:tcPr>
          <w:p>
            <w:pPr>
              <w:pStyle w:val="yTable"/>
              <w:spacing w:before="0"/>
            </w:pPr>
            <w:r>
              <w:t>Patella, by open reduction</w:t>
            </w:r>
          </w:p>
        </w:tc>
        <w:tc>
          <w:tcPr>
            <w:tcW w:w="1701" w:type="dxa"/>
          </w:tcPr>
          <w:p>
            <w:pPr>
              <w:pStyle w:val="yTable"/>
              <w:tabs>
                <w:tab w:val="decimal" w:pos="879"/>
              </w:tabs>
              <w:spacing w:before="0"/>
              <w:ind w:left="426" w:right="29"/>
            </w:pPr>
            <w:r>
              <w:t>189.80</w:t>
            </w:r>
          </w:p>
        </w:tc>
      </w:tr>
      <w:tr>
        <w:tc>
          <w:tcPr>
            <w:tcW w:w="5387" w:type="dxa"/>
          </w:tcPr>
          <w:p>
            <w:pPr>
              <w:pStyle w:val="yTable"/>
            </w:pPr>
            <w:r>
              <w:t>Radioulnar joint, by closed reduction</w:t>
            </w:r>
          </w:p>
        </w:tc>
        <w:tc>
          <w:tcPr>
            <w:tcW w:w="1701" w:type="dxa"/>
          </w:tcPr>
          <w:p>
            <w:pPr>
              <w:pStyle w:val="yTable"/>
              <w:tabs>
                <w:tab w:val="decimal" w:pos="879"/>
              </w:tabs>
              <w:ind w:left="426" w:right="29"/>
            </w:pPr>
            <w:r>
              <w:t>221.40</w:t>
            </w:r>
          </w:p>
        </w:tc>
      </w:tr>
      <w:tr>
        <w:tc>
          <w:tcPr>
            <w:tcW w:w="5387" w:type="dxa"/>
          </w:tcPr>
          <w:p>
            <w:pPr>
              <w:pStyle w:val="yTable"/>
              <w:spacing w:before="0"/>
            </w:pPr>
            <w:r>
              <w:t>Radioulnar joint, by open reduction</w:t>
            </w:r>
          </w:p>
        </w:tc>
        <w:tc>
          <w:tcPr>
            <w:tcW w:w="1701" w:type="dxa"/>
          </w:tcPr>
          <w:p>
            <w:pPr>
              <w:pStyle w:val="yTable"/>
              <w:tabs>
                <w:tab w:val="decimal" w:pos="879"/>
              </w:tabs>
              <w:spacing w:before="0"/>
              <w:ind w:left="426" w:right="29"/>
            </w:pPr>
            <w:r>
              <w:t>293.65</w:t>
            </w:r>
          </w:p>
        </w:tc>
      </w:tr>
      <w:tr>
        <w:tc>
          <w:tcPr>
            <w:tcW w:w="5387" w:type="dxa"/>
          </w:tcPr>
          <w:p>
            <w:pPr>
              <w:pStyle w:val="yTable"/>
            </w:pPr>
            <w:r>
              <w:t>Toe, by closed reduction</w:t>
            </w:r>
          </w:p>
        </w:tc>
        <w:tc>
          <w:tcPr>
            <w:tcW w:w="1701" w:type="dxa"/>
          </w:tcPr>
          <w:p>
            <w:pPr>
              <w:pStyle w:val="yTable"/>
              <w:tabs>
                <w:tab w:val="decimal" w:pos="879"/>
              </w:tabs>
              <w:ind w:left="426" w:right="29"/>
            </w:pPr>
            <w:r>
              <w:t>79.10</w:t>
            </w:r>
          </w:p>
        </w:tc>
      </w:tr>
      <w:tr>
        <w:tc>
          <w:tcPr>
            <w:tcW w:w="5387" w:type="dxa"/>
          </w:tcPr>
          <w:p>
            <w:pPr>
              <w:pStyle w:val="yTable"/>
              <w:spacing w:before="0"/>
            </w:pPr>
            <w:r>
              <w:t>Toe, by open reduction</w:t>
            </w:r>
          </w:p>
        </w:tc>
        <w:tc>
          <w:tcPr>
            <w:tcW w:w="1701" w:type="dxa"/>
          </w:tcPr>
          <w:p>
            <w:pPr>
              <w:pStyle w:val="yTable"/>
              <w:tabs>
                <w:tab w:val="right" w:pos="1163"/>
              </w:tabs>
              <w:spacing w:before="0"/>
              <w:ind w:left="426" w:right="294"/>
              <w:jc w:val="right"/>
            </w:pPr>
            <w:r>
              <w:t>105.05</w:t>
            </w:r>
          </w:p>
        </w:tc>
      </w:tr>
      <w:tr>
        <w:tc>
          <w:tcPr>
            <w:tcW w:w="5387" w:type="dxa"/>
          </w:tcPr>
          <w:p>
            <w:pPr>
              <w:pStyle w:val="yTable"/>
            </w:pPr>
          </w:p>
        </w:tc>
        <w:tc>
          <w:tcPr>
            <w:tcW w:w="1701" w:type="dxa"/>
          </w:tcPr>
          <w:p>
            <w:pPr>
              <w:pStyle w:val="yTable"/>
              <w:tabs>
                <w:tab w:val="right" w:pos="1163"/>
              </w:tabs>
              <w:ind w:left="426" w:right="294"/>
              <w:jc w:val="right"/>
            </w:pPr>
          </w:p>
        </w:tc>
      </w:tr>
      <w:tr>
        <w:tc>
          <w:tcPr>
            <w:tcW w:w="5387" w:type="dxa"/>
          </w:tcPr>
          <w:p>
            <w:pPr>
              <w:pStyle w:val="yTable"/>
            </w:pPr>
            <w:r>
              <w:t>REMOVAL OF FOREIGN BODIES — </w:t>
            </w:r>
          </w:p>
        </w:tc>
        <w:tc>
          <w:tcPr>
            <w:tcW w:w="1701" w:type="dxa"/>
          </w:tcPr>
          <w:p>
            <w:pPr>
              <w:pStyle w:val="yTable"/>
              <w:jc w:val="center"/>
            </w:pPr>
            <w:r>
              <w:t>$</w:t>
            </w:r>
          </w:p>
        </w:tc>
      </w:tr>
      <w:tr>
        <w:tc>
          <w:tcPr>
            <w:tcW w:w="5387" w:type="dxa"/>
          </w:tcPr>
          <w:p>
            <w:pPr>
              <w:pStyle w:val="yTable"/>
            </w:pPr>
            <w:r>
              <w:tab/>
              <w:t>as independent procedure</w:t>
            </w:r>
          </w:p>
        </w:tc>
        <w:tc>
          <w:tcPr>
            <w:tcW w:w="1701" w:type="dxa"/>
          </w:tcPr>
          <w:p>
            <w:pPr>
              <w:pStyle w:val="yTable"/>
              <w:tabs>
                <w:tab w:val="decimal" w:pos="879"/>
              </w:tabs>
              <w:ind w:left="426" w:right="29"/>
            </w:pPr>
            <w:r>
              <w:t>34.45</w:t>
            </w:r>
          </w:p>
        </w:tc>
      </w:tr>
      <w:tr>
        <w:tc>
          <w:tcPr>
            <w:tcW w:w="5387" w:type="dxa"/>
          </w:tcPr>
          <w:p>
            <w:pPr>
              <w:pStyle w:val="yTable"/>
              <w:spacing w:before="0"/>
            </w:pPr>
            <w:r>
              <w:tab/>
              <w:t>superficial</w:t>
            </w:r>
          </w:p>
        </w:tc>
        <w:tc>
          <w:tcPr>
            <w:tcW w:w="1701" w:type="dxa"/>
          </w:tcPr>
          <w:p>
            <w:pPr>
              <w:pStyle w:val="yTable"/>
              <w:tabs>
                <w:tab w:val="decimal" w:pos="879"/>
              </w:tabs>
              <w:spacing w:before="0"/>
              <w:ind w:left="426" w:right="29"/>
            </w:pPr>
            <w:r>
              <w:t>153.60</w:t>
            </w:r>
          </w:p>
        </w:tc>
      </w:tr>
      <w:tr>
        <w:tc>
          <w:tcPr>
            <w:tcW w:w="5387" w:type="dxa"/>
          </w:tcPr>
          <w:p>
            <w:pPr>
              <w:pStyle w:val="yTable"/>
              <w:spacing w:before="0"/>
            </w:pPr>
            <w:r>
              <w:tab/>
              <w:t>deep tissue or muscle</w:t>
            </w:r>
          </w:p>
        </w:tc>
        <w:tc>
          <w:tcPr>
            <w:tcW w:w="1701" w:type="dxa"/>
          </w:tcPr>
          <w:p>
            <w:pPr>
              <w:pStyle w:val="yTable"/>
              <w:tabs>
                <w:tab w:val="decimal" w:pos="879"/>
              </w:tabs>
              <w:spacing w:before="0"/>
              <w:ind w:left="426" w:right="29"/>
            </w:pPr>
            <w:r>
              <w:t>429.25</w:t>
            </w:r>
          </w:p>
        </w:tc>
      </w:tr>
      <w:tr>
        <w:tc>
          <w:tcPr>
            <w:tcW w:w="5387" w:type="dxa"/>
          </w:tcPr>
          <w:p>
            <w:pPr>
              <w:pStyle w:val="yTable"/>
              <w:spacing w:before="0"/>
            </w:pPr>
            <w:r>
              <w:tab/>
              <w:t>ear, other than by syringing</w:t>
            </w:r>
          </w:p>
        </w:tc>
        <w:tc>
          <w:tcPr>
            <w:tcW w:w="1701" w:type="dxa"/>
          </w:tcPr>
          <w:p>
            <w:pPr>
              <w:pStyle w:val="yTable"/>
              <w:tabs>
                <w:tab w:val="decimal" w:pos="879"/>
              </w:tabs>
              <w:spacing w:before="0"/>
              <w:ind w:left="426" w:right="29"/>
            </w:pPr>
            <w:r>
              <w:t>110.70</w:t>
            </w:r>
          </w:p>
        </w:tc>
      </w:tr>
      <w:tr>
        <w:tc>
          <w:tcPr>
            <w:tcW w:w="5387" w:type="dxa"/>
          </w:tcPr>
          <w:p>
            <w:pPr>
              <w:pStyle w:val="yTable"/>
              <w:spacing w:before="0"/>
            </w:pPr>
            <w:r>
              <w:tab/>
              <w:t>nose, other than by simple probing</w:t>
            </w:r>
          </w:p>
        </w:tc>
        <w:tc>
          <w:tcPr>
            <w:tcW w:w="1701" w:type="dxa"/>
          </w:tcPr>
          <w:p>
            <w:pPr>
              <w:pStyle w:val="yTable"/>
              <w:tabs>
                <w:tab w:val="decimal" w:pos="879"/>
              </w:tabs>
              <w:spacing w:before="0"/>
              <w:ind w:left="426" w:right="29"/>
            </w:pPr>
            <w:r>
              <w:t>110.70</w:t>
            </w:r>
          </w:p>
        </w:tc>
      </w:tr>
      <w:tr>
        <w:tc>
          <w:tcPr>
            <w:tcW w:w="5387" w:type="dxa"/>
          </w:tcPr>
          <w:p>
            <w:pPr>
              <w:pStyle w:val="yTable"/>
              <w:spacing w:before="0"/>
            </w:pPr>
            <w:r>
              <w:tab/>
              <w:t>cornea or sclera, embedded</w:t>
            </w:r>
          </w:p>
        </w:tc>
        <w:tc>
          <w:tcPr>
            <w:tcW w:w="1701" w:type="dxa"/>
          </w:tcPr>
          <w:p>
            <w:pPr>
              <w:pStyle w:val="yTable"/>
              <w:tabs>
                <w:tab w:val="decimal" w:pos="879"/>
              </w:tabs>
              <w:spacing w:before="0"/>
              <w:ind w:left="426" w:right="29"/>
            </w:pPr>
            <w:r>
              <w:t>112.95</w:t>
            </w:r>
          </w:p>
        </w:tc>
      </w:tr>
    </w:tbl>
    <w:p>
      <w:pPr>
        <w:pStyle w:val="yTable"/>
        <w:keepNext/>
      </w:pPr>
    </w:p>
    <w:tbl>
      <w:tblPr>
        <w:tblW w:w="0" w:type="auto"/>
        <w:tblInd w:w="113" w:type="dxa"/>
        <w:tblLayout w:type="fixed"/>
        <w:tblCellMar>
          <w:left w:w="113" w:type="dxa"/>
          <w:right w:w="113" w:type="dxa"/>
        </w:tblCellMar>
        <w:tblLook w:val="0000" w:firstRow="0" w:lastRow="0" w:firstColumn="0" w:lastColumn="0" w:noHBand="0" w:noVBand="0"/>
      </w:tblPr>
      <w:tblGrid>
        <w:gridCol w:w="5215"/>
        <w:gridCol w:w="1873"/>
      </w:tblGrid>
      <w:tr>
        <w:tc>
          <w:tcPr>
            <w:tcW w:w="5215" w:type="dxa"/>
          </w:tcPr>
          <w:p>
            <w:pPr>
              <w:pStyle w:val="yTable"/>
              <w:keepNext/>
            </w:pPr>
            <w:r>
              <w:t>FRACTURES</w:t>
            </w:r>
          </w:p>
        </w:tc>
        <w:tc>
          <w:tcPr>
            <w:tcW w:w="1873" w:type="dxa"/>
          </w:tcPr>
          <w:p>
            <w:pPr>
              <w:pStyle w:val="yTable"/>
              <w:keepNext/>
              <w:jc w:val="center"/>
            </w:pPr>
          </w:p>
        </w:tc>
      </w:tr>
      <w:tr>
        <w:tc>
          <w:tcPr>
            <w:tcW w:w="5215" w:type="dxa"/>
          </w:tcPr>
          <w:p>
            <w:pPr>
              <w:pStyle w:val="yDefstart"/>
            </w:pPr>
            <w:r>
              <w:fldChar w:fldCharType="begin"/>
            </w:r>
            <w:r>
              <w:instrText xml:space="preserve"> LISTNUM ScheduleDefinitionNumbers \l1 </w:instrText>
            </w:r>
            <w:r>
              <w:fldChar w:fldCharType="end"/>
            </w:r>
            <w:r>
              <w:tab/>
            </w:r>
            <w:r>
              <w:rPr>
                <w:b/>
                <w:sz w:val="18"/>
              </w:rPr>
              <w:t xml:space="preserve">“closed reduction” </w:t>
            </w:r>
            <w:r>
              <w:rPr>
                <w:sz w:val="18"/>
              </w:rPr>
              <w:t>means non</w:t>
            </w:r>
            <w:r>
              <w:rPr>
                <w:sz w:val="18"/>
              </w:rPr>
              <w:noBreakHyphen/>
              <w:t>operative reduction of the fracture, and included percutaneous fixation and/or external splintage by cast or splint.</w:t>
            </w:r>
          </w:p>
        </w:tc>
        <w:tc>
          <w:tcPr>
            <w:tcW w:w="1873" w:type="dxa"/>
          </w:tcPr>
          <w:p>
            <w:pPr>
              <w:pStyle w:val="yTable"/>
              <w:keepNext/>
            </w:pPr>
          </w:p>
        </w:tc>
      </w:tr>
      <w:tr>
        <w:tc>
          <w:tcPr>
            <w:tcW w:w="5215" w:type="dxa"/>
          </w:tcPr>
          <w:p>
            <w:pPr>
              <w:pStyle w:val="yDefstart"/>
            </w:pPr>
            <w:r>
              <w:rPr>
                <w:b/>
                <w:sz w:val="18"/>
              </w:rPr>
              <w:tab/>
              <w:t>“open reduction”</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873" w:type="dxa"/>
          </w:tcPr>
          <w:p>
            <w:pPr>
              <w:pStyle w:val="yTable"/>
              <w:keepNext/>
            </w:pPr>
          </w:p>
        </w:tc>
      </w:tr>
      <w:tr>
        <w:tc>
          <w:tcPr>
            <w:tcW w:w="5215" w:type="dxa"/>
          </w:tcPr>
          <w:p>
            <w:pPr>
              <w:pStyle w:val="yDefstart"/>
              <w:rPr>
                <w:sz w:val="18"/>
              </w:rPr>
            </w:pPr>
            <w:r>
              <w:rPr>
                <w:snapToGrid/>
                <w:sz w:val="18"/>
              </w:rPr>
              <w:tab/>
            </w:r>
            <w:r>
              <w:rPr>
                <w:b/>
                <w:snapToGrid/>
                <w:sz w:val="18"/>
              </w:rPr>
              <w:t>“</w:t>
            </w:r>
            <w:r>
              <w:rPr>
                <w:b/>
                <w:sz w:val="18"/>
              </w:rPr>
              <w:t>other</w:t>
            </w:r>
            <w:r>
              <w:rPr>
                <w:b/>
                <w:snapToGrid/>
                <w:sz w:val="18"/>
              </w:rPr>
              <w:t>”</w:t>
            </w:r>
            <w:r>
              <w:rPr>
                <w:snapToGrid/>
                <w:sz w:val="18"/>
              </w:rPr>
              <w:t xml:space="preserve"> means treatment by any other method and includes the use of external splintage</w:t>
            </w:r>
          </w:p>
        </w:tc>
        <w:tc>
          <w:tcPr>
            <w:tcW w:w="1873" w:type="dxa"/>
          </w:tcPr>
          <w:p>
            <w:pPr>
              <w:pStyle w:val="yTable"/>
              <w:keepNext/>
            </w:pPr>
          </w:p>
        </w:tc>
      </w:tr>
      <w:tr>
        <w:tc>
          <w:tcPr>
            <w:tcW w:w="5215" w:type="dxa"/>
          </w:tcPr>
          <w:p>
            <w:pPr>
              <w:pStyle w:val="yTable"/>
              <w:keepNext/>
            </w:pPr>
            <w:r>
              <w:rPr>
                <w:b/>
                <w:sz w:val="18"/>
              </w:rPr>
              <w:t>[Where injuries are associated with a compound (open)</w:t>
            </w:r>
            <w:r>
              <w:rPr>
                <w:b/>
                <w:sz w:val="18"/>
              </w:rPr>
              <w:br/>
              <w:t xml:space="preserve"> wound, an additional fee of 50% of the fee listed is to apply]</w:t>
            </w:r>
          </w:p>
        </w:tc>
        <w:tc>
          <w:tcPr>
            <w:tcW w:w="1873" w:type="dxa"/>
          </w:tcPr>
          <w:p>
            <w:pPr>
              <w:pStyle w:val="yTable"/>
              <w:keepNext/>
            </w:pPr>
          </w:p>
        </w:tc>
      </w:tr>
    </w:tbl>
    <w:p>
      <w:pPr>
        <w:pStyle w:val="Table"/>
        <w:spacing w:before="0" w:line="240" w:lineRule="auto"/>
        <w:rPr>
          <w:sz w:val="12"/>
        </w:rPr>
      </w:pP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Pr>
          <w:p>
            <w:pPr>
              <w:pStyle w:val="yTable"/>
              <w:keepNext/>
            </w:pPr>
          </w:p>
        </w:tc>
        <w:tc>
          <w:tcPr>
            <w:tcW w:w="1701" w:type="dxa"/>
          </w:tcPr>
          <w:p>
            <w:pPr>
              <w:pStyle w:val="yTable"/>
              <w:keepNext/>
              <w:tabs>
                <w:tab w:val="left" w:pos="879"/>
              </w:tabs>
            </w:pPr>
            <w:r>
              <w:tab/>
              <w:t>$</w:t>
            </w:r>
          </w:p>
        </w:tc>
      </w:tr>
      <w:tr>
        <w:tc>
          <w:tcPr>
            <w:tcW w:w="5387" w:type="dxa"/>
          </w:tcPr>
          <w:p>
            <w:pPr>
              <w:pStyle w:val="yTable"/>
              <w:keepNext/>
            </w:pPr>
            <w:r>
              <w:t>Distal phalanx of finger or thumb</w:t>
            </w:r>
          </w:p>
        </w:tc>
        <w:tc>
          <w:tcPr>
            <w:tcW w:w="1701" w:type="dxa"/>
          </w:tcPr>
          <w:p>
            <w:pPr>
              <w:pStyle w:val="yTable"/>
              <w:keepNext/>
              <w:tabs>
                <w:tab w:val="right" w:pos="1163"/>
              </w:tabs>
              <w:ind w:right="294"/>
            </w:pPr>
          </w:p>
        </w:tc>
      </w:tr>
      <w:tr>
        <w:tc>
          <w:tcPr>
            <w:tcW w:w="5387" w:type="dxa"/>
          </w:tcPr>
          <w:p>
            <w:pPr>
              <w:pStyle w:val="yTable"/>
              <w:spacing w:before="0"/>
              <w:ind w:left="284" w:hanging="284"/>
            </w:pPr>
            <w:r>
              <w:tab/>
              <w:t>fracture, by closed reduction</w:t>
            </w:r>
          </w:p>
        </w:tc>
        <w:tc>
          <w:tcPr>
            <w:tcW w:w="1701" w:type="dxa"/>
          </w:tcPr>
          <w:p>
            <w:pPr>
              <w:pStyle w:val="yTable"/>
              <w:tabs>
                <w:tab w:val="decimal" w:pos="1051"/>
              </w:tabs>
              <w:spacing w:before="0"/>
              <w:ind w:left="426" w:right="29"/>
            </w:pPr>
            <w:r>
              <w:t>142.30</w:t>
            </w:r>
          </w:p>
        </w:tc>
      </w:tr>
      <w:tr>
        <w:tc>
          <w:tcPr>
            <w:tcW w:w="5387" w:type="dxa"/>
          </w:tcPr>
          <w:p>
            <w:pPr>
              <w:pStyle w:val="yTable"/>
              <w:tabs>
                <w:tab w:val="left" w:pos="283"/>
              </w:tabs>
              <w:spacing w:before="0"/>
              <w:ind w:left="283" w:hanging="283"/>
            </w:pPr>
            <w:r>
              <w:tab/>
              <w:t>fracture, intra</w:t>
            </w:r>
            <w:r>
              <w:noBreakHyphen/>
              <w:t>articular, by closed reduction</w:t>
            </w:r>
          </w:p>
        </w:tc>
        <w:tc>
          <w:tcPr>
            <w:tcW w:w="1701" w:type="dxa"/>
          </w:tcPr>
          <w:p>
            <w:pPr>
              <w:pStyle w:val="yTable"/>
              <w:tabs>
                <w:tab w:val="decimal" w:pos="1051"/>
              </w:tabs>
              <w:spacing w:before="0"/>
              <w:ind w:left="426" w:right="29"/>
            </w:pPr>
            <w:r>
              <w:t>164.95</w:t>
            </w:r>
          </w:p>
        </w:tc>
      </w:tr>
      <w:tr>
        <w:tc>
          <w:tcPr>
            <w:tcW w:w="5387" w:type="dxa"/>
          </w:tcPr>
          <w:p>
            <w:pPr>
              <w:pStyle w:val="yTable"/>
              <w:tabs>
                <w:tab w:val="left" w:pos="283"/>
              </w:tabs>
              <w:spacing w:before="0"/>
              <w:ind w:left="283" w:hanging="283"/>
            </w:pPr>
            <w:r>
              <w:tab/>
              <w:t>fracture, by open reduction</w:t>
            </w:r>
          </w:p>
        </w:tc>
        <w:tc>
          <w:tcPr>
            <w:tcW w:w="1701" w:type="dxa"/>
          </w:tcPr>
          <w:p>
            <w:pPr>
              <w:pStyle w:val="yTable"/>
              <w:tabs>
                <w:tab w:val="decimal" w:pos="1051"/>
              </w:tabs>
              <w:spacing w:before="0"/>
              <w:ind w:left="426" w:right="29"/>
            </w:pPr>
            <w:r>
              <w:t>189.80</w:t>
            </w:r>
          </w:p>
        </w:tc>
      </w:tr>
      <w:tr>
        <w:tc>
          <w:tcPr>
            <w:tcW w:w="5387" w:type="dxa"/>
          </w:tcPr>
          <w:p>
            <w:pPr>
              <w:pStyle w:val="yTable"/>
              <w:tabs>
                <w:tab w:val="left" w:pos="283"/>
              </w:tabs>
              <w:spacing w:before="0"/>
              <w:ind w:left="283" w:hanging="283"/>
            </w:pPr>
            <w:r>
              <w:tab/>
              <w:t>fracture, intra</w:t>
            </w:r>
            <w:r>
              <w:noBreakHyphen/>
              <w:t>articular, by open reduction</w:t>
            </w:r>
          </w:p>
        </w:tc>
        <w:tc>
          <w:tcPr>
            <w:tcW w:w="1701" w:type="dxa"/>
          </w:tcPr>
          <w:p>
            <w:pPr>
              <w:pStyle w:val="yTable"/>
              <w:tabs>
                <w:tab w:val="decimal" w:pos="1051"/>
              </w:tabs>
              <w:spacing w:before="0"/>
              <w:ind w:left="426" w:right="29"/>
            </w:pPr>
            <w:r>
              <w:t>237.20</w:t>
            </w:r>
          </w:p>
        </w:tc>
      </w:tr>
      <w:tr>
        <w:tc>
          <w:tcPr>
            <w:tcW w:w="5387" w:type="dxa"/>
          </w:tcPr>
          <w:p>
            <w:pPr>
              <w:pStyle w:val="yTable"/>
              <w:keepNext/>
            </w:pPr>
            <w:r>
              <w:t>Middle phalanx of finger</w:t>
            </w:r>
          </w:p>
        </w:tc>
        <w:tc>
          <w:tcPr>
            <w:tcW w:w="1701" w:type="dxa"/>
          </w:tcPr>
          <w:p>
            <w:pPr>
              <w:pStyle w:val="yTable"/>
              <w:keepNext/>
              <w:tabs>
                <w:tab w:val="decimal" w:pos="1051"/>
              </w:tabs>
              <w:ind w:left="426" w:right="29"/>
            </w:pPr>
          </w:p>
        </w:tc>
      </w:tr>
      <w:tr>
        <w:tc>
          <w:tcPr>
            <w:tcW w:w="5387" w:type="dxa"/>
          </w:tcPr>
          <w:p>
            <w:pPr>
              <w:pStyle w:val="yTable"/>
              <w:tabs>
                <w:tab w:val="left" w:pos="283"/>
              </w:tabs>
              <w:spacing w:before="0"/>
              <w:ind w:left="283" w:hanging="283"/>
            </w:pPr>
            <w:r>
              <w:tab/>
              <w:t>fracture, by closed reduction</w:t>
            </w:r>
          </w:p>
        </w:tc>
        <w:tc>
          <w:tcPr>
            <w:tcW w:w="1701" w:type="dxa"/>
          </w:tcPr>
          <w:p>
            <w:pPr>
              <w:pStyle w:val="yTable"/>
              <w:tabs>
                <w:tab w:val="decimal" w:pos="1051"/>
              </w:tabs>
              <w:spacing w:before="0"/>
              <w:ind w:left="426" w:right="29"/>
            </w:pPr>
            <w:r>
              <w:t>214.60</w:t>
            </w:r>
          </w:p>
        </w:tc>
      </w:tr>
      <w:tr>
        <w:tc>
          <w:tcPr>
            <w:tcW w:w="5387" w:type="dxa"/>
          </w:tcPr>
          <w:p>
            <w:pPr>
              <w:pStyle w:val="yTable"/>
              <w:tabs>
                <w:tab w:val="left" w:pos="283"/>
              </w:tabs>
              <w:spacing w:before="0"/>
              <w:ind w:left="283" w:hanging="283"/>
            </w:pPr>
            <w:r>
              <w:tab/>
              <w:t>fracture, intra</w:t>
            </w:r>
            <w:r>
              <w:noBreakHyphen/>
              <w:t>articular, by closed reduction</w:t>
            </w:r>
          </w:p>
        </w:tc>
        <w:tc>
          <w:tcPr>
            <w:tcW w:w="1701" w:type="dxa"/>
          </w:tcPr>
          <w:p>
            <w:pPr>
              <w:pStyle w:val="yTable"/>
              <w:tabs>
                <w:tab w:val="decimal" w:pos="1051"/>
              </w:tabs>
              <w:spacing w:before="0"/>
              <w:ind w:left="426" w:right="29"/>
            </w:pPr>
            <w:r>
              <w:t>242.80</w:t>
            </w:r>
          </w:p>
        </w:tc>
      </w:tr>
      <w:tr>
        <w:tc>
          <w:tcPr>
            <w:tcW w:w="5387" w:type="dxa"/>
          </w:tcPr>
          <w:p>
            <w:pPr>
              <w:pStyle w:val="yTable"/>
              <w:tabs>
                <w:tab w:val="left" w:pos="283"/>
              </w:tabs>
              <w:spacing w:before="0"/>
              <w:ind w:left="283" w:hanging="283"/>
            </w:pPr>
            <w:r>
              <w:tab/>
              <w:t>fracture, by open reduction</w:t>
            </w:r>
          </w:p>
        </w:tc>
        <w:tc>
          <w:tcPr>
            <w:tcW w:w="1701" w:type="dxa"/>
          </w:tcPr>
          <w:p>
            <w:pPr>
              <w:pStyle w:val="yTable"/>
              <w:tabs>
                <w:tab w:val="decimal" w:pos="1051"/>
              </w:tabs>
              <w:spacing w:before="0"/>
              <w:ind w:left="426" w:right="29"/>
            </w:pPr>
            <w:r>
              <w:t>282.35</w:t>
            </w:r>
          </w:p>
        </w:tc>
      </w:tr>
      <w:tr>
        <w:tc>
          <w:tcPr>
            <w:tcW w:w="5387" w:type="dxa"/>
          </w:tcPr>
          <w:p>
            <w:pPr>
              <w:pStyle w:val="yTable"/>
              <w:tabs>
                <w:tab w:val="left" w:pos="283"/>
              </w:tabs>
              <w:spacing w:before="0"/>
              <w:ind w:left="283" w:hanging="283"/>
            </w:pPr>
            <w:r>
              <w:tab/>
              <w:t>fracture, intra</w:t>
            </w:r>
            <w:r>
              <w:noBreakHyphen/>
              <w:t>articular, by open reduction</w:t>
            </w:r>
          </w:p>
        </w:tc>
        <w:tc>
          <w:tcPr>
            <w:tcW w:w="1701" w:type="dxa"/>
          </w:tcPr>
          <w:p>
            <w:pPr>
              <w:pStyle w:val="yTable"/>
              <w:tabs>
                <w:tab w:val="decimal" w:pos="1051"/>
              </w:tabs>
              <w:spacing w:before="0"/>
              <w:ind w:left="426" w:right="29"/>
            </w:pPr>
            <w:r>
              <w:t>355.75</w:t>
            </w:r>
          </w:p>
        </w:tc>
      </w:tr>
      <w:tr>
        <w:tc>
          <w:tcPr>
            <w:tcW w:w="5387" w:type="dxa"/>
          </w:tcPr>
          <w:p>
            <w:pPr>
              <w:pStyle w:val="yTable"/>
              <w:tabs>
                <w:tab w:val="left" w:pos="283"/>
              </w:tabs>
              <w:ind w:left="283" w:hanging="283"/>
            </w:pPr>
            <w:r>
              <w:t>Proximal phalanx of finger or thumb</w:t>
            </w:r>
          </w:p>
        </w:tc>
        <w:tc>
          <w:tcPr>
            <w:tcW w:w="1701" w:type="dxa"/>
          </w:tcPr>
          <w:p>
            <w:pPr>
              <w:pStyle w:val="yTable"/>
              <w:tabs>
                <w:tab w:val="decimal" w:pos="1051"/>
              </w:tabs>
              <w:ind w:left="426" w:right="29"/>
            </w:pPr>
          </w:p>
        </w:tc>
      </w:tr>
      <w:tr>
        <w:tc>
          <w:tcPr>
            <w:tcW w:w="5387" w:type="dxa"/>
          </w:tcPr>
          <w:p>
            <w:pPr>
              <w:pStyle w:val="yTable"/>
              <w:tabs>
                <w:tab w:val="left" w:pos="283"/>
              </w:tabs>
              <w:spacing w:before="0"/>
              <w:ind w:left="283" w:hanging="283"/>
            </w:pPr>
            <w:r>
              <w:tab/>
              <w:t>fracture, by closed reduction</w:t>
            </w:r>
          </w:p>
        </w:tc>
        <w:tc>
          <w:tcPr>
            <w:tcW w:w="1701" w:type="dxa"/>
          </w:tcPr>
          <w:p>
            <w:pPr>
              <w:pStyle w:val="yTable"/>
              <w:tabs>
                <w:tab w:val="decimal" w:pos="1051"/>
              </w:tabs>
              <w:spacing w:before="0"/>
              <w:ind w:left="426" w:right="29"/>
            </w:pPr>
            <w:r>
              <w:t>282.35</w:t>
            </w:r>
          </w:p>
        </w:tc>
      </w:tr>
      <w:tr>
        <w:tc>
          <w:tcPr>
            <w:tcW w:w="5387" w:type="dxa"/>
          </w:tcPr>
          <w:p>
            <w:pPr>
              <w:pStyle w:val="yTable"/>
              <w:tabs>
                <w:tab w:val="left" w:pos="283"/>
              </w:tabs>
              <w:spacing w:before="0"/>
              <w:ind w:left="283" w:hanging="283"/>
            </w:pPr>
            <w:r>
              <w:tab/>
              <w:t>fracture, intra</w:t>
            </w:r>
            <w:r>
              <w:noBreakHyphen/>
              <w:t>articular, by closed reduction</w:t>
            </w:r>
          </w:p>
        </w:tc>
        <w:tc>
          <w:tcPr>
            <w:tcW w:w="1701" w:type="dxa"/>
          </w:tcPr>
          <w:p>
            <w:pPr>
              <w:pStyle w:val="yTable"/>
              <w:tabs>
                <w:tab w:val="decimal" w:pos="1051"/>
              </w:tabs>
              <w:spacing w:before="0"/>
              <w:ind w:left="426" w:right="29"/>
            </w:pPr>
            <w:r>
              <w:t>333.15</w:t>
            </w:r>
          </w:p>
        </w:tc>
      </w:tr>
      <w:tr>
        <w:tc>
          <w:tcPr>
            <w:tcW w:w="5387" w:type="dxa"/>
          </w:tcPr>
          <w:p>
            <w:pPr>
              <w:pStyle w:val="yTable"/>
              <w:tabs>
                <w:tab w:val="left" w:pos="283"/>
              </w:tabs>
              <w:spacing w:before="0"/>
              <w:ind w:left="283" w:hanging="283"/>
            </w:pPr>
            <w:r>
              <w:tab/>
              <w:t>fracture, by open reduction</w:t>
            </w:r>
          </w:p>
        </w:tc>
        <w:tc>
          <w:tcPr>
            <w:tcW w:w="1701" w:type="dxa"/>
          </w:tcPr>
          <w:p>
            <w:pPr>
              <w:pStyle w:val="yTable"/>
              <w:tabs>
                <w:tab w:val="decimal" w:pos="1051"/>
              </w:tabs>
              <w:spacing w:before="0"/>
              <w:ind w:left="426" w:right="29"/>
            </w:pPr>
            <w:r>
              <w:t>378.45</w:t>
            </w:r>
          </w:p>
        </w:tc>
      </w:tr>
      <w:tr>
        <w:tc>
          <w:tcPr>
            <w:tcW w:w="5387" w:type="dxa"/>
          </w:tcPr>
          <w:p>
            <w:pPr>
              <w:pStyle w:val="yTable"/>
              <w:tabs>
                <w:tab w:val="left" w:pos="283"/>
              </w:tabs>
              <w:spacing w:before="0"/>
              <w:ind w:left="283" w:hanging="283"/>
            </w:pPr>
            <w:r>
              <w:tab/>
              <w:t>fracture, intra</w:t>
            </w:r>
            <w:r>
              <w:noBreakHyphen/>
              <w:t>articular, by open reduction</w:t>
            </w:r>
          </w:p>
        </w:tc>
        <w:tc>
          <w:tcPr>
            <w:tcW w:w="1701" w:type="dxa"/>
          </w:tcPr>
          <w:p>
            <w:pPr>
              <w:pStyle w:val="yTable"/>
              <w:tabs>
                <w:tab w:val="decimal" w:pos="1051"/>
              </w:tabs>
              <w:spacing w:before="0"/>
              <w:ind w:left="426" w:right="29"/>
            </w:pPr>
            <w:r>
              <w:t>474.40</w:t>
            </w:r>
          </w:p>
        </w:tc>
      </w:tr>
      <w:tr>
        <w:tc>
          <w:tcPr>
            <w:tcW w:w="5387" w:type="dxa"/>
          </w:tcPr>
          <w:p>
            <w:pPr>
              <w:pStyle w:val="yTable"/>
              <w:tabs>
                <w:tab w:val="left" w:pos="283"/>
              </w:tabs>
              <w:ind w:left="283" w:hanging="283"/>
            </w:pPr>
            <w:r>
              <w:t>Metacarpal</w:t>
            </w:r>
          </w:p>
        </w:tc>
        <w:tc>
          <w:tcPr>
            <w:tcW w:w="1701" w:type="dxa"/>
          </w:tcPr>
          <w:p>
            <w:pPr>
              <w:pStyle w:val="yTable"/>
              <w:tabs>
                <w:tab w:val="decimal" w:pos="1051"/>
              </w:tabs>
              <w:ind w:left="426" w:right="29"/>
            </w:pPr>
          </w:p>
        </w:tc>
      </w:tr>
      <w:tr>
        <w:tc>
          <w:tcPr>
            <w:tcW w:w="5387" w:type="dxa"/>
          </w:tcPr>
          <w:p>
            <w:pPr>
              <w:pStyle w:val="yTable"/>
              <w:tabs>
                <w:tab w:val="left" w:pos="283"/>
              </w:tabs>
              <w:spacing w:before="0"/>
              <w:ind w:left="283" w:hanging="283"/>
            </w:pPr>
            <w:r>
              <w:tab/>
              <w:t>fracture, by closed reduction</w:t>
            </w:r>
          </w:p>
        </w:tc>
        <w:tc>
          <w:tcPr>
            <w:tcW w:w="1701" w:type="dxa"/>
          </w:tcPr>
          <w:p>
            <w:pPr>
              <w:pStyle w:val="yTable"/>
              <w:tabs>
                <w:tab w:val="decimal" w:pos="1051"/>
              </w:tabs>
              <w:spacing w:before="0"/>
              <w:ind w:left="426" w:right="29"/>
            </w:pPr>
            <w:r>
              <w:t>282.35</w:t>
            </w:r>
          </w:p>
        </w:tc>
      </w:tr>
      <w:tr>
        <w:tc>
          <w:tcPr>
            <w:tcW w:w="5387" w:type="dxa"/>
          </w:tcPr>
          <w:p>
            <w:pPr>
              <w:pStyle w:val="yTable"/>
              <w:tabs>
                <w:tab w:val="left" w:pos="283"/>
              </w:tabs>
              <w:spacing w:before="0"/>
              <w:ind w:left="283" w:hanging="283"/>
            </w:pPr>
            <w:r>
              <w:tab/>
              <w:t>fracture, intra</w:t>
            </w:r>
            <w:r>
              <w:noBreakHyphen/>
              <w:t>articular, by closed reduction</w:t>
            </w:r>
          </w:p>
        </w:tc>
        <w:tc>
          <w:tcPr>
            <w:tcW w:w="1701" w:type="dxa"/>
          </w:tcPr>
          <w:p>
            <w:pPr>
              <w:pStyle w:val="yTable"/>
              <w:tabs>
                <w:tab w:val="decimal" w:pos="1051"/>
              </w:tabs>
              <w:spacing w:before="0"/>
              <w:ind w:left="426" w:right="29"/>
            </w:pPr>
            <w:r>
              <w:t>333.15</w:t>
            </w:r>
          </w:p>
        </w:tc>
      </w:tr>
      <w:tr>
        <w:tc>
          <w:tcPr>
            <w:tcW w:w="5387" w:type="dxa"/>
          </w:tcPr>
          <w:p>
            <w:pPr>
              <w:pStyle w:val="yTable"/>
              <w:tabs>
                <w:tab w:val="left" w:pos="283"/>
              </w:tabs>
              <w:spacing w:before="0"/>
              <w:ind w:left="283" w:hanging="283"/>
            </w:pPr>
            <w:r>
              <w:tab/>
              <w:t>fracture, by open reduction</w:t>
            </w:r>
          </w:p>
        </w:tc>
        <w:tc>
          <w:tcPr>
            <w:tcW w:w="1701" w:type="dxa"/>
          </w:tcPr>
          <w:p>
            <w:pPr>
              <w:pStyle w:val="yTable"/>
              <w:tabs>
                <w:tab w:val="decimal" w:pos="1051"/>
              </w:tabs>
              <w:spacing w:before="0"/>
              <w:ind w:left="426" w:right="29"/>
            </w:pPr>
            <w:r>
              <w:t>378.45</w:t>
            </w:r>
          </w:p>
        </w:tc>
      </w:tr>
      <w:tr>
        <w:tc>
          <w:tcPr>
            <w:tcW w:w="5387" w:type="dxa"/>
          </w:tcPr>
          <w:p>
            <w:pPr>
              <w:pStyle w:val="yTable"/>
              <w:tabs>
                <w:tab w:val="left" w:pos="283"/>
              </w:tabs>
              <w:spacing w:before="0"/>
              <w:ind w:left="283" w:hanging="283"/>
            </w:pPr>
            <w:r>
              <w:tab/>
              <w:t>fracture, intra</w:t>
            </w:r>
            <w:r>
              <w:noBreakHyphen/>
              <w:t>articular, by open reduction</w:t>
            </w:r>
          </w:p>
        </w:tc>
        <w:tc>
          <w:tcPr>
            <w:tcW w:w="1701" w:type="dxa"/>
          </w:tcPr>
          <w:p>
            <w:pPr>
              <w:pStyle w:val="yTable"/>
              <w:tabs>
                <w:tab w:val="decimal" w:pos="1051"/>
              </w:tabs>
              <w:spacing w:before="0"/>
              <w:ind w:left="426" w:right="29"/>
            </w:pPr>
            <w:r>
              <w:t>474.40</w:t>
            </w:r>
          </w:p>
        </w:tc>
      </w:tr>
      <w:tr>
        <w:tc>
          <w:tcPr>
            <w:tcW w:w="5387" w:type="dxa"/>
          </w:tcPr>
          <w:p>
            <w:pPr>
              <w:pStyle w:val="yTable"/>
            </w:pPr>
            <w:r>
              <w:t>Carpal Scaphoid, by open reduction</w:t>
            </w:r>
          </w:p>
        </w:tc>
        <w:tc>
          <w:tcPr>
            <w:tcW w:w="1701" w:type="dxa"/>
          </w:tcPr>
          <w:p>
            <w:pPr>
              <w:pStyle w:val="yTable"/>
              <w:tabs>
                <w:tab w:val="decimal" w:pos="1051"/>
              </w:tabs>
              <w:ind w:left="426" w:right="29"/>
            </w:pPr>
            <w:r>
              <w:t>632.50</w:t>
            </w:r>
          </w:p>
        </w:tc>
      </w:tr>
      <w:tr>
        <w:tc>
          <w:tcPr>
            <w:tcW w:w="5387" w:type="dxa"/>
          </w:tcPr>
          <w:p>
            <w:pPr>
              <w:pStyle w:val="yTable"/>
              <w:spacing w:before="0"/>
            </w:pPr>
            <w:r>
              <w:t>Carpal Scaphoid, other</w:t>
            </w:r>
          </w:p>
        </w:tc>
        <w:tc>
          <w:tcPr>
            <w:tcW w:w="1701" w:type="dxa"/>
          </w:tcPr>
          <w:p>
            <w:pPr>
              <w:pStyle w:val="yTable"/>
              <w:tabs>
                <w:tab w:val="decimal" w:pos="1051"/>
              </w:tabs>
              <w:spacing w:before="0"/>
              <w:ind w:left="426" w:right="29"/>
            </w:pPr>
            <w:r>
              <w:t>282.35</w:t>
            </w:r>
          </w:p>
        </w:tc>
      </w:tr>
      <w:tr>
        <w:tc>
          <w:tcPr>
            <w:tcW w:w="5387" w:type="dxa"/>
          </w:tcPr>
          <w:p>
            <w:pPr>
              <w:pStyle w:val="yTable"/>
              <w:spacing w:before="0"/>
            </w:pPr>
            <w:r>
              <w:t>Carpus (excluding Scaphoid), by open reduction</w:t>
            </w:r>
          </w:p>
        </w:tc>
        <w:tc>
          <w:tcPr>
            <w:tcW w:w="1701" w:type="dxa"/>
          </w:tcPr>
          <w:p>
            <w:pPr>
              <w:pStyle w:val="yTable"/>
              <w:tabs>
                <w:tab w:val="decimal" w:pos="1051"/>
              </w:tabs>
              <w:spacing w:before="0"/>
              <w:ind w:left="426" w:right="29"/>
            </w:pPr>
            <w:r>
              <w:t>395.30</w:t>
            </w:r>
          </w:p>
        </w:tc>
      </w:tr>
      <w:tr>
        <w:tc>
          <w:tcPr>
            <w:tcW w:w="5387" w:type="dxa"/>
          </w:tcPr>
          <w:p>
            <w:pPr>
              <w:pStyle w:val="yTable"/>
              <w:spacing w:before="0"/>
            </w:pPr>
            <w:r>
              <w:t>Carpus (excluding Scaphoid), other</w:t>
            </w:r>
          </w:p>
        </w:tc>
        <w:tc>
          <w:tcPr>
            <w:tcW w:w="1701" w:type="dxa"/>
          </w:tcPr>
          <w:p>
            <w:pPr>
              <w:pStyle w:val="yTable"/>
              <w:tabs>
                <w:tab w:val="decimal" w:pos="1051"/>
              </w:tabs>
              <w:spacing w:before="0"/>
              <w:ind w:left="426" w:right="29"/>
            </w:pPr>
            <w:r>
              <w:t>158.15</w:t>
            </w:r>
          </w:p>
        </w:tc>
      </w:tr>
      <w:tr>
        <w:tc>
          <w:tcPr>
            <w:tcW w:w="5387" w:type="dxa"/>
          </w:tcPr>
          <w:p>
            <w:pPr>
              <w:pStyle w:val="yTable"/>
            </w:pPr>
            <w:r>
              <w:t>Radius</w:t>
            </w:r>
          </w:p>
        </w:tc>
        <w:tc>
          <w:tcPr>
            <w:tcW w:w="1701" w:type="dxa"/>
          </w:tcPr>
          <w:p>
            <w:pPr>
              <w:pStyle w:val="yTable"/>
              <w:tabs>
                <w:tab w:val="decimal" w:pos="1051"/>
              </w:tabs>
              <w:ind w:left="426" w:right="29"/>
            </w:pPr>
          </w:p>
        </w:tc>
      </w:tr>
      <w:tr>
        <w:tc>
          <w:tcPr>
            <w:tcW w:w="5387" w:type="dxa"/>
          </w:tcPr>
          <w:p>
            <w:pPr>
              <w:pStyle w:val="yTable"/>
              <w:tabs>
                <w:tab w:val="left" w:pos="283"/>
              </w:tabs>
              <w:spacing w:before="0"/>
              <w:ind w:left="283" w:hanging="283"/>
            </w:pPr>
            <w:r>
              <w:tab/>
              <w:t>by closed management</w:t>
            </w:r>
          </w:p>
        </w:tc>
        <w:tc>
          <w:tcPr>
            <w:tcW w:w="1701" w:type="dxa"/>
          </w:tcPr>
          <w:p>
            <w:pPr>
              <w:pStyle w:val="yTable"/>
              <w:tabs>
                <w:tab w:val="decimal" w:pos="1051"/>
              </w:tabs>
              <w:spacing w:before="0"/>
              <w:ind w:left="426" w:right="29"/>
            </w:pPr>
            <w:r>
              <w:t>316.25</w:t>
            </w:r>
          </w:p>
        </w:tc>
      </w:tr>
      <w:tr>
        <w:tc>
          <w:tcPr>
            <w:tcW w:w="5387" w:type="dxa"/>
          </w:tcPr>
          <w:p>
            <w:pPr>
              <w:pStyle w:val="yTable"/>
              <w:tabs>
                <w:tab w:val="left" w:pos="283"/>
              </w:tabs>
              <w:spacing w:before="0"/>
              <w:ind w:left="283" w:hanging="283"/>
            </w:pPr>
            <w:r>
              <w:tab/>
              <w:t>by open management</w:t>
            </w:r>
          </w:p>
        </w:tc>
        <w:tc>
          <w:tcPr>
            <w:tcW w:w="1701" w:type="dxa"/>
          </w:tcPr>
          <w:p>
            <w:pPr>
              <w:pStyle w:val="yTable"/>
              <w:tabs>
                <w:tab w:val="decimal" w:pos="1051"/>
              </w:tabs>
              <w:spacing w:before="0"/>
              <w:ind w:left="426" w:right="29"/>
            </w:pPr>
            <w:r>
              <w:t>632.50</w:t>
            </w:r>
          </w:p>
        </w:tc>
      </w:tr>
      <w:tr>
        <w:tc>
          <w:tcPr>
            <w:tcW w:w="5387" w:type="dxa"/>
          </w:tcPr>
          <w:p>
            <w:pPr>
              <w:pStyle w:val="yTable"/>
            </w:pPr>
            <w:r>
              <w:t>Radius or Ulnar, distal end, (Colies’, Smith’s or Barton’s)</w:t>
            </w:r>
          </w:p>
        </w:tc>
        <w:tc>
          <w:tcPr>
            <w:tcW w:w="1701" w:type="dxa"/>
          </w:tcPr>
          <w:p>
            <w:pPr>
              <w:pStyle w:val="yTable"/>
              <w:tabs>
                <w:tab w:val="decimal" w:pos="1051"/>
              </w:tabs>
              <w:ind w:left="426" w:right="29"/>
            </w:pPr>
          </w:p>
        </w:tc>
      </w:tr>
      <w:tr>
        <w:tc>
          <w:tcPr>
            <w:tcW w:w="5387" w:type="dxa"/>
          </w:tcPr>
          <w:p>
            <w:pPr>
              <w:pStyle w:val="yTable"/>
              <w:tabs>
                <w:tab w:val="left" w:pos="283"/>
              </w:tabs>
              <w:spacing w:before="0"/>
              <w:ind w:left="283" w:hanging="283"/>
            </w:pPr>
            <w:r>
              <w:tab/>
              <w:t>by closed reduction</w:t>
            </w:r>
          </w:p>
        </w:tc>
        <w:tc>
          <w:tcPr>
            <w:tcW w:w="1701" w:type="dxa"/>
          </w:tcPr>
          <w:p>
            <w:pPr>
              <w:pStyle w:val="yTable"/>
              <w:tabs>
                <w:tab w:val="decimal" w:pos="1051"/>
              </w:tabs>
              <w:spacing w:before="0"/>
              <w:ind w:left="426" w:right="29"/>
            </w:pPr>
            <w:r>
              <w:t>474.40</w:t>
            </w:r>
          </w:p>
        </w:tc>
      </w:tr>
      <w:tr>
        <w:tc>
          <w:tcPr>
            <w:tcW w:w="5387" w:type="dxa"/>
          </w:tcPr>
          <w:p>
            <w:pPr>
              <w:pStyle w:val="yTable"/>
              <w:tabs>
                <w:tab w:val="left" w:pos="283"/>
              </w:tabs>
              <w:spacing w:before="0"/>
              <w:ind w:left="283" w:hanging="283"/>
            </w:pPr>
            <w:r>
              <w:tab/>
              <w:t>by open reduction</w:t>
            </w:r>
          </w:p>
        </w:tc>
        <w:tc>
          <w:tcPr>
            <w:tcW w:w="1701" w:type="dxa"/>
          </w:tcPr>
          <w:p>
            <w:pPr>
              <w:pStyle w:val="yTable"/>
              <w:tabs>
                <w:tab w:val="decimal" w:pos="1051"/>
              </w:tabs>
              <w:spacing w:before="0"/>
              <w:ind w:left="426" w:right="29"/>
            </w:pPr>
            <w:r>
              <w:t>632.50</w:t>
            </w:r>
          </w:p>
        </w:tc>
      </w:tr>
      <w:tr>
        <w:tc>
          <w:tcPr>
            <w:tcW w:w="5387" w:type="dxa"/>
          </w:tcPr>
          <w:p>
            <w:pPr>
              <w:pStyle w:val="yTable"/>
            </w:pPr>
            <w:r>
              <w:t>Ribs (1 or more), each attendance</w:t>
            </w:r>
          </w:p>
        </w:tc>
        <w:tc>
          <w:tcPr>
            <w:tcW w:w="1701" w:type="dxa"/>
          </w:tcPr>
          <w:p>
            <w:pPr>
              <w:pStyle w:val="yTable"/>
              <w:tabs>
                <w:tab w:val="decimal" w:pos="1051"/>
              </w:tabs>
              <w:ind w:left="426" w:right="29"/>
            </w:pPr>
            <w:r>
              <w:t>72.35</w:t>
            </w:r>
          </w:p>
        </w:tc>
      </w:tr>
      <w:tr>
        <w:tc>
          <w:tcPr>
            <w:tcW w:w="5387" w:type="dxa"/>
          </w:tcPr>
          <w:p>
            <w:pPr>
              <w:pStyle w:val="yTable"/>
            </w:pPr>
            <w:r>
              <w:t>Tibia, plateau of, medial or lateral</w:t>
            </w:r>
          </w:p>
        </w:tc>
        <w:tc>
          <w:tcPr>
            <w:tcW w:w="1701" w:type="dxa"/>
          </w:tcPr>
          <w:p>
            <w:pPr>
              <w:pStyle w:val="yTable"/>
              <w:tabs>
                <w:tab w:val="decimal" w:pos="1051"/>
              </w:tabs>
              <w:ind w:left="426" w:right="29"/>
            </w:pPr>
          </w:p>
        </w:tc>
      </w:tr>
      <w:tr>
        <w:tc>
          <w:tcPr>
            <w:tcW w:w="5387" w:type="dxa"/>
          </w:tcPr>
          <w:p>
            <w:pPr>
              <w:pStyle w:val="yTable"/>
              <w:tabs>
                <w:tab w:val="left" w:pos="283"/>
              </w:tabs>
              <w:spacing w:before="0"/>
              <w:ind w:left="283" w:hanging="283"/>
            </w:pPr>
            <w:r>
              <w:tab/>
              <w:t>by closed reduction</w:t>
            </w:r>
          </w:p>
        </w:tc>
        <w:tc>
          <w:tcPr>
            <w:tcW w:w="1701" w:type="dxa"/>
          </w:tcPr>
          <w:p>
            <w:pPr>
              <w:pStyle w:val="yTable"/>
              <w:tabs>
                <w:tab w:val="decimal" w:pos="1051"/>
              </w:tabs>
              <w:spacing w:before="0"/>
              <w:ind w:left="426" w:right="29"/>
            </w:pPr>
            <w:r>
              <w:t>570.40</w:t>
            </w:r>
          </w:p>
        </w:tc>
      </w:tr>
      <w:tr>
        <w:tc>
          <w:tcPr>
            <w:tcW w:w="5387" w:type="dxa"/>
          </w:tcPr>
          <w:p>
            <w:pPr>
              <w:pStyle w:val="yTable"/>
              <w:tabs>
                <w:tab w:val="left" w:pos="283"/>
              </w:tabs>
              <w:spacing w:before="0"/>
              <w:ind w:left="283" w:hanging="283"/>
            </w:pPr>
            <w:r>
              <w:tab/>
              <w:t>by open reduction</w:t>
            </w:r>
          </w:p>
        </w:tc>
        <w:tc>
          <w:tcPr>
            <w:tcW w:w="1701" w:type="dxa"/>
          </w:tcPr>
          <w:p>
            <w:pPr>
              <w:pStyle w:val="yTable"/>
              <w:tabs>
                <w:tab w:val="decimal" w:pos="1051"/>
              </w:tabs>
              <w:spacing w:before="0"/>
              <w:ind w:left="426" w:right="29"/>
            </w:pPr>
            <w:r>
              <w:t>756.70</w:t>
            </w:r>
          </w:p>
        </w:tc>
      </w:tr>
      <w:tr>
        <w:tc>
          <w:tcPr>
            <w:tcW w:w="5387" w:type="dxa"/>
          </w:tcPr>
          <w:p>
            <w:pPr>
              <w:pStyle w:val="yTable"/>
              <w:keepNext/>
              <w:spacing w:before="50"/>
            </w:pPr>
            <w:r>
              <w:t>Tibia, plateau of, medial and lateral</w:t>
            </w:r>
          </w:p>
        </w:tc>
        <w:tc>
          <w:tcPr>
            <w:tcW w:w="1701" w:type="dxa"/>
          </w:tcPr>
          <w:p>
            <w:pPr>
              <w:pStyle w:val="yTable"/>
              <w:keepNext/>
              <w:tabs>
                <w:tab w:val="decimal" w:pos="1051"/>
              </w:tabs>
              <w:spacing w:before="50"/>
              <w:ind w:left="426" w:right="29"/>
            </w:pPr>
          </w:p>
        </w:tc>
      </w:tr>
      <w:tr>
        <w:tc>
          <w:tcPr>
            <w:tcW w:w="5387" w:type="dxa"/>
          </w:tcPr>
          <w:p>
            <w:pPr>
              <w:pStyle w:val="yTable"/>
              <w:tabs>
                <w:tab w:val="left" w:pos="283"/>
              </w:tabs>
              <w:spacing w:before="0"/>
              <w:ind w:left="283" w:hanging="283"/>
            </w:pPr>
            <w:r>
              <w:tab/>
              <w:t>by closed reduction</w:t>
            </w:r>
          </w:p>
        </w:tc>
        <w:tc>
          <w:tcPr>
            <w:tcW w:w="1701" w:type="dxa"/>
          </w:tcPr>
          <w:p>
            <w:pPr>
              <w:pStyle w:val="yTable"/>
              <w:tabs>
                <w:tab w:val="decimal" w:pos="1051"/>
              </w:tabs>
              <w:spacing w:before="0"/>
              <w:ind w:left="426" w:right="29"/>
            </w:pPr>
            <w:r>
              <w:t>948.75</w:t>
            </w:r>
          </w:p>
        </w:tc>
      </w:tr>
      <w:tr>
        <w:tc>
          <w:tcPr>
            <w:tcW w:w="5387" w:type="dxa"/>
          </w:tcPr>
          <w:p>
            <w:pPr>
              <w:pStyle w:val="yTable"/>
              <w:tabs>
                <w:tab w:val="left" w:pos="283"/>
              </w:tabs>
              <w:spacing w:before="0"/>
              <w:ind w:left="283" w:hanging="283"/>
            </w:pPr>
            <w:r>
              <w:tab/>
              <w:t>by open reduction</w:t>
            </w:r>
          </w:p>
        </w:tc>
        <w:tc>
          <w:tcPr>
            <w:tcW w:w="1701" w:type="dxa"/>
          </w:tcPr>
          <w:p>
            <w:pPr>
              <w:pStyle w:val="yTable"/>
              <w:tabs>
                <w:tab w:val="decimal" w:pos="1051"/>
              </w:tabs>
              <w:spacing w:before="0"/>
              <w:ind w:left="426" w:right="29"/>
            </w:pPr>
            <w:r>
              <w:t>1 270.60</w:t>
            </w:r>
          </w:p>
        </w:tc>
      </w:tr>
      <w:tr>
        <w:tc>
          <w:tcPr>
            <w:tcW w:w="5387" w:type="dxa"/>
          </w:tcPr>
          <w:p>
            <w:pPr>
              <w:pStyle w:val="yTable"/>
              <w:spacing w:before="0"/>
            </w:pPr>
          </w:p>
        </w:tc>
        <w:tc>
          <w:tcPr>
            <w:tcW w:w="1701" w:type="dxa"/>
          </w:tcPr>
          <w:p>
            <w:pPr>
              <w:pStyle w:val="yTable"/>
              <w:tabs>
                <w:tab w:val="decimal" w:pos="1051"/>
              </w:tabs>
              <w:spacing w:before="0"/>
              <w:ind w:right="29"/>
            </w:pPr>
          </w:p>
        </w:tc>
      </w:tr>
      <w:tr>
        <w:tc>
          <w:tcPr>
            <w:tcW w:w="5387" w:type="dxa"/>
          </w:tcPr>
          <w:p>
            <w:pPr>
              <w:pStyle w:val="yTable"/>
              <w:spacing w:before="0"/>
            </w:pPr>
            <w:r>
              <w:t>SUTURES</w:t>
            </w:r>
          </w:p>
        </w:tc>
        <w:tc>
          <w:tcPr>
            <w:tcW w:w="1701" w:type="dxa"/>
          </w:tcPr>
          <w:p>
            <w:pPr>
              <w:pStyle w:val="yTable"/>
              <w:tabs>
                <w:tab w:val="decimal" w:pos="1051"/>
              </w:tabs>
              <w:spacing w:before="0"/>
              <w:ind w:right="29"/>
            </w:pPr>
          </w:p>
        </w:tc>
      </w:tr>
      <w:tr>
        <w:tc>
          <w:tcPr>
            <w:tcW w:w="5387" w:type="dxa"/>
          </w:tcPr>
          <w:p>
            <w:pPr>
              <w:pStyle w:val="yTable"/>
              <w:spacing w:before="50"/>
            </w:pPr>
            <w:r>
              <w:t>face or neck, less than 7 cm, superficial</w:t>
            </w:r>
          </w:p>
        </w:tc>
        <w:tc>
          <w:tcPr>
            <w:tcW w:w="1701" w:type="dxa"/>
          </w:tcPr>
          <w:p>
            <w:pPr>
              <w:pStyle w:val="yTable"/>
              <w:tabs>
                <w:tab w:val="decimal" w:pos="1051"/>
              </w:tabs>
              <w:spacing w:before="50"/>
              <w:ind w:left="426" w:right="29"/>
            </w:pPr>
            <w:r>
              <w:t>112.95</w:t>
            </w:r>
          </w:p>
        </w:tc>
      </w:tr>
      <w:tr>
        <w:tc>
          <w:tcPr>
            <w:tcW w:w="5387" w:type="dxa"/>
          </w:tcPr>
          <w:p>
            <w:pPr>
              <w:pStyle w:val="yTable"/>
              <w:spacing w:before="0"/>
            </w:pPr>
            <w:r>
              <w:t>face or neck, less than 7 cm, deep</w:t>
            </w:r>
          </w:p>
        </w:tc>
        <w:tc>
          <w:tcPr>
            <w:tcW w:w="1701" w:type="dxa"/>
          </w:tcPr>
          <w:p>
            <w:pPr>
              <w:pStyle w:val="yTable"/>
              <w:tabs>
                <w:tab w:val="decimal" w:pos="1051"/>
              </w:tabs>
              <w:spacing w:before="0"/>
              <w:ind w:left="426" w:right="29"/>
            </w:pPr>
            <w:r>
              <w:t>171.65</w:t>
            </w:r>
          </w:p>
        </w:tc>
      </w:tr>
      <w:tr>
        <w:tc>
          <w:tcPr>
            <w:tcW w:w="5387" w:type="dxa"/>
          </w:tcPr>
          <w:p>
            <w:pPr>
              <w:pStyle w:val="yTable"/>
              <w:spacing w:before="0"/>
            </w:pPr>
            <w:r>
              <w:t>face or neck, more than 7 cm, superficial</w:t>
            </w:r>
          </w:p>
        </w:tc>
        <w:tc>
          <w:tcPr>
            <w:tcW w:w="1701" w:type="dxa"/>
          </w:tcPr>
          <w:p>
            <w:pPr>
              <w:pStyle w:val="yTable"/>
              <w:tabs>
                <w:tab w:val="decimal" w:pos="1051"/>
              </w:tabs>
              <w:spacing w:before="0"/>
              <w:ind w:left="426" w:right="29"/>
            </w:pPr>
            <w:r>
              <w:t>171.65</w:t>
            </w:r>
          </w:p>
        </w:tc>
      </w:tr>
      <w:tr>
        <w:tc>
          <w:tcPr>
            <w:tcW w:w="5387" w:type="dxa"/>
          </w:tcPr>
          <w:p>
            <w:pPr>
              <w:pStyle w:val="yTable"/>
              <w:spacing w:before="0"/>
            </w:pPr>
            <w:r>
              <w:t>face or neck, more than 7 cm, deep</w:t>
            </w:r>
          </w:p>
        </w:tc>
        <w:tc>
          <w:tcPr>
            <w:tcW w:w="1701" w:type="dxa"/>
          </w:tcPr>
          <w:p>
            <w:pPr>
              <w:pStyle w:val="yTable"/>
              <w:tabs>
                <w:tab w:val="decimal" w:pos="1051"/>
              </w:tabs>
              <w:spacing w:before="0"/>
              <w:ind w:left="426" w:right="29"/>
            </w:pPr>
            <w:r>
              <w:t>293.65</w:t>
            </w:r>
          </w:p>
        </w:tc>
      </w:tr>
      <w:tr>
        <w:tc>
          <w:tcPr>
            <w:tcW w:w="5387" w:type="dxa"/>
          </w:tcPr>
          <w:p>
            <w:pPr>
              <w:pStyle w:val="yTable"/>
              <w:tabs>
                <w:tab w:val="left" w:pos="283"/>
              </w:tabs>
              <w:spacing w:before="0"/>
              <w:ind w:left="283" w:hanging="283"/>
            </w:pPr>
            <w:r>
              <w:t>except face or neck, less than 7 cm, superficial</w:t>
            </w:r>
          </w:p>
        </w:tc>
        <w:tc>
          <w:tcPr>
            <w:tcW w:w="1701" w:type="dxa"/>
          </w:tcPr>
          <w:p>
            <w:pPr>
              <w:pStyle w:val="yTable"/>
              <w:tabs>
                <w:tab w:val="decimal" w:pos="1051"/>
              </w:tabs>
              <w:spacing w:before="0"/>
              <w:ind w:left="426" w:right="29"/>
            </w:pPr>
            <w:r>
              <w:t>85.85</w:t>
            </w:r>
          </w:p>
        </w:tc>
      </w:tr>
      <w:tr>
        <w:tc>
          <w:tcPr>
            <w:tcW w:w="5387" w:type="dxa"/>
          </w:tcPr>
          <w:p>
            <w:pPr>
              <w:pStyle w:val="yTable"/>
              <w:spacing w:before="0"/>
            </w:pPr>
            <w:r>
              <w:t>except face or neck, less than 7 cm, deep</w:t>
            </w:r>
          </w:p>
        </w:tc>
        <w:tc>
          <w:tcPr>
            <w:tcW w:w="1701" w:type="dxa"/>
          </w:tcPr>
          <w:p>
            <w:pPr>
              <w:pStyle w:val="yTable"/>
              <w:tabs>
                <w:tab w:val="decimal" w:pos="1051"/>
              </w:tabs>
              <w:spacing w:before="0"/>
              <w:ind w:left="426" w:right="29"/>
            </w:pPr>
            <w:r>
              <w:t>128.75</w:t>
            </w:r>
          </w:p>
        </w:tc>
      </w:tr>
      <w:tr>
        <w:tc>
          <w:tcPr>
            <w:tcW w:w="5387" w:type="dxa"/>
          </w:tcPr>
          <w:p>
            <w:pPr>
              <w:pStyle w:val="yTable"/>
              <w:tabs>
                <w:tab w:val="left" w:pos="283"/>
              </w:tabs>
              <w:spacing w:before="0"/>
              <w:ind w:left="283" w:hanging="283"/>
            </w:pPr>
            <w:r>
              <w:t>except face or neck, more than 7 cm, superficial</w:t>
            </w:r>
          </w:p>
        </w:tc>
        <w:tc>
          <w:tcPr>
            <w:tcW w:w="1701" w:type="dxa"/>
          </w:tcPr>
          <w:p>
            <w:pPr>
              <w:pStyle w:val="yTable"/>
              <w:tabs>
                <w:tab w:val="decimal" w:pos="1051"/>
              </w:tabs>
              <w:spacing w:before="0"/>
              <w:ind w:left="426" w:right="29"/>
            </w:pPr>
            <w:r>
              <w:t>128.75</w:t>
            </w:r>
          </w:p>
        </w:tc>
      </w:tr>
      <w:tr>
        <w:tc>
          <w:tcPr>
            <w:tcW w:w="5387" w:type="dxa"/>
          </w:tcPr>
          <w:p>
            <w:pPr>
              <w:pStyle w:val="yTable"/>
              <w:spacing w:before="0"/>
            </w:pPr>
            <w:r>
              <w:t>except face or neck, more than 7 cm, deep</w:t>
            </w:r>
          </w:p>
        </w:tc>
        <w:tc>
          <w:tcPr>
            <w:tcW w:w="1701" w:type="dxa"/>
          </w:tcPr>
          <w:p>
            <w:pPr>
              <w:pStyle w:val="yTable"/>
              <w:tabs>
                <w:tab w:val="decimal" w:pos="1051"/>
              </w:tabs>
              <w:spacing w:before="0"/>
              <w:ind w:left="426" w:right="29"/>
            </w:pPr>
            <w:r>
              <w:t>282.35</w:t>
            </w:r>
          </w:p>
        </w:tc>
      </w:tr>
      <w:tr>
        <w:tc>
          <w:tcPr>
            <w:tcW w:w="5387" w:type="dxa"/>
          </w:tcPr>
          <w:p>
            <w:pPr>
              <w:pStyle w:val="yTable"/>
              <w:spacing w:before="0"/>
            </w:pPr>
          </w:p>
        </w:tc>
        <w:tc>
          <w:tcPr>
            <w:tcW w:w="1701" w:type="dxa"/>
          </w:tcPr>
          <w:p>
            <w:pPr>
              <w:pStyle w:val="yTable"/>
              <w:tabs>
                <w:tab w:val="decimal" w:pos="1051"/>
              </w:tabs>
              <w:spacing w:before="0"/>
              <w:ind w:right="29"/>
            </w:pPr>
          </w:p>
        </w:tc>
      </w:tr>
      <w:tr>
        <w:tc>
          <w:tcPr>
            <w:tcW w:w="5387" w:type="dxa"/>
          </w:tcPr>
          <w:p>
            <w:pPr>
              <w:pStyle w:val="yTable"/>
            </w:pPr>
            <w:r>
              <w:t>AMPUTATIONS</w:t>
            </w:r>
          </w:p>
        </w:tc>
        <w:tc>
          <w:tcPr>
            <w:tcW w:w="1701" w:type="dxa"/>
          </w:tcPr>
          <w:p>
            <w:pPr>
              <w:pStyle w:val="yTable"/>
              <w:tabs>
                <w:tab w:val="decimal" w:pos="1051"/>
                <w:tab w:val="right" w:pos="1335"/>
              </w:tabs>
              <w:ind w:right="29"/>
            </w:pPr>
          </w:p>
        </w:tc>
      </w:tr>
      <w:tr>
        <w:tc>
          <w:tcPr>
            <w:tcW w:w="5387" w:type="dxa"/>
          </w:tcPr>
          <w:p>
            <w:pPr>
              <w:pStyle w:val="yTable"/>
            </w:pPr>
            <w:r>
              <w:t>Hand, midcarpal or transmetacarpal</w:t>
            </w:r>
          </w:p>
        </w:tc>
        <w:tc>
          <w:tcPr>
            <w:tcW w:w="1701" w:type="dxa"/>
          </w:tcPr>
          <w:p>
            <w:pPr>
              <w:pStyle w:val="yTable"/>
              <w:tabs>
                <w:tab w:val="decimal" w:pos="1051"/>
              </w:tabs>
              <w:ind w:left="426" w:right="29"/>
            </w:pPr>
            <w:r>
              <w:t>429.25</w:t>
            </w:r>
          </w:p>
        </w:tc>
      </w:tr>
      <w:tr>
        <w:tc>
          <w:tcPr>
            <w:tcW w:w="5387" w:type="dxa"/>
          </w:tcPr>
          <w:p>
            <w:pPr>
              <w:pStyle w:val="yTable"/>
              <w:spacing w:before="0"/>
            </w:pPr>
            <w:r>
              <w:t>Hand, forearm or through arm</w:t>
            </w:r>
          </w:p>
        </w:tc>
        <w:tc>
          <w:tcPr>
            <w:tcW w:w="1701" w:type="dxa"/>
          </w:tcPr>
          <w:p>
            <w:pPr>
              <w:pStyle w:val="yTable"/>
              <w:tabs>
                <w:tab w:val="decimal" w:pos="1051"/>
              </w:tabs>
              <w:spacing w:before="0"/>
              <w:ind w:left="426" w:right="29"/>
            </w:pPr>
            <w:r>
              <w:t>496.95</w:t>
            </w:r>
          </w:p>
        </w:tc>
      </w:tr>
      <w:tr>
        <w:tc>
          <w:tcPr>
            <w:tcW w:w="5387" w:type="dxa"/>
          </w:tcPr>
          <w:p>
            <w:pPr>
              <w:pStyle w:val="yTable"/>
              <w:spacing w:before="0"/>
            </w:pPr>
            <w:r>
              <w:t>At shoulder</w:t>
            </w:r>
          </w:p>
        </w:tc>
        <w:tc>
          <w:tcPr>
            <w:tcW w:w="1701" w:type="dxa"/>
          </w:tcPr>
          <w:p>
            <w:pPr>
              <w:pStyle w:val="yTable"/>
              <w:tabs>
                <w:tab w:val="decimal" w:pos="1051"/>
              </w:tabs>
              <w:spacing w:before="0"/>
              <w:ind w:left="426" w:right="29"/>
            </w:pPr>
            <w:r>
              <w:t>841.40</w:t>
            </w:r>
          </w:p>
        </w:tc>
      </w:tr>
      <w:tr>
        <w:tc>
          <w:tcPr>
            <w:tcW w:w="5387" w:type="dxa"/>
          </w:tcPr>
          <w:p>
            <w:pPr>
              <w:pStyle w:val="yTable"/>
              <w:spacing w:before="0"/>
            </w:pPr>
            <w:r>
              <w:t>Interscapulothoracic</w:t>
            </w:r>
          </w:p>
        </w:tc>
        <w:tc>
          <w:tcPr>
            <w:tcW w:w="1701" w:type="dxa"/>
          </w:tcPr>
          <w:p>
            <w:pPr>
              <w:pStyle w:val="yTable"/>
              <w:tabs>
                <w:tab w:val="decimal" w:pos="1051"/>
              </w:tabs>
              <w:spacing w:before="0"/>
              <w:ind w:left="426" w:right="29"/>
            </w:pPr>
            <w:r>
              <w:t>1 671.55</w:t>
            </w:r>
          </w:p>
        </w:tc>
      </w:tr>
      <w:tr>
        <w:tc>
          <w:tcPr>
            <w:tcW w:w="5387" w:type="dxa"/>
          </w:tcPr>
          <w:p>
            <w:pPr>
              <w:pStyle w:val="yTable"/>
              <w:spacing w:before="0"/>
            </w:pPr>
            <w:r>
              <w:t>One digit of foot</w:t>
            </w:r>
          </w:p>
        </w:tc>
        <w:tc>
          <w:tcPr>
            <w:tcW w:w="1701" w:type="dxa"/>
          </w:tcPr>
          <w:p>
            <w:pPr>
              <w:pStyle w:val="yTable"/>
              <w:tabs>
                <w:tab w:val="decimal" w:pos="1051"/>
              </w:tabs>
              <w:spacing w:before="0"/>
              <w:ind w:left="426" w:right="29"/>
            </w:pPr>
            <w:r>
              <w:t>225.85</w:t>
            </w:r>
          </w:p>
        </w:tc>
      </w:tr>
      <w:tr>
        <w:tc>
          <w:tcPr>
            <w:tcW w:w="5387" w:type="dxa"/>
          </w:tcPr>
          <w:p>
            <w:pPr>
              <w:pStyle w:val="yTable"/>
              <w:spacing w:before="0"/>
            </w:pPr>
            <w:r>
              <w:t>Two digits of one foot</w:t>
            </w:r>
          </w:p>
        </w:tc>
        <w:tc>
          <w:tcPr>
            <w:tcW w:w="1701" w:type="dxa"/>
          </w:tcPr>
          <w:p>
            <w:pPr>
              <w:pStyle w:val="yTable"/>
              <w:tabs>
                <w:tab w:val="decimal" w:pos="1051"/>
              </w:tabs>
              <w:spacing w:before="0"/>
              <w:ind w:left="426" w:right="29"/>
            </w:pPr>
            <w:r>
              <w:t>338.85</w:t>
            </w:r>
          </w:p>
        </w:tc>
      </w:tr>
      <w:tr>
        <w:tc>
          <w:tcPr>
            <w:tcW w:w="5387" w:type="dxa"/>
          </w:tcPr>
          <w:p>
            <w:pPr>
              <w:pStyle w:val="yTable"/>
              <w:spacing w:before="0"/>
            </w:pPr>
            <w:r>
              <w:t>Three digits of one foot</w:t>
            </w:r>
          </w:p>
        </w:tc>
        <w:tc>
          <w:tcPr>
            <w:tcW w:w="1701" w:type="dxa"/>
          </w:tcPr>
          <w:p>
            <w:pPr>
              <w:pStyle w:val="yTable"/>
              <w:tabs>
                <w:tab w:val="decimal" w:pos="1051"/>
              </w:tabs>
              <w:spacing w:before="0"/>
              <w:ind w:left="426" w:right="29"/>
            </w:pPr>
            <w:r>
              <w:t>457.45</w:t>
            </w:r>
          </w:p>
        </w:tc>
      </w:tr>
      <w:tr>
        <w:tc>
          <w:tcPr>
            <w:tcW w:w="5387" w:type="dxa"/>
          </w:tcPr>
          <w:p>
            <w:pPr>
              <w:pStyle w:val="yTable"/>
              <w:spacing w:before="0"/>
            </w:pPr>
            <w:r>
              <w:t>Four digits of one foot</w:t>
            </w:r>
          </w:p>
        </w:tc>
        <w:tc>
          <w:tcPr>
            <w:tcW w:w="1701" w:type="dxa"/>
          </w:tcPr>
          <w:p>
            <w:pPr>
              <w:pStyle w:val="yTable"/>
              <w:tabs>
                <w:tab w:val="decimal" w:pos="1051"/>
              </w:tabs>
              <w:spacing w:before="0"/>
              <w:ind w:left="426" w:right="29"/>
            </w:pPr>
            <w:r>
              <w:t>570.40</w:t>
            </w:r>
          </w:p>
        </w:tc>
      </w:tr>
      <w:tr>
        <w:tc>
          <w:tcPr>
            <w:tcW w:w="5387" w:type="dxa"/>
          </w:tcPr>
          <w:p>
            <w:pPr>
              <w:pStyle w:val="yTable"/>
              <w:spacing w:before="0"/>
            </w:pPr>
            <w:r>
              <w:t>Five digits of one foot</w:t>
            </w:r>
          </w:p>
        </w:tc>
        <w:tc>
          <w:tcPr>
            <w:tcW w:w="1701" w:type="dxa"/>
          </w:tcPr>
          <w:p>
            <w:pPr>
              <w:pStyle w:val="yTable"/>
              <w:tabs>
                <w:tab w:val="decimal" w:pos="1051"/>
              </w:tabs>
              <w:spacing w:before="0"/>
              <w:ind w:left="426" w:right="29"/>
            </w:pPr>
            <w:r>
              <w:t>683.35</w:t>
            </w:r>
          </w:p>
        </w:tc>
      </w:tr>
      <w:tr>
        <w:tc>
          <w:tcPr>
            <w:tcW w:w="5387" w:type="dxa"/>
          </w:tcPr>
          <w:p>
            <w:pPr>
              <w:pStyle w:val="yTable"/>
              <w:spacing w:before="0"/>
            </w:pPr>
            <w:r>
              <w:t>Toe including metatarsal or part of metatarsal</w:t>
            </w:r>
          </w:p>
        </w:tc>
        <w:tc>
          <w:tcPr>
            <w:tcW w:w="1701" w:type="dxa"/>
          </w:tcPr>
          <w:p>
            <w:pPr>
              <w:pStyle w:val="yTable"/>
              <w:tabs>
                <w:tab w:val="decimal" w:pos="1051"/>
              </w:tabs>
              <w:spacing w:before="0"/>
              <w:ind w:left="426" w:right="29"/>
            </w:pPr>
            <w:r>
              <w:t>266.60</w:t>
            </w:r>
          </w:p>
        </w:tc>
      </w:tr>
      <w:tr>
        <w:tc>
          <w:tcPr>
            <w:tcW w:w="5387" w:type="dxa"/>
          </w:tcPr>
          <w:p>
            <w:pPr>
              <w:pStyle w:val="yTable"/>
              <w:spacing w:before="0"/>
            </w:pPr>
            <w:r>
              <w:t>Foot, at ankle</w:t>
            </w:r>
          </w:p>
        </w:tc>
        <w:tc>
          <w:tcPr>
            <w:tcW w:w="1701" w:type="dxa"/>
          </w:tcPr>
          <w:p>
            <w:pPr>
              <w:pStyle w:val="yTable"/>
              <w:tabs>
                <w:tab w:val="decimal" w:pos="1051"/>
              </w:tabs>
              <w:spacing w:before="0"/>
              <w:ind w:left="426" w:right="29"/>
            </w:pPr>
            <w:r>
              <w:t>496.95</w:t>
            </w:r>
          </w:p>
        </w:tc>
      </w:tr>
      <w:tr>
        <w:tc>
          <w:tcPr>
            <w:tcW w:w="5387" w:type="dxa"/>
          </w:tcPr>
          <w:p>
            <w:pPr>
              <w:pStyle w:val="yTable"/>
              <w:spacing w:before="0"/>
            </w:pPr>
            <w:r>
              <w:t>Foot, midtarsal or transmetatarsal</w:t>
            </w:r>
          </w:p>
        </w:tc>
        <w:tc>
          <w:tcPr>
            <w:tcW w:w="1701" w:type="dxa"/>
          </w:tcPr>
          <w:p>
            <w:pPr>
              <w:pStyle w:val="yTable"/>
              <w:tabs>
                <w:tab w:val="decimal" w:pos="1051"/>
              </w:tabs>
              <w:spacing w:before="0"/>
              <w:ind w:left="426" w:right="29"/>
            </w:pPr>
            <w:r>
              <w:t>429.25</w:t>
            </w:r>
          </w:p>
        </w:tc>
      </w:tr>
      <w:tr>
        <w:tc>
          <w:tcPr>
            <w:tcW w:w="5387" w:type="dxa"/>
          </w:tcPr>
          <w:p>
            <w:pPr>
              <w:pStyle w:val="yTable"/>
            </w:pPr>
            <w:r>
              <w:t>Through thigh, at knee or below knee</w:t>
            </w:r>
          </w:p>
        </w:tc>
        <w:tc>
          <w:tcPr>
            <w:tcW w:w="1701" w:type="dxa"/>
          </w:tcPr>
          <w:p>
            <w:pPr>
              <w:pStyle w:val="yTable"/>
              <w:tabs>
                <w:tab w:val="decimal" w:pos="1051"/>
              </w:tabs>
              <w:ind w:left="426" w:right="29"/>
            </w:pPr>
            <w:r>
              <w:t>734.15</w:t>
            </w:r>
          </w:p>
        </w:tc>
      </w:tr>
      <w:tr>
        <w:tc>
          <w:tcPr>
            <w:tcW w:w="5387" w:type="dxa"/>
          </w:tcPr>
          <w:p>
            <w:pPr>
              <w:pStyle w:val="yTable"/>
              <w:spacing w:before="0"/>
            </w:pPr>
            <w:r>
              <w:t>At hip</w:t>
            </w:r>
          </w:p>
        </w:tc>
        <w:tc>
          <w:tcPr>
            <w:tcW w:w="1701" w:type="dxa"/>
          </w:tcPr>
          <w:p>
            <w:pPr>
              <w:pStyle w:val="yTable"/>
              <w:tabs>
                <w:tab w:val="decimal" w:pos="1051"/>
              </w:tabs>
              <w:spacing w:before="0"/>
              <w:ind w:left="426" w:right="29"/>
            </w:pPr>
            <w:r>
              <w:t>1033.35</w:t>
            </w:r>
          </w:p>
        </w:tc>
      </w:tr>
      <w:tr>
        <w:tc>
          <w:tcPr>
            <w:tcW w:w="5387" w:type="dxa"/>
          </w:tcPr>
          <w:p>
            <w:pPr>
              <w:pStyle w:val="yTable"/>
            </w:pPr>
          </w:p>
        </w:tc>
        <w:tc>
          <w:tcPr>
            <w:tcW w:w="1701" w:type="dxa"/>
          </w:tcPr>
          <w:p>
            <w:pPr>
              <w:pStyle w:val="yTable"/>
              <w:tabs>
                <w:tab w:val="decimal" w:pos="1051"/>
              </w:tabs>
              <w:ind w:left="426" w:right="29"/>
            </w:pPr>
          </w:p>
        </w:tc>
      </w:tr>
      <w:tr>
        <w:tc>
          <w:tcPr>
            <w:tcW w:w="5387" w:type="dxa"/>
          </w:tcPr>
          <w:p>
            <w:pPr>
              <w:pStyle w:val="yTable"/>
            </w:pPr>
            <w:r>
              <w:t>ASSISTANCE AT OPERATIONS</w:t>
            </w:r>
          </w:p>
          <w:p>
            <w:pPr>
              <w:pStyle w:val="yTable"/>
              <w:rPr>
                <w:b/>
              </w:rPr>
            </w:pPr>
            <w:r>
              <w:t>The fee for assistance at any operation (or series or combination of operations) is to be related to the fee listed for the operation (or series or combination of operations) itself.</w:t>
            </w:r>
          </w:p>
        </w:tc>
        <w:tc>
          <w:tcPr>
            <w:tcW w:w="1701" w:type="dxa"/>
          </w:tcPr>
          <w:p>
            <w:pPr>
              <w:pStyle w:val="yTable"/>
            </w:pPr>
          </w:p>
        </w:tc>
      </w:tr>
      <w:tr>
        <w:tc>
          <w:tcPr>
            <w:tcW w:w="5387" w:type="dxa"/>
          </w:tcPr>
          <w:p>
            <w:pPr>
              <w:pStyle w:val="yTable"/>
            </w:pPr>
            <w:r>
              <w:rPr>
                <w:b/>
              </w:rPr>
              <w:t>The fee is 20% of the total fee or the minimum sum of $142.30, whichever is greater.</w:t>
            </w:r>
          </w:p>
        </w:tc>
        <w:tc>
          <w:tcPr>
            <w:tcW w:w="1701" w:type="dxa"/>
          </w:tcPr>
          <w:p>
            <w:pPr>
              <w:pStyle w:val="yTable"/>
            </w:pPr>
          </w:p>
        </w:tc>
      </w:tr>
    </w:tbl>
    <w:p>
      <w:pPr>
        <w:pStyle w:val="yTable"/>
      </w:pPr>
    </w:p>
    <w:tbl>
      <w:tblPr>
        <w:tblW w:w="0" w:type="auto"/>
        <w:tblInd w:w="113" w:type="dxa"/>
        <w:tblLayout w:type="fixed"/>
        <w:tblCellMar>
          <w:left w:w="113" w:type="dxa"/>
          <w:right w:w="113" w:type="dxa"/>
        </w:tblCellMar>
        <w:tblLook w:val="0000" w:firstRow="0" w:lastRow="0" w:firstColumn="0" w:lastColumn="0" w:noHBand="0" w:noVBand="0"/>
      </w:tblPr>
      <w:tblGrid>
        <w:gridCol w:w="5215"/>
        <w:gridCol w:w="1873"/>
      </w:tblGrid>
      <w:tr>
        <w:tc>
          <w:tcPr>
            <w:tcW w:w="5215" w:type="dxa"/>
          </w:tcPr>
          <w:p>
            <w:pPr>
              <w:pStyle w:val="yTable"/>
            </w:pPr>
            <w:r>
              <w:t>USE OF PRIVATE THEATRES</w:t>
            </w:r>
          </w:p>
          <w:p>
            <w:pPr>
              <w:pStyle w:val="yTable"/>
            </w:pPr>
            <w:r>
              <w:t xml:space="preserve">A theatre fee of </w:t>
            </w:r>
            <w:r>
              <w:rPr>
                <w:b/>
              </w:rPr>
              <w:t>$85.85</w:t>
            </w:r>
            <w:r>
              <w:t xml:space="preserve"> will be paid to practitioners for the use of their private theatre, but this fee may only be charged if the patient would otherwise have been sent to hospital.</w:t>
            </w:r>
          </w:p>
        </w:tc>
        <w:tc>
          <w:tcPr>
            <w:tcW w:w="1873" w:type="dxa"/>
          </w:tcPr>
          <w:p>
            <w:pPr>
              <w:pStyle w:val="yTable"/>
            </w:pPr>
          </w:p>
        </w:tc>
      </w:tr>
    </w:tbl>
    <w:p>
      <w:pPr>
        <w:pStyle w:val="yFootnotesection"/>
        <w:ind w:hanging="748"/>
      </w:pPr>
      <w:r>
        <w:tab/>
        <w:t>[Part 2 amended in Gazette 19 Mar 2004 p. 896</w:t>
      </w:r>
      <w:r>
        <w:noBreakHyphen/>
        <w:t>9; 21 Jan 2005 p. 281-3.]</w:t>
      </w:r>
    </w:p>
    <w:p>
      <w:pPr>
        <w:pStyle w:val="yHeading2"/>
      </w:pPr>
      <w:bookmarkStart w:id="75" w:name="_Toc118616293"/>
      <w:bookmarkStart w:id="76" w:name="_Toc119464649"/>
      <w:bookmarkStart w:id="77" w:name="_Toc119464793"/>
      <w:bookmarkStart w:id="78" w:name="_Toc119466398"/>
      <w:r>
        <w:tab/>
        <w:t>Part 3 — Diagnostic Imaging Services</w:t>
      </w:r>
      <w:bookmarkEnd w:id="75"/>
      <w:bookmarkEnd w:id="76"/>
      <w:bookmarkEnd w:id="77"/>
      <w:bookmarkEnd w:id="78"/>
    </w:p>
    <w:p>
      <w:pPr>
        <w:pStyle w:val="yMiscellaneousBody"/>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ind w:left="-11" w:firstLine="11"/>
              <w:rPr>
                <w:b/>
              </w:rPr>
            </w:pPr>
            <w:r>
              <w:rPr>
                <w:b/>
              </w:rPr>
              <w:t>MBS item number</w:t>
            </w:r>
          </w:p>
          <w:p>
            <w:pPr>
              <w:pStyle w:val="yTable"/>
              <w:ind w:left="-11" w:firstLine="11"/>
              <w:rPr>
                <w:i/>
              </w:rPr>
            </w:pPr>
            <w:r>
              <w:rPr>
                <w:i/>
              </w:rPr>
              <w:t>(November 2004 edition)</w:t>
            </w:r>
          </w:p>
        </w:tc>
        <w:tc>
          <w:tcPr>
            <w:tcW w:w="1276" w:type="dxa"/>
            <w:tcBorders>
              <w:top w:val="single" w:sz="4" w:space="0" w:color="auto"/>
              <w:bottom w:val="single" w:sz="4" w:space="0" w:color="auto"/>
            </w:tcBorders>
          </w:tcPr>
          <w:p>
            <w:pPr>
              <w:pStyle w:val="yTable"/>
              <w:ind w:left="-11" w:firstLine="11"/>
              <w:jc w:val="center"/>
              <w:rPr>
                <w:b/>
              </w:rPr>
            </w:pPr>
            <w:r>
              <w:rPr>
                <w:b/>
              </w:rPr>
              <w:t>Fee</w:t>
            </w:r>
          </w:p>
          <w:p>
            <w:pPr>
              <w:pStyle w:val="yTable"/>
              <w:tabs>
                <w:tab w:val="left" w:pos="596"/>
                <w:tab w:val="decimal" w:pos="738"/>
              </w:tabs>
              <w:spacing w:before="30"/>
              <w:ind w:left="-11" w:firstLine="11"/>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55028</w:t>
            </w:r>
          </w:p>
        </w:tc>
        <w:tc>
          <w:tcPr>
            <w:tcW w:w="1276" w:type="dxa"/>
          </w:tcPr>
          <w:p>
            <w:pPr>
              <w:pStyle w:val="yTable"/>
              <w:tabs>
                <w:tab w:val="decimal" w:pos="425"/>
                <w:tab w:val="right" w:pos="1418"/>
              </w:tabs>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55029</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55030</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55031</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55032</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55033</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55036</w:t>
            </w:r>
          </w:p>
        </w:tc>
        <w:tc>
          <w:tcPr>
            <w:tcW w:w="1276" w:type="dxa"/>
          </w:tcPr>
          <w:p>
            <w:pPr>
              <w:pStyle w:val="yTable"/>
              <w:tabs>
                <w:tab w:val="decimal" w:pos="425"/>
                <w:tab w:val="right" w:pos="1418"/>
              </w:tabs>
              <w:spacing w:before="0"/>
              <w:ind w:left="-11" w:right="295" w:firstLine="11"/>
              <w:jc w:val="right"/>
            </w:pPr>
            <w:r>
              <w:t>141.10</w:t>
            </w:r>
          </w:p>
        </w:tc>
      </w:tr>
      <w:tr>
        <w:tblPrEx>
          <w:tblCellMar>
            <w:left w:w="108" w:type="dxa"/>
            <w:right w:w="108" w:type="dxa"/>
          </w:tblCellMar>
        </w:tblPrEx>
        <w:tc>
          <w:tcPr>
            <w:tcW w:w="4820" w:type="dxa"/>
          </w:tcPr>
          <w:p>
            <w:pPr>
              <w:pStyle w:val="yTable"/>
              <w:tabs>
                <w:tab w:val="right" w:pos="1735"/>
              </w:tabs>
              <w:spacing w:before="0"/>
              <w:ind w:left="-11" w:firstLine="11"/>
            </w:pPr>
            <w:r>
              <w:t>55037</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55038</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55039</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55044</w:t>
            </w:r>
          </w:p>
        </w:tc>
        <w:tc>
          <w:tcPr>
            <w:tcW w:w="1276" w:type="dxa"/>
          </w:tcPr>
          <w:p>
            <w:pPr>
              <w:pStyle w:val="yTable"/>
              <w:tabs>
                <w:tab w:val="decimal" w:pos="425"/>
                <w:tab w:val="right" w:pos="1418"/>
              </w:tabs>
              <w:spacing w:before="0"/>
              <w:ind w:left="-11" w:right="295" w:firstLine="11"/>
              <w:jc w:val="right"/>
            </w:pPr>
            <w:r>
              <w:t>141.10</w:t>
            </w:r>
          </w:p>
        </w:tc>
      </w:tr>
      <w:tr>
        <w:tblPrEx>
          <w:tblCellMar>
            <w:left w:w="108" w:type="dxa"/>
            <w:right w:w="108" w:type="dxa"/>
          </w:tblCellMar>
        </w:tblPrEx>
        <w:tc>
          <w:tcPr>
            <w:tcW w:w="4820" w:type="dxa"/>
          </w:tcPr>
          <w:p>
            <w:pPr>
              <w:pStyle w:val="yTable"/>
              <w:tabs>
                <w:tab w:val="right" w:pos="1735"/>
              </w:tabs>
              <w:spacing w:before="0"/>
              <w:ind w:left="-11" w:firstLine="11"/>
            </w:pPr>
            <w:r>
              <w:t>55045</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55048</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55049</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55054</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55070</w:t>
            </w:r>
          </w:p>
        </w:tc>
        <w:tc>
          <w:tcPr>
            <w:tcW w:w="1276" w:type="dxa"/>
          </w:tcPr>
          <w:p>
            <w:pPr>
              <w:pStyle w:val="yTable"/>
              <w:tabs>
                <w:tab w:val="decimal" w:pos="425"/>
                <w:tab w:val="right" w:pos="1418"/>
              </w:tabs>
              <w:spacing w:before="0"/>
              <w:ind w:left="-11" w:right="295" w:firstLine="11"/>
              <w:jc w:val="right"/>
            </w:pPr>
            <w:r>
              <w:t>124.55</w:t>
            </w:r>
          </w:p>
        </w:tc>
      </w:tr>
      <w:tr>
        <w:tblPrEx>
          <w:tblCellMar>
            <w:left w:w="108" w:type="dxa"/>
            <w:right w:w="108" w:type="dxa"/>
          </w:tblCellMar>
        </w:tblPrEx>
        <w:tc>
          <w:tcPr>
            <w:tcW w:w="4820" w:type="dxa"/>
          </w:tcPr>
          <w:p>
            <w:pPr>
              <w:pStyle w:val="yTable"/>
              <w:tabs>
                <w:tab w:val="right" w:pos="1735"/>
              </w:tabs>
              <w:spacing w:before="0"/>
              <w:ind w:left="-11" w:firstLine="11"/>
            </w:pPr>
            <w:r>
              <w:t>55073</w:t>
            </w:r>
          </w:p>
        </w:tc>
        <w:tc>
          <w:tcPr>
            <w:tcW w:w="1276" w:type="dxa"/>
          </w:tcPr>
          <w:p>
            <w:pPr>
              <w:pStyle w:val="yTable"/>
              <w:tabs>
                <w:tab w:val="decimal" w:pos="425"/>
                <w:tab w:val="right" w:pos="1418"/>
              </w:tabs>
              <w:spacing w:before="0"/>
              <w:ind w:left="-11" w:right="295" w:firstLine="11"/>
              <w:jc w:val="right"/>
            </w:pPr>
            <w:r>
              <w:t>43.15</w:t>
            </w:r>
          </w:p>
        </w:tc>
      </w:tr>
      <w:tr>
        <w:tblPrEx>
          <w:tblCellMar>
            <w:left w:w="108" w:type="dxa"/>
            <w:right w:w="108" w:type="dxa"/>
          </w:tblCellMar>
        </w:tblPrEx>
        <w:tc>
          <w:tcPr>
            <w:tcW w:w="4820" w:type="dxa"/>
          </w:tcPr>
          <w:p>
            <w:pPr>
              <w:pStyle w:val="yTable"/>
              <w:tabs>
                <w:tab w:val="right" w:pos="1735"/>
              </w:tabs>
              <w:spacing w:before="0"/>
              <w:ind w:left="-11" w:firstLine="11"/>
            </w:pPr>
            <w:r>
              <w:t>55076</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55079</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55084</w:t>
            </w:r>
          </w:p>
        </w:tc>
        <w:tc>
          <w:tcPr>
            <w:tcW w:w="1276" w:type="dxa"/>
          </w:tcPr>
          <w:p>
            <w:pPr>
              <w:pStyle w:val="yTable"/>
              <w:tabs>
                <w:tab w:val="decimal" w:pos="425"/>
                <w:tab w:val="right" w:pos="1418"/>
              </w:tabs>
              <w:spacing w:before="0"/>
              <w:ind w:left="-11" w:right="295" w:firstLine="11"/>
              <w:jc w:val="right"/>
            </w:pPr>
            <w:r>
              <w:t>124.55</w:t>
            </w:r>
          </w:p>
        </w:tc>
      </w:tr>
      <w:tr>
        <w:tblPrEx>
          <w:tblCellMar>
            <w:left w:w="108" w:type="dxa"/>
            <w:right w:w="108" w:type="dxa"/>
          </w:tblCellMar>
        </w:tblPrEx>
        <w:tc>
          <w:tcPr>
            <w:tcW w:w="4820" w:type="dxa"/>
          </w:tcPr>
          <w:p>
            <w:pPr>
              <w:pStyle w:val="yTable"/>
              <w:tabs>
                <w:tab w:val="right" w:pos="1735"/>
              </w:tabs>
              <w:spacing w:before="0"/>
              <w:ind w:left="-11" w:firstLine="11"/>
            </w:pPr>
            <w:r>
              <w:t>55085</w:t>
            </w:r>
          </w:p>
        </w:tc>
        <w:tc>
          <w:tcPr>
            <w:tcW w:w="1276" w:type="dxa"/>
          </w:tcPr>
          <w:p>
            <w:pPr>
              <w:pStyle w:val="yTable"/>
              <w:tabs>
                <w:tab w:val="decimal" w:pos="425"/>
                <w:tab w:val="right" w:pos="1418"/>
              </w:tabs>
              <w:spacing w:before="0"/>
              <w:ind w:left="-11" w:right="295" w:firstLine="11"/>
              <w:jc w:val="right"/>
            </w:pPr>
            <w:r>
              <w:t>43.15</w:t>
            </w:r>
          </w:p>
        </w:tc>
      </w:tr>
      <w:tr>
        <w:tblPrEx>
          <w:tblCellMar>
            <w:left w:w="108" w:type="dxa"/>
            <w:right w:w="108" w:type="dxa"/>
          </w:tblCellMar>
        </w:tblPrEx>
        <w:tc>
          <w:tcPr>
            <w:tcW w:w="4820" w:type="dxa"/>
          </w:tcPr>
          <w:p>
            <w:pPr>
              <w:pStyle w:val="yTable"/>
              <w:tabs>
                <w:tab w:val="right" w:pos="1735"/>
              </w:tabs>
              <w:spacing w:before="0"/>
              <w:ind w:left="-11" w:firstLine="11"/>
            </w:pPr>
            <w:r>
              <w:t>55113</w:t>
            </w:r>
          </w:p>
        </w:tc>
        <w:tc>
          <w:tcPr>
            <w:tcW w:w="1276" w:type="dxa"/>
          </w:tcPr>
          <w:p>
            <w:pPr>
              <w:pStyle w:val="yTable"/>
              <w:tabs>
                <w:tab w:val="decimal" w:pos="425"/>
                <w:tab w:val="right" w:pos="1418"/>
              </w:tabs>
              <w:spacing w:before="0"/>
              <w:ind w:left="-11" w:right="295" w:firstLine="11"/>
              <w:jc w:val="right"/>
            </w:pPr>
            <w:r>
              <w:t>292.45</w:t>
            </w:r>
          </w:p>
        </w:tc>
      </w:tr>
      <w:tr>
        <w:tblPrEx>
          <w:tblCellMar>
            <w:left w:w="108" w:type="dxa"/>
            <w:right w:w="108" w:type="dxa"/>
          </w:tblCellMar>
        </w:tblPrEx>
        <w:tc>
          <w:tcPr>
            <w:tcW w:w="4820" w:type="dxa"/>
          </w:tcPr>
          <w:p>
            <w:pPr>
              <w:pStyle w:val="yTable"/>
              <w:tabs>
                <w:tab w:val="right" w:pos="1735"/>
              </w:tabs>
              <w:spacing w:before="0"/>
              <w:ind w:left="-11" w:firstLine="11"/>
            </w:pPr>
            <w:r>
              <w:t>55114</w:t>
            </w:r>
          </w:p>
        </w:tc>
        <w:tc>
          <w:tcPr>
            <w:tcW w:w="1276" w:type="dxa"/>
          </w:tcPr>
          <w:p>
            <w:pPr>
              <w:pStyle w:val="yTable"/>
              <w:tabs>
                <w:tab w:val="decimal" w:pos="425"/>
                <w:tab w:val="right" w:pos="1418"/>
              </w:tabs>
              <w:spacing w:before="0"/>
              <w:ind w:left="-11" w:right="295" w:firstLine="11"/>
              <w:jc w:val="right"/>
            </w:pPr>
            <w:r>
              <w:t>292.45</w:t>
            </w:r>
          </w:p>
        </w:tc>
      </w:tr>
      <w:tr>
        <w:tblPrEx>
          <w:tblCellMar>
            <w:left w:w="108" w:type="dxa"/>
            <w:right w:w="108" w:type="dxa"/>
          </w:tblCellMar>
        </w:tblPrEx>
        <w:tc>
          <w:tcPr>
            <w:tcW w:w="4820" w:type="dxa"/>
          </w:tcPr>
          <w:p>
            <w:pPr>
              <w:pStyle w:val="yTable"/>
              <w:tabs>
                <w:tab w:val="right" w:pos="1735"/>
              </w:tabs>
              <w:spacing w:before="0"/>
              <w:ind w:left="-11" w:firstLine="11"/>
            </w:pPr>
            <w:r>
              <w:t>55115</w:t>
            </w:r>
          </w:p>
        </w:tc>
        <w:tc>
          <w:tcPr>
            <w:tcW w:w="1276" w:type="dxa"/>
          </w:tcPr>
          <w:p>
            <w:pPr>
              <w:pStyle w:val="yTable"/>
              <w:tabs>
                <w:tab w:val="decimal" w:pos="425"/>
                <w:tab w:val="right" w:pos="1418"/>
              </w:tabs>
              <w:spacing w:before="0"/>
              <w:ind w:left="-11" w:right="295" w:firstLine="11"/>
              <w:jc w:val="right"/>
            </w:pPr>
            <w:r>
              <w:t>292.45</w:t>
            </w:r>
          </w:p>
        </w:tc>
      </w:tr>
      <w:tr>
        <w:tblPrEx>
          <w:tblCellMar>
            <w:left w:w="108" w:type="dxa"/>
            <w:right w:w="108" w:type="dxa"/>
          </w:tblCellMar>
        </w:tblPrEx>
        <w:tc>
          <w:tcPr>
            <w:tcW w:w="4820" w:type="dxa"/>
          </w:tcPr>
          <w:p>
            <w:pPr>
              <w:pStyle w:val="yTable"/>
              <w:tabs>
                <w:tab w:val="right" w:pos="1735"/>
              </w:tabs>
              <w:spacing w:before="0"/>
              <w:ind w:left="-11" w:firstLine="11"/>
            </w:pPr>
            <w:r>
              <w:t>55116</w:t>
            </w:r>
          </w:p>
        </w:tc>
        <w:tc>
          <w:tcPr>
            <w:tcW w:w="1276" w:type="dxa"/>
          </w:tcPr>
          <w:p>
            <w:pPr>
              <w:pStyle w:val="yTable"/>
              <w:tabs>
                <w:tab w:val="decimal" w:pos="425"/>
                <w:tab w:val="right" w:pos="1418"/>
              </w:tabs>
              <w:spacing w:before="0"/>
              <w:ind w:left="-11" w:right="295" w:firstLine="11"/>
              <w:jc w:val="right"/>
            </w:pPr>
            <w:r>
              <w:t>325.20</w:t>
            </w:r>
          </w:p>
        </w:tc>
      </w:tr>
      <w:tr>
        <w:tblPrEx>
          <w:tblCellMar>
            <w:left w:w="108" w:type="dxa"/>
            <w:right w:w="108" w:type="dxa"/>
          </w:tblCellMar>
        </w:tblPrEx>
        <w:tc>
          <w:tcPr>
            <w:tcW w:w="4820" w:type="dxa"/>
          </w:tcPr>
          <w:p>
            <w:pPr>
              <w:pStyle w:val="yTable"/>
              <w:tabs>
                <w:tab w:val="right" w:pos="1735"/>
              </w:tabs>
              <w:spacing w:before="0"/>
              <w:ind w:left="-11" w:firstLine="11"/>
            </w:pPr>
            <w:r>
              <w:t>55117</w:t>
            </w:r>
          </w:p>
        </w:tc>
        <w:tc>
          <w:tcPr>
            <w:tcW w:w="1276" w:type="dxa"/>
          </w:tcPr>
          <w:p>
            <w:pPr>
              <w:pStyle w:val="yTable"/>
              <w:tabs>
                <w:tab w:val="decimal" w:pos="425"/>
                <w:tab w:val="right" w:pos="1418"/>
              </w:tabs>
              <w:spacing w:before="0"/>
              <w:ind w:left="-11" w:right="295" w:firstLine="11"/>
              <w:jc w:val="right"/>
            </w:pPr>
            <w:r>
              <w:t>325.20</w:t>
            </w:r>
          </w:p>
        </w:tc>
      </w:tr>
      <w:tr>
        <w:tblPrEx>
          <w:tblCellMar>
            <w:left w:w="108" w:type="dxa"/>
            <w:right w:w="108" w:type="dxa"/>
          </w:tblCellMar>
        </w:tblPrEx>
        <w:tc>
          <w:tcPr>
            <w:tcW w:w="4820" w:type="dxa"/>
          </w:tcPr>
          <w:p>
            <w:pPr>
              <w:pStyle w:val="yTable"/>
              <w:tabs>
                <w:tab w:val="right" w:pos="1735"/>
              </w:tabs>
              <w:spacing w:before="0"/>
              <w:ind w:left="-11" w:firstLine="11"/>
            </w:pPr>
            <w:r>
              <w:t>55118</w:t>
            </w:r>
          </w:p>
        </w:tc>
        <w:tc>
          <w:tcPr>
            <w:tcW w:w="1276" w:type="dxa"/>
          </w:tcPr>
          <w:p>
            <w:pPr>
              <w:pStyle w:val="yTable"/>
              <w:tabs>
                <w:tab w:val="decimal" w:pos="425"/>
                <w:tab w:val="right" w:pos="1418"/>
              </w:tabs>
              <w:spacing w:before="0"/>
              <w:ind w:left="-11" w:right="295" w:firstLine="11"/>
              <w:jc w:val="right"/>
            </w:pPr>
            <w:r>
              <w:t>349.30</w:t>
            </w:r>
          </w:p>
        </w:tc>
      </w:tr>
      <w:tr>
        <w:tblPrEx>
          <w:tblCellMar>
            <w:left w:w="108" w:type="dxa"/>
            <w:right w:w="108" w:type="dxa"/>
          </w:tblCellMar>
        </w:tblPrEx>
        <w:tc>
          <w:tcPr>
            <w:tcW w:w="4820" w:type="dxa"/>
          </w:tcPr>
          <w:p>
            <w:pPr>
              <w:pStyle w:val="yTable"/>
              <w:tabs>
                <w:tab w:val="right" w:pos="1735"/>
              </w:tabs>
              <w:spacing w:before="0"/>
              <w:ind w:left="-11" w:firstLine="11"/>
            </w:pPr>
            <w:r>
              <w:t>55130</w:t>
            </w:r>
          </w:p>
        </w:tc>
        <w:tc>
          <w:tcPr>
            <w:tcW w:w="1276" w:type="dxa"/>
          </w:tcPr>
          <w:p>
            <w:pPr>
              <w:pStyle w:val="yTable"/>
              <w:tabs>
                <w:tab w:val="decimal" w:pos="425"/>
                <w:tab w:val="right" w:pos="1418"/>
              </w:tabs>
              <w:spacing w:before="0"/>
              <w:ind w:left="-11" w:right="295" w:firstLine="11"/>
              <w:jc w:val="right"/>
            </w:pPr>
            <w:r>
              <w:t>215.55</w:t>
            </w:r>
          </w:p>
        </w:tc>
      </w:tr>
      <w:tr>
        <w:tblPrEx>
          <w:tblCellMar>
            <w:left w:w="108" w:type="dxa"/>
            <w:right w:w="108" w:type="dxa"/>
          </w:tblCellMar>
        </w:tblPrEx>
        <w:tc>
          <w:tcPr>
            <w:tcW w:w="4820" w:type="dxa"/>
          </w:tcPr>
          <w:p>
            <w:pPr>
              <w:pStyle w:val="yTable"/>
              <w:tabs>
                <w:tab w:val="right" w:pos="1735"/>
              </w:tabs>
              <w:spacing w:before="0"/>
              <w:ind w:left="-11" w:firstLine="11"/>
            </w:pPr>
            <w:r>
              <w:t>55135</w:t>
            </w:r>
          </w:p>
        </w:tc>
        <w:tc>
          <w:tcPr>
            <w:tcW w:w="1276" w:type="dxa"/>
          </w:tcPr>
          <w:p>
            <w:pPr>
              <w:pStyle w:val="yTable"/>
              <w:tabs>
                <w:tab w:val="decimal" w:pos="425"/>
                <w:tab w:val="right" w:pos="1418"/>
              </w:tabs>
              <w:spacing w:before="0"/>
              <w:ind w:left="-11" w:right="295" w:firstLine="11"/>
              <w:jc w:val="right"/>
            </w:pPr>
            <w:r>
              <w:t>448.35</w:t>
            </w:r>
          </w:p>
        </w:tc>
      </w:tr>
      <w:tr>
        <w:tblPrEx>
          <w:tblCellMar>
            <w:left w:w="108" w:type="dxa"/>
            <w:right w:w="108" w:type="dxa"/>
          </w:tblCellMar>
        </w:tblPrEx>
        <w:tc>
          <w:tcPr>
            <w:tcW w:w="4820" w:type="dxa"/>
          </w:tcPr>
          <w:p>
            <w:pPr>
              <w:pStyle w:val="yTable"/>
              <w:tabs>
                <w:tab w:val="right" w:pos="1735"/>
              </w:tabs>
              <w:spacing w:before="0"/>
              <w:ind w:left="-11" w:firstLine="11"/>
            </w:pPr>
            <w:r>
              <w:t>55238</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55244</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55246</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55248</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55252</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55274</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55276</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55278</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55280</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55282</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55284</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55292</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55294</w:t>
            </w:r>
          </w:p>
        </w:tc>
        <w:tc>
          <w:tcPr>
            <w:tcW w:w="1276" w:type="dxa"/>
          </w:tcPr>
          <w:p>
            <w:pPr>
              <w:pStyle w:val="yTable"/>
              <w:tabs>
                <w:tab w:val="decimal" w:pos="425"/>
                <w:tab w:val="right" w:pos="1418"/>
              </w:tabs>
              <w:spacing w:before="0"/>
              <w:ind w:left="-11" w:right="295" w:firstLine="11"/>
              <w:jc w:val="right"/>
            </w:pPr>
            <w:r>
              <w:t>214.90</w:t>
            </w:r>
          </w:p>
        </w:tc>
      </w:tr>
      <w:tr>
        <w:tblPrEx>
          <w:tblCellMar>
            <w:left w:w="108" w:type="dxa"/>
            <w:right w:w="108" w:type="dxa"/>
          </w:tblCellMar>
        </w:tblPrEx>
        <w:tc>
          <w:tcPr>
            <w:tcW w:w="4820" w:type="dxa"/>
          </w:tcPr>
          <w:p>
            <w:pPr>
              <w:pStyle w:val="yTable"/>
              <w:tabs>
                <w:tab w:val="right" w:pos="1735"/>
              </w:tabs>
              <w:spacing w:before="0"/>
              <w:ind w:left="-11" w:firstLine="11"/>
            </w:pPr>
            <w:r>
              <w:t>55296</w:t>
            </w:r>
          </w:p>
        </w:tc>
        <w:tc>
          <w:tcPr>
            <w:tcW w:w="1276" w:type="dxa"/>
          </w:tcPr>
          <w:p>
            <w:pPr>
              <w:pStyle w:val="yTable"/>
              <w:tabs>
                <w:tab w:val="decimal" w:pos="425"/>
                <w:tab w:val="right" w:pos="1418"/>
              </w:tabs>
              <w:spacing w:before="0"/>
              <w:ind w:left="-11" w:right="295" w:firstLine="11"/>
              <w:jc w:val="right"/>
            </w:pPr>
            <w:r>
              <w:t>140.80</w:t>
            </w:r>
          </w:p>
        </w:tc>
      </w:tr>
      <w:tr>
        <w:tblPrEx>
          <w:tblCellMar>
            <w:left w:w="108" w:type="dxa"/>
            <w:right w:w="108" w:type="dxa"/>
          </w:tblCellMar>
        </w:tblPrEx>
        <w:tc>
          <w:tcPr>
            <w:tcW w:w="4820" w:type="dxa"/>
          </w:tcPr>
          <w:p>
            <w:pPr>
              <w:pStyle w:val="yTable"/>
              <w:tabs>
                <w:tab w:val="right" w:pos="1735"/>
              </w:tabs>
              <w:spacing w:before="0"/>
              <w:ind w:left="-11" w:firstLine="11"/>
            </w:pPr>
            <w:r>
              <w:t>55600</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55603</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55700</w:t>
            </w:r>
          </w:p>
        </w:tc>
        <w:tc>
          <w:tcPr>
            <w:tcW w:w="1276" w:type="dxa"/>
          </w:tcPr>
          <w:p>
            <w:pPr>
              <w:pStyle w:val="yTable"/>
              <w:tabs>
                <w:tab w:val="decimal" w:pos="425"/>
                <w:tab w:val="right" w:pos="1418"/>
              </w:tabs>
              <w:spacing w:before="0"/>
              <w:ind w:left="-11" w:right="295" w:firstLine="11"/>
              <w:jc w:val="right"/>
            </w:pPr>
            <w:r>
              <w:t>76.05</w:t>
            </w:r>
          </w:p>
        </w:tc>
      </w:tr>
      <w:tr>
        <w:tblPrEx>
          <w:tblCellMar>
            <w:left w:w="108" w:type="dxa"/>
            <w:right w:w="108" w:type="dxa"/>
          </w:tblCellMar>
        </w:tblPrEx>
        <w:tc>
          <w:tcPr>
            <w:tcW w:w="4820" w:type="dxa"/>
          </w:tcPr>
          <w:p>
            <w:pPr>
              <w:pStyle w:val="yTable"/>
              <w:tabs>
                <w:tab w:val="right" w:pos="1735"/>
              </w:tabs>
              <w:spacing w:before="0"/>
              <w:ind w:left="-11" w:firstLine="11"/>
            </w:pPr>
            <w:r>
              <w:t>55703</w:t>
            </w:r>
          </w:p>
        </w:tc>
        <w:tc>
          <w:tcPr>
            <w:tcW w:w="1276" w:type="dxa"/>
          </w:tcPr>
          <w:p>
            <w:pPr>
              <w:pStyle w:val="yTable"/>
              <w:tabs>
                <w:tab w:val="decimal" w:pos="425"/>
                <w:tab w:val="right" w:pos="1418"/>
              </w:tabs>
              <w:spacing w:before="0"/>
              <w:ind w:left="-11" w:right="295" w:firstLine="11"/>
              <w:jc w:val="right"/>
            </w:pPr>
            <w:r>
              <w:t>44.40</w:t>
            </w:r>
          </w:p>
        </w:tc>
      </w:tr>
      <w:tr>
        <w:tblPrEx>
          <w:tblCellMar>
            <w:left w:w="108" w:type="dxa"/>
            <w:right w:w="108" w:type="dxa"/>
          </w:tblCellMar>
        </w:tblPrEx>
        <w:tc>
          <w:tcPr>
            <w:tcW w:w="4820" w:type="dxa"/>
          </w:tcPr>
          <w:p>
            <w:pPr>
              <w:pStyle w:val="yTable"/>
              <w:tabs>
                <w:tab w:val="right" w:pos="1735"/>
              </w:tabs>
              <w:spacing w:before="0"/>
              <w:ind w:left="-11" w:firstLine="11"/>
            </w:pPr>
            <w:r>
              <w:t>55704</w:t>
            </w:r>
          </w:p>
        </w:tc>
        <w:tc>
          <w:tcPr>
            <w:tcW w:w="1276" w:type="dxa"/>
          </w:tcPr>
          <w:p>
            <w:pPr>
              <w:pStyle w:val="yTable"/>
              <w:tabs>
                <w:tab w:val="decimal" w:pos="425"/>
                <w:tab w:val="right" w:pos="1418"/>
              </w:tabs>
              <w:spacing w:before="0"/>
              <w:ind w:left="-11" w:right="295" w:firstLine="11"/>
              <w:jc w:val="right"/>
            </w:pPr>
            <w:r>
              <w:t>88.75</w:t>
            </w:r>
          </w:p>
        </w:tc>
      </w:tr>
      <w:tr>
        <w:tblPrEx>
          <w:tblCellMar>
            <w:left w:w="108" w:type="dxa"/>
            <w:right w:w="108" w:type="dxa"/>
          </w:tblCellMar>
        </w:tblPrEx>
        <w:tc>
          <w:tcPr>
            <w:tcW w:w="4820" w:type="dxa"/>
          </w:tcPr>
          <w:p>
            <w:pPr>
              <w:pStyle w:val="yTable"/>
              <w:tabs>
                <w:tab w:val="right" w:pos="1735"/>
              </w:tabs>
              <w:spacing w:before="0"/>
              <w:ind w:left="-11" w:firstLine="11"/>
            </w:pPr>
            <w:r>
              <w:t>55705</w:t>
            </w:r>
          </w:p>
        </w:tc>
        <w:tc>
          <w:tcPr>
            <w:tcW w:w="1276" w:type="dxa"/>
          </w:tcPr>
          <w:p>
            <w:pPr>
              <w:pStyle w:val="yTable"/>
              <w:tabs>
                <w:tab w:val="decimal" w:pos="425"/>
                <w:tab w:val="right" w:pos="1418"/>
              </w:tabs>
              <w:spacing w:before="0"/>
              <w:ind w:left="-11" w:right="295" w:firstLine="11"/>
              <w:jc w:val="right"/>
            </w:pPr>
            <w:r>
              <w:t>44.40</w:t>
            </w:r>
          </w:p>
        </w:tc>
      </w:tr>
      <w:tr>
        <w:tblPrEx>
          <w:tblCellMar>
            <w:left w:w="108" w:type="dxa"/>
            <w:right w:w="108" w:type="dxa"/>
          </w:tblCellMar>
        </w:tblPrEx>
        <w:tc>
          <w:tcPr>
            <w:tcW w:w="4820" w:type="dxa"/>
          </w:tcPr>
          <w:p>
            <w:pPr>
              <w:pStyle w:val="yTable"/>
              <w:tabs>
                <w:tab w:val="right" w:pos="1735"/>
              </w:tabs>
              <w:spacing w:before="0"/>
              <w:ind w:left="-11" w:firstLine="11"/>
            </w:pPr>
            <w:r>
              <w:t>55706</w:t>
            </w:r>
          </w:p>
        </w:tc>
        <w:tc>
          <w:tcPr>
            <w:tcW w:w="1276" w:type="dxa"/>
          </w:tcPr>
          <w:p>
            <w:pPr>
              <w:pStyle w:val="yTable"/>
              <w:tabs>
                <w:tab w:val="decimal" w:pos="425"/>
                <w:tab w:val="right" w:pos="1418"/>
              </w:tabs>
              <w:spacing w:before="0"/>
              <w:ind w:left="-11" w:right="295" w:firstLine="11"/>
              <w:jc w:val="right"/>
            </w:pPr>
            <w:r>
              <w:t>126.80</w:t>
            </w:r>
          </w:p>
        </w:tc>
      </w:tr>
      <w:tr>
        <w:tblPrEx>
          <w:tblCellMar>
            <w:left w:w="108" w:type="dxa"/>
            <w:right w:w="108" w:type="dxa"/>
          </w:tblCellMar>
        </w:tblPrEx>
        <w:tc>
          <w:tcPr>
            <w:tcW w:w="4820" w:type="dxa"/>
          </w:tcPr>
          <w:p>
            <w:pPr>
              <w:pStyle w:val="yTable"/>
              <w:tabs>
                <w:tab w:val="right" w:pos="1735"/>
              </w:tabs>
              <w:spacing w:before="0"/>
              <w:ind w:left="-11" w:firstLine="11"/>
            </w:pPr>
            <w:r>
              <w:t>55709</w:t>
            </w:r>
          </w:p>
        </w:tc>
        <w:tc>
          <w:tcPr>
            <w:tcW w:w="1276" w:type="dxa"/>
          </w:tcPr>
          <w:p>
            <w:pPr>
              <w:pStyle w:val="yTable"/>
              <w:tabs>
                <w:tab w:val="decimal" w:pos="425"/>
                <w:tab w:val="right" w:pos="1418"/>
              </w:tabs>
              <w:spacing w:before="0"/>
              <w:ind w:left="-11" w:right="295" w:firstLine="11"/>
              <w:jc w:val="right"/>
            </w:pPr>
            <w:r>
              <w:t>48.20</w:t>
            </w:r>
          </w:p>
        </w:tc>
      </w:tr>
      <w:tr>
        <w:tblPrEx>
          <w:tblCellMar>
            <w:left w:w="108" w:type="dxa"/>
            <w:right w:w="108" w:type="dxa"/>
          </w:tblCellMar>
        </w:tblPrEx>
        <w:tc>
          <w:tcPr>
            <w:tcW w:w="4820" w:type="dxa"/>
          </w:tcPr>
          <w:p>
            <w:pPr>
              <w:pStyle w:val="yTable"/>
              <w:tabs>
                <w:tab w:val="right" w:pos="1735"/>
              </w:tabs>
              <w:spacing w:before="0"/>
              <w:ind w:left="-11" w:firstLine="11"/>
            </w:pPr>
            <w:r>
              <w:t>55712</w:t>
            </w:r>
          </w:p>
        </w:tc>
        <w:tc>
          <w:tcPr>
            <w:tcW w:w="1276" w:type="dxa"/>
          </w:tcPr>
          <w:p>
            <w:pPr>
              <w:pStyle w:val="yTable"/>
              <w:tabs>
                <w:tab w:val="decimal" w:pos="425"/>
                <w:tab w:val="right" w:pos="1418"/>
              </w:tabs>
              <w:spacing w:before="0"/>
              <w:ind w:left="-11" w:right="295" w:firstLine="11"/>
              <w:jc w:val="right"/>
            </w:pPr>
            <w:r>
              <w:t>145.80</w:t>
            </w:r>
          </w:p>
        </w:tc>
      </w:tr>
      <w:tr>
        <w:tblPrEx>
          <w:tblCellMar>
            <w:left w:w="108" w:type="dxa"/>
            <w:right w:w="108" w:type="dxa"/>
          </w:tblCellMar>
        </w:tblPrEx>
        <w:tc>
          <w:tcPr>
            <w:tcW w:w="4820" w:type="dxa"/>
          </w:tcPr>
          <w:p>
            <w:pPr>
              <w:pStyle w:val="yTable"/>
              <w:spacing w:before="0"/>
              <w:ind w:left="-11" w:firstLine="11"/>
            </w:pPr>
            <w:r>
              <w:t>55715</w:t>
            </w:r>
          </w:p>
        </w:tc>
        <w:tc>
          <w:tcPr>
            <w:tcW w:w="1276" w:type="dxa"/>
          </w:tcPr>
          <w:p>
            <w:pPr>
              <w:pStyle w:val="yTable"/>
              <w:tabs>
                <w:tab w:val="decimal" w:pos="425"/>
                <w:tab w:val="right" w:pos="1418"/>
              </w:tabs>
              <w:spacing w:before="0"/>
              <w:ind w:left="-11" w:right="295" w:firstLine="11"/>
              <w:jc w:val="right"/>
            </w:pPr>
            <w:r>
              <w:t>50.70</w:t>
            </w:r>
          </w:p>
        </w:tc>
      </w:tr>
      <w:tr>
        <w:tblPrEx>
          <w:tblCellMar>
            <w:left w:w="108" w:type="dxa"/>
            <w:right w:w="108" w:type="dxa"/>
          </w:tblCellMar>
        </w:tblPrEx>
        <w:tc>
          <w:tcPr>
            <w:tcW w:w="4820" w:type="dxa"/>
          </w:tcPr>
          <w:p>
            <w:pPr>
              <w:pStyle w:val="yTable"/>
              <w:tabs>
                <w:tab w:val="right" w:pos="1735"/>
              </w:tabs>
              <w:spacing w:before="0"/>
              <w:ind w:left="-11" w:firstLine="11"/>
            </w:pPr>
            <w:r>
              <w:t>55718</w:t>
            </w:r>
          </w:p>
        </w:tc>
        <w:tc>
          <w:tcPr>
            <w:tcW w:w="1276" w:type="dxa"/>
          </w:tcPr>
          <w:p>
            <w:pPr>
              <w:pStyle w:val="yTable"/>
              <w:tabs>
                <w:tab w:val="decimal" w:pos="425"/>
                <w:tab w:val="right" w:pos="1418"/>
              </w:tabs>
              <w:spacing w:before="0"/>
              <w:ind w:left="-11" w:right="295" w:firstLine="11"/>
              <w:jc w:val="right"/>
            </w:pPr>
            <w:r>
              <w:t>126.80</w:t>
            </w:r>
          </w:p>
        </w:tc>
      </w:tr>
      <w:tr>
        <w:tblPrEx>
          <w:tblCellMar>
            <w:left w:w="108" w:type="dxa"/>
            <w:right w:w="108" w:type="dxa"/>
          </w:tblCellMar>
        </w:tblPrEx>
        <w:tc>
          <w:tcPr>
            <w:tcW w:w="4820" w:type="dxa"/>
          </w:tcPr>
          <w:p>
            <w:pPr>
              <w:pStyle w:val="yTable"/>
              <w:tabs>
                <w:tab w:val="right" w:pos="1735"/>
              </w:tabs>
              <w:spacing w:before="0"/>
              <w:ind w:left="-11" w:firstLine="11"/>
            </w:pPr>
            <w:r>
              <w:t>55721</w:t>
            </w:r>
          </w:p>
        </w:tc>
        <w:tc>
          <w:tcPr>
            <w:tcW w:w="1276" w:type="dxa"/>
          </w:tcPr>
          <w:p>
            <w:pPr>
              <w:pStyle w:val="yTable"/>
              <w:tabs>
                <w:tab w:val="decimal" w:pos="425"/>
                <w:tab w:val="right" w:pos="1418"/>
              </w:tabs>
              <w:spacing w:before="0"/>
              <w:ind w:left="-11" w:right="295" w:firstLine="11"/>
              <w:jc w:val="right"/>
            </w:pPr>
            <w:r>
              <w:t>145.80</w:t>
            </w:r>
          </w:p>
        </w:tc>
      </w:tr>
      <w:tr>
        <w:tblPrEx>
          <w:tblCellMar>
            <w:left w:w="108" w:type="dxa"/>
            <w:right w:w="108" w:type="dxa"/>
          </w:tblCellMar>
        </w:tblPrEx>
        <w:tc>
          <w:tcPr>
            <w:tcW w:w="4820" w:type="dxa"/>
          </w:tcPr>
          <w:p>
            <w:pPr>
              <w:pStyle w:val="yTable"/>
              <w:tabs>
                <w:tab w:val="right" w:pos="1735"/>
              </w:tabs>
              <w:spacing w:before="0"/>
              <w:ind w:left="-11" w:firstLine="11"/>
            </w:pPr>
            <w:r>
              <w:t>55723</w:t>
            </w:r>
          </w:p>
        </w:tc>
        <w:tc>
          <w:tcPr>
            <w:tcW w:w="1276" w:type="dxa"/>
          </w:tcPr>
          <w:p>
            <w:pPr>
              <w:pStyle w:val="yTable"/>
              <w:tabs>
                <w:tab w:val="decimal" w:pos="425"/>
                <w:tab w:val="right" w:pos="1418"/>
              </w:tabs>
              <w:spacing w:before="0"/>
              <w:ind w:left="-11" w:right="295" w:firstLine="11"/>
              <w:jc w:val="right"/>
            </w:pPr>
            <w:r>
              <w:t>48.20</w:t>
            </w:r>
          </w:p>
        </w:tc>
      </w:tr>
      <w:tr>
        <w:tblPrEx>
          <w:tblCellMar>
            <w:left w:w="108" w:type="dxa"/>
            <w:right w:w="108" w:type="dxa"/>
          </w:tblCellMar>
        </w:tblPrEx>
        <w:tc>
          <w:tcPr>
            <w:tcW w:w="4820" w:type="dxa"/>
          </w:tcPr>
          <w:p>
            <w:pPr>
              <w:pStyle w:val="yTable"/>
              <w:tabs>
                <w:tab w:val="right" w:pos="1735"/>
              </w:tabs>
              <w:spacing w:before="0"/>
              <w:ind w:left="-11" w:firstLine="11"/>
            </w:pPr>
            <w:r>
              <w:t>55725</w:t>
            </w:r>
          </w:p>
        </w:tc>
        <w:tc>
          <w:tcPr>
            <w:tcW w:w="1276" w:type="dxa"/>
          </w:tcPr>
          <w:p>
            <w:pPr>
              <w:pStyle w:val="yTable"/>
              <w:tabs>
                <w:tab w:val="decimal" w:pos="425"/>
                <w:tab w:val="right" w:pos="1418"/>
              </w:tabs>
              <w:spacing w:before="0"/>
              <w:ind w:left="-11" w:right="295" w:firstLine="11"/>
              <w:jc w:val="right"/>
            </w:pPr>
            <w:r>
              <w:t>50.70</w:t>
            </w:r>
          </w:p>
        </w:tc>
      </w:tr>
      <w:tr>
        <w:tblPrEx>
          <w:tblCellMar>
            <w:left w:w="108" w:type="dxa"/>
            <w:right w:w="108" w:type="dxa"/>
          </w:tblCellMar>
        </w:tblPrEx>
        <w:tc>
          <w:tcPr>
            <w:tcW w:w="4820" w:type="dxa"/>
          </w:tcPr>
          <w:p>
            <w:pPr>
              <w:pStyle w:val="yTable"/>
              <w:tabs>
                <w:tab w:val="right" w:pos="1735"/>
              </w:tabs>
              <w:spacing w:before="0"/>
              <w:ind w:left="-11" w:firstLine="11"/>
            </w:pPr>
            <w:r>
              <w:t>55728</w:t>
            </w:r>
          </w:p>
        </w:tc>
        <w:tc>
          <w:tcPr>
            <w:tcW w:w="1276" w:type="dxa"/>
          </w:tcPr>
          <w:p>
            <w:pPr>
              <w:pStyle w:val="yTable"/>
              <w:tabs>
                <w:tab w:val="decimal" w:pos="425"/>
                <w:tab w:val="right" w:pos="1418"/>
              </w:tabs>
              <w:spacing w:before="0"/>
              <w:ind w:left="-11" w:right="295" w:firstLine="11"/>
              <w:jc w:val="right"/>
            </w:pPr>
            <w:r>
              <w:t>126.80</w:t>
            </w:r>
          </w:p>
        </w:tc>
      </w:tr>
      <w:tr>
        <w:tblPrEx>
          <w:tblCellMar>
            <w:left w:w="108" w:type="dxa"/>
            <w:right w:w="108" w:type="dxa"/>
          </w:tblCellMar>
        </w:tblPrEx>
        <w:tc>
          <w:tcPr>
            <w:tcW w:w="4820" w:type="dxa"/>
          </w:tcPr>
          <w:p>
            <w:pPr>
              <w:pStyle w:val="yTable"/>
              <w:tabs>
                <w:tab w:val="right" w:pos="1735"/>
              </w:tabs>
              <w:spacing w:before="0"/>
              <w:ind w:left="-11" w:firstLine="11"/>
            </w:pPr>
            <w:r>
              <w:t>55729</w:t>
            </w:r>
          </w:p>
        </w:tc>
        <w:tc>
          <w:tcPr>
            <w:tcW w:w="1276" w:type="dxa"/>
          </w:tcPr>
          <w:p>
            <w:pPr>
              <w:pStyle w:val="yTable"/>
              <w:tabs>
                <w:tab w:val="decimal" w:pos="425"/>
                <w:tab w:val="right" w:pos="1418"/>
              </w:tabs>
              <w:spacing w:before="0"/>
              <w:ind w:left="-11" w:right="295" w:firstLine="11"/>
              <w:jc w:val="right"/>
            </w:pPr>
            <w:r>
              <w:t>34.55</w:t>
            </w:r>
          </w:p>
        </w:tc>
      </w:tr>
      <w:tr>
        <w:tblPrEx>
          <w:tblCellMar>
            <w:left w:w="108" w:type="dxa"/>
            <w:right w:w="108" w:type="dxa"/>
          </w:tblCellMar>
        </w:tblPrEx>
        <w:tc>
          <w:tcPr>
            <w:tcW w:w="4820" w:type="dxa"/>
          </w:tcPr>
          <w:p>
            <w:pPr>
              <w:pStyle w:val="yTable"/>
              <w:tabs>
                <w:tab w:val="right" w:pos="1735"/>
              </w:tabs>
              <w:spacing w:before="0"/>
              <w:ind w:left="-11" w:firstLine="11"/>
            </w:pPr>
            <w:r>
              <w:t>5731</w:t>
            </w:r>
          </w:p>
        </w:tc>
        <w:tc>
          <w:tcPr>
            <w:tcW w:w="1276" w:type="dxa"/>
          </w:tcPr>
          <w:p>
            <w:pPr>
              <w:pStyle w:val="yTable"/>
              <w:tabs>
                <w:tab w:val="decimal" w:pos="425"/>
                <w:tab w:val="right" w:pos="1418"/>
              </w:tabs>
              <w:spacing w:before="0"/>
              <w:ind w:left="-11" w:right="295" w:firstLine="11"/>
              <w:jc w:val="right"/>
            </w:pPr>
            <w:r>
              <w:t>124.25</w:t>
            </w:r>
          </w:p>
        </w:tc>
      </w:tr>
      <w:tr>
        <w:tblPrEx>
          <w:tblCellMar>
            <w:left w:w="108" w:type="dxa"/>
            <w:right w:w="108" w:type="dxa"/>
          </w:tblCellMar>
        </w:tblPrEx>
        <w:tc>
          <w:tcPr>
            <w:tcW w:w="4820" w:type="dxa"/>
          </w:tcPr>
          <w:p>
            <w:pPr>
              <w:pStyle w:val="yTable"/>
              <w:tabs>
                <w:tab w:val="right" w:pos="1735"/>
              </w:tabs>
              <w:spacing w:before="0"/>
              <w:ind w:left="-11" w:firstLine="11"/>
            </w:pPr>
            <w:r>
              <w:t>55733</w:t>
            </w:r>
          </w:p>
        </w:tc>
        <w:tc>
          <w:tcPr>
            <w:tcW w:w="1276" w:type="dxa"/>
          </w:tcPr>
          <w:p>
            <w:pPr>
              <w:pStyle w:val="yTable"/>
              <w:tabs>
                <w:tab w:val="decimal" w:pos="425"/>
                <w:tab w:val="right" w:pos="1418"/>
              </w:tabs>
              <w:spacing w:before="0"/>
              <w:ind w:left="-11" w:right="295" w:firstLine="11"/>
              <w:jc w:val="right"/>
            </w:pPr>
            <w:r>
              <w:t>44.40</w:t>
            </w:r>
          </w:p>
        </w:tc>
      </w:tr>
      <w:tr>
        <w:tblPrEx>
          <w:tblCellMar>
            <w:left w:w="108" w:type="dxa"/>
            <w:right w:w="108" w:type="dxa"/>
          </w:tblCellMar>
        </w:tblPrEx>
        <w:tc>
          <w:tcPr>
            <w:tcW w:w="4820" w:type="dxa"/>
          </w:tcPr>
          <w:p>
            <w:pPr>
              <w:pStyle w:val="yTable"/>
              <w:tabs>
                <w:tab w:val="right" w:pos="1735"/>
              </w:tabs>
              <w:spacing w:before="0"/>
              <w:ind w:left="-11" w:firstLine="11"/>
            </w:pPr>
            <w:r>
              <w:t>55736</w:t>
            </w:r>
          </w:p>
        </w:tc>
        <w:tc>
          <w:tcPr>
            <w:tcW w:w="1276" w:type="dxa"/>
          </w:tcPr>
          <w:p>
            <w:pPr>
              <w:pStyle w:val="yTable"/>
              <w:tabs>
                <w:tab w:val="decimal" w:pos="425"/>
                <w:tab w:val="right" w:pos="1418"/>
              </w:tabs>
              <w:spacing w:before="0"/>
              <w:ind w:left="-11" w:right="295" w:firstLine="11"/>
              <w:jc w:val="right"/>
            </w:pPr>
            <w:r>
              <w:t>161.00</w:t>
            </w:r>
          </w:p>
        </w:tc>
      </w:tr>
      <w:tr>
        <w:tblPrEx>
          <w:tblCellMar>
            <w:left w:w="108" w:type="dxa"/>
            <w:right w:w="108" w:type="dxa"/>
          </w:tblCellMar>
        </w:tblPrEx>
        <w:tc>
          <w:tcPr>
            <w:tcW w:w="4820" w:type="dxa"/>
          </w:tcPr>
          <w:p>
            <w:pPr>
              <w:pStyle w:val="yTable"/>
              <w:tabs>
                <w:tab w:val="right" w:pos="1735"/>
              </w:tabs>
              <w:spacing w:before="0"/>
              <w:ind w:left="-11" w:firstLine="11"/>
            </w:pPr>
            <w:r>
              <w:t>55739</w:t>
            </w:r>
          </w:p>
        </w:tc>
        <w:tc>
          <w:tcPr>
            <w:tcW w:w="1276" w:type="dxa"/>
          </w:tcPr>
          <w:p>
            <w:pPr>
              <w:pStyle w:val="yTable"/>
              <w:tabs>
                <w:tab w:val="decimal" w:pos="425"/>
                <w:tab w:val="right" w:pos="1418"/>
              </w:tabs>
              <w:spacing w:before="0"/>
              <w:ind w:left="-11" w:right="295" w:firstLine="11"/>
              <w:jc w:val="right"/>
            </w:pPr>
            <w:r>
              <w:t>72.25</w:t>
            </w:r>
          </w:p>
        </w:tc>
      </w:tr>
      <w:tr>
        <w:tblPrEx>
          <w:tblCellMar>
            <w:left w:w="108" w:type="dxa"/>
            <w:right w:w="108" w:type="dxa"/>
          </w:tblCellMar>
        </w:tblPrEx>
        <w:tc>
          <w:tcPr>
            <w:tcW w:w="4820" w:type="dxa"/>
          </w:tcPr>
          <w:p>
            <w:pPr>
              <w:pStyle w:val="yTable"/>
              <w:tabs>
                <w:tab w:val="right" w:pos="1735"/>
              </w:tabs>
              <w:spacing w:before="0"/>
              <w:ind w:left="-11" w:firstLine="11"/>
            </w:pPr>
            <w:r>
              <w:t>55759</w:t>
            </w:r>
          </w:p>
        </w:tc>
        <w:tc>
          <w:tcPr>
            <w:tcW w:w="1276" w:type="dxa"/>
          </w:tcPr>
          <w:p>
            <w:pPr>
              <w:pStyle w:val="yTable"/>
              <w:tabs>
                <w:tab w:val="decimal" w:pos="425"/>
                <w:tab w:val="right" w:pos="1418"/>
              </w:tabs>
              <w:spacing w:before="0"/>
              <w:ind w:left="-11" w:right="295" w:firstLine="11"/>
              <w:jc w:val="right"/>
            </w:pPr>
            <w:r>
              <w:t>190.20</w:t>
            </w:r>
          </w:p>
        </w:tc>
      </w:tr>
      <w:tr>
        <w:tblPrEx>
          <w:tblCellMar>
            <w:left w:w="108" w:type="dxa"/>
            <w:right w:w="108" w:type="dxa"/>
          </w:tblCellMar>
        </w:tblPrEx>
        <w:tc>
          <w:tcPr>
            <w:tcW w:w="4820" w:type="dxa"/>
          </w:tcPr>
          <w:p>
            <w:pPr>
              <w:pStyle w:val="yTable"/>
              <w:tabs>
                <w:tab w:val="right" w:pos="1735"/>
              </w:tabs>
              <w:spacing w:before="0"/>
              <w:ind w:left="-11" w:firstLine="11"/>
            </w:pPr>
            <w:r>
              <w:t>55762</w:t>
            </w:r>
          </w:p>
        </w:tc>
        <w:tc>
          <w:tcPr>
            <w:tcW w:w="1276" w:type="dxa"/>
          </w:tcPr>
          <w:p>
            <w:pPr>
              <w:pStyle w:val="yTable"/>
              <w:tabs>
                <w:tab w:val="decimal" w:pos="425"/>
                <w:tab w:val="right" w:pos="1418"/>
              </w:tabs>
              <w:spacing w:before="0"/>
              <w:ind w:left="-11" w:right="295" w:firstLine="11"/>
              <w:jc w:val="right"/>
            </w:pPr>
            <w:r>
              <w:t>76.05</w:t>
            </w:r>
          </w:p>
        </w:tc>
      </w:tr>
      <w:tr>
        <w:tblPrEx>
          <w:tblCellMar>
            <w:left w:w="108" w:type="dxa"/>
            <w:right w:w="108" w:type="dxa"/>
          </w:tblCellMar>
        </w:tblPrEx>
        <w:tc>
          <w:tcPr>
            <w:tcW w:w="4820" w:type="dxa"/>
          </w:tcPr>
          <w:p>
            <w:pPr>
              <w:pStyle w:val="yTable"/>
              <w:tabs>
                <w:tab w:val="right" w:pos="1735"/>
              </w:tabs>
              <w:spacing w:before="0"/>
              <w:ind w:left="-11" w:firstLine="11"/>
            </w:pPr>
            <w:r>
              <w:t>55764</w:t>
            </w:r>
          </w:p>
        </w:tc>
        <w:tc>
          <w:tcPr>
            <w:tcW w:w="1276" w:type="dxa"/>
          </w:tcPr>
          <w:p>
            <w:pPr>
              <w:pStyle w:val="yTable"/>
              <w:tabs>
                <w:tab w:val="decimal" w:pos="425"/>
                <w:tab w:val="right" w:pos="1418"/>
              </w:tabs>
              <w:spacing w:before="0"/>
              <w:ind w:left="-11" w:right="295" w:firstLine="11"/>
              <w:jc w:val="right"/>
            </w:pPr>
            <w:r>
              <w:t>202.85</w:t>
            </w:r>
          </w:p>
        </w:tc>
      </w:tr>
      <w:tr>
        <w:tblPrEx>
          <w:tblCellMar>
            <w:left w:w="108" w:type="dxa"/>
            <w:right w:w="108" w:type="dxa"/>
          </w:tblCellMar>
        </w:tblPrEx>
        <w:tc>
          <w:tcPr>
            <w:tcW w:w="4820" w:type="dxa"/>
          </w:tcPr>
          <w:p>
            <w:pPr>
              <w:pStyle w:val="yTable"/>
              <w:tabs>
                <w:tab w:val="right" w:pos="1735"/>
              </w:tabs>
              <w:spacing w:before="0"/>
              <w:ind w:left="-11" w:firstLine="11"/>
            </w:pPr>
            <w:r>
              <w:t>55766</w:t>
            </w:r>
          </w:p>
        </w:tc>
        <w:tc>
          <w:tcPr>
            <w:tcW w:w="1276" w:type="dxa"/>
          </w:tcPr>
          <w:p>
            <w:pPr>
              <w:pStyle w:val="yTable"/>
              <w:tabs>
                <w:tab w:val="decimal" w:pos="425"/>
                <w:tab w:val="right" w:pos="1418"/>
              </w:tabs>
              <w:spacing w:before="0"/>
              <w:ind w:left="-11" w:right="295" w:firstLine="11"/>
              <w:jc w:val="right"/>
            </w:pPr>
            <w:r>
              <w:t>82.40</w:t>
            </w:r>
          </w:p>
        </w:tc>
      </w:tr>
      <w:tr>
        <w:tblPrEx>
          <w:tblCellMar>
            <w:left w:w="108" w:type="dxa"/>
            <w:right w:w="108" w:type="dxa"/>
          </w:tblCellMar>
        </w:tblPrEx>
        <w:tc>
          <w:tcPr>
            <w:tcW w:w="4820" w:type="dxa"/>
          </w:tcPr>
          <w:p>
            <w:pPr>
              <w:pStyle w:val="yTable"/>
              <w:tabs>
                <w:tab w:val="right" w:pos="1735"/>
              </w:tabs>
              <w:spacing w:before="0"/>
              <w:ind w:left="-11" w:firstLine="11"/>
            </w:pPr>
            <w:r>
              <w:t>55768</w:t>
            </w:r>
          </w:p>
        </w:tc>
        <w:tc>
          <w:tcPr>
            <w:tcW w:w="1276" w:type="dxa"/>
          </w:tcPr>
          <w:p>
            <w:pPr>
              <w:pStyle w:val="yTable"/>
              <w:tabs>
                <w:tab w:val="decimal" w:pos="425"/>
                <w:tab w:val="right" w:pos="1418"/>
              </w:tabs>
              <w:spacing w:before="0"/>
              <w:ind w:left="-11" w:right="295" w:firstLine="11"/>
              <w:jc w:val="right"/>
            </w:pPr>
            <w:r>
              <w:t>190.20</w:t>
            </w:r>
          </w:p>
        </w:tc>
      </w:tr>
      <w:tr>
        <w:tblPrEx>
          <w:tblCellMar>
            <w:left w:w="108" w:type="dxa"/>
            <w:right w:w="108" w:type="dxa"/>
          </w:tblCellMar>
        </w:tblPrEx>
        <w:tc>
          <w:tcPr>
            <w:tcW w:w="4820" w:type="dxa"/>
          </w:tcPr>
          <w:p>
            <w:pPr>
              <w:pStyle w:val="yTable"/>
              <w:tabs>
                <w:tab w:val="right" w:pos="1735"/>
              </w:tabs>
              <w:spacing w:before="0"/>
              <w:ind w:left="-11" w:firstLine="11"/>
            </w:pPr>
            <w:r>
              <w:t>55770</w:t>
            </w:r>
          </w:p>
        </w:tc>
        <w:tc>
          <w:tcPr>
            <w:tcW w:w="1276" w:type="dxa"/>
          </w:tcPr>
          <w:p>
            <w:pPr>
              <w:pStyle w:val="yTable"/>
              <w:tabs>
                <w:tab w:val="decimal" w:pos="425"/>
                <w:tab w:val="right" w:pos="1418"/>
              </w:tabs>
              <w:spacing w:before="0"/>
              <w:ind w:left="-11" w:right="295" w:firstLine="11"/>
              <w:jc w:val="right"/>
            </w:pPr>
            <w:r>
              <w:t>76.05</w:t>
            </w:r>
          </w:p>
        </w:tc>
      </w:tr>
      <w:tr>
        <w:tblPrEx>
          <w:tblCellMar>
            <w:left w:w="108" w:type="dxa"/>
            <w:right w:w="108" w:type="dxa"/>
          </w:tblCellMar>
        </w:tblPrEx>
        <w:tc>
          <w:tcPr>
            <w:tcW w:w="4820" w:type="dxa"/>
          </w:tcPr>
          <w:p>
            <w:pPr>
              <w:pStyle w:val="yTable"/>
              <w:tabs>
                <w:tab w:val="right" w:pos="1735"/>
              </w:tabs>
              <w:spacing w:before="0"/>
              <w:ind w:left="-11" w:firstLine="11"/>
            </w:pPr>
            <w:r>
              <w:t>55772</w:t>
            </w:r>
          </w:p>
        </w:tc>
        <w:tc>
          <w:tcPr>
            <w:tcW w:w="1276" w:type="dxa"/>
          </w:tcPr>
          <w:p>
            <w:pPr>
              <w:pStyle w:val="yTable"/>
              <w:tabs>
                <w:tab w:val="decimal" w:pos="425"/>
                <w:tab w:val="right" w:pos="1418"/>
              </w:tabs>
              <w:spacing w:before="0"/>
              <w:ind w:left="-11" w:right="295" w:firstLine="11"/>
              <w:jc w:val="right"/>
            </w:pPr>
            <w:r>
              <w:t>202.85</w:t>
            </w:r>
          </w:p>
        </w:tc>
      </w:tr>
      <w:tr>
        <w:tblPrEx>
          <w:tblCellMar>
            <w:left w:w="108" w:type="dxa"/>
            <w:right w:w="108" w:type="dxa"/>
          </w:tblCellMar>
        </w:tblPrEx>
        <w:tc>
          <w:tcPr>
            <w:tcW w:w="4820" w:type="dxa"/>
          </w:tcPr>
          <w:p>
            <w:pPr>
              <w:pStyle w:val="yTable"/>
              <w:tabs>
                <w:tab w:val="right" w:pos="1735"/>
              </w:tabs>
              <w:spacing w:before="0"/>
              <w:ind w:left="-11" w:firstLine="11"/>
            </w:pPr>
            <w:r>
              <w:t>55774</w:t>
            </w:r>
          </w:p>
        </w:tc>
        <w:tc>
          <w:tcPr>
            <w:tcW w:w="1276" w:type="dxa"/>
          </w:tcPr>
          <w:p>
            <w:pPr>
              <w:pStyle w:val="yTable"/>
              <w:tabs>
                <w:tab w:val="decimal" w:pos="425"/>
                <w:tab w:val="right" w:pos="1418"/>
              </w:tabs>
              <w:spacing w:before="0"/>
              <w:ind w:left="-11" w:right="295" w:firstLine="11"/>
              <w:jc w:val="right"/>
            </w:pPr>
            <w:r>
              <w:t>82.40</w:t>
            </w:r>
          </w:p>
        </w:tc>
      </w:tr>
      <w:tr>
        <w:tblPrEx>
          <w:tblCellMar>
            <w:left w:w="108" w:type="dxa"/>
            <w:right w:w="108" w:type="dxa"/>
          </w:tblCellMar>
        </w:tblPrEx>
        <w:tc>
          <w:tcPr>
            <w:tcW w:w="4820" w:type="dxa"/>
          </w:tcPr>
          <w:p>
            <w:pPr>
              <w:pStyle w:val="yTable"/>
              <w:tabs>
                <w:tab w:val="right" w:pos="1735"/>
              </w:tabs>
              <w:spacing w:before="0"/>
              <w:ind w:left="-11" w:firstLine="11"/>
            </w:pPr>
            <w:r>
              <w:t>55800</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55802</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55804</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55806</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55808</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55810</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55812</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55814</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55816</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55818</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55820</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55822</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55824</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55826</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55828</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55830</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55832</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55834</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55836</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55838</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55840</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55842</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55844</w:t>
            </w:r>
          </w:p>
        </w:tc>
        <w:tc>
          <w:tcPr>
            <w:tcW w:w="1276" w:type="dxa"/>
          </w:tcPr>
          <w:p>
            <w:pPr>
              <w:pStyle w:val="yTable"/>
              <w:tabs>
                <w:tab w:val="decimal" w:pos="425"/>
                <w:tab w:val="right" w:pos="1418"/>
              </w:tabs>
              <w:spacing w:before="0"/>
              <w:ind w:left="-11" w:right="295" w:firstLine="11"/>
              <w:jc w:val="right"/>
            </w:pPr>
            <w:r>
              <w:t>110.75</w:t>
            </w:r>
          </w:p>
        </w:tc>
      </w:tr>
      <w:tr>
        <w:tblPrEx>
          <w:tblCellMar>
            <w:left w:w="108" w:type="dxa"/>
            <w:right w:w="108" w:type="dxa"/>
          </w:tblCellMar>
        </w:tblPrEx>
        <w:tc>
          <w:tcPr>
            <w:tcW w:w="4820" w:type="dxa"/>
          </w:tcPr>
          <w:p>
            <w:pPr>
              <w:pStyle w:val="yTable"/>
              <w:tabs>
                <w:tab w:val="right" w:pos="1735"/>
              </w:tabs>
              <w:spacing w:before="0"/>
              <w:ind w:left="-11" w:firstLine="11"/>
            </w:pPr>
            <w:r>
              <w:t>55846</w:t>
            </w:r>
          </w:p>
        </w:tc>
        <w:tc>
          <w:tcPr>
            <w:tcW w:w="1276" w:type="dxa"/>
          </w:tcPr>
          <w:p>
            <w:pPr>
              <w:pStyle w:val="yTable"/>
              <w:tabs>
                <w:tab w:val="decimal" w:pos="425"/>
                <w:tab w:val="right" w:pos="1418"/>
              </w:tabs>
              <w:spacing w:before="0"/>
              <w:ind w:left="-11" w:right="295" w:firstLine="11"/>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55848</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Pr>
          <w:p>
            <w:pPr>
              <w:pStyle w:val="yTable"/>
              <w:tabs>
                <w:tab w:val="right" w:pos="1735"/>
              </w:tabs>
              <w:spacing w:before="0"/>
              <w:ind w:left="-11" w:firstLine="11"/>
            </w:pPr>
            <w:r>
              <w:t>55850</w:t>
            </w:r>
          </w:p>
        </w:tc>
        <w:tc>
          <w:tcPr>
            <w:tcW w:w="1276" w:type="dxa"/>
          </w:tcPr>
          <w:p>
            <w:pPr>
              <w:pStyle w:val="yTable"/>
              <w:tabs>
                <w:tab w:val="decimal" w:pos="425"/>
                <w:tab w:val="right" w:pos="1418"/>
              </w:tabs>
              <w:spacing w:before="0"/>
              <w:ind w:left="-11" w:right="295" w:firstLine="11"/>
              <w:jc w:val="right"/>
            </w:pPr>
            <w:r>
              <w:t>193.80</w:t>
            </w:r>
          </w:p>
        </w:tc>
      </w:tr>
      <w:tr>
        <w:tblPrEx>
          <w:tblCellMar>
            <w:left w:w="108" w:type="dxa"/>
            <w:right w:w="108" w:type="dxa"/>
          </w:tblCellMar>
        </w:tblPrEx>
        <w:tc>
          <w:tcPr>
            <w:tcW w:w="4820" w:type="dxa"/>
          </w:tcPr>
          <w:p>
            <w:pPr>
              <w:pStyle w:val="yTable"/>
              <w:tabs>
                <w:tab w:val="right" w:pos="1735"/>
              </w:tabs>
              <w:spacing w:before="0"/>
              <w:ind w:left="-11" w:firstLine="11"/>
            </w:pPr>
            <w:r>
              <w:t>55852</w:t>
            </w:r>
          </w:p>
        </w:tc>
        <w:tc>
          <w:tcPr>
            <w:tcW w:w="1276" w:type="dxa"/>
          </w:tcPr>
          <w:p>
            <w:pPr>
              <w:pStyle w:val="yTable"/>
              <w:tabs>
                <w:tab w:val="decimal" w:pos="425"/>
                <w:tab w:val="right" w:pos="1418"/>
              </w:tabs>
              <w:spacing w:before="0"/>
              <w:ind w:left="-11" w:right="295" w:firstLine="11"/>
              <w:jc w:val="right"/>
            </w:pPr>
            <w:r>
              <w:t>138.35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55854</w:t>
            </w:r>
          </w:p>
        </w:tc>
        <w:tc>
          <w:tcPr>
            <w:tcW w:w="1276" w:type="dxa"/>
            <w:tcBorders>
              <w:bottom w:val="single" w:sz="4" w:space="0" w:color="auto"/>
            </w:tcBorders>
          </w:tcPr>
          <w:p>
            <w:pPr>
              <w:pStyle w:val="yTable"/>
              <w:tabs>
                <w:tab w:val="decimal" w:pos="425"/>
                <w:tab w:val="right" w:pos="1418"/>
              </w:tabs>
              <w:spacing w:before="0"/>
              <w:ind w:left="-11" w:right="295" w:firstLine="11"/>
              <w:jc w:val="right"/>
            </w:pPr>
            <w:r>
              <w:t>48.00</w:t>
            </w:r>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rPr>
                <w:b/>
              </w:rPr>
            </w:pPr>
            <w:r>
              <w:rPr>
                <w:b/>
              </w:rPr>
              <w:t>MBS item number</w:t>
            </w:r>
          </w:p>
          <w:p>
            <w:pPr>
              <w:pStyle w:val="yTable"/>
              <w:rPr>
                <w:b/>
              </w:rPr>
            </w:pPr>
            <w:r>
              <w:rPr>
                <w:i/>
              </w:rPr>
              <w:t>(November 2004 edition)</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56001</w:t>
            </w:r>
          </w:p>
        </w:tc>
        <w:tc>
          <w:tcPr>
            <w:tcW w:w="1276" w:type="dxa"/>
          </w:tcPr>
          <w:p>
            <w:pPr>
              <w:pStyle w:val="yTable"/>
              <w:tabs>
                <w:tab w:val="decimal" w:pos="425"/>
                <w:tab w:val="right" w:pos="1418"/>
              </w:tabs>
              <w:ind w:left="34" w:right="295"/>
              <w:jc w:val="right"/>
            </w:pPr>
            <w:r>
              <w:t>227.15</w:t>
            </w:r>
          </w:p>
        </w:tc>
      </w:tr>
      <w:tr>
        <w:tblPrEx>
          <w:tblCellMar>
            <w:left w:w="108" w:type="dxa"/>
            <w:right w:w="108" w:type="dxa"/>
          </w:tblCellMar>
        </w:tblPrEx>
        <w:tc>
          <w:tcPr>
            <w:tcW w:w="4820" w:type="dxa"/>
          </w:tcPr>
          <w:p>
            <w:pPr>
              <w:pStyle w:val="yTable"/>
              <w:tabs>
                <w:tab w:val="right" w:pos="1735"/>
              </w:tabs>
              <w:spacing w:before="0"/>
              <w:ind w:left="-11" w:firstLine="11"/>
            </w:pPr>
            <w:r>
              <w:t>56007</w:t>
            </w:r>
          </w:p>
        </w:tc>
        <w:tc>
          <w:tcPr>
            <w:tcW w:w="1276" w:type="dxa"/>
          </w:tcPr>
          <w:p>
            <w:pPr>
              <w:pStyle w:val="yTable"/>
              <w:tabs>
                <w:tab w:val="decimal" w:pos="425"/>
                <w:tab w:val="right" w:pos="1418"/>
              </w:tabs>
              <w:spacing w:before="0"/>
              <w:ind w:left="34" w:right="295"/>
              <w:jc w:val="right"/>
            </w:pPr>
            <w:r>
              <w:t>291.15</w:t>
            </w:r>
          </w:p>
        </w:tc>
      </w:tr>
      <w:tr>
        <w:tblPrEx>
          <w:tblCellMar>
            <w:left w:w="108" w:type="dxa"/>
            <w:right w:w="108" w:type="dxa"/>
          </w:tblCellMar>
        </w:tblPrEx>
        <w:tc>
          <w:tcPr>
            <w:tcW w:w="4820" w:type="dxa"/>
          </w:tcPr>
          <w:p>
            <w:pPr>
              <w:pStyle w:val="yTable"/>
              <w:tabs>
                <w:tab w:val="right" w:pos="1735"/>
              </w:tabs>
              <w:spacing w:before="0"/>
              <w:ind w:left="-11" w:firstLine="11"/>
            </w:pPr>
            <w:r>
              <w:t>56010</w:t>
            </w:r>
          </w:p>
        </w:tc>
        <w:tc>
          <w:tcPr>
            <w:tcW w:w="1276" w:type="dxa"/>
          </w:tcPr>
          <w:p>
            <w:pPr>
              <w:pStyle w:val="yTable"/>
              <w:tabs>
                <w:tab w:val="decimal" w:pos="425"/>
                <w:tab w:val="right" w:pos="1418"/>
              </w:tabs>
              <w:spacing w:before="0"/>
              <w:ind w:left="34" w:right="295"/>
              <w:jc w:val="right"/>
            </w:pPr>
            <w:r>
              <w:t>293.55</w:t>
            </w:r>
          </w:p>
        </w:tc>
      </w:tr>
      <w:tr>
        <w:tblPrEx>
          <w:tblCellMar>
            <w:left w:w="108" w:type="dxa"/>
            <w:right w:w="108" w:type="dxa"/>
          </w:tblCellMar>
        </w:tblPrEx>
        <w:tc>
          <w:tcPr>
            <w:tcW w:w="4820" w:type="dxa"/>
          </w:tcPr>
          <w:p>
            <w:pPr>
              <w:pStyle w:val="yTable"/>
              <w:tabs>
                <w:tab w:val="right" w:pos="1735"/>
              </w:tabs>
              <w:spacing w:before="0"/>
              <w:ind w:left="-11" w:firstLine="11"/>
            </w:pPr>
            <w:r>
              <w:t>56013</w:t>
            </w:r>
          </w:p>
        </w:tc>
        <w:tc>
          <w:tcPr>
            <w:tcW w:w="1276" w:type="dxa"/>
          </w:tcPr>
          <w:p>
            <w:pPr>
              <w:pStyle w:val="yTable"/>
              <w:tabs>
                <w:tab w:val="decimal" w:pos="425"/>
                <w:tab w:val="right" w:pos="1418"/>
              </w:tabs>
              <w:spacing w:before="0"/>
              <w:ind w:left="34" w:right="295"/>
              <w:jc w:val="right"/>
            </w:pPr>
            <w:r>
              <w:t>291.15</w:t>
            </w:r>
          </w:p>
        </w:tc>
      </w:tr>
      <w:tr>
        <w:tblPrEx>
          <w:tblCellMar>
            <w:left w:w="108" w:type="dxa"/>
            <w:right w:w="108" w:type="dxa"/>
          </w:tblCellMar>
        </w:tblPrEx>
        <w:tc>
          <w:tcPr>
            <w:tcW w:w="4820" w:type="dxa"/>
          </w:tcPr>
          <w:p>
            <w:pPr>
              <w:pStyle w:val="yTable"/>
              <w:tabs>
                <w:tab w:val="right" w:pos="1735"/>
              </w:tabs>
              <w:spacing w:before="0"/>
              <w:ind w:left="-11" w:firstLine="11"/>
            </w:pPr>
            <w:r>
              <w:t>56016</w:t>
            </w:r>
          </w:p>
        </w:tc>
        <w:tc>
          <w:tcPr>
            <w:tcW w:w="1276" w:type="dxa"/>
          </w:tcPr>
          <w:p>
            <w:pPr>
              <w:pStyle w:val="yTable"/>
              <w:tabs>
                <w:tab w:val="decimal" w:pos="425"/>
                <w:tab w:val="right" w:pos="1418"/>
              </w:tabs>
              <w:spacing w:before="0"/>
              <w:ind w:left="34" w:right="295"/>
              <w:jc w:val="right"/>
            </w:pPr>
            <w:r>
              <w:t>337.70</w:t>
            </w:r>
          </w:p>
        </w:tc>
      </w:tr>
      <w:tr>
        <w:tblPrEx>
          <w:tblCellMar>
            <w:left w:w="108" w:type="dxa"/>
            <w:right w:w="108" w:type="dxa"/>
          </w:tblCellMar>
        </w:tblPrEx>
        <w:tc>
          <w:tcPr>
            <w:tcW w:w="4820" w:type="dxa"/>
          </w:tcPr>
          <w:p>
            <w:pPr>
              <w:pStyle w:val="yTable"/>
              <w:tabs>
                <w:tab w:val="right" w:pos="1735"/>
              </w:tabs>
              <w:spacing w:before="0"/>
              <w:ind w:left="-11" w:firstLine="11"/>
            </w:pPr>
            <w:r>
              <w:t>56022</w:t>
            </w:r>
          </w:p>
        </w:tc>
        <w:tc>
          <w:tcPr>
            <w:tcW w:w="1276" w:type="dxa"/>
          </w:tcPr>
          <w:p>
            <w:pPr>
              <w:pStyle w:val="yTable"/>
              <w:tabs>
                <w:tab w:val="decimal" w:pos="425"/>
                <w:tab w:val="right" w:pos="1418"/>
              </w:tabs>
              <w:spacing w:before="0"/>
              <w:ind w:left="34" w:right="295"/>
              <w:jc w:val="right"/>
            </w:pPr>
            <w:r>
              <w:t>262.00</w:t>
            </w:r>
          </w:p>
        </w:tc>
      </w:tr>
      <w:tr>
        <w:tblPrEx>
          <w:tblCellMar>
            <w:left w:w="108" w:type="dxa"/>
            <w:right w:w="108" w:type="dxa"/>
          </w:tblCellMar>
        </w:tblPrEx>
        <w:tc>
          <w:tcPr>
            <w:tcW w:w="4820" w:type="dxa"/>
          </w:tcPr>
          <w:p>
            <w:pPr>
              <w:pStyle w:val="yTable"/>
              <w:tabs>
                <w:tab w:val="right" w:pos="1735"/>
              </w:tabs>
              <w:spacing w:before="0"/>
              <w:ind w:left="-11" w:firstLine="11"/>
            </w:pPr>
            <w:r>
              <w:t>56028</w:t>
            </w:r>
          </w:p>
        </w:tc>
        <w:tc>
          <w:tcPr>
            <w:tcW w:w="1276" w:type="dxa"/>
          </w:tcPr>
          <w:p>
            <w:pPr>
              <w:pStyle w:val="yTable"/>
              <w:tabs>
                <w:tab w:val="decimal" w:pos="425"/>
                <w:tab w:val="right" w:pos="1418"/>
              </w:tabs>
              <w:spacing w:before="0"/>
              <w:ind w:left="34" w:right="295"/>
              <w:jc w:val="right"/>
            </w:pPr>
            <w:r>
              <w:t>392.20</w:t>
            </w:r>
          </w:p>
        </w:tc>
      </w:tr>
      <w:tr>
        <w:tblPrEx>
          <w:tblCellMar>
            <w:left w:w="108" w:type="dxa"/>
            <w:right w:w="108" w:type="dxa"/>
          </w:tblCellMar>
        </w:tblPrEx>
        <w:tc>
          <w:tcPr>
            <w:tcW w:w="4820" w:type="dxa"/>
          </w:tcPr>
          <w:p>
            <w:pPr>
              <w:pStyle w:val="yTable"/>
              <w:tabs>
                <w:tab w:val="right" w:pos="1735"/>
              </w:tabs>
              <w:spacing w:before="0"/>
              <w:ind w:left="-11" w:firstLine="11"/>
            </w:pPr>
            <w:r>
              <w:t>56030</w:t>
            </w:r>
          </w:p>
        </w:tc>
        <w:tc>
          <w:tcPr>
            <w:tcW w:w="1276" w:type="dxa"/>
          </w:tcPr>
          <w:p>
            <w:pPr>
              <w:pStyle w:val="yTable"/>
              <w:tabs>
                <w:tab w:val="decimal" w:pos="425"/>
                <w:tab w:val="right" w:pos="1418"/>
              </w:tabs>
              <w:spacing w:before="0"/>
              <w:ind w:left="34" w:right="295"/>
              <w:jc w:val="right"/>
            </w:pPr>
            <w:r>
              <w:t>262.00</w:t>
            </w:r>
          </w:p>
        </w:tc>
      </w:tr>
      <w:tr>
        <w:tblPrEx>
          <w:tblCellMar>
            <w:left w:w="108" w:type="dxa"/>
            <w:right w:w="108" w:type="dxa"/>
          </w:tblCellMar>
        </w:tblPrEx>
        <w:tc>
          <w:tcPr>
            <w:tcW w:w="4820" w:type="dxa"/>
          </w:tcPr>
          <w:p>
            <w:pPr>
              <w:pStyle w:val="yTable"/>
              <w:tabs>
                <w:tab w:val="right" w:pos="1735"/>
              </w:tabs>
              <w:spacing w:before="0"/>
              <w:ind w:left="-11" w:firstLine="11"/>
            </w:pPr>
            <w:r>
              <w:t>56036</w:t>
            </w:r>
          </w:p>
        </w:tc>
        <w:tc>
          <w:tcPr>
            <w:tcW w:w="1276" w:type="dxa"/>
          </w:tcPr>
          <w:p>
            <w:pPr>
              <w:pStyle w:val="yTable"/>
              <w:tabs>
                <w:tab w:val="decimal" w:pos="425"/>
                <w:tab w:val="right" w:pos="1418"/>
              </w:tabs>
              <w:spacing w:before="0"/>
              <w:ind w:left="34" w:right="295"/>
              <w:jc w:val="right"/>
            </w:pPr>
            <w:r>
              <w:t>392.20</w:t>
            </w:r>
          </w:p>
        </w:tc>
      </w:tr>
      <w:tr>
        <w:tblPrEx>
          <w:tblCellMar>
            <w:left w:w="108" w:type="dxa"/>
            <w:right w:w="108" w:type="dxa"/>
          </w:tblCellMar>
        </w:tblPrEx>
        <w:tc>
          <w:tcPr>
            <w:tcW w:w="4820" w:type="dxa"/>
          </w:tcPr>
          <w:p>
            <w:pPr>
              <w:pStyle w:val="yTable"/>
              <w:tabs>
                <w:tab w:val="right" w:pos="1735"/>
              </w:tabs>
              <w:spacing w:before="0"/>
              <w:ind w:left="-11" w:firstLine="11"/>
            </w:pPr>
            <w:r>
              <w:t>56041</w:t>
            </w:r>
          </w:p>
        </w:tc>
        <w:tc>
          <w:tcPr>
            <w:tcW w:w="1276" w:type="dxa"/>
          </w:tcPr>
          <w:p>
            <w:pPr>
              <w:pStyle w:val="yTable"/>
              <w:tabs>
                <w:tab w:val="decimal" w:pos="425"/>
                <w:tab w:val="right" w:pos="1418"/>
              </w:tabs>
              <w:spacing w:before="0"/>
              <w:ind w:left="34" w:right="295"/>
              <w:jc w:val="right"/>
            </w:pPr>
            <w:r>
              <w:t>115.00</w:t>
            </w:r>
          </w:p>
        </w:tc>
      </w:tr>
      <w:tr>
        <w:tblPrEx>
          <w:tblCellMar>
            <w:left w:w="108" w:type="dxa"/>
            <w:right w:w="108" w:type="dxa"/>
          </w:tblCellMar>
        </w:tblPrEx>
        <w:tc>
          <w:tcPr>
            <w:tcW w:w="4820" w:type="dxa"/>
          </w:tcPr>
          <w:p>
            <w:pPr>
              <w:pStyle w:val="yTable"/>
              <w:tabs>
                <w:tab w:val="right" w:pos="1735"/>
              </w:tabs>
              <w:spacing w:before="0"/>
              <w:ind w:left="-11" w:firstLine="11"/>
            </w:pPr>
            <w:r>
              <w:t>56047</w:t>
            </w:r>
          </w:p>
        </w:tc>
        <w:tc>
          <w:tcPr>
            <w:tcW w:w="1276" w:type="dxa"/>
          </w:tcPr>
          <w:p>
            <w:pPr>
              <w:pStyle w:val="yTable"/>
              <w:tabs>
                <w:tab w:val="decimal" w:pos="425"/>
                <w:tab w:val="right" w:pos="1418"/>
              </w:tabs>
              <w:spacing w:before="0"/>
              <w:ind w:left="34" w:right="295"/>
              <w:jc w:val="right"/>
            </w:pPr>
            <w:r>
              <w:t>146.85</w:t>
            </w:r>
          </w:p>
        </w:tc>
      </w:tr>
      <w:tr>
        <w:tblPrEx>
          <w:tblCellMar>
            <w:left w:w="108" w:type="dxa"/>
            <w:right w:w="108" w:type="dxa"/>
          </w:tblCellMar>
        </w:tblPrEx>
        <w:tc>
          <w:tcPr>
            <w:tcW w:w="4820" w:type="dxa"/>
          </w:tcPr>
          <w:p>
            <w:pPr>
              <w:pStyle w:val="yTable"/>
              <w:tabs>
                <w:tab w:val="right" w:pos="1735"/>
              </w:tabs>
              <w:spacing w:before="0"/>
              <w:ind w:left="-11" w:firstLine="11"/>
            </w:pPr>
            <w:r>
              <w:t>56050</w:t>
            </w:r>
          </w:p>
        </w:tc>
        <w:tc>
          <w:tcPr>
            <w:tcW w:w="1276" w:type="dxa"/>
          </w:tcPr>
          <w:p>
            <w:pPr>
              <w:pStyle w:val="yTable"/>
              <w:tabs>
                <w:tab w:val="decimal" w:pos="425"/>
                <w:tab w:val="right" w:pos="1418"/>
              </w:tabs>
              <w:spacing w:before="0"/>
              <w:ind w:left="34" w:right="295"/>
              <w:jc w:val="right"/>
            </w:pPr>
            <w:r>
              <w:t>149.30</w:t>
            </w:r>
          </w:p>
        </w:tc>
      </w:tr>
      <w:tr>
        <w:tblPrEx>
          <w:tblCellMar>
            <w:left w:w="108" w:type="dxa"/>
            <w:right w:w="108" w:type="dxa"/>
          </w:tblCellMar>
        </w:tblPrEx>
        <w:tc>
          <w:tcPr>
            <w:tcW w:w="4820" w:type="dxa"/>
          </w:tcPr>
          <w:p>
            <w:pPr>
              <w:pStyle w:val="yTable"/>
              <w:tabs>
                <w:tab w:val="right" w:pos="1735"/>
              </w:tabs>
              <w:spacing w:before="0"/>
              <w:ind w:left="-11" w:firstLine="11"/>
            </w:pPr>
            <w:r>
              <w:t>56053</w:t>
            </w:r>
          </w:p>
        </w:tc>
        <w:tc>
          <w:tcPr>
            <w:tcW w:w="1276" w:type="dxa"/>
          </w:tcPr>
          <w:p>
            <w:pPr>
              <w:pStyle w:val="yTable"/>
              <w:tabs>
                <w:tab w:val="decimal" w:pos="425"/>
                <w:tab w:val="right" w:pos="1418"/>
              </w:tabs>
              <w:spacing w:before="0"/>
              <w:ind w:left="34" w:right="295"/>
              <w:jc w:val="right"/>
            </w:pPr>
            <w:r>
              <w:t>149.30</w:t>
            </w:r>
          </w:p>
        </w:tc>
      </w:tr>
      <w:tr>
        <w:tblPrEx>
          <w:tblCellMar>
            <w:left w:w="108" w:type="dxa"/>
            <w:right w:w="108" w:type="dxa"/>
          </w:tblCellMar>
        </w:tblPrEx>
        <w:tc>
          <w:tcPr>
            <w:tcW w:w="4820" w:type="dxa"/>
          </w:tcPr>
          <w:p>
            <w:pPr>
              <w:pStyle w:val="yTable"/>
              <w:tabs>
                <w:tab w:val="right" w:pos="1735"/>
              </w:tabs>
              <w:spacing w:before="0"/>
              <w:ind w:left="-11" w:firstLine="11"/>
            </w:pPr>
            <w:r>
              <w:t>56056</w:t>
            </w:r>
          </w:p>
        </w:tc>
        <w:tc>
          <w:tcPr>
            <w:tcW w:w="1276" w:type="dxa"/>
          </w:tcPr>
          <w:p>
            <w:pPr>
              <w:pStyle w:val="yTable"/>
              <w:tabs>
                <w:tab w:val="decimal" w:pos="425"/>
                <w:tab w:val="right" w:pos="1418"/>
              </w:tabs>
              <w:spacing w:before="0"/>
              <w:ind w:left="34" w:right="295"/>
              <w:jc w:val="right"/>
            </w:pPr>
            <w:r>
              <w:t>181.00</w:t>
            </w:r>
          </w:p>
        </w:tc>
      </w:tr>
      <w:tr>
        <w:tblPrEx>
          <w:tblCellMar>
            <w:left w:w="108" w:type="dxa"/>
            <w:right w:w="108" w:type="dxa"/>
          </w:tblCellMar>
        </w:tblPrEx>
        <w:tc>
          <w:tcPr>
            <w:tcW w:w="4820" w:type="dxa"/>
          </w:tcPr>
          <w:p>
            <w:pPr>
              <w:pStyle w:val="yTable"/>
              <w:tabs>
                <w:tab w:val="right" w:pos="1735"/>
              </w:tabs>
              <w:spacing w:before="0"/>
              <w:ind w:left="-11" w:firstLine="11"/>
            </w:pPr>
            <w:r>
              <w:t>56062</w:t>
            </w:r>
          </w:p>
        </w:tc>
        <w:tc>
          <w:tcPr>
            <w:tcW w:w="1276" w:type="dxa"/>
          </w:tcPr>
          <w:p>
            <w:pPr>
              <w:pStyle w:val="yTable"/>
              <w:tabs>
                <w:tab w:val="decimal" w:pos="425"/>
                <w:tab w:val="right" w:pos="1418"/>
              </w:tabs>
              <w:spacing w:before="0"/>
              <w:ind w:left="34" w:right="295"/>
              <w:jc w:val="right"/>
            </w:pPr>
            <w:r>
              <w:t>131.75</w:t>
            </w:r>
          </w:p>
        </w:tc>
      </w:tr>
      <w:tr>
        <w:tblPrEx>
          <w:tblCellMar>
            <w:left w:w="108" w:type="dxa"/>
            <w:right w:w="108" w:type="dxa"/>
          </w:tblCellMar>
        </w:tblPrEx>
        <w:tc>
          <w:tcPr>
            <w:tcW w:w="4820" w:type="dxa"/>
          </w:tcPr>
          <w:p>
            <w:pPr>
              <w:pStyle w:val="yTable"/>
              <w:tabs>
                <w:tab w:val="right" w:pos="1735"/>
              </w:tabs>
              <w:spacing w:before="0"/>
              <w:ind w:left="-11" w:firstLine="11"/>
            </w:pPr>
            <w:r>
              <w:t>56068</w:t>
            </w:r>
          </w:p>
        </w:tc>
        <w:tc>
          <w:tcPr>
            <w:tcW w:w="1276" w:type="dxa"/>
          </w:tcPr>
          <w:p>
            <w:pPr>
              <w:pStyle w:val="yTable"/>
              <w:tabs>
                <w:tab w:val="decimal" w:pos="425"/>
                <w:tab w:val="right" w:pos="1418"/>
              </w:tabs>
              <w:spacing w:before="0"/>
              <w:ind w:left="34" w:right="295"/>
              <w:jc w:val="right"/>
            </w:pPr>
            <w:r>
              <w:t>196.10</w:t>
            </w:r>
          </w:p>
        </w:tc>
      </w:tr>
      <w:tr>
        <w:tblPrEx>
          <w:tblCellMar>
            <w:left w:w="108" w:type="dxa"/>
            <w:right w:w="108" w:type="dxa"/>
          </w:tblCellMar>
        </w:tblPrEx>
        <w:tc>
          <w:tcPr>
            <w:tcW w:w="4820" w:type="dxa"/>
          </w:tcPr>
          <w:p>
            <w:pPr>
              <w:pStyle w:val="yTable"/>
              <w:tabs>
                <w:tab w:val="right" w:pos="1735"/>
              </w:tabs>
              <w:spacing w:before="0"/>
              <w:ind w:left="-11" w:firstLine="11"/>
            </w:pPr>
            <w:r>
              <w:t>56070</w:t>
            </w:r>
          </w:p>
        </w:tc>
        <w:tc>
          <w:tcPr>
            <w:tcW w:w="1276" w:type="dxa"/>
          </w:tcPr>
          <w:p>
            <w:pPr>
              <w:pStyle w:val="yTable"/>
              <w:tabs>
                <w:tab w:val="decimal" w:pos="425"/>
                <w:tab w:val="right" w:pos="1418"/>
              </w:tabs>
              <w:spacing w:before="0"/>
              <w:ind w:left="34" w:right="295"/>
              <w:jc w:val="right"/>
            </w:pPr>
            <w:r>
              <w:t>131.75</w:t>
            </w:r>
          </w:p>
        </w:tc>
      </w:tr>
      <w:tr>
        <w:tblPrEx>
          <w:tblCellMar>
            <w:left w:w="108" w:type="dxa"/>
            <w:right w:w="108" w:type="dxa"/>
          </w:tblCellMar>
        </w:tblPrEx>
        <w:tc>
          <w:tcPr>
            <w:tcW w:w="4820" w:type="dxa"/>
          </w:tcPr>
          <w:p>
            <w:pPr>
              <w:pStyle w:val="yTable"/>
              <w:tabs>
                <w:tab w:val="right" w:pos="1735"/>
              </w:tabs>
              <w:spacing w:before="0"/>
              <w:ind w:left="-11" w:firstLine="11"/>
            </w:pPr>
            <w:r>
              <w:t>56076</w:t>
            </w:r>
          </w:p>
        </w:tc>
        <w:tc>
          <w:tcPr>
            <w:tcW w:w="1276" w:type="dxa"/>
          </w:tcPr>
          <w:p>
            <w:pPr>
              <w:pStyle w:val="yTable"/>
              <w:tabs>
                <w:tab w:val="decimal" w:pos="425"/>
                <w:tab w:val="right" w:pos="1418"/>
              </w:tabs>
              <w:spacing w:before="0"/>
              <w:ind w:left="34" w:right="295"/>
              <w:jc w:val="right"/>
            </w:pPr>
            <w:r>
              <w:t>196.10</w:t>
            </w:r>
          </w:p>
        </w:tc>
      </w:tr>
      <w:tr>
        <w:tblPrEx>
          <w:tblCellMar>
            <w:left w:w="108" w:type="dxa"/>
            <w:right w:w="108" w:type="dxa"/>
          </w:tblCellMar>
        </w:tblPrEx>
        <w:tc>
          <w:tcPr>
            <w:tcW w:w="4820" w:type="dxa"/>
          </w:tcPr>
          <w:p>
            <w:pPr>
              <w:pStyle w:val="yTable"/>
              <w:tabs>
                <w:tab w:val="right" w:pos="1735"/>
              </w:tabs>
              <w:spacing w:before="0"/>
              <w:ind w:left="-11" w:firstLine="11"/>
            </w:pPr>
            <w:r>
              <w:t>56101</w:t>
            </w:r>
          </w:p>
        </w:tc>
        <w:tc>
          <w:tcPr>
            <w:tcW w:w="1276" w:type="dxa"/>
          </w:tcPr>
          <w:p>
            <w:pPr>
              <w:pStyle w:val="yTable"/>
              <w:tabs>
                <w:tab w:val="decimal" w:pos="425"/>
                <w:tab w:val="right" w:pos="1418"/>
              </w:tabs>
              <w:spacing w:before="0"/>
              <w:ind w:left="34" w:right="295"/>
              <w:jc w:val="right"/>
            </w:pPr>
            <w:r>
              <w:t>267.85</w:t>
            </w:r>
          </w:p>
        </w:tc>
      </w:tr>
      <w:tr>
        <w:tblPrEx>
          <w:tblCellMar>
            <w:left w:w="108" w:type="dxa"/>
            <w:right w:w="108" w:type="dxa"/>
          </w:tblCellMar>
        </w:tblPrEx>
        <w:tc>
          <w:tcPr>
            <w:tcW w:w="4820" w:type="dxa"/>
          </w:tcPr>
          <w:p>
            <w:pPr>
              <w:pStyle w:val="yTable"/>
              <w:tabs>
                <w:tab w:val="right" w:pos="1735"/>
              </w:tabs>
              <w:spacing w:before="0"/>
              <w:ind w:left="-11" w:firstLine="11"/>
            </w:pPr>
            <w:r>
              <w:t>56107</w:t>
            </w:r>
          </w:p>
        </w:tc>
        <w:tc>
          <w:tcPr>
            <w:tcW w:w="1276" w:type="dxa"/>
          </w:tcPr>
          <w:p>
            <w:pPr>
              <w:pStyle w:val="yTable"/>
              <w:tabs>
                <w:tab w:val="decimal" w:pos="425"/>
                <w:tab w:val="right" w:pos="1418"/>
              </w:tabs>
              <w:spacing w:before="0"/>
              <w:ind w:left="34" w:right="295"/>
              <w:jc w:val="right"/>
            </w:pPr>
            <w:r>
              <w:t>395.95</w:t>
            </w:r>
          </w:p>
        </w:tc>
      </w:tr>
      <w:tr>
        <w:tblPrEx>
          <w:tblCellMar>
            <w:left w:w="108" w:type="dxa"/>
            <w:right w:w="108" w:type="dxa"/>
          </w:tblCellMar>
        </w:tblPrEx>
        <w:tc>
          <w:tcPr>
            <w:tcW w:w="4820" w:type="dxa"/>
          </w:tcPr>
          <w:p>
            <w:pPr>
              <w:pStyle w:val="yTable"/>
              <w:tabs>
                <w:tab w:val="right" w:pos="1735"/>
              </w:tabs>
              <w:spacing w:before="0"/>
              <w:ind w:left="-11" w:firstLine="11"/>
            </w:pPr>
            <w:r>
              <w:t>56141</w:t>
            </w:r>
          </w:p>
        </w:tc>
        <w:tc>
          <w:tcPr>
            <w:tcW w:w="1276" w:type="dxa"/>
          </w:tcPr>
          <w:p>
            <w:pPr>
              <w:pStyle w:val="yTable"/>
              <w:tabs>
                <w:tab w:val="decimal" w:pos="425"/>
                <w:tab w:val="right" w:pos="1418"/>
              </w:tabs>
              <w:spacing w:before="0"/>
              <w:ind w:left="34" w:right="295"/>
              <w:jc w:val="right"/>
            </w:pPr>
            <w:r>
              <w:t>135.60</w:t>
            </w:r>
          </w:p>
        </w:tc>
      </w:tr>
      <w:tr>
        <w:tblPrEx>
          <w:tblCellMar>
            <w:left w:w="108" w:type="dxa"/>
            <w:right w:w="108" w:type="dxa"/>
          </w:tblCellMar>
        </w:tblPrEx>
        <w:tc>
          <w:tcPr>
            <w:tcW w:w="4820" w:type="dxa"/>
          </w:tcPr>
          <w:p>
            <w:pPr>
              <w:pStyle w:val="yTable"/>
              <w:tabs>
                <w:tab w:val="right" w:pos="1735"/>
              </w:tabs>
              <w:spacing w:before="0"/>
              <w:ind w:left="-11" w:firstLine="11"/>
            </w:pPr>
            <w:r>
              <w:t>56147</w:t>
            </w:r>
          </w:p>
        </w:tc>
        <w:tc>
          <w:tcPr>
            <w:tcW w:w="1276" w:type="dxa"/>
          </w:tcPr>
          <w:p>
            <w:pPr>
              <w:pStyle w:val="yTable"/>
              <w:tabs>
                <w:tab w:val="decimal" w:pos="425"/>
                <w:tab w:val="right" w:pos="1418"/>
              </w:tabs>
              <w:spacing w:before="0"/>
              <w:ind w:left="34" w:right="295"/>
              <w:jc w:val="right"/>
            </w:pPr>
            <w:r>
              <w:t>199.85</w:t>
            </w:r>
          </w:p>
        </w:tc>
      </w:tr>
      <w:tr>
        <w:tblPrEx>
          <w:tblCellMar>
            <w:left w:w="108" w:type="dxa"/>
            <w:right w:w="108" w:type="dxa"/>
          </w:tblCellMar>
        </w:tblPrEx>
        <w:tc>
          <w:tcPr>
            <w:tcW w:w="4820" w:type="dxa"/>
          </w:tcPr>
          <w:p>
            <w:pPr>
              <w:pStyle w:val="yTable"/>
              <w:tabs>
                <w:tab w:val="right" w:pos="1735"/>
              </w:tabs>
              <w:spacing w:before="0"/>
              <w:ind w:left="-11" w:firstLine="11"/>
            </w:pPr>
            <w:r>
              <w:t>56219</w:t>
            </w:r>
          </w:p>
        </w:tc>
        <w:tc>
          <w:tcPr>
            <w:tcW w:w="1276" w:type="dxa"/>
          </w:tcPr>
          <w:p>
            <w:pPr>
              <w:pStyle w:val="yTable"/>
              <w:tabs>
                <w:tab w:val="decimal" w:pos="425"/>
                <w:tab w:val="right" w:pos="1418"/>
              </w:tabs>
              <w:spacing w:before="0"/>
              <w:ind w:left="34" w:right="295"/>
              <w:jc w:val="right"/>
            </w:pPr>
            <w:r>
              <w:t>379.85</w:t>
            </w:r>
          </w:p>
        </w:tc>
      </w:tr>
      <w:tr>
        <w:tblPrEx>
          <w:tblCellMar>
            <w:left w:w="108" w:type="dxa"/>
            <w:right w:w="108" w:type="dxa"/>
          </w:tblCellMar>
        </w:tblPrEx>
        <w:tc>
          <w:tcPr>
            <w:tcW w:w="4820" w:type="dxa"/>
          </w:tcPr>
          <w:p>
            <w:pPr>
              <w:pStyle w:val="yTable"/>
              <w:tabs>
                <w:tab w:val="right" w:pos="1735"/>
              </w:tabs>
              <w:spacing w:before="0"/>
              <w:ind w:left="-11" w:firstLine="11"/>
            </w:pPr>
            <w:r>
              <w:t>56220</w:t>
            </w:r>
          </w:p>
        </w:tc>
        <w:tc>
          <w:tcPr>
            <w:tcW w:w="1276" w:type="dxa"/>
          </w:tcPr>
          <w:p>
            <w:pPr>
              <w:pStyle w:val="yTable"/>
              <w:tabs>
                <w:tab w:val="decimal" w:pos="425"/>
                <w:tab w:val="right" w:pos="1418"/>
              </w:tabs>
              <w:spacing w:before="0"/>
              <w:ind w:left="34" w:right="295"/>
              <w:jc w:val="right"/>
            </w:pPr>
            <w:r>
              <w:t>279.50</w:t>
            </w:r>
          </w:p>
        </w:tc>
      </w:tr>
      <w:tr>
        <w:tblPrEx>
          <w:tblCellMar>
            <w:left w:w="108" w:type="dxa"/>
            <w:right w:w="108" w:type="dxa"/>
          </w:tblCellMar>
        </w:tblPrEx>
        <w:tc>
          <w:tcPr>
            <w:tcW w:w="4820" w:type="dxa"/>
          </w:tcPr>
          <w:p>
            <w:pPr>
              <w:pStyle w:val="yTable"/>
              <w:tabs>
                <w:tab w:val="right" w:pos="1735"/>
              </w:tabs>
              <w:spacing w:before="0"/>
              <w:ind w:left="-11" w:firstLine="11"/>
            </w:pPr>
            <w:r>
              <w:t>56221</w:t>
            </w:r>
          </w:p>
        </w:tc>
        <w:tc>
          <w:tcPr>
            <w:tcW w:w="1276" w:type="dxa"/>
          </w:tcPr>
          <w:p>
            <w:pPr>
              <w:pStyle w:val="yTable"/>
              <w:tabs>
                <w:tab w:val="decimal" w:pos="425"/>
                <w:tab w:val="right" w:pos="1418"/>
              </w:tabs>
              <w:spacing w:before="0"/>
              <w:ind w:left="34" w:right="295"/>
              <w:jc w:val="right"/>
            </w:pPr>
            <w:r>
              <w:t>279.50</w:t>
            </w:r>
          </w:p>
        </w:tc>
      </w:tr>
      <w:tr>
        <w:tblPrEx>
          <w:tblCellMar>
            <w:left w:w="108" w:type="dxa"/>
            <w:right w:w="108" w:type="dxa"/>
          </w:tblCellMar>
        </w:tblPrEx>
        <w:tc>
          <w:tcPr>
            <w:tcW w:w="4820" w:type="dxa"/>
          </w:tcPr>
          <w:p>
            <w:pPr>
              <w:pStyle w:val="yTable"/>
              <w:tabs>
                <w:tab w:val="right" w:pos="1735"/>
              </w:tabs>
              <w:spacing w:before="0"/>
              <w:ind w:left="-11" w:firstLine="11"/>
            </w:pPr>
            <w:r>
              <w:t>56223</w:t>
            </w:r>
          </w:p>
        </w:tc>
        <w:tc>
          <w:tcPr>
            <w:tcW w:w="1276" w:type="dxa"/>
          </w:tcPr>
          <w:p>
            <w:pPr>
              <w:pStyle w:val="yTable"/>
              <w:tabs>
                <w:tab w:val="decimal" w:pos="425"/>
                <w:tab w:val="right" w:pos="1418"/>
              </w:tabs>
              <w:spacing w:before="0"/>
              <w:ind w:left="34" w:right="295"/>
              <w:jc w:val="right"/>
            </w:pPr>
            <w:r>
              <w:t>279.50</w:t>
            </w:r>
          </w:p>
        </w:tc>
      </w:tr>
      <w:tr>
        <w:tblPrEx>
          <w:tblCellMar>
            <w:left w:w="108" w:type="dxa"/>
            <w:right w:w="108" w:type="dxa"/>
          </w:tblCellMar>
        </w:tblPrEx>
        <w:tc>
          <w:tcPr>
            <w:tcW w:w="4820" w:type="dxa"/>
          </w:tcPr>
          <w:p>
            <w:pPr>
              <w:pStyle w:val="yTable"/>
              <w:tabs>
                <w:tab w:val="right" w:pos="1735"/>
              </w:tabs>
              <w:spacing w:before="0"/>
              <w:ind w:left="-11" w:firstLine="11"/>
            </w:pPr>
            <w:r>
              <w:t>56224</w:t>
            </w:r>
          </w:p>
        </w:tc>
        <w:tc>
          <w:tcPr>
            <w:tcW w:w="1276" w:type="dxa"/>
          </w:tcPr>
          <w:p>
            <w:pPr>
              <w:pStyle w:val="yTable"/>
              <w:tabs>
                <w:tab w:val="decimal" w:pos="425"/>
                <w:tab w:val="right" w:pos="1418"/>
              </w:tabs>
              <w:spacing w:before="0"/>
              <w:ind w:left="34" w:right="295"/>
              <w:jc w:val="right"/>
            </w:pPr>
            <w:r>
              <w:t>409.20</w:t>
            </w:r>
          </w:p>
        </w:tc>
      </w:tr>
      <w:tr>
        <w:tblPrEx>
          <w:tblCellMar>
            <w:left w:w="108" w:type="dxa"/>
            <w:right w:w="108" w:type="dxa"/>
          </w:tblCellMar>
        </w:tblPrEx>
        <w:tc>
          <w:tcPr>
            <w:tcW w:w="4820" w:type="dxa"/>
          </w:tcPr>
          <w:p>
            <w:pPr>
              <w:pStyle w:val="yTable"/>
              <w:tabs>
                <w:tab w:val="right" w:pos="1735"/>
              </w:tabs>
              <w:spacing w:before="0"/>
              <w:ind w:left="-11" w:firstLine="11"/>
            </w:pPr>
            <w:r>
              <w:t>56225</w:t>
            </w:r>
          </w:p>
        </w:tc>
        <w:tc>
          <w:tcPr>
            <w:tcW w:w="1276" w:type="dxa"/>
          </w:tcPr>
          <w:p>
            <w:pPr>
              <w:pStyle w:val="yTable"/>
              <w:tabs>
                <w:tab w:val="decimal" w:pos="425"/>
                <w:tab w:val="right" w:pos="1418"/>
              </w:tabs>
              <w:spacing w:before="0"/>
              <w:ind w:left="34" w:right="295"/>
              <w:jc w:val="right"/>
            </w:pPr>
            <w:r>
              <w:t>409.20</w:t>
            </w:r>
          </w:p>
        </w:tc>
      </w:tr>
      <w:tr>
        <w:tblPrEx>
          <w:tblCellMar>
            <w:left w:w="108" w:type="dxa"/>
            <w:right w:w="108" w:type="dxa"/>
          </w:tblCellMar>
        </w:tblPrEx>
        <w:tc>
          <w:tcPr>
            <w:tcW w:w="4820" w:type="dxa"/>
          </w:tcPr>
          <w:p>
            <w:pPr>
              <w:pStyle w:val="yTable"/>
              <w:tabs>
                <w:tab w:val="right" w:pos="1735"/>
              </w:tabs>
              <w:spacing w:before="0"/>
              <w:ind w:left="-11" w:firstLine="11"/>
            </w:pPr>
            <w:r>
              <w:t>56226</w:t>
            </w:r>
          </w:p>
        </w:tc>
        <w:tc>
          <w:tcPr>
            <w:tcW w:w="1276" w:type="dxa"/>
          </w:tcPr>
          <w:p>
            <w:pPr>
              <w:pStyle w:val="yTable"/>
              <w:tabs>
                <w:tab w:val="decimal" w:pos="425"/>
                <w:tab w:val="right" w:pos="1418"/>
              </w:tabs>
              <w:spacing w:before="0"/>
              <w:ind w:left="34" w:right="295"/>
              <w:jc w:val="right"/>
            </w:pPr>
            <w:r>
              <w:t>409.20</w:t>
            </w:r>
          </w:p>
        </w:tc>
      </w:tr>
      <w:tr>
        <w:tblPrEx>
          <w:tblCellMar>
            <w:left w:w="108" w:type="dxa"/>
            <w:right w:w="108" w:type="dxa"/>
          </w:tblCellMar>
        </w:tblPrEx>
        <w:tc>
          <w:tcPr>
            <w:tcW w:w="4820" w:type="dxa"/>
          </w:tcPr>
          <w:p>
            <w:pPr>
              <w:pStyle w:val="yTable"/>
              <w:tabs>
                <w:tab w:val="right" w:pos="1735"/>
              </w:tabs>
              <w:spacing w:before="0"/>
              <w:ind w:left="-11" w:firstLine="11"/>
            </w:pPr>
            <w:r>
              <w:t>56227</w:t>
            </w:r>
          </w:p>
        </w:tc>
        <w:tc>
          <w:tcPr>
            <w:tcW w:w="1276" w:type="dxa"/>
          </w:tcPr>
          <w:p>
            <w:pPr>
              <w:pStyle w:val="yTable"/>
              <w:tabs>
                <w:tab w:val="decimal" w:pos="425"/>
                <w:tab w:val="right" w:pos="1418"/>
              </w:tabs>
              <w:spacing w:before="0"/>
              <w:ind w:left="34" w:right="295"/>
              <w:jc w:val="right"/>
            </w:pPr>
            <w:r>
              <w:t>142.65</w:t>
            </w:r>
          </w:p>
        </w:tc>
      </w:tr>
      <w:tr>
        <w:tblPrEx>
          <w:tblCellMar>
            <w:left w:w="108" w:type="dxa"/>
            <w:right w:w="108" w:type="dxa"/>
          </w:tblCellMar>
        </w:tblPrEx>
        <w:tc>
          <w:tcPr>
            <w:tcW w:w="4820" w:type="dxa"/>
          </w:tcPr>
          <w:p>
            <w:pPr>
              <w:pStyle w:val="yTable"/>
              <w:tabs>
                <w:tab w:val="right" w:pos="1735"/>
              </w:tabs>
              <w:spacing w:before="0"/>
              <w:ind w:left="-11" w:firstLine="11"/>
            </w:pPr>
            <w:r>
              <w:t>56228</w:t>
            </w:r>
          </w:p>
        </w:tc>
        <w:tc>
          <w:tcPr>
            <w:tcW w:w="1276" w:type="dxa"/>
          </w:tcPr>
          <w:p>
            <w:pPr>
              <w:pStyle w:val="yTable"/>
              <w:tabs>
                <w:tab w:val="decimal" w:pos="425"/>
                <w:tab w:val="right" w:pos="1418"/>
              </w:tabs>
              <w:spacing w:before="0"/>
              <w:ind w:left="34" w:right="295"/>
              <w:jc w:val="right"/>
            </w:pPr>
            <w:r>
              <w:t>142.65</w:t>
            </w:r>
          </w:p>
        </w:tc>
      </w:tr>
      <w:tr>
        <w:tblPrEx>
          <w:tblCellMar>
            <w:left w:w="108" w:type="dxa"/>
            <w:right w:w="108" w:type="dxa"/>
          </w:tblCellMar>
        </w:tblPrEx>
        <w:tc>
          <w:tcPr>
            <w:tcW w:w="4820" w:type="dxa"/>
          </w:tcPr>
          <w:p>
            <w:pPr>
              <w:pStyle w:val="yTable"/>
              <w:tabs>
                <w:tab w:val="right" w:pos="1735"/>
              </w:tabs>
              <w:spacing w:before="0"/>
              <w:ind w:left="-11" w:firstLine="11"/>
            </w:pPr>
            <w:r>
              <w:t>56229</w:t>
            </w:r>
          </w:p>
        </w:tc>
        <w:tc>
          <w:tcPr>
            <w:tcW w:w="1276" w:type="dxa"/>
          </w:tcPr>
          <w:p>
            <w:pPr>
              <w:pStyle w:val="yTable"/>
              <w:tabs>
                <w:tab w:val="decimal" w:pos="425"/>
                <w:tab w:val="right" w:pos="1418"/>
              </w:tabs>
              <w:spacing w:before="0"/>
              <w:ind w:left="34" w:right="295"/>
              <w:jc w:val="right"/>
            </w:pPr>
            <w:r>
              <w:t>142.65</w:t>
            </w:r>
          </w:p>
        </w:tc>
      </w:tr>
      <w:tr>
        <w:tblPrEx>
          <w:tblCellMar>
            <w:left w:w="108" w:type="dxa"/>
            <w:right w:w="108" w:type="dxa"/>
          </w:tblCellMar>
        </w:tblPrEx>
        <w:tc>
          <w:tcPr>
            <w:tcW w:w="4820" w:type="dxa"/>
          </w:tcPr>
          <w:p>
            <w:pPr>
              <w:pStyle w:val="yTable"/>
              <w:tabs>
                <w:tab w:val="right" w:pos="1735"/>
              </w:tabs>
              <w:spacing w:before="0"/>
              <w:ind w:left="-11" w:firstLine="11"/>
            </w:pPr>
            <w:r>
              <w:t>56230</w:t>
            </w:r>
          </w:p>
        </w:tc>
        <w:tc>
          <w:tcPr>
            <w:tcW w:w="1276" w:type="dxa"/>
          </w:tcPr>
          <w:p>
            <w:pPr>
              <w:pStyle w:val="yTable"/>
              <w:tabs>
                <w:tab w:val="decimal" w:pos="425"/>
                <w:tab w:val="right" w:pos="1418"/>
              </w:tabs>
              <w:spacing w:before="0"/>
              <w:ind w:left="34" w:right="295"/>
              <w:jc w:val="right"/>
            </w:pPr>
            <w:r>
              <w:t>206.65</w:t>
            </w:r>
          </w:p>
        </w:tc>
      </w:tr>
      <w:tr>
        <w:tblPrEx>
          <w:tblCellMar>
            <w:left w:w="108" w:type="dxa"/>
            <w:right w:w="108" w:type="dxa"/>
          </w:tblCellMar>
        </w:tblPrEx>
        <w:tc>
          <w:tcPr>
            <w:tcW w:w="4820" w:type="dxa"/>
          </w:tcPr>
          <w:p>
            <w:pPr>
              <w:pStyle w:val="yTable"/>
              <w:tabs>
                <w:tab w:val="right" w:pos="1735"/>
              </w:tabs>
              <w:spacing w:before="0"/>
              <w:ind w:left="-11" w:firstLine="11"/>
            </w:pPr>
            <w:r>
              <w:t>56231</w:t>
            </w:r>
          </w:p>
        </w:tc>
        <w:tc>
          <w:tcPr>
            <w:tcW w:w="1276" w:type="dxa"/>
          </w:tcPr>
          <w:p>
            <w:pPr>
              <w:pStyle w:val="yTable"/>
              <w:tabs>
                <w:tab w:val="decimal" w:pos="425"/>
                <w:tab w:val="right" w:pos="1418"/>
              </w:tabs>
              <w:spacing w:before="0"/>
              <w:ind w:left="34" w:right="295"/>
              <w:jc w:val="right"/>
            </w:pPr>
            <w:r>
              <w:t>206.65</w:t>
            </w:r>
          </w:p>
        </w:tc>
      </w:tr>
      <w:tr>
        <w:tblPrEx>
          <w:tblCellMar>
            <w:left w:w="108" w:type="dxa"/>
            <w:right w:w="108" w:type="dxa"/>
          </w:tblCellMar>
        </w:tblPrEx>
        <w:tc>
          <w:tcPr>
            <w:tcW w:w="4820" w:type="dxa"/>
          </w:tcPr>
          <w:p>
            <w:pPr>
              <w:pStyle w:val="yTable"/>
              <w:tabs>
                <w:tab w:val="right" w:pos="1735"/>
              </w:tabs>
              <w:spacing w:before="0"/>
              <w:ind w:left="-11" w:firstLine="11"/>
            </w:pPr>
            <w:r>
              <w:t>56232</w:t>
            </w:r>
          </w:p>
        </w:tc>
        <w:tc>
          <w:tcPr>
            <w:tcW w:w="1276" w:type="dxa"/>
          </w:tcPr>
          <w:p>
            <w:pPr>
              <w:pStyle w:val="yTable"/>
              <w:tabs>
                <w:tab w:val="decimal" w:pos="425"/>
                <w:tab w:val="right" w:pos="1418"/>
              </w:tabs>
              <w:spacing w:before="0"/>
              <w:ind w:left="34" w:right="295"/>
              <w:jc w:val="right"/>
            </w:pPr>
            <w:r>
              <w:t>206.65</w:t>
            </w:r>
          </w:p>
        </w:tc>
      </w:tr>
      <w:tr>
        <w:tblPrEx>
          <w:tblCellMar>
            <w:left w:w="108" w:type="dxa"/>
            <w:right w:w="108" w:type="dxa"/>
          </w:tblCellMar>
        </w:tblPrEx>
        <w:tc>
          <w:tcPr>
            <w:tcW w:w="4820" w:type="dxa"/>
          </w:tcPr>
          <w:p>
            <w:pPr>
              <w:pStyle w:val="yTable"/>
              <w:tabs>
                <w:tab w:val="right" w:pos="1735"/>
              </w:tabs>
              <w:spacing w:before="0"/>
              <w:ind w:left="-11" w:firstLine="11"/>
            </w:pPr>
            <w:r>
              <w:t>56233</w:t>
            </w:r>
          </w:p>
        </w:tc>
        <w:tc>
          <w:tcPr>
            <w:tcW w:w="1276" w:type="dxa"/>
          </w:tcPr>
          <w:p>
            <w:pPr>
              <w:pStyle w:val="yTable"/>
              <w:tabs>
                <w:tab w:val="decimal" w:pos="425"/>
                <w:tab w:val="right" w:pos="1418"/>
              </w:tabs>
              <w:spacing w:before="0"/>
              <w:ind w:left="34" w:right="295"/>
              <w:jc w:val="right"/>
            </w:pPr>
            <w:r>
              <w:t>279.50</w:t>
            </w:r>
          </w:p>
        </w:tc>
      </w:tr>
      <w:tr>
        <w:tblPrEx>
          <w:tblCellMar>
            <w:left w:w="108" w:type="dxa"/>
            <w:right w:w="108" w:type="dxa"/>
          </w:tblCellMar>
        </w:tblPrEx>
        <w:tc>
          <w:tcPr>
            <w:tcW w:w="4820" w:type="dxa"/>
          </w:tcPr>
          <w:p>
            <w:pPr>
              <w:pStyle w:val="yTable"/>
              <w:tabs>
                <w:tab w:val="right" w:pos="1735"/>
              </w:tabs>
              <w:spacing w:before="0"/>
              <w:ind w:left="-11" w:firstLine="11"/>
            </w:pPr>
            <w:r>
              <w:t>56234</w:t>
            </w:r>
          </w:p>
        </w:tc>
        <w:tc>
          <w:tcPr>
            <w:tcW w:w="1276" w:type="dxa"/>
          </w:tcPr>
          <w:p>
            <w:pPr>
              <w:pStyle w:val="yTable"/>
              <w:tabs>
                <w:tab w:val="decimal" w:pos="425"/>
                <w:tab w:val="right" w:pos="1418"/>
              </w:tabs>
              <w:spacing w:before="0"/>
              <w:ind w:left="34" w:right="295"/>
              <w:jc w:val="right"/>
            </w:pPr>
            <w:r>
              <w:t>409.20</w:t>
            </w:r>
          </w:p>
        </w:tc>
      </w:tr>
      <w:tr>
        <w:tblPrEx>
          <w:tblCellMar>
            <w:left w:w="108" w:type="dxa"/>
            <w:right w:w="108" w:type="dxa"/>
          </w:tblCellMar>
        </w:tblPrEx>
        <w:tc>
          <w:tcPr>
            <w:tcW w:w="4820" w:type="dxa"/>
          </w:tcPr>
          <w:p>
            <w:pPr>
              <w:pStyle w:val="yTable"/>
              <w:tabs>
                <w:tab w:val="right" w:pos="1735"/>
              </w:tabs>
              <w:spacing w:before="0"/>
              <w:ind w:left="-11" w:firstLine="11"/>
            </w:pPr>
            <w:r>
              <w:t>56235</w:t>
            </w:r>
          </w:p>
        </w:tc>
        <w:tc>
          <w:tcPr>
            <w:tcW w:w="1276" w:type="dxa"/>
          </w:tcPr>
          <w:p>
            <w:pPr>
              <w:pStyle w:val="yTable"/>
              <w:tabs>
                <w:tab w:val="decimal" w:pos="425"/>
                <w:tab w:val="right" w:pos="1418"/>
              </w:tabs>
              <w:spacing w:before="0"/>
              <w:ind w:left="34" w:right="295"/>
              <w:jc w:val="right"/>
            </w:pPr>
            <w:r>
              <w:t>142.60</w:t>
            </w:r>
          </w:p>
        </w:tc>
      </w:tr>
      <w:tr>
        <w:tblPrEx>
          <w:tblCellMar>
            <w:left w:w="108" w:type="dxa"/>
            <w:right w:w="108" w:type="dxa"/>
          </w:tblCellMar>
        </w:tblPrEx>
        <w:tc>
          <w:tcPr>
            <w:tcW w:w="4820" w:type="dxa"/>
          </w:tcPr>
          <w:p>
            <w:pPr>
              <w:pStyle w:val="yTable"/>
              <w:tabs>
                <w:tab w:val="right" w:pos="1735"/>
              </w:tabs>
              <w:spacing w:before="0"/>
              <w:ind w:left="-11" w:firstLine="11"/>
            </w:pPr>
            <w:r>
              <w:t>56236</w:t>
            </w:r>
          </w:p>
        </w:tc>
        <w:tc>
          <w:tcPr>
            <w:tcW w:w="1276" w:type="dxa"/>
          </w:tcPr>
          <w:p>
            <w:pPr>
              <w:pStyle w:val="yTable"/>
              <w:tabs>
                <w:tab w:val="decimal" w:pos="425"/>
                <w:tab w:val="right" w:pos="1418"/>
              </w:tabs>
              <w:spacing w:before="0"/>
              <w:ind w:left="34" w:right="295"/>
              <w:jc w:val="right"/>
            </w:pPr>
            <w:r>
              <w:t>206.65</w:t>
            </w:r>
          </w:p>
        </w:tc>
      </w:tr>
      <w:tr>
        <w:tblPrEx>
          <w:tblCellMar>
            <w:left w:w="108" w:type="dxa"/>
            <w:right w:w="108" w:type="dxa"/>
          </w:tblCellMar>
        </w:tblPrEx>
        <w:tc>
          <w:tcPr>
            <w:tcW w:w="4820" w:type="dxa"/>
          </w:tcPr>
          <w:p>
            <w:pPr>
              <w:pStyle w:val="yTable"/>
              <w:tabs>
                <w:tab w:val="right" w:pos="1735"/>
              </w:tabs>
              <w:spacing w:before="0"/>
              <w:ind w:left="-11" w:firstLine="11"/>
            </w:pPr>
            <w:r>
              <w:t>56237</w:t>
            </w:r>
          </w:p>
        </w:tc>
        <w:tc>
          <w:tcPr>
            <w:tcW w:w="1276" w:type="dxa"/>
          </w:tcPr>
          <w:p>
            <w:pPr>
              <w:pStyle w:val="yTable"/>
              <w:tabs>
                <w:tab w:val="decimal" w:pos="425"/>
                <w:tab w:val="right" w:pos="1418"/>
              </w:tabs>
              <w:spacing w:before="0"/>
              <w:ind w:left="34" w:right="295"/>
              <w:jc w:val="right"/>
            </w:pPr>
            <w:r>
              <w:t>279.50</w:t>
            </w:r>
          </w:p>
        </w:tc>
      </w:tr>
      <w:tr>
        <w:tblPrEx>
          <w:tblCellMar>
            <w:left w:w="108" w:type="dxa"/>
            <w:right w:w="108" w:type="dxa"/>
          </w:tblCellMar>
        </w:tblPrEx>
        <w:tc>
          <w:tcPr>
            <w:tcW w:w="4820" w:type="dxa"/>
          </w:tcPr>
          <w:p>
            <w:pPr>
              <w:pStyle w:val="yTable"/>
              <w:tabs>
                <w:tab w:val="right" w:pos="1735"/>
              </w:tabs>
              <w:spacing w:before="0"/>
              <w:ind w:left="-11" w:firstLine="11"/>
            </w:pPr>
            <w:r>
              <w:t>56238</w:t>
            </w:r>
          </w:p>
        </w:tc>
        <w:tc>
          <w:tcPr>
            <w:tcW w:w="1276" w:type="dxa"/>
          </w:tcPr>
          <w:p>
            <w:pPr>
              <w:pStyle w:val="yTable"/>
              <w:tabs>
                <w:tab w:val="decimal" w:pos="425"/>
                <w:tab w:val="right" w:pos="1418"/>
              </w:tabs>
              <w:spacing w:before="0"/>
              <w:ind w:left="34" w:right="295"/>
              <w:jc w:val="right"/>
            </w:pPr>
            <w:r>
              <w:t>409.20</w:t>
            </w:r>
          </w:p>
        </w:tc>
      </w:tr>
      <w:tr>
        <w:tblPrEx>
          <w:tblCellMar>
            <w:left w:w="108" w:type="dxa"/>
            <w:right w:w="108" w:type="dxa"/>
          </w:tblCellMar>
        </w:tblPrEx>
        <w:tc>
          <w:tcPr>
            <w:tcW w:w="4820" w:type="dxa"/>
          </w:tcPr>
          <w:p>
            <w:pPr>
              <w:pStyle w:val="yTable"/>
              <w:tabs>
                <w:tab w:val="right" w:pos="1735"/>
              </w:tabs>
              <w:spacing w:before="0"/>
              <w:ind w:left="-11" w:firstLine="11"/>
            </w:pPr>
            <w:r>
              <w:t>56239</w:t>
            </w:r>
          </w:p>
        </w:tc>
        <w:tc>
          <w:tcPr>
            <w:tcW w:w="1276" w:type="dxa"/>
          </w:tcPr>
          <w:p>
            <w:pPr>
              <w:pStyle w:val="yTable"/>
              <w:tabs>
                <w:tab w:val="decimal" w:pos="425"/>
                <w:tab w:val="right" w:pos="1418"/>
              </w:tabs>
              <w:spacing w:before="0"/>
              <w:ind w:left="34" w:right="295"/>
              <w:jc w:val="right"/>
            </w:pPr>
            <w:r>
              <w:t>142.60</w:t>
            </w:r>
          </w:p>
        </w:tc>
      </w:tr>
      <w:tr>
        <w:tblPrEx>
          <w:tblCellMar>
            <w:left w:w="108" w:type="dxa"/>
            <w:right w:w="108" w:type="dxa"/>
          </w:tblCellMar>
        </w:tblPrEx>
        <w:tc>
          <w:tcPr>
            <w:tcW w:w="4820" w:type="dxa"/>
          </w:tcPr>
          <w:p>
            <w:pPr>
              <w:pStyle w:val="yTable"/>
              <w:tabs>
                <w:tab w:val="right" w:pos="1735"/>
              </w:tabs>
              <w:spacing w:before="0"/>
              <w:ind w:left="-11" w:firstLine="11"/>
            </w:pPr>
            <w:r>
              <w:t>56240</w:t>
            </w:r>
          </w:p>
        </w:tc>
        <w:tc>
          <w:tcPr>
            <w:tcW w:w="1276" w:type="dxa"/>
          </w:tcPr>
          <w:p>
            <w:pPr>
              <w:pStyle w:val="yTable"/>
              <w:tabs>
                <w:tab w:val="decimal" w:pos="425"/>
                <w:tab w:val="right" w:pos="1418"/>
              </w:tabs>
              <w:spacing w:before="0"/>
              <w:ind w:left="34" w:right="295"/>
              <w:jc w:val="right"/>
            </w:pPr>
            <w:r>
              <w:t>206.65</w:t>
            </w:r>
          </w:p>
        </w:tc>
      </w:tr>
      <w:tr>
        <w:tblPrEx>
          <w:tblCellMar>
            <w:left w:w="108" w:type="dxa"/>
            <w:right w:w="108" w:type="dxa"/>
          </w:tblCellMar>
        </w:tblPrEx>
        <w:tc>
          <w:tcPr>
            <w:tcW w:w="4820" w:type="dxa"/>
          </w:tcPr>
          <w:p>
            <w:pPr>
              <w:pStyle w:val="yTable"/>
              <w:tabs>
                <w:tab w:val="right" w:pos="1735"/>
              </w:tabs>
              <w:spacing w:before="0"/>
              <w:ind w:left="-11" w:firstLine="11"/>
            </w:pPr>
            <w:r>
              <w:t>56259</w:t>
            </w:r>
          </w:p>
        </w:tc>
        <w:tc>
          <w:tcPr>
            <w:tcW w:w="1276" w:type="dxa"/>
          </w:tcPr>
          <w:p>
            <w:pPr>
              <w:pStyle w:val="yTable"/>
              <w:tabs>
                <w:tab w:val="decimal" w:pos="425"/>
                <w:tab w:val="right" w:pos="1418"/>
              </w:tabs>
              <w:spacing w:before="0"/>
              <w:ind w:left="34" w:right="295"/>
              <w:jc w:val="right"/>
            </w:pPr>
            <w:r>
              <w:t>191.90</w:t>
            </w:r>
          </w:p>
        </w:tc>
      </w:tr>
      <w:tr>
        <w:tblPrEx>
          <w:tblCellMar>
            <w:left w:w="108" w:type="dxa"/>
            <w:right w:w="108" w:type="dxa"/>
          </w:tblCellMar>
        </w:tblPrEx>
        <w:tc>
          <w:tcPr>
            <w:tcW w:w="4820" w:type="dxa"/>
          </w:tcPr>
          <w:p>
            <w:pPr>
              <w:pStyle w:val="yTable"/>
              <w:tabs>
                <w:tab w:val="right" w:pos="1735"/>
              </w:tabs>
              <w:spacing w:before="0"/>
              <w:ind w:left="-11" w:firstLine="11"/>
            </w:pPr>
            <w:r>
              <w:t>56301</w:t>
            </w:r>
          </w:p>
        </w:tc>
        <w:tc>
          <w:tcPr>
            <w:tcW w:w="1276" w:type="dxa"/>
          </w:tcPr>
          <w:p>
            <w:pPr>
              <w:pStyle w:val="yTable"/>
              <w:tabs>
                <w:tab w:val="decimal" w:pos="425"/>
                <w:tab w:val="right" w:pos="1418"/>
              </w:tabs>
              <w:spacing w:before="0"/>
              <w:ind w:left="34" w:right="295"/>
              <w:jc w:val="right"/>
            </w:pPr>
            <w:r>
              <w:t>343.55</w:t>
            </w:r>
          </w:p>
        </w:tc>
      </w:tr>
      <w:tr>
        <w:tblPrEx>
          <w:tblCellMar>
            <w:left w:w="108" w:type="dxa"/>
            <w:right w:w="108" w:type="dxa"/>
          </w:tblCellMar>
        </w:tblPrEx>
        <w:tc>
          <w:tcPr>
            <w:tcW w:w="4820" w:type="dxa"/>
          </w:tcPr>
          <w:p>
            <w:pPr>
              <w:pStyle w:val="yTable"/>
              <w:tabs>
                <w:tab w:val="right" w:pos="1735"/>
              </w:tabs>
              <w:spacing w:before="0"/>
              <w:ind w:left="-11" w:firstLine="11"/>
            </w:pPr>
            <w:r>
              <w:t>56307</w:t>
            </w:r>
          </w:p>
        </w:tc>
        <w:tc>
          <w:tcPr>
            <w:tcW w:w="1276" w:type="dxa"/>
          </w:tcPr>
          <w:p>
            <w:pPr>
              <w:pStyle w:val="yTable"/>
              <w:tabs>
                <w:tab w:val="decimal" w:pos="425"/>
                <w:tab w:val="right" w:pos="1418"/>
              </w:tabs>
              <w:spacing w:before="0"/>
              <w:ind w:left="34" w:right="295"/>
              <w:jc w:val="right"/>
            </w:pPr>
            <w:r>
              <w:t>465.80</w:t>
            </w:r>
          </w:p>
        </w:tc>
      </w:tr>
      <w:tr>
        <w:tblPrEx>
          <w:tblCellMar>
            <w:left w:w="108" w:type="dxa"/>
            <w:right w:w="108" w:type="dxa"/>
          </w:tblCellMar>
        </w:tblPrEx>
        <w:tc>
          <w:tcPr>
            <w:tcW w:w="4820" w:type="dxa"/>
          </w:tcPr>
          <w:p>
            <w:pPr>
              <w:pStyle w:val="yTable"/>
              <w:tabs>
                <w:tab w:val="right" w:pos="1735"/>
              </w:tabs>
              <w:spacing w:before="0"/>
              <w:ind w:left="-11" w:firstLine="11"/>
            </w:pPr>
            <w:r>
              <w:t>56341</w:t>
            </w:r>
          </w:p>
        </w:tc>
        <w:tc>
          <w:tcPr>
            <w:tcW w:w="1276" w:type="dxa"/>
          </w:tcPr>
          <w:p>
            <w:pPr>
              <w:pStyle w:val="yTable"/>
              <w:tabs>
                <w:tab w:val="decimal" w:pos="425"/>
                <w:tab w:val="right" w:pos="1418"/>
              </w:tabs>
              <w:spacing w:before="0"/>
              <w:ind w:left="34" w:right="295"/>
              <w:jc w:val="right"/>
            </w:pPr>
            <w:r>
              <w:t>174.05</w:t>
            </w:r>
          </w:p>
        </w:tc>
      </w:tr>
      <w:tr>
        <w:tblPrEx>
          <w:tblCellMar>
            <w:left w:w="108" w:type="dxa"/>
            <w:right w:w="108" w:type="dxa"/>
          </w:tblCellMar>
        </w:tblPrEx>
        <w:tc>
          <w:tcPr>
            <w:tcW w:w="4820" w:type="dxa"/>
          </w:tcPr>
          <w:p>
            <w:pPr>
              <w:pStyle w:val="yTable"/>
              <w:tabs>
                <w:tab w:val="right" w:pos="1735"/>
              </w:tabs>
              <w:spacing w:before="0"/>
              <w:ind w:left="-11" w:firstLine="11"/>
            </w:pPr>
            <w:r>
              <w:t>56347</w:t>
            </w:r>
          </w:p>
        </w:tc>
        <w:tc>
          <w:tcPr>
            <w:tcW w:w="1276" w:type="dxa"/>
          </w:tcPr>
          <w:p>
            <w:pPr>
              <w:pStyle w:val="yTable"/>
              <w:tabs>
                <w:tab w:val="decimal" w:pos="425"/>
                <w:tab w:val="right" w:pos="1418"/>
              </w:tabs>
              <w:spacing w:before="0"/>
              <w:ind w:left="34" w:right="295"/>
              <w:jc w:val="right"/>
            </w:pPr>
            <w:r>
              <w:t>235.25</w:t>
            </w:r>
          </w:p>
        </w:tc>
      </w:tr>
      <w:tr>
        <w:tblPrEx>
          <w:tblCellMar>
            <w:left w:w="108" w:type="dxa"/>
            <w:right w:w="108" w:type="dxa"/>
          </w:tblCellMar>
        </w:tblPrEx>
        <w:tc>
          <w:tcPr>
            <w:tcW w:w="4820" w:type="dxa"/>
          </w:tcPr>
          <w:p>
            <w:pPr>
              <w:pStyle w:val="yTable"/>
              <w:tabs>
                <w:tab w:val="right" w:pos="1735"/>
              </w:tabs>
              <w:spacing w:before="0"/>
              <w:ind w:left="-11" w:firstLine="11"/>
            </w:pPr>
            <w:r>
              <w:t>56401</w:t>
            </w:r>
          </w:p>
        </w:tc>
        <w:tc>
          <w:tcPr>
            <w:tcW w:w="1276" w:type="dxa"/>
          </w:tcPr>
          <w:p>
            <w:pPr>
              <w:pStyle w:val="yTable"/>
              <w:tabs>
                <w:tab w:val="decimal" w:pos="425"/>
                <w:tab w:val="right" w:pos="1418"/>
              </w:tabs>
              <w:spacing w:before="0"/>
              <w:ind w:left="34" w:right="295"/>
              <w:jc w:val="right"/>
            </w:pPr>
            <w:r>
              <w:t>291.15</w:t>
            </w:r>
          </w:p>
        </w:tc>
      </w:tr>
      <w:tr>
        <w:tblPrEx>
          <w:tblCellMar>
            <w:left w:w="108" w:type="dxa"/>
            <w:right w:w="108" w:type="dxa"/>
          </w:tblCellMar>
        </w:tblPrEx>
        <w:tc>
          <w:tcPr>
            <w:tcW w:w="4820" w:type="dxa"/>
          </w:tcPr>
          <w:p>
            <w:pPr>
              <w:pStyle w:val="yTable"/>
              <w:tabs>
                <w:tab w:val="right" w:pos="1735"/>
              </w:tabs>
              <w:spacing w:before="0"/>
              <w:ind w:left="-11" w:firstLine="11"/>
            </w:pPr>
            <w:r>
              <w:t>56407</w:t>
            </w:r>
          </w:p>
        </w:tc>
        <w:tc>
          <w:tcPr>
            <w:tcW w:w="1276" w:type="dxa"/>
          </w:tcPr>
          <w:p>
            <w:pPr>
              <w:pStyle w:val="yTable"/>
              <w:tabs>
                <w:tab w:val="decimal" w:pos="425"/>
                <w:tab w:val="right" w:pos="1418"/>
              </w:tabs>
              <w:spacing w:before="0"/>
              <w:ind w:left="34" w:right="295"/>
              <w:jc w:val="right"/>
            </w:pPr>
            <w:r>
              <w:t>419.20</w:t>
            </w:r>
          </w:p>
        </w:tc>
      </w:tr>
      <w:tr>
        <w:tblPrEx>
          <w:tblCellMar>
            <w:left w:w="108" w:type="dxa"/>
            <w:right w:w="108" w:type="dxa"/>
          </w:tblCellMar>
        </w:tblPrEx>
        <w:tc>
          <w:tcPr>
            <w:tcW w:w="4820" w:type="dxa"/>
          </w:tcPr>
          <w:p>
            <w:pPr>
              <w:pStyle w:val="yTable"/>
              <w:tabs>
                <w:tab w:val="right" w:pos="1735"/>
              </w:tabs>
              <w:spacing w:before="0"/>
              <w:ind w:left="-11" w:firstLine="11"/>
            </w:pPr>
            <w:r>
              <w:t>56409</w:t>
            </w:r>
          </w:p>
        </w:tc>
        <w:tc>
          <w:tcPr>
            <w:tcW w:w="1276" w:type="dxa"/>
          </w:tcPr>
          <w:p>
            <w:pPr>
              <w:pStyle w:val="yTable"/>
              <w:tabs>
                <w:tab w:val="decimal" w:pos="425"/>
                <w:tab w:val="right" w:pos="1418"/>
              </w:tabs>
              <w:spacing w:before="0"/>
              <w:ind w:left="34" w:right="295"/>
              <w:jc w:val="right"/>
            </w:pPr>
            <w:r>
              <w:t>291.15</w:t>
            </w:r>
          </w:p>
        </w:tc>
      </w:tr>
      <w:tr>
        <w:tblPrEx>
          <w:tblCellMar>
            <w:left w:w="108" w:type="dxa"/>
            <w:right w:w="108" w:type="dxa"/>
          </w:tblCellMar>
        </w:tblPrEx>
        <w:tc>
          <w:tcPr>
            <w:tcW w:w="4820" w:type="dxa"/>
          </w:tcPr>
          <w:p>
            <w:pPr>
              <w:pStyle w:val="yTable"/>
              <w:tabs>
                <w:tab w:val="right" w:pos="1735"/>
              </w:tabs>
              <w:spacing w:before="0"/>
              <w:ind w:left="-11" w:firstLine="11"/>
            </w:pPr>
            <w:r>
              <w:t>56412</w:t>
            </w:r>
          </w:p>
        </w:tc>
        <w:tc>
          <w:tcPr>
            <w:tcW w:w="1276" w:type="dxa"/>
          </w:tcPr>
          <w:p>
            <w:pPr>
              <w:pStyle w:val="yTable"/>
              <w:tabs>
                <w:tab w:val="decimal" w:pos="425"/>
                <w:tab w:val="right" w:pos="1418"/>
              </w:tabs>
              <w:spacing w:before="0"/>
              <w:ind w:left="34" w:right="295"/>
              <w:jc w:val="right"/>
            </w:pPr>
            <w:r>
              <w:t>419.20</w:t>
            </w:r>
          </w:p>
        </w:tc>
      </w:tr>
      <w:tr>
        <w:tblPrEx>
          <w:tblCellMar>
            <w:left w:w="108" w:type="dxa"/>
            <w:right w:w="108" w:type="dxa"/>
          </w:tblCellMar>
        </w:tblPrEx>
        <w:tc>
          <w:tcPr>
            <w:tcW w:w="4820" w:type="dxa"/>
          </w:tcPr>
          <w:p>
            <w:pPr>
              <w:pStyle w:val="yTable"/>
              <w:tabs>
                <w:tab w:val="right" w:pos="1735"/>
              </w:tabs>
              <w:spacing w:before="0"/>
              <w:ind w:left="-11" w:firstLine="11"/>
            </w:pPr>
            <w:r>
              <w:t>56441</w:t>
            </w:r>
          </w:p>
        </w:tc>
        <w:tc>
          <w:tcPr>
            <w:tcW w:w="1276" w:type="dxa"/>
          </w:tcPr>
          <w:p>
            <w:pPr>
              <w:pStyle w:val="yTable"/>
              <w:tabs>
                <w:tab w:val="decimal" w:pos="425"/>
                <w:tab w:val="right" w:pos="1418"/>
              </w:tabs>
              <w:spacing w:before="0"/>
              <w:ind w:left="34" w:right="295"/>
              <w:jc w:val="right"/>
            </w:pPr>
            <w:r>
              <w:t>147.65</w:t>
            </w:r>
          </w:p>
        </w:tc>
      </w:tr>
      <w:tr>
        <w:tblPrEx>
          <w:tblCellMar>
            <w:left w:w="108" w:type="dxa"/>
            <w:right w:w="108" w:type="dxa"/>
          </w:tblCellMar>
        </w:tblPrEx>
        <w:tc>
          <w:tcPr>
            <w:tcW w:w="4820" w:type="dxa"/>
          </w:tcPr>
          <w:p>
            <w:pPr>
              <w:pStyle w:val="yTable"/>
              <w:tabs>
                <w:tab w:val="right" w:pos="1735"/>
              </w:tabs>
              <w:spacing w:before="0"/>
              <w:ind w:left="-11" w:firstLine="11"/>
            </w:pPr>
            <w:r>
              <w:t>56447</w:t>
            </w:r>
          </w:p>
        </w:tc>
        <w:tc>
          <w:tcPr>
            <w:tcW w:w="1276" w:type="dxa"/>
          </w:tcPr>
          <w:p>
            <w:pPr>
              <w:pStyle w:val="yTable"/>
              <w:tabs>
                <w:tab w:val="decimal" w:pos="425"/>
                <w:tab w:val="right" w:pos="1418"/>
              </w:tabs>
              <w:spacing w:before="0"/>
              <w:ind w:left="34" w:right="295"/>
              <w:jc w:val="right"/>
            </w:pPr>
            <w:r>
              <w:t>211.35</w:t>
            </w:r>
          </w:p>
        </w:tc>
      </w:tr>
      <w:tr>
        <w:tblPrEx>
          <w:tblCellMar>
            <w:left w:w="108" w:type="dxa"/>
            <w:right w:w="108" w:type="dxa"/>
          </w:tblCellMar>
        </w:tblPrEx>
        <w:tc>
          <w:tcPr>
            <w:tcW w:w="4820" w:type="dxa"/>
          </w:tcPr>
          <w:p>
            <w:pPr>
              <w:pStyle w:val="yTable"/>
              <w:tabs>
                <w:tab w:val="right" w:pos="1735"/>
              </w:tabs>
              <w:spacing w:before="0"/>
              <w:ind w:left="-11" w:firstLine="11"/>
            </w:pPr>
            <w:r>
              <w:t>56449</w:t>
            </w:r>
          </w:p>
        </w:tc>
        <w:tc>
          <w:tcPr>
            <w:tcW w:w="1276" w:type="dxa"/>
          </w:tcPr>
          <w:p>
            <w:pPr>
              <w:pStyle w:val="yTable"/>
              <w:tabs>
                <w:tab w:val="decimal" w:pos="425"/>
                <w:tab w:val="right" w:pos="1418"/>
              </w:tabs>
              <w:spacing w:before="0"/>
              <w:ind w:left="34" w:right="295"/>
              <w:jc w:val="right"/>
            </w:pPr>
            <w:r>
              <w:t>147.65</w:t>
            </w:r>
          </w:p>
        </w:tc>
      </w:tr>
      <w:tr>
        <w:tblPrEx>
          <w:tblCellMar>
            <w:left w:w="108" w:type="dxa"/>
            <w:right w:w="108" w:type="dxa"/>
          </w:tblCellMar>
        </w:tblPrEx>
        <w:tc>
          <w:tcPr>
            <w:tcW w:w="4820" w:type="dxa"/>
          </w:tcPr>
          <w:p>
            <w:pPr>
              <w:pStyle w:val="yTable"/>
              <w:tabs>
                <w:tab w:val="right" w:pos="1735"/>
              </w:tabs>
              <w:spacing w:before="0"/>
              <w:ind w:left="-11" w:firstLine="11"/>
            </w:pPr>
            <w:r>
              <w:t>56452</w:t>
            </w:r>
          </w:p>
        </w:tc>
        <w:tc>
          <w:tcPr>
            <w:tcW w:w="1276" w:type="dxa"/>
          </w:tcPr>
          <w:p>
            <w:pPr>
              <w:pStyle w:val="yTable"/>
              <w:tabs>
                <w:tab w:val="decimal" w:pos="425"/>
                <w:tab w:val="right" w:pos="1418"/>
              </w:tabs>
              <w:spacing w:before="0"/>
              <w:ind w:left="34" w:right="295"/>
              <w:jc w:val="right"/>
            </w:pPr>
            <w:r>
              <w:t>211.35</w:t>
            </w:r>
          </w:p>
        </w:tc>
      </w:tr>
      <w:tr>
        <w:tblPrEx>
          <w:tblCellMar>
            <w:left w:w="108" w:type="dxa"/>
            <w:right w:w="108" w:type="dxa"/>
          </w:tblCellMar>
        </w:tblPrEx>
        <w:tc>
          <w:tcPr>
            <w:tcW w:w="4820" w:type="dxa"/>
          </w:tcPr>
          <w:p>
            <w:pPr>
              <w:pStyle w:val="yTable"/>
              <w:tabs>
                <w:tab w:val="right" w:pos="1735"/>
              </w:tabs>
              <w:spacing w:before="0"/>
              <w:ind w:left="-11" w:firstLine="11"/>
            </w:pPr>
            <w:r>
              <w:t>56501</w:t>
            </w:r>
          </w:p>
        </w:tc>
        <w:tc>
          <w:tcPr>
            <w:tcW w:w="1276" w:type="dxa"/>
          </w:tcPr>
          <w:p>
            <w:pPr>
              <w:pStyle w:val="yTable"/>
              <w:tabs>
                <w:tab w:val="decimal" w:pos="425"/>
                <w:tab w:val="right" w:pos="1418"/>
              </w:tabs>
              <w:spacing w:before="0"/>
              <w:ind w:left="34" w:right="295"/>
              <w:jc w:val="right"/>
            </w:pPr>
            <w:r>
              <w:t>448.35</w:t>
            </w:r>
          </w:p>
        </w:tc>
      </w:tr>
      <w:tr>
        <w:tblPrEx>
          <w:tblCellMar>
            <w:left w:w="108" w:type="dxa"/>
            <w:right w:w="108" w:type="dxa"/>
          </w:tblCellMar>
        </w:tblPrEx>
        <w:tc>
          <w:tcPr>
            <w:tcW w:w="4820" w:type="dxa"/>
          </w:tcPr>
          <w:p>
            <w:pPr>
              <w:pStyle w:val="yTable"/>
              <w:tabs>
                <w:tab w:val="right" w:pos="1735"/>
              </w:tabs>
              <w:spacing w:before="0"/>
              <w:ind w:left="-11" w:firstLine="11"/>
            </w:pPr>
            <w:r>
              <w:t>56507</w:t>
            </w:r>
          </w:p>
        </w:tc>
        <w:tc>
          <w:tcPr>
            <w:tcW w:w="1276" w:type="dxa"/>
          </w:tcPr>
          <w:p>
            <w:pPr>
              <w:pStyle w:val="yTable"/>
              <w:tabs>
                <w:tab w:val="decimal" w:pos="425"/>
                <w:tab w:val="right" w:pos="1418"/>
              </w:tabs>
              <w:spacing w:before="0"/>
              <w:ind w:left="34" w:right="295"/>
              <w:jc w:val="right"/>
            </w:pPr>
            <w:r>
              <w:t>559.00</w:t>
            </w:r>
          </w:p>
        </w:tc>
      </w:tr>
      <w:tr>
        <w:tblPrEx>
          <w:tblCellMar>
            <w:left w:w="108" w:type="dxa"/>
            <w:right w:w="108" w:type="dxa"/>
          </w:tblCellMar>
        </w:tblPrEx>
        <w:tc>
          <w:tcPr>
            <w:tcW w:w="4820" w:type="dxa"/>
          </w:tcPr>
          <w:p>
            <w:pPr>
              <w:pStyle w:val="yTable"/>
              <w:tabs>
                <w:tab w:val="right" w:pos="1735"/>
              </w:tabs>
              <w:spacing w:before="0"/>
              <w:ind w:left="-11" w:firstLine="11"/>
            </w:pPr>
            <w:r>
              <w:t>56541</w:t>
            </w:r>
          </w:p>
        </w:tc>
        <w:tc>
          <w:tcPr>
            <w:tcW w:w="1276" w:type="dxa"/>
          </w:tcPr>
          <w:p>
            <w:pPr>
              <w:pStyle w:val="yTable"/>
              <w:tabs>
                <w:tab w:val="decimal" w:pos="425"/>
                <w:tab w:val="right" w:pos="1418"/>
              </w:tabs>
              <w:spacing w:before="0"/>
              <w:ind w:left="34" w:right="295"/>
              <w:jc w:val="right"/>
            </w:pPr>
            <w:r>
              <w:t>224.90</w:t>
            </w:r>
          </w:p>
        </w:tc>
      </w:tr>
      <w:tr>
        <w:tblPrEx>
          <w:tblCellMar>
            <w:left w:w="108" w:type="dxa"/>
            <w:right w:w="108" w:type="dxa"/>
          </w:tblCellMar>
        </w:tblPrEx>
        <w:tc>
          <w:tcPr>
            <w:tcW w:w="4820" w:type="dxa"/>
          </w:tcPr>
          <w:p>
            <w:pPr>
              <w:pStyle w:val="yTable"/>
              <w:tabs>
                <w:tab w:val="right" w:pos="1735"/>
              </w:tabs>
              <w:spacing w:before="0"/>
              <w:ind w:left="-11" w:firstLine="11"/>
            </w:pPr>
            <w:r>
              <w:t>56547</w:t>
            </w:r>
          </w:p>
        </w:tc>
        <w:tc>
          <w:tcPr>
            <w:tcW w:w="1276" w:type="dxa"/>
          </w:tcPr>
          <w:p>
            <w:pPr>
              <w:pStyle w:val="yTable"/>
              <w:tabs>
                <w:tab w:val="decimal" w:pos="425"/>
                <w:tab w:val="right" w:pos="1418"/>
              </w:tabs>
              <w:spacing w:before="0"/>
              <w:ind w:left="34" w:right="295"/>
              <w:jc w:val="right"/>
            </w:pPr>
            <w:r>
              <w:t>283.85</w:t>
            </w:r>
          </w:p>
        </w:tc>
      </w:tr>
      <w:tr>
        <w:tblPrEx>
          <w:tblCellMar>
            <w:left w:w="108" w:type="dxa"/>
            <w:right w:w="108" w:type="dxa"/>
          </w:tblCellMar>
        </w:tblPrEx>
        <w:tc>
          <w:tcPr>
            <w:tcW w:w="4820" w:type="dxa"/>
          </w:tcPr>
          <w:p>
            <w:pPr>
              <w:pStyle w:val="yTable"/>
              <w:tabs>
                <w:tab w:val="right" w:pos="1735"/>
              </w:tabs>
              <w:spacing w:before="0"/>
              <w:ind w:left="-11" w:firstLine="11"/>
            </w:pPr>
            <w:r>
              <w:t>56619</w:t>
            </w:r>
          </w:p>
        </w:tc>
        <w:tc>
          <w:tcPr>
            <w:tcW w:w="1276" w:type="dxa"/>
          </w:tcPr>
          <w:p>
            <w:pPr>
              <w:pStyle w:val="yTable"/>
              <w:tabs>
                <w:tab w:val="decimal" w:pos="425"/>
                <w:tab w:val="right" w:pos="1418"/>
              </w:tabs>
              <w:spacing w:before="0"/>
              <w:ind w:left="34" w:right="295"/>
              <w:jc w:val="right"/>
            </w:pPr>
            <w:r>
              <w:t>256.20</w:t>
            </w:r>
          </w:p>
        </w:tc>
      </w:tr>
      <w:tr>
        <w:tblPrEx>
          <w:tblCellMar>
            <w:left w:w="108" w:type="dxa"/>
            <w:right w:w="108" w:type="dxa"/>
          </w:tblCellMar>
        </w:tblPrEx>
        <w:tc>
          <w:tcPr>
            <w:tcW w:w="4820" w:type="dxa"/>
          </w:tcPr>
          <w:p>
            <w:pPr>
              <w:pStyle w:val="yTable"/>
              <w:tabs>
                <w:tab w:val="right" w:pos="1735"/>
              </w:tabs>
              <w:spacing w:before="0"/>
              <w:ind w:left="-11" w:firstLine="11"/>
            </w:pPr>
            <w:r>
              <w:t>56625</w:t>
            </w:r>
          </w:p>
        </w:tc>
        <w:tc>
          <w:tcPr>
            <w:tcW w:w="1276" w:type="dxa"/>
          </w:tcPr>
          <w:p>
            <w:pPr>
              <w:pStyle w:val="yTable"/>
              <w:tabs>
                <w:tab w:val="decimal" w:pos="425"/>
                <w:tab w:val="right" w:pos="1418"/>
              </w:tabs>
              <w:spacing w:before="0"/>
              <w:ind w:left="34" w:right="295"/>
              <w:jc w:val="right"/>
            </w:pPr>
            <w:r>
              <w:t>389.70</w:t>
            </w:r>
          </w:p>
        </w:tc>
      </w:tr>
      <w:tr>
        <w:tblPrEx>
          <w:tblCellMar>
            <w:left w:w="108" w:type="dxa"/>
            <w:right w:w="108" w:type="dxa"/>
          </w:tblCellMar>
        </w:tblPrEx>
        <w:tc>
          <w:tcPr>
            <w:tcW w:w="4820" w:type="dxa"/>
          </w:tcPr>
          <w:p>
            <w:pPr>
              <w:pStyle w:val="yTable"/>
              <w:tabs>
                <w:tab w:val="right" w:pos="1735"/>
              </w:tabs>
              <w:spacing w:before="0"/>
              <w:ind w:left="-11" w:firstLine="11"/>
            </w:pPr>
            <w:r>
              <w:t>56659</w:t>
            </w:r>
          </w:p>
        </w:tc>
        <w:tc>
          <w:tcPr>
            <w:tcW w:w="1276" w:type="dxa"/>
          </w:tcPr>
          <w:p>
            <w:pPr>
              <w:pStyle w:val="yTable"/>
              <w:tabs>
                <w:tab w:val="decimal" w:pos="425"/>
                <w:tab w:val="right" w:pos="1418"/>
              </w:tabs>
              <w:spacing w:before="0"/>
              <w:ind w:left="34" w:right="295"/>
              <w:jc w:val="right"/>
            </w:pPr>
            <w:r>
              <w:t>130.55</w:t>
            </w:r>
          </w:p>
        </w:tc>
      </w:tr>
      <w:tr>
        <w:tblPrEx>
          <w:tblCellMar>
            <w:left w:w="108" w:type="dxa"/>
            <w:right w:w="108" w:type="dxa"/>
          </w:tblCellMar>
        </w:tblPrEx>
        <w:tc>
          <w:tcPr>
            <w:tcW w:w="4820" w:type="dxa"/>
          </w:tcPr>
          <w:p>
            <w:pPr>
              <w:pStyle w:val="yTable"/>
              <w:tabs>
                <w:tab w:val="right" w:pos="1735"/>
              </w:tabs>
              <w:spacing w:before="0"/>
              <w:ind w:left="-11" w:firstLine="11"/>
            </w:pPr>
            <w:r>
              <w:t>56665</w:t>
            </w:r>
          </w:p>
        </w:tc>
        <w:tc>
          <w:tcPr>
            <w:tcW w:w="1276" w:type="dxa"/>
          </w:tcPr>
          <w:p>
            <w:pPr>
              <w:pStyle w:val="yTable"/>
              <w:tabs>
                <w:tab w:val="decimal" w:pos="425"/>
                <w:tab w:val="right" w:pos="1418"/>
              </w:tabs>
              <w:spacing w:before="0"/>
              <w:ind w:left="34" w:right="295"/>
              <w:jc w:val="right"/>
            </w:pPr>
            <w:r>
              <w:t>194.95</w:t>
            </w:r>
          </w:p>
        </w:tc>
      </w:tr>
      <w:tr>
        <w:tblPrEx>
          <w:tblCellMar>
            <w:left w:w="108" w:type="dxa"/>
            <w:right w:w="108" w:type="dxa"/>
          </w:tblCellMar>
        </w:tblPrEx>
        <w:tc>
          <w:tcPr>
            <w:tcW w:w="4820" w:type="dxa"/>
          </w:tcPr>
          <w:p>
            <w:pPr>
              <w:pStyle w:val="yTable"/>
              <w:tabs>
                <w:tab w:val="right" w:pos="1735"/>
              </w:tabs>
              <w:spacing w:before="0"/>
              <w:ind w:left="-11" w:firstLine="11"/>
            </w:pPr>
            <w:r>
              <w:t>56801</w:t>
            </w:r>
          </w:p>
        </w:tc>
        <w:tc>
          <w:tcPr>
            <w:tcW w:w="1276" w:type="dxa"/>
          </w:tcPr>
          <w:p>
            <w:pPr>
              <w:pStyle w:val="yTable"/>
              <w:tabs>
                <w:tab w:val="decimal" w:pos="425"/>
                <w:tab w:val="right" w:pos="1418"/>
              </w:tabs>
              <w:spacing w:before="0"/>
              <w:ind w:left="34" w:right="295"/>
              <w:jc w:val="right"/>
            </w:pPr>
            <w:r>
              <w:t>543.30</w:t>
            </w:r>
          </w:p>
        </w:tc>
      </w:tr>
      <w:tr>
        <w:tblPrEx>
          <w:tblCellMar>
            <w:left w:w="108" w:type="dxa"/>
            <w:right w:w="108" w:type="dxa"/>
          </w:tblCellMar>
        </w:tblPrEx>
        <w:tc>
          <w:tcPr>
            <w:tcW w:w="4820" w:type="dxa"/>
          </w:tcPr>
          <w:p>
            <w:pPr>
              <w:pStyle w:val="yTable"/>
              <w:tabs>
                <w:tab w:val="right" w:pos="1735"/>
              </w:tabs>
              <w:spacing w:before="0"/>
              <w:ind w:left="-11" w:firstLine="11"/>
            </w:pPr>
            <w:r>
              <w:t>56807</w:t>
            </w:r>
          </w:p>
        </w:tc>
        <w:tc>
          <w:tcPr>
            <w:tcW w:w="1276" w:type="dxa"/>
          </w:tcPr>
          <w:p>
            <w:pPr>
              <w:pStyle w:val="yTable"/>
              <w:tabs>
                <w:tab w:val="decimal" w:pos="425"/>
                <w:tab w:val="right" w:pos="1418"/>
              </w:tabs>
              <w:spacing w:before="0"/>
              <w:ind w:left="34" w:right="295"/>
              <w:jc w:val="right"/>
            </w:pPr>
            <w:r>
              <w:t>652.10</w:t>
            </w:r>
          </w:p>
        </w:tc>
      </w:tr>
      <w:tr>
        <w:tblPrEx>
          <w:tblCellMar>
            <w:left w:w="108" w:type="dxa"/>
            <w:right w:w="108" w:type="dxa"/>
          </w:tblCellMar>
        </w:tblPrEx>
        <w:tc>
          <w:tcPr>
            <w:tcW w:w="4820" w:type="dxa"/>
          </w:tcPr>
          <w:p>
            <w:pPr>
              <w:pStyle w:val="yTable"/>
              <w:tabs>
                <w:tab w:val="right" w:pos="1735"/>
              </w:tabs>
              <w:spacing w:before="0"/>
              <w:ind w:left="-11" w:firstLine="11"/>
            </w:pPr>
            <w:r>
              <w:t>56841</w:t>
            </w:r>
          </w:p>
        </w:tc>
        <w:tc>
          <w:tcPr>
            <w:tcW w:w="1276" w:type="dxa"/>
          </w:tcPr>
          <w:p>
            <w:pPr>
              <w:pStyle w:val="yTable"/>
              <w:tabs>
                <w:tab w:val="decimal" w:pos="425"/>
                <w:tab w:val="right" w:pos="1418"/>
              </w:tabs>
              <w:spacing w:before="0"/>
              <w:ind w:left="34" w:right="295"/>
              <w:jc w:val="right"/>
            </w:pPr>
            <w:r>
              <w:t>271.75</w:t>
            </w:r>
          </w:p>
        </w:tc>
      </w:tr>
      <w:tr>
        <w:tblPrEx>
          <w:tblCellMar>
            <w:left w:w="108" w:type="dxa"/>
            <w:right w:w="108" w:type="dxa"/>
          </w:tblCellMar>
        </w:tblPrEx>
        <w:tc>
          <w:tcPr>
            <w:tcW w:w="4820" w:type="dxa"/>
          </w:tcPr>
          <w:p>
            <w:pPr>
              <w:pStyle w:val="yTable"/>
              <w:tabs>
                <w:tab w:val="right" w:pos="1735"/>
              </w:tabs>
              <w:spacing w:before="0"/>
              <w:ind w:left="-11" w:firstLine="11"/>
            </w:pPr>
            <w:r>
              <w:t>56847</w:t>
            </w:r>
          </w:p>
        </w:tc>
        <w:tc>
          <w:tcPr>
            <w:tcW w:w="1276" w:type="dxa"/>
          </w:tcPr>
          <w:p>
            <w:pPr>
              <w:pStyle w:val="yTable"/>
              <w:tabs>
                <w:tab w:val="decimal" w:pos="425"/>
                <w:tab w:val="right" w:pos="1418"/>
              </w:tabs>
              <w:spacing w:before="0"/>
              <w:ind w:left="34" w:right="295"/>
              <w:jc w:val="right"/>
            </w:pPr>
            <w:r>
              <w:t>330.55</w:t>
            </w:r>
          </w:p>
        </w:tc>
      </w:tr>
      <w:tr>
        <w:tblPrEx>
          <w:tblCellMar>
            <w:left w:w="108" w:type="dxa"/>
            <w:right w:w="108" w:type="dxa"/>
          </w:tblCellMar>
        </w:tblPrEx>
        <w:tc>
          <w:tcPr>
            <w:tcW w:w="4820" w:type="dxa"/>
          </w:tcPr>
          <w:p>
            <w:pPr>
              <w:pStyle w:val="yTable"/>
              <w:tabs>
                <w:tab w:val="right" w:pos="1735"/>
              </w:tabs>
              <w:spacing w:before="0"/>
              <w:ind w:left="-11" w:firstLine="11"/>
            </w:pPr>
            <w:r>
              <w:t>57001</w:t>
            </w:r>
          </w:p>
        </w:tc>
        <w:tc>
          <w:tcPr>
            <w:tcW w:w="1276" w:type="dxa"/>
          </w:tcPr>
          <w:p>
            <w:pPr>
              <w:pStyle w:val="yTable"/>
              <w:tabs>
                <w:tab w:val="decimal" w:pos="425"/>
                <w:tab w:val="right" w:pos="1418"/>
              </w:tabs>
              <w:spacing w:before="0"/>
              <w:ind w:left="34" w:right="295"/>
              <w:jc w:val="right"/>
            </w:pPr>
            <w:r>
              <w:t>543.40</w:t>
            </w:r>
          </w:p>
        </w:tc>
      </w:tr>
      <w:tr>
        <w:tblPrEx>
          <w:tblCellMar>
            <w:left w:w="108" w:type="dxa"/>
            <w:right w:w="108" w:type="dxa"/>
          </w:tblCellMar>
        </w:tblPrEx>
        <w:tc>
          <w:tcPr>
            <w:tcW w:w="4820" w:type="dxa"/>
          </w:tcPr>
          <w:p>
            <w:pPr>
              <w:pStyle w:val="yTable"/>
              <w:tabs>
                <w:tab w:val="right" w:pos="1735"/>
              </w:tabs>
              <w:spacing w:before="0"/>
              <w:ind w:left="-11" w:firstLine="11"/>
            </w:pPr>
            <w:r>
              <w:t>57007</w:t>
            </w:r>
          </w:p>
        </w:tc>
        <w:tc>
          <w:tcPr>
            <w:tcW w:w="1276" w:type="dxa"/>
          </w:tcPr>
          <w:p>
            <w:pPr>
              <w:pStyle w:val="yTable"/>
              <w:tabs>
                <w:tab w:val="decimal" w:pos="425"/>
                <w:tab w:val="right" w:pos="1418"/>
              </w:tabs>
              <w:spacing w:before="0"/>
              <w:ind w:left="34" w:right="295"/>
              <w:jc w:val="right"/>
            </w:pPr>
            <w:r>
              <w:t>661.15</w:t>
            </w:r>
          </w:p>
        </w:tc>
      </w:tr>
      <w:tr>
        <w:tblPrEx>
          <w:tblCellMar>
            <w:left w:w="108" w:type="dxa"/>
            <w:right w:w="108" w:type="dxa"/>
          </w:tblCellMar>
        </w:tblPrEx>
        <w:tc>
          <w:tcPr>
            <w:tcW w:w="4820" w:type="dxa"/>
          </w:tcPr>
          <w:p>
            <w:pPr>
              <w:pStyle w:val="yTable"/>
              <w:tabs>
                <w:tab w:val="right" w:pos="1735"/>
              </w:tabs>
              <w:spacing w:before="0"/>
              <w:ind w:left="-11" w:firstLine="11"/>
            </w:pPr>
            <w:r>
              <w:t>57041</w:t>
            </w:r>
          </w:p>
        </w:tc>
        <w:tc>
          <w:tcPr>
            <w:tcW w:w="1276" w:type="dxa"/>
          </w:tcPr>
          <w:p>
            <w:pPr>
              <w:pStyle w:val="yTable"/>
              <w:tabs>
                <w:tab w:val="decimal" w:pos="425"/>
                <w:tab w:val="right" w:pos="1418"/>
              </w:tabs>
              <w:spacing w:before="0"/>
              <w:ind w:left="34" w:right="295"/>
              <w:jc w:val="right"/>
            </w:pPr>
            <w:r>
              <w:t>271.80</w:t>
            </w:r>
          </w:p>
        </w:tc>
      </w:tr>
      <w:tr>
        <w:tblPrEx>
          <w:tblCellMar>
            <w:left w:w="108" w:type="dxa"/>
            <w:right w:w="108" w:type="dxa"/>
          </w:tblCellMar>
        </w:tblPrEx>
        <w:tc>
          <w:tcPr>
            <w:tcW w:w="4820" w:type="dxa"/>
          </w:tcPr>
          <w:p>
            <w:pPr>
              <w:pStyle w:val="yTable"/>
              <w:tabs>
                <w:tab w:val="right" w:pos="1735"/>
              </w:tabs>
              <w:spacing w:before="0"/>
              <w:ind w:left="-11" w:firstLine="11"/>
            </w:pPr>
            <w:r>
              <w:t>57047</w:t>
            </w:r>
          </w:p>
        </w:tc>
        <w:tc>
          <w:tcPr>
            <w:tcW w:w="1276" w:type="dxa"/>
          </w:tcPr>
          <w:p>
            <w:pPr>
              <w:pStyle w:val="yTable"/>
              <w:tabs>
                <w:tab w:val="decimal" w:pos="425"/>
                <w:tab w:val="right" w:pos="1418"/>
              </w:tabs>
              <w:spacing w:before="0"/>
              <w:ind w:left="34" w:right="295"/>
              <w:jc w:val="right"/>
            </w:pPr>
            <w:r>
              <w:t>330.60</w:t>
            </w:r>
          </w:p>
        </w:tc>
      </w:tr>
      <w:tr>
        <w:tblPrEx>
          <w:tblCellMar>
            <w:left w:w="108" w:type="dxa"/>
            <w:right w:w="108" w:type="dxa"/>
          </w:tblCellMar>
        </w:tblPrEx>
        <w:tc>
          <w:tcPr>
            <w:tcW w:w="4820" w:type="dxa"/>
          </w:tcPr>
          <w:p>
            <w:pPr>
              <w:pStyle w:val="yTable"/>
              <w:tabs>
                <w:tab w:val="right" w:pos="1735"/>
              </w:tabs>
              <w:spacing w:before="0"/>
              <w:ind w:left="-11" w:firstLine="11"/>
            </w:pPr>
            <w:r>
              <w:t>57201</w:t>
            </w:r>
          </w:p>
        </w:tc>
        <w:tc>
          <w:tcPr>
            <w:tcW w:w="1276" w:type="dxa"/>
          </w:tcPr>
          <w:p>
            <w:pPr>
              <w:pStyle w:val="yTable"/>
              <w:tabs>
                <w:tab w:val="decimal" w:pos="425"/>
                <w:tab w:val="right" w:pos="1418"/>
              </w:tabs>
              <w:spacing w:before="0"/>
              <w:ind w:left="34" w:right="295"/>
              <w:jc w:val="right"/>
            </w:pPr>
            <w:r>
              <w:t>180.75</w:t>
            </w:r>
          </w:p>
        </w:tc>
      </w:tr>
      <w:tr>
        <w:tblPrEx>
          <w:tblCellMar>
            <w:left w:w="108" w:type="dxa"/>
            <w:right w:w="108" w:type="dxa"/>
          </w:tblCellMar>
        </w:tblPrEx>
        <w:tc>
          <w:tcPr>
            <w:tcW w:w="4820" w:type="dxa"/>
          </w:tcPr>
          <w:p>
            <w:pPr>
              <w:pStyle w:val="yTable"/>
              <w:tabs>
                <w:tab w:val="right" w:pos="1735"/>
              </w:tabs>
              <w:spacing w:before="0"/>
              <w:ind w:left="-11" w:firstLine="11"/>
            </w:pPr>
            <w:r>
              <w:t>57247</w:t>
            </w:r>
          </w:p>
        </w:tc>
        <w:tc>
          <w:tcPr>
            <w:tcW w:w="1276" w:type="dxa"/>
          </w:tcPr>
          <w:p>
            <w:pPr>
              <w:pStyle w:val="yTable"/>
              <w:tabs>
                <w:tab w:val="decimal" w:pos="425"/>
                <w:tab w:val="right" w:pos="1418"/>
              </w:tabs>
              <w:spacing w:before="0"/>
              <w:ind w:left="34" w:right="295"/>
              <w:jc w:val="right"/>
            </w:pPr>
            <w:r>
              <w:t>90.30</w:t>
            </w:r>
          </w:p>
        </w:tc>
      </w:tr>
      <w:tr>
        <w:tblPrEx>
          <w:tblCellMar>
            <w:left w:w="108" w:type="dxa"/>
            <w:right w:w="108" w:type="dxa"/>
          </w:tblCellMar>
        </w:tblPrEx>
        <w:tc>
          <w:tcPr>
            <w:tcW w:w="4820" w:type="dxa"/>
          </w:tcPr>
          <w:p>
            <w:pPr>
              <w:pStyle w:val="yTable"/>
              <w:tabs>
                <w:tab w:val="right" w:pos="1735"/>
              </w:tabs>
              <w:spacing w:before="0"/>
              <w:ind w:left="-11" w:firstLine="11"/>
            </w:pPr>
            <w:r>
              <w:t>57341</w:t>
            </w:r>
          </w:p>
        </w:tc>
        <w:tc>
          <w:tcPr>
            <w:tcW w:w="1276" w:type="dxa"/>
          </w:tcPr>
          <w:p>
            <w:pPr>
              <w:pStyle w:val="yTable"/>
              <w:tabs>
                <w:tab w:val="decimal" w:pos="425"/>
                <w:tab w:val="right" w:pos="1418"/>
              </w:tabs>
              <w:spacing w:before="0"/>
              <w:ind w:left="34" w:right="295"/>
              <w:jc w:val="right"/>
            </w:pPr>
            <w:r>
              <w:t>547.30</w:t>
            </w:r>
          </w:p>
        </w:tc>
      </w:tr>
      <w:tr>
        <w:tblPrEx>
          <w:tblCellMar>
            <w:left w:w="108" w:type="dxa"/>
            <w:right w:w="108" w:type="dxa"/>
          </w:tblCellMar>
        </w:tblPrEx>
        <w:tc>
          <w:tcPr>
            <w:tcW w:w="4820" w:type="dxa"/>
          </w:tcPr>
          <w:p>
            <w:pPr>
              <w:pStyle w:val="yTable"/>
              <w:tabs>
                <w:tab w:val="right" w:pos="1735"/>
              </w:tabs>
              <w:spacing w:before="0"/>
              <w:ind w:left="-11" w:firstLine="11"/>
            </w:pPr>
            <w:r>
              <w:t>57345</w:t>
            </w:r>
          </w:p>
        </w:tc>
        <w:tc>
          <w:tcPr>
            <w:tcW w:w="1276" w:type="dxa"/>
          </w:tcPr>
          <w:p>
            <w:pPr>
              <w:pStyle w:val="yTable"/>
              <w:tabs>
                <w:tab w:val="decimal" w:pos="425"/>
                <w:tab w:val="right" w:pos="1418"/>
              </w:tabs>
              <w:spacing w:before="0"/>
              <w:ind w:left="34" w:right="295"/>
              <w:jc w:val="right"/>
            </w:pPr>
            <w:r>
              <w:t>281.35</w:t>
            </w:r>
          </w:p>
        </w:tc>
      </w:tr>
      <w:tr>
        <w:tblPrEx>
          <w:tblCellMar>
            <w:left w:w="108" w:type="dxa"/>
            <w:right w:w="108" w:type="dxa"/>
          </w:tblCellMar>
        </w:tblPrEx>
        <w:tc>
          <w:tcPr>
            <w:tcW w:w="4820" w:type="dxa"/>
          </w:tcPr>
          <w:p>
            <w:pPr>
              <w:pStyle w:val="yTable"/>
              <w:tabs>
                <w:tab w:val="right" w:pos="1735"/>
              </w:tabs>
              <w:spacing w:before="0"/>
              <w:ind w:left="-11" w:firstLine="11"/>
            </w:pPr>
            <w:r>
              <w:t>57350</w:t>
            </w:r>
          </w:p>
        </w:tc>
        <w:tc>
          <w:tcPr>
            <w:tcW w:w="1276" w:type="dxa"/>
          </w:tcPr>
          <w:p>
            <w:pPr>
              <w:pStyle w:val="yTable"/>
              <w:tabs>
                <w:tab w:val="decimal" w:pos="425"/>
                <w:tab w:val="right" w:pos="1418"/>
              </w:tabs>
              <w:spacing w:before="0"/>
              <w:ind w:left="34" w:right="295"/>
              <w:jc w:val="right"/>
            </w:pPr>
            <w:r>
              <w:t>593.90</w:t>
            </w:r>
          </w:p>
        </w:tc>
      </w:tr>
      <w:tr>
        <w:tblPrEx>
          <w:tblCellMar>
            <w:left w:w="108" w:type="dxa"/>
            <w:right w:w="108" w:type="dxa"/>
          </w:tblCellMar>
        </w:tblPrEx>
        <w:tc>
          <w:tcPr>
            <w:tcW w:w="4820" w:type="dxa"/>
          </w:tcPr>
          <w:p>
            <w:pPr>
              <w:pStyle w:val="yTable"/>
              <w:tabs>
                <w:tab w:val="right" w:pos="1735"/>
              </w:tabs>
              <w:spacing w:before="0"/>
              <w:ind w:left="-11" w:firstLine="11"/>
            </w:pPr>
            <w:r>
              <w:t>57351</w:t>
            </w:r>
          </w:p>
        </w:tc>
        <w:tc>
          <w:tcPr>
            <w:tcW w:w="1276" w:type="dxa"/>
          </w:tcPr>
          <w:p>
            <w:pPr>
              <w:pStyle w:val="yTable"/>
              <w:tabs>
                <w:tab w:val="decimal" w:pos="425"/>
                <w:tab w:val="right" w:pos="1418"/>
              </w:tabs>
              <w:spacing w:before="0"/>
              <w:ind w:left="34" w:right="295"/>
              <w:jc w:val="right"/>
            </w:pPr>
            <w:r>
              <w:t>593.90</w:t>
            </w:r>
          </w:p>
        </w:tc>
      </w:tr>
      <w:tr>
        <w:tblPrEx>
          <w:tblCellMar>
            <w:left w:w="108" w:type="dxa"/>
            <w:right w:w="108" w:type="dxa"/>
          </w:tblCellMar>
        </w:tblPrEx>
        <w:tc>
          <w:tcPr>
            <w:tcW w:w="4820" w:type="dxa"/>
          </w:tcPr>
          <w:p>
            <w:pPr>
              <w:pStyle w:val="yTable"/>
              <w:tabs>
                <w:tab w:val="right" w:pos="1735"/>
              </w:tabs>
              <w:spacing w:before="0"/>
              <w:ind w:left="-11" w:firstLine="11"/>
            </w:pPr>
            <w:r>
              <w:t>57355</w:t>
            </w:r>
          </w:p>
        </w:tc>
        <w:tc>
          <w:tcPr>
            <w:tcW w:w="1276" w:type="dxa"/>
          </w:tcPr>
          <w:p>
            <w:pPr>
              <w:pStyle w:val="yTable"/>
              <w:tabs>
                <w:tab w:val="decimal" w:pos="425"/>
                <w:tab w:val="right" w:pos="1418"/>
              </w:tabs>
              <w:spacing w:before="0"/>
              <w:ind w:left="34" w:right="295"/>
              <w:jc w:val="right"/>
            </w:pPr>
            <w:r>
              <w:t>307.60</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57356</w:t>
            </w:r>
          </w:p>
        </w:tc>
        <w:tc>
          <w:tcPr>
            <w:tcW w:w="1276" w:type="dxa"/>
            <w:tcBorders>
              <w:bottom w:val="single" w:sz="4" w:space="0" w:color="auto"/>
            </w:tcBorders>
          </w:tcPr>
          <w:p>
            <w:pPr>
              <w:pStyle w:val="yTable"/>
              <w:tabs>
                <w:tab w:val="decimal" w:pos="425"/>
                <w:tab w:val="right" w:pos="1418"/>
              </w:tabs>
              <w:spacing w:before="0"/>
              <w:ind w:left="34" w:right="295"/>
              <w:jc w:val="right"/>
            </w:pPr>
            <w:r>
              <w:t>307.60</w:t>
            </w:r>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0"/>
              <w:rPr>
                <w:b/>
              </w:rPr>
            </w:pPr>
            <w:r>
              <w:rPr>
                <w:b/>
              </w:rPr>
              <w:t>MBS item number</w:t>
            </w:r>
          </w:p>
          <w:p>
            <w:pPr>
              <w:pStyle w:val="yTable"/>
              <w:spacing w:before="0"/>
              <w:rPr>
                <w:i/>
              </w:rPr>
            </w:pPr>
            <w:r>
              <w:rPr>
                <w:i/>
              </w:rPr>
              <w:t>(November 2004 edition)</w:t>
            </w:r>
          </w:p>
        </w:tc>
        <w:tc>
          <w:tcPr>
            <w:tcW w:w="1276"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57506</w:t>
            </w:r>
          </w:p>
        </w:tc>
        <w:tc>
          <w:tcPr>
            <w:tcW w:w="1276" w:type="dxa"/>
          </w:tcPr>
          <w:p>
            <w:pPr>
              <w:pStyle w:val="yTable"/>
              <w:tabs>
                <w:tab w:val="decimal" w:pos="425"/>
                <w:tab w:val="right" w:pos="1418"/>
              </w:tabs>
              <w:ind w:left="34" w:right="295"/>
              <w:jc w:val="right"/>
            </w:pPr>
            <w:r>
              <w:t>40.00</w:t>
            </w:r>
          </w:p>
        </w:tc>
      </w:tr>
      <w:tr>
        <w:tblPrEx>
          <w:tblCellMar>
            <w:left w:w="108" w:type="dxa"/>
            <w:right w:w="108" w:type="dxa"/>
          </w:tblCellMar>
        </w:tblPrEx>
        <w:tc>
          <w:tcPr>
            <w:tcW w:w="4820" w:type="dxa"/>
          </w:tcPr>
          <w:p>
            <w:pPr>
              <w:pStyle w:val="yTable"/>
              <w:tabs>
                <w:tab w:val="right" w:pos="1735"/>
              </w:tabs>
              <w:spacing w:before="0"/>
              <w:ind w:left="-11" w:firstLine="11"/>
            </w:pPr>
            <w:r>
              <w:t>57509</w:t>
            </w:r>
          </w:p>
        </w:tc>
        <w:tc>
          <w:tcPr>
            <w:tcW w:w="1276" w:type="dxa"/>
          </w:tcPr>
          <w:p>
            <w:pPr>
              <w:pStyle w:val="yTable"/>
              <w:tabs>
                <w:tab w:val="decimal" w:pos="425"/>
                <w:tab w:val="right" w:pos="1418"/>
              </w:tabs>
              <w:spacing w:before="0"/>
              <w:ind w:left="34" w:right="295"/>
              <w:jc w:val="right"/>
            </w:pPr>
            <w:r>
              <w:t>53.45</w:t>
            </w:r>
          </w:p>
        </w:tc>
      </w:tr>
      <w:tr>
        <w:tblPrEx>
          <w:tblCellMar>
            <w:left w:w="108" w:type="dxa"/>
            <w:right w:w="108" w:type="dxa"/>
          </w:tblCellMar>
        </w:tblPrEx>
        <w:tc>
          <w:tcPr>
            <w:tcW w:w="4820" w:type="dxa"/>
          </w:tcPr>
          <w:p>
            <w:pPr>
              <w:pStyle w:val="yTable"/>
              <w:tabs>
                <w:tab w:val="right" w:pos="1735"/>
              </w:tabs>
              <w:spacing w:before="0"/>
              <w:ind w:left="-11" w:firstLine="11"/>
            </w:pPr>
            <w:r>
              <w:t>57512</w:t>
            </w:r>
          </w:p>
        </w:tc>
        <w:tc>
          <w:tcPr>
            <w:tcW w:w="1276" w:type="dxa"/>
          </w:tcPr>
          <w:p>
            <w:pPr>
              <w:pStyle w:val="yTable"/>
              <w:tabs>
                <w:tab w:val="decimal" w:pos="425"/>
                <w:tab w:val="right" w:pos="1418"/>
              </w:tabs>
              <w:spacing w:before="0"/>
              <w:ind w:left="34" w:right="295"/>
              <w:jc w:val="right"/>
            </w:pPr>
            <w:r>
              <w:t>54.45</w:t>
            </w:r>
          </w:p>
        </w:tc>
      </w:tr>
      <w:tr>
        <w:tblPrEx>
          <w:tblCellMar>
            <w:left w:w="108" w:type="dxa"/>
            <w:right w:w="108" w:type="dxa"/>
          </w:tblCellMar>
        </w:tblPrEx>
        <w:tc>
          <w:tcPr>
            <w:tcW w:w="4820" w:type="dxa"/>
          </w:tcPr>
          <w:p>
            <w:pPr>
              <w:pStyle w:val="yTable"/>
              <w:tabs>
                <w:tab w:val="right" w:pos="1735"/>
              </w:tabs>
              <w:spacing w:before="0"/>
              <w:ind w:left="-11" w:firstLine="11"/>
            </w:pPr>
            <w:r>
              <w:t>57515</w:t>
            </w:r>
          </w:p>
        </w:tc>
        <w:tc>
          <w:tcPr>
            <w:tcW w:w="1276" w:type="dxa"/>
          </w:tcPr>
          <w:p>
            <w:pPr>
              <w:pStyle w:val="yTable"/>
              <w:tabs>
                <w:tab w:val="decimal" w:pos="425"/>
                <w:tab w:val="right" w:pos="1418"/>
              </w:tabs>
              <w:spacing w:before="0"/>
              <w:ind w:left="34" w:right="295"/>
              <w:jc w:val="right"/>
            </w:pPr>
            <w:r>
              <w:t>72.60</w:t>
            </w:r>
          </w:p>
        </w:tc>
      </w:tr>
      <w:tr>
        <w:tblPrEx>
          <w:tblCellMar>
            <w:left w:w="108" w:type="dxa"/>
            <w:right w:w="108" w:type="dxa"/>
          </w:tblCellMar>
        </w:tblPrEx>
        <w:tc>
          <w:tcPr>
            <w:tcW w:w="4820" w:type="dxa"/>
          </w:tcPr>
          <w:p>
            <w:pPr>
              <w:pStyle w:val="yTable"/>
              <w:tabs>
                <w:tab w:val="right" w:pos="1735"/>
              </w:tabs>
              <w:spacing w:before="0"/>
              <w:ind w:left="-11" w:firstLine="11"/>
            </w:pPr>
            <w:r>
              <w:t>57518</w:t>
            </w:r>
          </w:p>
        </w:tc>
        <w:tc>
          <w:tcPr>
            <w:tcW w:w="1276" w:type="dxa"/>
          </w:tcPr>
          <w:p>
            <w:pPr>
              <w:pStyle w:val="yTable"/>
              <w:tabs>
                <w:tab w:val="decimal" w:pos="425"/>
                <w:tab w:val="right" w:pos="1418"/>
              </w:tabs>
              <w:spacing w:before="0"/>
              <w:ind w:left="34" w:right="295"/>
              <w:jc w:val="right"/>
            </w:pPr>
            <w:r>
              <w:t>43.70</w:t>
            </w:r>
          </w:p>
        </w:tc>
      </w:tr>
      <w:tr>
        <w:tblPrEx>
          <w:tblCellMar>
            <w:left w:w="108" w:type="dxa"/>
            <w:right w:w="108" w:type="dxa"/>
          </w:tblCellMar>
        </w:tblPrEx>
        <w:tc>
          <w:tcPr>
            <w:tcW w:w="4820" w:type="dxa"/>
          </w:tcPr>
          <w:p>
            <w:pPr>
              <w:pStyle w:val="yTable"/>
              <w:tabs>
                <w:tab w:val="right" w:pos="1735"/>
              </w:tabs>
              <w:spacing w:before="0"/>
              <w:ind w:left="-11" w:firstLine="11"/>
            </w:pPr>
            <w:r>
              <w:t>57521</w:t>
            </w:r>
          </w:p>
        </w:tc>
        <w:tc>
          <w:tcPr>
            <w:tcW w:w="1276" w:type="dxa"/>
          </w:tcPr>
          <w:p>
            <w:pPr>
              <w:pStyle w:val="yTable"/>
              <w:tabs>
                <w:tab w:val="decimal" w:pos="425"/>
                <w:tab w:val="right" w:pos="1418"/>
              </w:tabs>
              <w:spacing w:before="0"/>
              <w:ind w:left="34" w:right="295"/>
              <w:jc w:val="right"/>
            </w:pPr>
            <w:r>
              <w:t>58.35</w:t>
            </w:r>
          </w:p>
        </w:tc>
      </w:tr>
      <w:tr>
        <w:tblPrEx>
          <w:tblCellMar>
            <w:left w:w="108" w:type="dxa"/>
            <w:right w:w="108" w:type="dxa"/>
          </w:tblCellMar>
        </w:tblPrEx>
        <w:tc>
          <w:tcPr>
            <w:tcW w:w="4820" w:type="dxa"/>
          </w:tcPr>
          <w:p>
            <w:pPr>
              <w:pStyle w:val="yTable"/>
              <w:tabs>
                <w:tab w:val="right" w:pos="1735"/>
              </w:tabs>
              <w:spacing w:before="0"/>
              <w:ind w:left="-11" w:firstLine="11"/>
            </w:pPr>
            <w:r>
              <w:t>57524</w:t>
            </w:r>
          </w:p>
        </w:tc>
        <w:tc>
          <w:tcPr>
            <w:tcW w:w="1276" w:type="dxa"/>
          </w:tcPr>
          <w:p>
            <w:pPr>
              <w:pStyle w:val="yTable"/>
              <w:tabs>
                <w:tab w:val="decimal" w:pos="425"/>
                <w:tab w:val="right" w:pos="1418"/>
              </w:tabs>
              <w:spacing w:before="0"/>
              <w:ind w:left="34" w:right="295"/>
              <w:jc w:val="right"/>
            </w:pPr>
            <w:r>
              <w:t>366.45</w:t>
            </w:r>
          </w:p>
        </w:tc>
      </w:tr>
      <w:tr>
        <w:tblPrEx>
          <w:tblCellMar>
            <w:left w:w="108" w:type="dxa"/>
            <w:right w:w="108" w:type="dxa"/>
          </w:tblCellMar>
        </w:tblPrEx>
        <w:tc>
          <w:tcPr>
            <w:tcW w:w="4820" w:type="dxa"/>
          </w:tcPr>
          <w:p>
            <w:pPr>
              <w:pStyle w:val="yTable"/>
              <w:tabs>
                <w:tab w:val="right" w:pos="1735"/>
              </w:tabs>
              <w:spacing w:before="0"/>
              <w:ind w:left="-11" w:firstLine="11"/>
            </w:pPr>
            <w:r>
              <w:t>57527</w:t>
            </w:r>
          </w:p>
        </w:tc>
        <w:tc>
          <w:tcPr>
            <w:tcW w:w="1276" w:type="dxa"/>
          </w:tcPr>
          <w:p>
            <w:pPr>
              <w:pStyle w:val="yTable"/>
              <w:tabs>
                <w:tab w:val="decimal" w:pos="425"/>
                <w:tab w:val="right" w:pos="1418"/>
              </w:tabs>
              <w:spacing w:before="0"/>
              <w:ind w:left="34" w:right="295"/>
              <w:jc w:val="right"/>
            </w:pPr>
            <w:r>
              <w:t>88.40</w:t>
            </w:r>
          </w:p>
        </w:tc>
      </w:tr>
      <w:tr>
        <w:tblPrEx>
          <w:tblCellMar>
            <w:left w:w="108" w:type="dxa"/>
            <w:right w:w="108" w:type="dxa"/>
          </w:tblCellMar>
        </w:tblPrEx>
        <w:tc>
          <w:tcPr>
            <w:tcW w:w="4820" w:type="dxa"/>
          </w:tcPr>
          <w:p>
            <w:pPr>
              <w:pStyle w:val="yTable"/>
              <w:tabs>
                <w:tab w:val="right" w:pos="1735"/>
              </w:tabs>
              <w:spacing w:before="0"/>
              <w:ind w:left="-11" w:firstLine="11"/>
            </w:pPr>
            <w:r>
              <w:t>57700</w:t>
            </w:r>
          </w:p>
        </w:tc>
        <w:tc>
          <w:tcPr>
            <w:tcW w:w="1276" w:type="dxa"/>
          </w:tcPr>
          <w:p>
            <w:pPr>
              <w:pStyle w:val="yTable"/>
              <w:tabs>
                <w:tab w:val="decimal" w:pos="425"/>
                <w:tab w:val="right" w:pos="1418"/>
              </w:tabs>
              <w:spacing w:before="0"/>
              <w:ind w:left="34" w:right="295"/>
              <w:jc w:val="right"/>
            </w:pPr>
            <w:r>
              <w:t>54.45</w:t>
            </w:r>
          </w:p>
        </w:tc>
      </w:tr>
      <w:tr>
        <w:tblPrEx>
          <w:tblCellMar>
            <w:left w:w="108" w:type="dxa"/>
            <w:right w:w="108" w:type="dxa"/>
          </w:tblCellMar>
        </w:tblPrEx>
        <w:tc>
          <w:tcPr>
            <w:tcW w:w="4820" w:type="dxa"/>
          </w:tcPr>
          <w:p>
            <w:pPr>
              <w:pStyle w:val="yTable"/>
              <w:tabs>
                <w:tab w:val="right" w:pos="1735"/>
              </w:tabs>
              <w:spacing w:before="0"/>
              <w:ind w:left="-11" w:firstLine="11"/>
            </w:pPr>
            <w:r>
              <w:t>57703</w:t>
            </w:r>
          </w:p>
        </w:tc>
        <w:tc>
          <w:tcPr>
            <w:tcW w:w="1276" w:type="dxa"/>
          </w:tcPr>
          <w:p>
            <w:pPr>
              <w:pStyle w:val="yTable"/>
              <w:tabs>
                <w:tab w:val="decimal" w:pos="425"/>
                <w:tab w:val="right" w:pos="1418"/>
              </w:tabs>
              <w:spacing w:before="0"/>
              <w:ind w:left="34" w:right="295"/>
              <w:jc w:val="right"/>
            </w:pPr>
            <w:r>
              <w:t>72.60</w:t>
            </w:r>
          </w:p>
        </w:tc>
      </w:tr>
      <w:tr>
        <w:tblPrEx>
          <w:tblCellMar>
            <w:left w:w="108" w:type="dxa"/>
            <w:right w:w="108" w:type="dxa"/>
          </w:tblCellMar>
        </w:tblPrEx>
        <w:tc>
          <w:tcPr>
            <w:tcW w:w="4820" w:type="dxa"/>
          </w:tcPr>
          <w:p>
            <w:pPr>
              <w:pStyle w:val="yTable"/>
              <w:tabs>
                <w:tab w:val="right" w:pos="1735"/>
              </w:tabs>
              <w:spacing w:before="0"/>
              <w:ind w:left="-11" w:firstLine="11"/>
            </w:pPr>
            <w:r>
              <w:t>57706</w:t>
            </w:r>
          </w:p>
        </w:tc>
        <w:tc>
          <w:tcPr>
            <w:tcW w:w="1276" w:type="dxa"/>
          </w:tcPr>
          <w:p>
            <w:pPr>
              <w:pStyle w:val="yTable"/>
              <w:tabs>
                <w:tab w:val="decimal" w:pos="425"/>
                <w:tab w:val="right" w:pos="1418"/>
              </w:tabs>
              <w:spacing w:before="0"/>
              <w:ind w:left="34" w:right="295"/>
              <w:jc w:val="right"/>
            </w:pPr>
            <w:r>
              <w:t>43.70</w:t>
            </w:r>
          </w:p>
        </w:tc>
      </w:tr>
      <w:tr>
        <w:tblPrEx>
          <w:tblCellMar>
            <w:left w:w="108" w:type="dxa"/>
            <w:right w:w="108" w:type="dxa"/>
          </w:tblCellMar>
        </w:tblPrEx>
        <w:tc>
          <w:tcPr>
            <w:tcW w:w="4820" w:type="dxa"/>
          </w:tcPr>
          <w:p>
            <w:pPr>
              <w:pStyle w:val="yTable"/>
              <w:tabs>
                <w:tab w:val="right" w:pos="1735"/>
              </w:tabs>
              <w:spacing w:before="0"/>
              <w:ind w:left="-11" w:firstLine="11"/>
            </w:pPr>
            <w:r>
              <w:t>57709</w:t>
            </w:r>
          </w:p>
        </w:tc>
        <w:tc>
          <w:tcPr>
            <w:tcW w:w="1276" w:type="dxa"/>
          </w:tcPr>
          <w:p>
            <w:pPr>
              <w:pStyle w:val="yTable"/>
              <w:tabs>
                <w:tab w:val="decimal" w:pos="425"/>
                <w:tab w:val="right" w:pos="1418"/>
              </w:tabs>
              <w:spacing w:before="0"/>
              <w:ind w:left="34" w:right="295"/>
              <w:jc w:val="right"/>
            </w:pPr>
            <w:r>
              <w:t>58.35</w:t>
            </w:r>
          </w:p>
        </w:tc>
      </w:tr>
      <w:tr>
        <w:tblPrEx>
          <w:tblCellMar>
            <w:left w:w="108" w:type="dxa"/>
            <w:right w:w="108" w:type="dxa"/>
          </w:tblCellMar>
        </w:tblPrEx>
        <w:tc>
          <w:tcPr>
            <w:tcW w:w="4820" w:type="dxa"/>
          </w:tcPr>
          <w:p>
            <w:pPr>
              <w:pStyle w:val="yTable"/>
              <w:tabs>
                <w:tab w:val="right" w:pos="1735"/>
              </w:tabs>
              <w:spacing w:before="0"/>
              <w:ind w:left="-11" w:firstLine="11"/>
            </w:pPr>
            <w:r>
              <w:t>57712</w:t>
            </w:r>
          </w:p>
        </w:tc>
        <w:tc>
          <w:tcPr>
            <w:tcW w:w="1276" w:type="dxa"/>
          </w:tcPr>
          <w:p>
            <w:pPr>
              <w:pStyle w:val="yTable"/>
              <w:tabs>
                <w:tab w:val="decimal" w:pos="425"/>
                <w:tab w:val="right" w:pos="1418"/>
              </w:tabs>
              <w:spacing w:before="0"/>
              <w:ind w:left="34" w:right="295"/>
              <w:jc w:val="right"/>
            </w:pPr>
            <w:r>
              <w:t>63.40</w:t>
            </w:r>
          </w:p>
        </w:tc>
      </w:tr>
      <w:tr>
        <w:tblPrEx>
          <w:tblCellMar>
            <w:left w:w="108" w:type="dxa"/>
            <w:right w:w="108" w:type="dxa"/>
          </w:tblCellMar>
        </w:tblPrEx>
        <w:tc>
          <w:tcPr>
            <w:tcW w:w="4820" w:type="dxa"/>
          </w:tcPr>
          <w:p>
            <w:pPr>
              <w:pStyle w:val="yTable"/>
              <w:tabs>
                <w:tab w:val="right" w:pos="1735"/>
              </w:tabs>
              <w:spacing w:before="0"/>
              <w:ind w:left="-11" w:firstLine="11"/>
            </w:pPr>
            <w:r>
              <w:t>57715</w:t>
            </w:r>
          </w:p>
        </w:tc>
        <w:tc>
          <w:tcPr>
            <w:tcW w:w="1276" w:type="dxa"/>
          </w:tcPr>
          <w:p>
            <w:pPr>
              <w:pStyle w:val="yTable"/>
              <w:tabs>
                <w:tab w:val="decimal" w:pos="425"/>
                <w:tab w:val="right" w:pos="1418"/>
              </w:tabs>
              <w:spacing w:before="0"/>
              <w:ind w:left="34" w:right="295"/>
              <w:jc w:val="right"/>
            </w:pPr>
            <w:r>
              <w:t>81.90</w:t>
            </w:r>
          </w:p>
        </w:tc>
      </w:tr>
      <w:tr>
        <w:tblPrEx>
          <w:tblCellMar>
            <w:left w:w="108" w:type="dxa"/>
            <w:right w:w="108" w:type="dxa"/>
          </w:tblCellMar>
        </w:tblPrEx>
        <w:tc>
          <w:tcPr>
            <w:tcW w:w="4820" w:type="dxa"/>
          </w:tcPr>
          <w:p>
            <w:pPr>
              <w:pStyle w:val="yTable"/>
              <w:tabs>
                <w:tab w:val="right" w:pos="1735"/>
              </w:tabs>
              <w:spacing w:before="0"/>
              <w:ind w:left="-11" w:firstLine="11"/>
            </w:pPr>
            <w:r>
              <w:t>57721</w:t>
            </w:r>
          </w:p>
        </w:tc>
        <w:tc>
          <w:tcPr>
            <w:tcW w:w="1276" w:type="dxa"/>
          </w:tcPr>
          <w:p>
            <w:pPr>
              <w:pStyle w:val="yTable"/>
              <w:tabs>
                <w:tab w:val="decimal" w:pos="425"/>
                <w:tab w:val="right" w:pos="1418"/>
              </w:tabs>
              <w:spacing w:before="0"/>
              <w:ind w:left="34" w:right="295"/>
              <w:jc w:val="right"/>
            </w:pPr>
            <w:r>
              <w:t>133.45</w:t>
            </w:r>
          </w:p>
        </w:tc>
      </w:tr>
      <w:tr>
        <w:tblPrEx>
          <w:tblCellMar>
            <w:left w:w="108" w:type="dxa"/>
            <w:right w:w="108" w:type="dxa"/>
          </w:tblCellMar>
        </w:tblPrEx>
        <w:tc>
          <w:tcPr>
            <w:tcW w:w="4820" w:type="dxa"/>
          </w:tcPr>
          <w:p>
            <w:pPr>
              <w:pStyle w:val="yTable"/>
              <w:tabs>
                <w:tab w:val="right" w:pos="1735"/>
              </w:tabs>
              <w:spacing w:before="0"/>
              <w:ind w:left="-11" w:firstLine="11"/>
            </w:pPr>
            <w:r>
              <w:t>57901</w:t>
            </w:r>
          </w:p>
        </w:tc>
        <w:tc>
          <w:tcPr>
            <w:tcW w:w="1276" w:type="dxa"/>
          </w:tcPr>
          <w:p>
            <w:pPr>
              <w:pStyle w:val="yTable"/>
              <w:tabs>
                <w:tab w:val="decimal" w:pos="425"/>
                <w:tab w:val="right" w:pos="1418"/>
              </w:tabs>
              <w:spacing w:before="0"/>
              <w:ind w:left="34" w:right="295"/>
              <w:jc w:val="right"/>
            </w:pPr>
            <w:r>
              <w:t>86.75</w:t>
            </w:r>
          </w:p>
        </w:tc>
      </w:tr>
      <w:tr>
        <w:tblPrEx>
          <w:tblCellMar>
            <w:left w:w="108" w:type="dxa"/>
            <w:right w:w="108" w:type="dxa"/>
          </w:tblCellMar>
        </w:tblPrEx>
        <w:tc>
          <w:tcPr>
            <w:tcW w:w="4820" w:type="dxa"/>
          </w:tcPr>
          <w:p>
            <w:pPr>
              <w:pStyle w:val="yTable"/>
              <w:tabs>
                <w:tab w:val="right" w:pos="1735"/>
              </w:tabs>
              <w:spacing w:before="0"/>
              <w:ind w:left="-11" w:firstLine="11"/>
            </w:pPr>
            <w:r>
              <w:t>57902</w:t>
            </w:r>
          </w:p>
        </w:tc>
        <w:tc>
          <w:tcPr>
            <w:tcW w:w="1276" w:type="dxa"/>
          </w:tcPr>
          <w:p>
            <w:pPr>
              <w:pStyle w:val="yTable"/>
              <w:tabs>
                <w:tab w:val="decimal" w:pos="425"/>
                <w:tab w:val="right" w:pos="1418"/>
              </w:tabs>
              <w:spacing w:before="0"/>
              <w:ind w:left="34" w:right="295"/>
              <w:jc w:val="right"/>
            </w:pPr>
            <w:r>
              <w:t>86.75</w:t>
            </w:r>
          </w:p>
        </w:tc>
      </w:tr>
      <w:tr>
        <w:tblPrEx>
          <w:tblCellMar>
            <w:left w:w="108" w:type="dxa"/>
            <w:right w:w="108" w:type="dxa"/>
          </w:tblCellMar>
        </w:tblPrEx>
        <w:tc>
          <w:tcPr>
            <w:tcW w:w="4820" w:type="dxa"/>
          </w:tcPr>
          <w:p>
            <w:pPr>
              <w:pStyle w:val="yTable"/>
              <w:tabs>
                <w:tab w:val="right" w:pos="1735"/>
              </w:tabs>
              <w:spacing w:before="0"/>
              <w:ind w:left="-11" w:firstLine="11"/>
            </w:pPr>
            <w:r>
              <w:t>57903</w:t>
            </w:r>
          </w:p>
        </w:tc>
        <w:tc>
          <w:tcPr>
            <w:tcW w:w="1276" w:type="dxa"/>
          </w:tcPr>
          <w:p>
            <w:pPr>
              <w:pStyle w:val="yTable"/>
              <w:tabs>
                <w:tab w:val="decimal" w:pos="425"/>
                <w:tab w:val="right" w:pos="1418"/>
              </w:tabs>
              <w:spacing w:before="0"/>
              <w:ind w:left="34" w:right="295"/>
              <w:jc w:val="right"/>
            </w:pPr>
            <w:r>
              <w:t>63.60</w:t>
            </w:r>
          </w:p>
        </w:tc>
      </w:tr>
      <w:tr>
        <w:tblPrEx>
          <w:tblCellMar>
            <w:left w:w="108" w:type="dxa"/>
            <w:right w:w="108" w:type="dxa"/>
          </w:tblCellMar>
        </w:tblPrEx>
        <w:tc>
          <w:tcPr>
            <w:tcW w:w="4820" w:type="dxa"/>
          </w:tcPr>
          <w:p>
            <w:pPr>
              <w:pStyle w:val="yTable"/>
              <w:tabs>
                <w:tab w:val="right" w:pos="1735"/>
              </w:tabs>
              <w:spacing w:before="0"/>
              <w:ind w:left="-11" w:firstLine="11"/>
            </w:pPr>
            <w:r>
              <w:t>57906</w:t>
            </w:r>
          </w:p>
        </w:tc>
        <w:tc>
          <w:tcPr>
            <w:tcW w:w="1276" w:type="dxa"/>
          </w:tcPr>
          <w:p>
            <w:pPr>
              <w:pStyle w:val="yTable"/>
              <w:tabs>
                <w:tab w:val="decimal" w:pos="425"/>
                <w:tab w:val="right" w:pos="1418"/>
              </w:tabs>
              <w:spacing w:before="0"/>
              <w:ind w:left="34" w:right="295"/>
              <w:jc w:val="right"/>
            </w:pPr>
            <w:r>
              <w:t>86.75</w:t>
            </w:r>
          </w:p>
        </w:tc>
      </w:tr>
      <w:tr>
        <w:tblPrEx>
          <w:tblCellMar>
            <w:left w:w="108" w:type="dxa"/>
            <w:right w:w="108" w:type="dxa"/>
          </w:tblCellMar>
        </w:tblPrEx>
        <w:tc>
          <w:tcPr>
            <w:tcW w:w="4820" w:type="dxa"/>
          </w:tcPr>
          <w:p>
            <w:pPr>
              <w:pStyle w:val="yTable"/>
              <w:tabs>
                <w:tab w:val="right" w:pos="1735"/>
              </w:tabs>
              <w:spacing w:before="0"/>
              <w:ind w:left="-11" w:firstLine="11"/>
            </w:pPr>
            <w:r>
              <w:t>57909</w:t>
            </w:r>
          </w:p>
        </w:tc>
        <w:tc>
          <w:tcPr>
            <w:tcW w:w="1276" w:type="dxa"/>
          </w:tcPr>
          <w:p>
            <w:pPr>
              <w:pStyle w:val="yTable"/>
              <w:tabs>
                <w:tab w:val="decimal" w:pos="425"/>
                <w:tab w:val="right" w:pos="1418"/>
              </w:tabs>
              <w:spacing w:before="0"/>
              <w:ind w:left="34" w:right="295"/>
              <w:jc w:val="right"/>
            </w:pPr>
            <w:r>
              <w:t>86.75</w:t>
            </w:r>
          </w:p>
        </w:tc>
      </w:tr>
      <w:tr>
        <w:tblPrEx>
          <w:tblCellMar>
            <w:left w:w="108" w:type="dxa"/>
            <w:right w:w="108" w:type="dxa"/>
          </w:tblCellMar>
        </w:tblPrEx>
        <w:tc>
          <w:tcPr>
            <w:tcW w:w="4820" w:type="dxa"/>
          </w:tcPr>
          <w:p>
            <w:pPr>
              <w:pStyle w:val="yTable"/>
              <w:tabs>
                <w:tab w:val="right" w:pos="1735"/>
              </w:tabs>
              <w:spacing w:before="0"/>
              <w:ind w:left="-11" w:firstLine="11"/>
            </w:pPr>
            <w:r>
              <w:t>57912</w:t>
            </w:r>
          </w:p>
        </w:tc>
        <w:tc>
          <w:tcPr>
            <w:tcW w:w="1276" w:type="dxa"/>
          </w:tcPr>
          <w:p>
            <w:pPr>
              <w:pStyle w:val="yTable"/>
              <w:tabs>
                <w:tab w:val="decimal" w:pos="425"/>
                <w:tab w:val="right" w:pos="1418"/>
              </w:tabs>
              <w:spacing w:before="0"/>
              <w:ind w:left="34" w:right="295"/>
              <w:jc w:val="right"/>
            </w:pPr>
            <w:r>
              <w:t>63.40</w:t>
            </w:r>
          </w:p>
        </w:tc>
      </w:tr>
      <w:tr>
        <w:tblPrEx>
          <w:tblCellMar>
            <w:left w:w="108" w:type="dxa"/>
            <w:right w:w="108" w:type="dxa"/>
          </w:tblCellMar>
        </w:tblPrEx>
        <w:tc>
          <w:tcPr>
            <w:tcW w:w="4820" w:type="dxa"/>
          </w:tcPr>
          <w:p>
            <w:pPr>
              <w:pStyle w:val="yTable"/>
              <w:tabs>
                <w:tab w:val="right" w:pos="1735"/>
              </w:tabs>
              <w:spacing w:before="0"/>
              <w:ind w:left="-11" w:firstLine="11"/>
            </w:pPr>
            <w:r>
              <w:t>57915</w:t>
            </w:r>
          </w:p>
        </w:tc>
        <w:tc>
          <w:tcPr>
            <w:tcW w:w="1276" w:type="dxa"/>
          </w:tcPr>
          <w:p>
            <w:pPr>
              <w:pStyle w:val="yTable"/>
              <w:tabs>
                <w:tab w:val="decimal" w:pos="425"/>
                <w:tab w:val="right" w:pos="1418"/>
              </w:tabs>
              <w:spacing w:before="0"/>
              <w:ind w:left="34" w:right="295"/>
              <w:jc w:val="right"/>
            </w:pPr>
            <w:r>
              <w:t>63.40</w:t>
            </w:r>
          </w:p>
        </w:tc>
      </w:tr>
      <w:tr>
        <w:tblPrEx>
          <w:tblCellMar>
            <w:left w:w="108" w:type="dxa"/>
            <w:right w:w="108" w:type="dxa"/>
          </w:tblCellMar>
        </w:tblPrEx>
        <w:tc>
          <w:tcPr>
            <w:tcW w:w="4820" w:type="dxa"/>
          </w:tcPr>
          <w:p>
            <w:pPr>
              <w:pStyle w:val="yTable"/>
              <w:tabs>
                <w:tab w:val="right" w:pos="1735"/>
              </w:tabs>
              <w:spacing w:before="0"/>
              <w:ind w:left="-11" w:firstLine="11"/>
            </w:pPr>
            <w:r>
              <w:t>57918</w:t>
            </w:r>
          </w:p>
        </w:tc>
        <w:tc>
          <w:tcPr>
            <w:tcW w:w="1276" w:type="dxa"/>
          </w:tcPr>
          <w:p>
            <w:pPr>
              <w:pStyle w:val="yTable"/>
              <w:tabs>
                <w:tab w:val="decimal" w:pos="425"/>
                <w:tab w:val="right" w:pos="1418"/>
              </w:tabs>
              <w:spacing w:before="0"/>
              <w:ind w:left="34" w:right="295"/>
              <w:jc w:val="right"/>
            </w:pPr>
            <w:r>
              <w:t>63.40</w:t>
            </w:r>
          </w:p>
        </w:tc>
      </w:tr>
      <w:tr>
        <w:tblPrEx>
          <w:tblCellMar>
            <w:left w:w="108" w:type="dxa"/>
            <w:right w:w="108" w:type="dxa"/>
          </w:tblCellMar>
        </w:tblPrEx>
        <w:tc>
          <w:tcPr>
            <w:tcW w:w="4820" w:type="dxa"/>
          </w:tcPr>
          <w:p>
            <w:pPr>
              <w:pStyle w:val="yTable"/>
              <w:tabs>
                <w:tab w:val="right" w:pos="1735"/>
              </w:tabs>
              <w:spacing w:before="0"/>
              <w:ind w:left="-11" w:firstLine="11"/>
            </w:pPr>
            <w:r>
              <w:t>57921</w:t>
            </w:r>
          </w:p>
        </w:tc>
        <w:tc>
          <w:tcPr>
            <w:tcW w:w="1276" w:type="dxa"/>
          </w:tcPr>
          <w:p>
            <w:pPr>
              <w:pStyle w:val="yTable"/>
              <w:tabs>
                <w:tab w:val="decimal" w:pos="425"/>
                <w:tab w:val="right" w:pos="1418"/>
              </w:tabs>
              <w:spacing w:before="0"/>
              <w:ind w:left="34" w:right="295"/>
              <w:jc w:val="right"/>
            </w:pPr>
            <w:r>
              <w:t>63.40</w:t>
            </w:r>
          </w:p>
        </w:tc>
      </w:tr>
      <w:tr>
        <w:tblPrEx>
          <w:tblCellMar>
            <w:left w:w="108" w:type="dxa"/>
            <w:right w:w="108" w:type="dxa"/>
          </w:tblCellMar>
        </w:tblPrEx>
        <w:tc>
          <w:tcPr>
            <w:tcW w:w="4820" w:type="dxa"/>
          </w:tcPr>
          <w:p>
            <w:pPr>
              <w:pStyle w:val="yTable"/>
              <w:tabs>
                <w:tab w:val="right" w:pos="1735"/>
              </w:tabs>
              <w:spacing w:before="0"/>
              <w:ind w:left="-11" w:firstLine="11"/>
            </w:pPr>
            <w:r>
              <w:t>57924</w:t>
            </w:r>
          </w:p>
        </w:tc>
        <w:tc>
          <w:tcPr>
            <w:tcW w:w="1276" w:type="dxa"/>
          </w:tcPr>
          <w:p>
            <w:pPr>
              <w:pStyle w:val="yTable"/>
              <w:tabs>
                <w:tab w:val="decimal" w:pos="425"/>
                <w:tab w:val="right" w:pos="1418"/>
              </w:tabs>
              <w:spacing w:before="0"/>
              <w:ind w:left="34" w:right="295"/>
              <w:jc w:val="right"/>
            </w:pPr>
            <w:r>
              <w:t>63.40</w:t>
            </w:r>
          </w:p>
        </w:tc>
      </w:tr>
      <w:tr>
        <w:tblPrEx>
          <w:tblCellMar>
            <w:left w:w="108" w:type="dxa"/>
            <w:right w:w="108" w:type="dxa"/>
          </w:tblCellMar>
        </w:tblPrEx>
        <w:tc>
          <w:tcPr>
            <w:tcW w:w="4820" w:type="dxa"/>
          </w:tcPr>
          <w:p>
            <w:pPr>
              <w:pStyle w:val="yTable"/>
              <w:tabs>
                <w:tab w:val="right" w:pos="1735"/>
              </w:tabs>
              <w:spacing w:before="0"/>
              <w:ind w:left="-11" w:firstLine="11"/>
            </w:pPr>
            <w:r>
              <w:t>57927</w:t>
            </w:r>
          </w:p>
        </w:tc>
        <w:tc>
          <w:tcPr>
            <w:tcW w:w="1276" w:type="dxa"/>
          </w:tcPr>
          <w:p>
            <w:pPr>
              <w:pStyle w:val="yTable"/>
              <w:tabs>
                <w:tab w:val="decimal" w:pos="425"/>
                <w:tab w:val="right" w:pos="1418"/>
              </w:tabs>
              <w:spacing w:before="0"/>
              <w:ind w:left="34" w:right="295"/>
              <w:jc w:val="right"/>
            </w:pPr>
            <w:r>
              <w:t>66.75</w:t>
            </w:r>
          </w:p>
        </w:tc>
      </w:tr>
      <w:tr>
        <w:tblPrEx>
          <w:tblCellMar>
            <w:left w:w="108" w:type="dxa"/>
            <w:right w:w="108" w:type="dxa"/>
          </w:tblCellMar>
        </w:tblPrEx>
        <w:tc>
          <w:tcPr>
            <w:tcW w:w="4820" w:type="dxa"/>
          </w:tcPr>
          <w:p>
            <w:pPr>
              <w:pStyle w:val="yTable"/>
              <w:tabs>
                <w:tab w:val="right" w:pos="1735"/>
              </w:tabs>
              <w:spacing w:before="0"/>
              <w:ind w:left="-11" w:firstLine="11"/>
            </w:pPr>
            <w:r>
              <w:t>57930</w:t>
            </w:r>
          </w:p>
        </w:tc>
        <w:tc>
          <w:tcPr>
            <w:tcW w:w="1276" w:type="dxa"/>
          </w:tcPr>
          <w:p>
            <w:pPr>
              <w:pStyle w:val="yTable"/>
              <w:tabs>
                <w:tab w:val="decimal" w:pos="425"/>
                <w:tab w:val="right" w:pos="1418"/>
              </w:tabs>
              <w:spacing w:before="0"/>
              <w:ind w:left="34" w:right="295"/>
              <w:jc w:val="right"/>
            </w:pPr>
            <w:r>
              <w:t>44.25</w:t>
            </w:r>
          </w:p>
        </w:tc>
      </w:tr>
      <w:tr>
        <w:tblPrEx>
          <w:tblCellMar>
            <w:left w:w="108" w:type="dxa"/>
            <w:right w:w="108" w:type="dxa"/>
          </w:tblCellMar>
        </w:tblPrEx>
        <w:tc>
          <w:tcPr>
            <w:tcW w:w="4820" w:type="dxa"/>
          </w:tcPr>
          <w:p>
            <w:pPr>
              <w:pStyle w:val="yTable"/>
              <w:tabs>
                <w:tab w:val="right" w:pos="1735"/>
              </w:tabs>
              <w:spacing w:before="0"/>
              <w:ind w:left="-11" w:firstLine="11"/>
            </w:pPr>
            <w:r>
              <w:t>57933</w:t>
            </w:r>
          </w:p>
        </w:tc>
        <w:tc>
          <w:tcPr>
            <w:tcW w:w="1276" w:type="dxa"/>
          </w:tcPr>
          <w:p>
            <w:pPr>
              <w:pStyle w:val="yTable"/>
              <w:tabs>
                <w:tab w:val="decimal" w:pos="425"/>
                <w:tab w:val="right" w:pos="1418"/>
              </w:tabs>
              <w:spacing w:before="0"/>
              <w:ind w:left="34" w:right="295"/>
              <w:jc w:val="right"/>
            </w:pPr>
            <w:r>
              <w:t>105.25</w:t>
            </w:r>
          </w:p>
        </w:tc>
      </w:tr>
      <w:tr>
        <w:tblPrEx>
          <w:tblCellMar>
            <w:left w:w="108" w:type="dxa"/>
            <w:right w:w="108" w:type="dxa"/>
          </w:tblCellMar>
        </w:tblPrEx>
        <w:tc>
          <w:tcPr>
            <w:tcW w:w="4820" w:type="dxa"/>
          </w:tcPr>
          <w:p>
            <w:pPr>
              <w:pStyle w:val="yTable"/>
              <w:tabs>
                <w:tab w:val="right" w:pos="1735"/>
              </w:tabs>
              <w:spacing w:before="0"/>
              <w:ind w:left="-11" w:firstLine="11"/>
            </w:pPr>
            <w:r>
              <w:t>57939</w:t>
            </w:r>
          </w:p>
        </w:tc>
        <w:tc>
          <w:tcPr>
            <w:tcW w:w="1276" w:type="dxa"/>
          </w:tcPr>
          <w:p>
            <w:pPr>
              <w:pStyle w:val="yTable"/>
              <w:tabs>
                <w:tab w:val="decimal" w:pos="425"/>
                <w:tab w:val="right" w:pos="1418"/>
              </w:tabs>
              <w:spacing w:before="0"/>
              <w:ind w:left="34" w:right="295"/>
              <w:jc w:val="right"/>
            </w:pPr>
            <w:r>
              <w:t>86.75</w:t>
            </w:r>
          </w:p>
        </w:tc>
      </w:tr>
      <w:tr>
        <w:tblPrEx>
          <w:tblCellMar>
            <w:left w:w="108" w:type="dxa"/>
            <w:right w:w="108" w:type="dxa"/>
          </w:tblCellMar>
        </w:tblPrEx>
        <w:tc>
          <w:tcPr>
            <w:tcW w:w="4820" w:type="dxa"/>
          </w:tcPr>
          <w:p>
            <w:pPr>
              <w:pStyle w:val="yTable"/>
              <w:tabs>
                <w:tab w:val="right" w:pos="1735"/>
              </w:tabs>
              <w:spacing w:before="0"/>
              <w:ind w:left="-11" w:firstLine="11"/>
            </w:pPr>
            <w:r>
              <w:t>57942</w:t>
            </w:r>
          </w:p>
        </w:tc>
        <w:tc>
          <w:tcPr>
            <w:tcW w:w="1276" w:type="dxa"/>
          </w:tcPr>
          <w:p>
            <w:pPr>
              <w:pStyle w:val="yTable"/>
              <w:tabs>
                <w:tab w:val="decimal" w:pos="425"/>
                <w:tab w:val="right" w:pos="1418"/>
              </w:tabs>
              <w:spacing w:before="0"/>
              <w:ind w:left="34" w:right="295"/>
              <w:jc w:val="right"/>
            </w:pPr>
            <w:r>
              <w:t>66.75</w:t>
            </w:r>
          </w:p>
        </w:tc>
      </w:tr>
      <w:tr>
        <w:tblPrEx>
          <w:tblCellMar>
            <w:left w:w="108" w:type="dxa"/>
            <w:right w:w="108" w:type="dxa"/>
          </w:tblCellMar>
        </w:tblPrEx>
        <w:tc>
          <w:tcPr>
            <w:tcW w:w="4820" w:type="dxa"/>
          </w:tcPr>
          <w:p>
            <w:pPr>
              <w:pStyle w:val="yTable"/>
              <w:tabs>
                <w:tab w:val="right" w:pos="1735"/>
              </w:tabs>
              <w:spacing w:before="0"/>
              <w:ind w:left="-11" w:firstLine="11"/>
            </w:pPr>
            <w:r>
              <w:t>57945</w:t>
            </w:r>
          </w:p>
        </w:tc>
        <w:tc>
          <w:tcPr>
            <w:tcW w:w="1276" w:type="dxa"/>
          </w:tcPr>
          <w:p>
            <w:pPr>
              <w:pStyle w:val="yTable"/>
              <w:tabs>
                <w:tab w:val="decimal" w:pos="425"/>
                <w:tab w:val="right" w:pos="1418"/>
              </w:tabs>
              <w:spacing w:before="0"/>
              <w:ind w:left="34" w:right="295"/>
              <w:jc w:val="right"/>
            </w:pPr>
            <w:r>
              <w:t>58.35</w:t>
            </w:r>
          </w:p>
        </w:tc>
      </w:tr>
      <w:tr>
        <w:tblPrEx>
          <w:tblCellMar>
            <w:left w:w="108" w:type="dxa"/>
            <w:right w:w="108" w:type="dxa"/>
          </w:tblCellMar>
        </w:tblPrEx>
        <w:tc>
          <w:tcPr>
            <w:tcW w:w="4820" w:type="dxa"/>
          </w:tcPr>
          <w:p>
            <w:pPr>
              <w:pStyle w:val="yTable"/>
              <w:tabs>
                <w:tab w:val="right" w:pos="1735"/>
              </w:tabs>
              <w:spacing w:before="0"/>
              <w:ind w:left="-11" w:firstLine="11"/>
            </w:pPr>
            <w:r>
              <w:t>57960</w:t>
            </w:r>
          </w:p>
        </w:tc>
        <w:tc>
          <w:tcPr>
            <w:tcW w:w="1276" w:type="dxa"/>
          </w:tcPr>
          <w:p>
            <w:pPr>
              <w:pStyle w:val="yTable"/>
              <w:tabs>
                <w:tab w:val="decimal" w:pos="425"/>
                <w:tab w:val="right" w:pos="1418"/>
              </w:tabs>
              <w:spacing w:before="0"/>
              <w:ind w:left="34" w:right="295"/>
              <w:jc w:val="right"/>
            </w:pPr>
            <w:r>
              <w:t>63.75</w:t>
            </w:r>
          </w:p>
        </w:tc>
      </w:tr>
      <w:tr>
        <w:tblPrEx>
          <w:tblCellMar>
            <w:left w:w="108" w:type="dxa"/>
            <w:right w:w="108" w:type="dxa"/>
          </w:tblCellMar>
        </w:tblPrEx>
        <w:tc>
          <w:tcPr>
            <w:tcW w:w="4820" w:type="dxa"/>
          </w:tcPr>
          <w:p>
            <w:pPr>
              <w:pStyle w:val="yTable"/>
              <w:tabs>
                <w:tab w:val="right" w:pos="1735"/>
              </w:tabs>
              <w:spacing w:before="0"/>
              <w:ind w:left="-11" w:firstLine="11"/>
            </w:pPr>
            <w:r>
              <w:t>57963</w:t>
            </w:r>
          </w:p>
        </w:tc>
        <w:tc>
          <w:tcPr>
            <w:tcW w:w="1276" w:type="dxa"/>
          </w:tcPr>
          <w:p>
            <w:pPr>
              <w:pStyle w:val="yTable"/>
              <w:tabs>
                <w:tab w:val="decimal" w:pos="425"/>
                <w:tab w:val="right" w:pos="1418"/>
              </w:tabs>
              <w:spacing w:before="0"/>
              <w:ind w:left="34" w:right="295"/>
              <w:jc w:val="right"/>
            </w:pPr>
            <w:r>
              <w:t>63.75</w:t>
            </w:r>
          </w:p>
        </w:tc>
      </w:tr>
      <w:tr>
        <w:tblPrEx>
          <w:tblCellMar>
            <w:left w:w="108" w:type="dxa"/>
            <w:right w:w="108" w:type="dxa"/>
          </w:tblCellMar>
        </w:tblPrEx>
        <w:tc>
          <w:tcPr>
            <w:tcW w:w="4820" w:type="dxa"/>
          </w:tcPr>
          <w:p>
            <w:pPr>
              <w:pStyle w:val="yTable"/>
              <w:tabs>
                <w:tab w:val="right" w:pos="1735"/>
              </w:tabs>
              <w:spacing w:before="0"/>
              <w:ind w:left="-11" w:firstLine="11"/>
            </w:pPr>
            <w:r>
              <w:t>57966</w:t>
            </w:r>
          </w:p>
        </w:tc>
        <w:tc>
          <w:tcPr>
            <w:tcW w:w="1276" w:type="dxa"/>
          </w:tcPr>
          <w:p>
            <w:pPr>
              <w:pStyle w:val="yTable"/>
              <w:tabs>
                <w:tab w:val="decimal" w:pos="425"/>
                <w:tab w:val="right" w:pos="1418"/>
              </w:tabs>
              <w:spacing w:before="0"/>
              <w:ind w:left="34" w:right="295"/>
              <w:jc w:val="right"/>
            </w:pPr>
            <w:r>
              <w:t>63.75</w:t>
            </w:r>
          </w:p>
        </w:tc>
      </w:tr>
      <w:tr>
        <w:tblPrEx>
          <w:tblCellMar>
            <w:left w:w="108" w:type="dxa"/>
            <w:right w:w="108" w:type="dxa"/>
          </w:tblCellMar>
        </w:tblPrEx>
        <w:tc>
          <w:tcPr>
            <w:tcW w:w="4820" w:type="dxa"/>
          </w:tcPr>
          <w:p>
            <w:pPr>
              <w:pStyle w:val="yTable"/>
              <w:tabs>
                <w:tab w:val="right" w:pos="1735"/>
              </w:tabs>
              <w:spacing w:before="0"/>
              <w:ind w:left="-11" w:firstLine="11"/>
            </w:pPr>
            <w:r>
              <w:t>57969</w:t>
            </w:r>
          </w:p>
        </w:tc>
        <w:tc>
          <w:tcPr>
            <w:tcW w:w="1276" w:type="dxa"/>
          </w:tcPr>
          <w:p>
            <w:pPr>
              <w:pStyle w:val="yTable"/>
              <w:tabs>
                <w:tab w:val="decimal" w:pos="425"/>
                <w:tab w:val="right" w:pos="1418"/>
              </w:tabs>
              <w:spacing w:before="0"/>
              <w:ind w:left="34" w:right="295"/>
              <w:jc w:val="right"/>
            </w:pPr>
            <w:r>
              <w:t>63.75</w:t>
            </w:r>
          </w:p>
        </w:tc>
      </w:tr>
      <w:tr>
        <w:tblPrEx>
          <w:tblCellMar>
            <w:left w:w="108" w:type="dxa"/>
            <w:right w:w="108" w:type="dxa"/>
          </w:tblCellMar>
        </w:tblPrEx>
        <w:tc>
          <w:tcPr>
            <w:tcW w:w="4820" w:type="dxa"/>
          </w:tcPr>
          <w:p>
            <w:pPr>
              <w:pStyle w:val="yTable"/>
              <w:tabs>
                <w:tab w:val="right" w:pos="1735"/>
              </w:tabs>
              <w:spacing w:before="0"/>
              <w:ind w:left="-11" w:firstLine="11"/>
            </w:pPr>
            <w:r>
              <w:t>58100</w:t>
            </w:r>
          </w:p>
        </w:tc>
        <w:tc>
          <w:tcPr>
            <w:tcW w:w="1276" w:type="dxa"/>
          </w:tcPr>
          <w:p>
            <w:pPr>
              <w:pStyle w:val="yTable"/>
              <w:tabs>
                <w:tab w:val="decimal" w:pos="425"/>
                <w:tab w:val="right" w:pos="1418"/>
              </w:tabs>
              <w:spacing w:before="0"/>
              <w:ind w:left="34" w:right="295"/>
              <w:jc w:val="right"/>
            </w:pPr>
            <w:r>
              <w:t>90.30</w:t>
            </w:r>
          </w:p>
        </w:tc>
      </w:tr>
      <w:tr>
        <w:tblPrEx>
          <w:tblCellMar>
            <w:left w:w="108" w:type="dxa"/>
            <w:right w:w="108" w:type="dxa"/>
          </w:tblCellMar>
        </w:tblPrEx>
        <w:tc>
          <w:tcPr>
            <w:tcW w:w="4820" w:type="dxa"/>
          </w:tcPr>
          <w:p>
            <w:pPr>
              <w:pStyle w:val="yTable"/>
              <w:tabs>
                <w:tab w:val="right" w:pos="1735"/>
              </w:tabs>
              <w:spacing w:before="0"/>
              <w:ind w:left="-11" w:firstLine="11"/>
            </w:pPr>
            <w:r>
              <w:t>58103</w:t>
            </w:r>
          </w:p>
        </w:tc>
        <w:tc>
          <w:tcPr>
            <w:tcW w:w="1276" w:type="dxa"/>
          </w:tcPr>
          <w:p>
            <w:pPr>
              <w:pStyle w:val="yTable"/>
              <w:tabs>
                <w:tab w:val="decimal" w:pos="425"/>
                <w:tab w:val="right" w:pos="1418"/>
              </w:tabs>
              <w:spacing w:before="0"/>
              <w:ind w:left="34" w:right="295"/>
              <w:jc w:val="right"/>
            </w:pPr>
            <w:r>
              <w:t>74.10</w:t>
            </w:r>
          </w:p>
        </w:tc>
      </w:tr>
      <w:tr>
        <w:tblPrEx>
          <w:tblCellMar>
            <w:left w:w="108" w:type="dxa"/>
            <w:right w:w="108" w:type="dxa"/>
          </w:tblCellMar>
        </w:tblPrEx>
        <w:tc>
          <w:tcPr>
            <w:tcW w:w="4820" w:type="dxa"/>
          </w:tcPr>
          <w:p>
            <w:pPr>
              <w:pStyle w:val="yTable"/>
              <w:tabs>
                <w:tab w:val="right" w:pos="1735"/>
              </w:tabs>
              <w:spacing w:before="0"/>
              <w:ind w:left="-11" w:firstLine="11"/>
            </w:pPr>
            <w:r>
              <w:t>58106</w:t>
            </w:r>
          </w:p>
        </w:tc>
        <w:tc>
          <w:tcPr>
            <w:tcW w:w="1276" w:type="dxa"/>
          </w:tcPr>
          <w:p>
            <w:pPr>
              <w:pStyle w:val="yTable"/>
              <w:tabs>
                <w:tab w:val="decimal" w:pos="425"/>
                <w:tab w:val="right" w:pos="1418"/>
              </w:tabs>
              <w:spacing w:before="0"/>
              <w:ind w:left="34" w:right="295"/>
              <w:jc w:val="right"/>
            </w:pPr>
            <w:r>
              <w:t>103.55</w:t>
            </w:r>
          </w:p>
        </w:tc>
      </w:tr>
      <w:tr>
        <w:tblPrEx>
          <w:tblCellMar>
            <w:left w:w="108" w:type="dxa"/>
            <w:right w:w="108" w:type="dxa"/>
          </w:tblCellMar>
        </w:tblPrEx>
        <w:tc>
          <w:tcPr>
            <w:tcW w:w="4820" w:type="dxa"/>
          </w:tcPr>
          <w:p>
            <w:pPr>
              <w:pStyle w:val="yTable"/>
              <w:tabs>
                <w:tab w:val="right" w:pos="1735"/>
              </w:tabs>
              <w:spacing w:before="0"/>
              <w:ind w:left="-11" w:firstLine="11"/>
            </w:pPr>
            <w:r>
              <w:t>58108</w:t>
            </w:r>
          </w:p>
        </w:tc>
        <w:tc>
          <w:tcPr>
            <w:tcW w:w="1276" w:type="dxa"/>
          </w:tcPr>
          <w:p>
            <w:pPr>
              <w:pStyle w:val="yTable"/>
              <w:tabs>
                <w:tab w:val="decimal" w:pos="425"/>
                <w:tab w:val="right" w:pos="1418"/>
              </w:tabs>
              <w:spacing w:before="0"/>
              <w:ind w:left="34" w:right="295"/>
              <w:jc w:val="right"/>
            </w:pPr>
            <w:r>
              <w:t>178.70</w:t>
            </w:r>
          </w:p>
        </w:tc>
      </w:tr>
      <w:tr>
        <w:tblPrEx>
          <w:tblCellMar>
            <w:left w:w="108" w:type="dxa"/>
            <w:right w:w="108" w:type="dxa"/>
          </w:tblCellMar>
        </w:tblPrEx>
        <w:tc>
          <w:tcPr>
            <w:tcW w:w="4820" w:type="dxa"/>
          </w:tcPr>
          <w:p>
            <w:pPr>
              <w:pStyle w:val="yTable"/>
              <w:tabs>
                <w:tab w:val="right" w:pos="1735"/>
              </w:tabs>
              <w:spacing w:before="0"/>
              <w:ind w:left="-11" w:firstLine="11"/>
            </w:pPr>
            <w:r>
              <w:t>58109</w:t>
            </w:r>
          </w:p>
        </w:tc>
        <w:tc>
          <w:tcPr>
            <w:tcW w:w="1276" w:type="dxa"/>
          </w:tcPr>
          <w:p>
            <w:pPr>
              <w:pStyle w:val="yTable"/>
              <w:tabs>
                <w:tab w:val="decimal" w:pos="425"/>
                <w:tab w:val="right" w:pos="1418"/>
              </w:tabs>
              <w:spacing w:before="0"/>
              <w:ind w:left="34" w:right="295"/>
              <w:jc w:val="right"/>
            </w:pPr>
            <w:r>
              <w:t>63.20</w:t>
            </w:r>
          </w:p>
        </w:tc>
      </w:tr>
      <w:tr>
        <w:tblPrEx>
          <w:tblCellMar>
            <w:left w:w="108" w:type="dxa"/>
            <w:right w:w="108" w:type="dxa"/>
          </w:tblCellMar>
        </w:tblPrEx>
        <w:tc>
          <w:tcPr>
            <w:tcW w:w="4820" w:type="dxa"/>
          </w:tcPr>
          <w:p>
            <w:pPr>
              <w:pStyle w:val="yTable"/>
              <w:tabs>
                <w:tab w:val="right" w:pos="1735"/>
              </w:tabs>
              <w:spacing w:before="0"/>
              <w:ind w:left="-11" w:firstLine="11"/>
            </w:pPr>
            <w:r>
              <w:t>58112</w:t>
            </w:r>
          </w:p>
        </w:tc>
        <w:tc>
          <w:tcPr>
            <w:tcW w:w="1276" w:type="dxa"/>
          </w:tcPr>
          <w:p>
            <w:pPr>
              <w:pStyle w:val="yTable"/>
              <w:tabs>
                <w:tab w:val="decimal" w:pos="425"/>
                <w:tab w:val="right" w:pos="1418"/>
              </w:tabs>
              <w:spacing w:before="0"/>
              <w:ind w:left="34" w:right="295"/>
              <w:jc w:val="right"/>
            </w:pPr>
            <w:r>
              <w:t>130.80</w:t>
            </w:r>
          </w:p>
        </w:tc>
      </w:tr>
      <w:tr>
        <w:tblPrEx>
          <w:tblCellMar>
            <w:left w:w="108" w:type="dxa"/>
            <w:right w:w="108" w:type="dxa"/>
          </w:tblCellMar>
        </w:tblPrEx>
        <w:tc>
          <w:tcPr>
            <w:tcW w:w="4820" w:type="dxa"/>
          </w:tcPr>
          <w:p>
            <w:pPr>
              <w:pStyle w:val="yTable"/>
              <w:tabs>
                <w:tab w:val="right" w:pos="1735"/>
              </w:tabs>
              <w:spacing w:before="0"/>
              <w:ind w:left="-11" w:firstLine="11"/>
            </w:pPr>
            <w:r>
              <w:t>58115</w:t>
            </w:r>
          </w:p>
        </w:tc>
        <w:tc>
          <w:tcPr>
            <w:tcW w:w="1276" w:type="dxa"/>
          </w:tcPr>
          <w:p>
            <w:pPr>
              <w:pStyle w:val="yTable"/>
              <w:tabs>
                <w:tab w:val="decimal" w:pos="425"/>
                <w:tab w:val="right" w:pos="1418"/>
              </w:tabs>
              <w:spacing w:before="0"/>
              <w:ind w:left="34" w:right="295"/>
              <w:jc w:val="right"/>
            </w:pPr>
            <w:r>
              <w:t>178.70</w:t>
            </w:r>
          </w:p>
        </w:tc>
      </w:tr>
      <w:tr>
        <w:tblPrEx>
          <w:tblCellMar>
            <w:left w:w="108" w:type="dxa"/>
            <w:right w:w="108" w:type="dxa"/>
          </w:tblCellMar>
        </w:tblPrEx>
        <w:tc>
          <w:tcPr>
            <w:tcW w:w="4820" w:type="dxa"/>
          </w:tcPr>
          <w:p>
            <w:pPr>
              <w:pStyle w:val="yTable"/>
              <w:tabs>
                <w:tab w:val="right" w:pos="1735"/>
              </w:tabs>
              <w:spacing w:before="0"/>
              <w:ind w:left="-11" w:firstLine="11"/>
            </w:pPr>
            <w:r>
              <w:t>58300</w:t>
            </w:r>
          </w:p>
        </w:tc>
        <w:tc>
          <w:tcPr>
            <w:tcW w:w="1276" w:type="dxa"/>
          </w:tcPr>
          <w:p>
            <w:pPr>
              <w:pStyle w:val="yTable"/>
              <w:tabs>
                <w:tab w:val="decimal" w:pos="425"/>
                <w:tab w:val="right" w:pos="1418"/>
              </w:tabs>
              <w:spacing w:before="0"/>
              <w:ind w:left="34" w:right="295"/>
              <w:jc w:val="right"/>
            </w:pPr>
            <w:r>
              <w:t>53.95</w:t>
            </w:r>
          </w:p>
        </w:tc>
      </w:tr>
      <w:tr>
        <w:tblPrEx>
          <w:tblCellMar>
            <w:left w:w="108" w:type="dxa"/>
            <w:right w:w="108" w:type="dxa"/>
          </w:tblCellMar>
        </w:tblPrEx>
        <w:tc>
          <w:tcPr>
            <w:tcW w:w="4820" w:type="dxa"/>
          </w:tcPr>
          <w:p>
            <w:pPr>
              <w:pStyle w:val="yTable"/>
              <w:tabs>
                <w:tab w:val="right" w:pos="1735"/>
              </w:tabs>
              <w:spacing w:before="0"/>
              <w:ind w:left="-11" w:firstLine="11"/>
            </w:pPr>
            <w:r>
              <w:t>58306</w:t>
            </w:r>
          </w:p>
        </w:tc>
        <w:tc>
          <w:tcPr>
            <w:tcW w:w="1276" w:type="dxa"/>
          </w:tcPr>
          <w:p>
            <w:pPr>
              <w:pStyle w:val="yTable"/>
              <w:tabs>
                <w:tab w:val="decimal" w:pos="425"/>
                <w:tab w:val="right" w:pos="1418"/>
              </w:tabs>
              <w:spacing w:before="0"/>
              <w:ind w:left="34" w:right="295"/>
              <w:jc w:val="right"/>
            </w:pPr>
            <w:r>
              <w:t>120.25</w:t>
            </w:r>
          </w:p>
        </w:tc>
      </w:tr>
      <w:tr>
        <w:tblPrEx>
          <w:tblCellMar>
            <w:left w:w="108" w:type="dxa"/>
            <w:right w:w="108" w:type="dxa"/>
          </w:tblCellMar>
        </w:tblPrEx>
        <w:tc>
          <w:tcPr>
            <w:tcW w:w="4820" w:type="dxa"/>
          </w:tcPr>
          <w:p>
            <w:pPr>
              <w:pStyle w:val="yTable"/>
              <w:tabs>
                <w:tab w:val="right" w:pos="1735"/>
              </w:tabs>
              <w:spacing w:before="0"/>
              <w:ind w:left="-11" w:firstLine="11"/>
            </w:pPr>
            <w:r>
              <w:t>58500</w:t>
            </w:r>
          </w:p>
        </w:tc>
        <w:tc>
          <w:tcPr>
            <w:tcW w:w="1276" w:type="dxa"/>
          </w:tcPr>
          <w:p>
            <w:pPr>
              <w:pStyle w:val="yTable"/>
              <w:tabs>
                <w:tab w:val="decimal" w:pos="425"/>
                <w:tab w:val="right" w:pos="1418"/>
              </w:tabs>
              <w:spacing w:before="0"/>
              <w:ind w:left="34" w:right="295"/>
              <w:jc w:val="right"/>
            </w:pPr>
            <w:r>
              <w:t>47.55</w:t>
            </w:r>
          </w:p>
        </w:tc>
      </w:tr>
      <w:tr>
        <w:tblPrEx>
          <w:tblCellMar>
            <w:left w:w="108" w:type="dxa"/>
            <w:right w:w="108" w:type="dxa"/>
          </w:tblCellMar>
        </w:tblPrEx>
        <w:tc>
          <w:tcPr>
            <w:tcW w:w="4820" w:type="dxa"/>
          </w:tcPr>
          <w:p>
            <w:pPr>
              <w:pStyle w:val="yTable"/>
              <w:tabs>
                <w:tab w:val="right" w:pos="1735"/>
              </w:tabs>
              <w:spacing w:before="0"/>
              <w:ind w:left="-11" w:firstLine="11"/>
            </w:pPr>
            <w:r>
              <w:t>58503</w:t>
            </w:r>
          </w:p>
        </w:tc>
        <w:tc>
          <w:tcPr>
            <w:tcW w:w="1276" w:type="dxa"/>
          </w:tcPr>
          <w:p>
            <w:pPr>
              <w:pStyle w:val="yTable"/>
              <w:tabs>
                <w:tab w:val="decimal" w:pos="425"/>
                <w:tab w:val="right" w:pos="1418"/>
              </w:tabs>
              <w:spacing w:before="0"/>
              <w:ind w:left="34" w:right="295"/>
              <w:jc w:val="right"/>
            </w:pPr>
            <w:r>
              <w:t>63.40</w:t>
            </w:r>
          </w:p>
        </w:tc>
      </w:tr>
      <w:tr>
        <w:tblPrEx>
          <w:tblCellMar>
            <w:left w:w="108" w:type="dxa"/>
            <w:right w:w="108" w:type="dxa"/>
          </w:tblCellMar>
        </w:tblPrEx>
        <w:tc>
          <w:tcPr>
            <w:tcW w:w="4820" w:type="dxa"/>
          </w:tcPr>
          <w:p>
            <w:pPr>
              <w:pStyle w:val="yTable"/>
              <w:tabs>
                <w:tab w:val="right" w:pos="1735"/>
              </w:tabs>
              <w:spacing w:before="0"/>
              <w:ind w:left="-11" w:firstLine="11"/>
            </w:pPr>
            <w:r>
              <w:t>58506</w:t>
            </w:r>
          </w:p>
        </w:tc>
        <w:tc>
          <w:tcPr>
            <w:tcW w:w="1276" w:type="dxa"/>
          </w:tcPr>
          <w:p>
            <w:pPr>
              <w:pStyle w:val="yTable"/>
              <w:tabs>
                <w:tab w:val="decimal" w:pos="425"/>
                <w:tab w:val="right" w:pos="1418"/>
              </w:tabs>
              <w:spacing w:before="0"/>
              <w:ind w:left="34" w:right="295"/>
              <w:jc w:val="right"/>
            </w:pPr>
            <w:r>
              <w:t>81.70</w:t>
            </w:r>
          </w:p>
        </w:tc>
      </w:tr>
      <w:tr>
        <w:tblPrEx>
          <w:tblCellMar>
            <w:left w:w="108" w:type="dxa"/>
            <w:right w:w="108" w:type="dxa"/>
          </w:tblCellMar>
        </w:tblPrEx>
        <w:tc>
          <w:tcPr>
            <w:tcW w:w="4820" w:type="dxa"/>
          </w:tcPr>
          <w:p>
            <w:pPr>
              <w:pStyle w:val="yTable"/>
              <w:tabs>
                <w:tab w:val="right" w:pos="1735"/>
              </w:tabs>
              <w:spacing w:before="0"/>
              <w:ind w:left="-11" w:firstLine="11"/>
            </w:pPr>
            <w:r>
              <w:t>58509</w:t>
            </w:r>
          </w:p>
        </w:tc>
        <w:tc>
          <w:tcPr>
            <w:tcW w:w="1276" w:type="dxa"/>
          </w:tcPr>
          <w:p>
            <w:pPr>
              <w:pStyle w:val="yTable"/>
              <w:tabs>
                <w:tab w:val="decimal" w:pos="425"/>
                <w:tab w:val="right" w:pos="1418"/>
              </w:tabs>
              <w:spacing w:before="0"/>
              <w:ind w:left="34" w:right="295"/>
              <w:jc w:val="right"/>
            </w:pPr>
            <w:r>
              <w:t>53.45</w:t>
            </w:r>
          </w:p>
        </w:tc>
      </w:tr>
      <w:tr>
        <w:tblPrEx>
          <w:tblCellMar>
            <w:left w:w="108" w:type="dxa"/>
            <w:right w:w="108" w:type="dxa"/>
          </w:tblCellMar>
        </w:tblPrEx>
        <w:tc>
          <w:tcPr>
            <w:tcW w:w="4820" w:type="dxa"/>
          </w:tcPr>
          <w:p>
            <w:pPr>
              <w:pStyle w:val="yTable"/>
              <w:tabs>
                <w:tab w:val="right" w:pos="1735"/>
              </w:tabs>
              <w:spacing w:before="0"/>
              <w:ind w:left="-11" w:firstLine="11"/>
            </w:pPr>
            <w:r>
              <w:t>58521</w:t>
            </w:r>
          </w:p>
        </w:tc>
        <w:tc>
          <w:tcPr>
            <w:tcW w:w="1276" w:type="dxa"/>
          </w:tcPr>
          <w:p>
            <w:pPr>
              <w:pStyle w:val="yTable"/>
              <w:tabs>
                <w:tab w:val="decimal" w:pos="425"/>
                <w:tab w:val="right" w:pos="1418"/>
              </w:tabs>
              <w:spacing w:before="0"/>
              <w:ind w:left="34" w:right="295"/>
              <w:jc w:val="right"/>
            </w:pPr>
            <w:r>
              <w:t>58.35</w:t>
            </w:r>
          </w:p>
        </w:tc>
      </w:tr>
      <w:tr>
        <w:tblPrEx>
          <w:tblCellMar>
            <w:left w:w="108" w:type="dxa"/>
            <w:right w:w="108" w:type="dxa"/>
          </w:tblCellMar>
        </w:tblPrEx>
        <w:tc>
          <w:tcPr>
            <w:tcW w:w="4820" w:type="dxa"/>
          </w:tcPr>
          <w:p>
            <w:pPr>
              <w:pStyle w:val="yTable"/>
              <w:tabs>
                <w:tab w:val="right" w:pos="1735"/>
              </w:tabs>
              <w:spacing w:before="0"/>
              <w:ind w:left="-11" w:firstLine="11"/>
            </w:pPr>
            <w:r>
              <w:t>58524</w:t>
            </w:r>
          </w:p>
        </w:tc>
        <w:tc>
          <w:tcPr>
            <w:tcW w:w="1276" w:type="dxa"/>
          </w:tcPr>
          <w:p>
            <w:pPr>
              <w:pStyle w:val="yTable"/>
              <w:tabs>
                <w:tab w:val="decimal" w:pos="425"/>
                <w:tab w:val="right" w:pos="1418"/>
              </w:tabs>
              <w:spacing w:before="0"/>
              <w:ind w:left="34" w:right="295"/>
              <w:jc w:val="right"/>
            </w:pPr>
            <w:r>
              <w:t>76.00</w:t>
            </w:r>
          </w:p>
        </w:tc>
      </w:tr>
      <w:tr>
        <w:tblPrEx>
          <w:tblCellMar>
            <w:left w:w="108" w:type="dxa"/>
            <w:right w:w="108" w:type="dxa"/>
          </w:tblCellMar>
        </w:tblPrEx>
        <w:tc>
          <w:tcPr>
            <w:tcW w:w="4820" w:type="dxa"/>
          </w:tcPr>
          <w:p>
            <w:pPr>
              <w:pStyle w:val="yTable"/>
              <w:tabs>
                <w:tab w:val="right" w:pos="1735"/>
              </w:tabs>
              <w:spacing w:before="0"/>
              <w:ind w:left="-11" w:firstLine="11"/>
            </w:pPr>
            <w:r>
              <w:t>58527</w:t>
            </w:r>
          </w:p>
        </w:tc>
        <w:tc>
          <w:tcPr>
            <w:tcW w:w="1276" w:type="dxa"/>
          </w:tcPr>
          <w:p>
            <w:pPr>
              <w:pStyle w:val="yTable"/>
              <w:tabs>
                <w:tab w:val="decimal" w:pos="425"/>
                <w:tab w:val="right" w:pos="1418"/>
              </w:tabs>
              <w:spacing w:before="0"/>
              <w:ind w:left="34" w:right="295"/>
              <w:jc w:val="right"/>
            </w:pPr>
            <w:r>
              <w:t>93.35</w:t>
            </w:r>
          </w:p>
        </w:tc>
      </w:tr>
      <w:tr>
        <w:tblPrEx>
          <w:tblCellMar>
            <w:left w:w="108" w:type="dxa"/>
            <w:right w:w="108" w:type="dxa"/>
          </w:tblCellMar>
        </w:tblPrEx>
        <w:tc>
          <w:tcPr>
            <w:tcW w:w="4820" w:type="dxa"/>
          </w:tcPr>
          <w:p>
            <w:pPr>
              <w:pStyle w:val="yTable"/>
              <w:tabs>
                <w:tab w:val="right" w:pos="1735"/>
              </w:tabs>
              <w:spacing w:before="0"/>
              <w:ind w:left="-11" w:firstLine="11"/>
            </w:pPr>
            <w:r>
              <w:t>58700</w:t>
            </w:r>
          </w:p>
        </w:tc>
        <w:tc>
          <w:tcPr>
            <w:tcW w:w="1276" w:type="dxa"/>
          </w:tcPr>
          <w:p>
            <w:pPr>
              <w:pStyle w:val="yTable"/>
              <w:tabs>
                <w:tab w:val="decimal" w:pos="425"/>
                <w:tab w:val="right" w:pos="1418"/>
              </w:tabs>
              <w:spacing w:before="0"/>
              <w:ind w:left="34" w:right="295"/>
              <w:jc w:val="right"/>
            </w:pPr>
            <w:r>
              <w:t>61.95</w:t>
            </w:r>
          </w:p>
        </w:tc>
      </w:tr>
      <w:tr>
        <w:tblPrEx>
          <w:tblCellMar>
            <w:left w:w="108" w:type="dxa"/>
            <w:right w:w="108" w:type="dxa"/>
          </w:tblCellMar>
        </w:tblPrEx>
        <w:tc>
          <w:tcPr>
            <w:tcW w:w="4820" w:type="dxa"/>
          </w:tcPr>
          <w:p>
            <w:pPr>
              <w:pStyle w:val="yTable"/>
              <w:tabs>
                <w:tab w:val="right" w:pos="1735"/>
              </w:tabs>
              <w:spacing w:before="0"/>
              <w:ind w:left="-11" w:firstLine="11"/>
            </w:pPr>
            <w:r>
              <w:t>58706</w:t>
            </w:r>
          </w:p>
        </w:tc>
        <w:tc>
          <w:tcPr>
            <w:tcW w:w="1276" w:type="dxa"/>
          </w:tcPr>
          <w:p>
            <w:pPr>
              <w:pStyle w:val="yTable"/>
              <w:tabs>
                <w:tab w:val="decimal" w:pos="425"/>
                <w:tab w:val="right" w:pos="1418"/>
              </w:tabs>
              <w:spacing w:before="0"/>
              <w:ind w:left="34" w:right="295"/>
              <w:jc w:val="right"/>
            </w:pPr>
            <w:r>
              <w:t>212.35</w:t>
            </w:r>
          </w:p>
        </w:tc>
      </w:tr>
      <w:tr>
        <w:tblPrEx>
          <w:tblCellMar>
            <w:left w:w="108" w:type="dxa"/>
            <w:right w:w="108" w:type="dxa"/>
          </w:tblCellMar>
        </w:tblPrEx>
        <w:tc>
          <w:tcPr>
            <w:tcW w:w="4820" w:type="dxa"/>
          </w:tcPr>
          <w:p>
            <w:pPr>
              <w:pStyle w:val="yTable"/>
              <w:tabs>
                <w:tab w:val="right" w:pos="1735"/>
              </w:tabs>
              <w:spacing w:before="0"/>
              <w:ind w:left="-11" w:firstLine="11"/>
            </w:pPr>
            <w:r>
              <w:t>58715</w:t>
            </w:r>
          </w:p>
        </w:tc>
        <w:tc>
          <w:tcPr>
            <w:tcW w:w="1276" w:type="dxa"/>
          </w:tcPr>
          <w:p>
            <w:pPr>
              <w:pStyle w:val="yTable"/>
              <w:tabs>
                <w:tab w:val="decimal" w:pos="425"/>
                <w:tab w:val="right" w:pos="1418"/>
              </w:tabs>
              <w:spacing w:before="0"/>
              <w:ind w:left="34" w:right="295"/>
              <w:jc w:val="right"/>
            </w:pPr>
            <w:r>
              <w:t>203.80</w:t>
            </w:r>
          </w:p>
        </w:tc>
      </w:tr>
      <w:tr>
        <w:tblPrEx>
          <w:tblCellMar>
            <w:left w:w="108" w:type="dxa"/>
            <w:right w:w="108" w:type="dxa"/>
          </w:tblCellMar>
        </w:tblPrEx>
        <w:tc>
          <w:tcPr>
            <w:tcW w:w="4820" w:type="dxa"/>
          </w:tcPr>
          <w:p>
            <w:pPr>
              <w:pStyle w:val="yTable"/>
              <w:tabs>
                <w:tab w:val="right" w:pos="1735"/>
              </w:tabs>
              <w:spacing w:before="0"/>
              <w:ind w:left="-11" w:firstLine="11"/>
            </w:pPr>
            <w:r>
              <w:t>58718</w:t>
            </w:r>
          </w:p>
        </w:tc>
        <w:tc>
          <w:tcPr>
            <w:tcW w:w="1276" w:type="dxa"/>
          </w:tcPr>
          <w:p>
            <w:pPr>
              <w:pStyle w:val="yTable"/>
              <w:tabs>
                <w:tab w:val="decimal" w:pos="425"/>
                <w:tab w:val="right" w:pos="1418"/>
              </w:tabs>
              <w:spacing w:before="0"/>
              <w:ind w:left="34" w:right="295"/>
              <w:jc w:val="right"/>
            </w:pPr>
            <w:r>
              <w:t>169.60</w:t>
            </w:r>
          </w:p>
        </w:tc>
      </w:tr>
      <w:tr>
        <w:tblPrEx>
          <w:tblCellMar>
            <w:left w:w="108" w:type="dxa"/>
            <w:right w:w="108" w:type="dxa"/>
          </w:tblCellMar>
        </w:tblPrEx>
        <w:tc>
          <w:tcPr>
            <w:tcW w:w="4820" w:type="dxa"/>
          </w:tcPr>
          <w:p>
            <w:pPr>
              <w:pStyle w:val="yTable"/>
              <w:tabs>
                <w:tab w:val="right" w:pos="1735"/>
              </w:tabs>
              <w:spacing w:before="0"/>
              <w:ind w:left="-11" w:firstLine="11"/>
            </w:pPr>
            <w:r>
              <w:t>58721</w:t>
            </w:r>
          </w:p>
        </w:tc>
        <w:tc>
          <w:tcPr>
            <w:tcW w:w="1276" w:type="dxa"/>
          </w:tcPr>
          <w:p>
            <w:pPr>
              <w:pStyle w:val="yTable"/>
              <w:tabs>
                <w:tab w:val="decimal" w:pos="425"/>
                <w:tab w:val="right" w:pos="1418"/>
              </w:tabs>
              <w:spacing w:before="0"/>
              <w:ind w:left="34" w:right="295"/>
              <w:jc w:val="right"/>
            </w:pPr>
            <w:r>
              <w:t>185.90</w:t>
            </w:r>
          </w:p>
        </w:tc>
      </w:tr>
      <w:tr>
        <w:tblPrEx>
          <w:tblCellMar>
            <w:left w:w="108" w:type="dxa"/>
            <w:right w:w="108" w:type="dxa"/>
          </w:tblCellMar>
        </w:tblPrEx>
        <w:tc>
          <w:tcPr>
            <w:tcW w:w="4820" w:type="dxa"/>
          </w:tcPr>
          <w:p>
            <w:pPr>
              <w:pStyle w:val="yTable"/>
              <w:tabs>
                <w:tab w:val="right" w:pos="1735"/>
              </w:tabs>
              <w:spacing w:before="0"/>
              <w:ind w:left="-11" w:firstLine="11"/>
            </w:pPr>
            <w:r>
              <w:t>58900</w:t>
            </w:r>
          </w:p>
        </w:tc>
        <w:tc>
          <w:tcPr>
            <w:tcW w:w="1276" w:type="dxa"/>
          </w:tcPr>
          <w:p>
            <w:pPr>
              <w:pStyle w:val="yTable"/>
              <w:tabs>
                <w:tab w:val="decimal" w:pos="425"/>
                <w:tab w:val="right" w:pos="1418"/>
              </w:tabs>
              <w:spacing w:before="0"/>
              <w:ind w:left="34" w:right="295"/>
              <w:jc w:val="right"/>
            </w:pPr>
            <w:r>
              <w:t>48.00</w:t>
            </w:r>
          </w:p>
        </w:tc>
      </w:tr>
      <w:tr>
        <w:tblPrEx>
          <w:tblCellMar>
            <w:left w:w="108" w:type="dxa"/>
            <w:right w:w="108" w:type="dxa"/>
          </w:tblCellMar>
        </w:tblPrEx>
        <w:tc>
          <w:tcPr>
            <w:tcW w:w="4820" w:type="dxa"/>
          </w:tcPr>
          <w:p>
            <w:pPr>
              <w:pStyle w:val="yTable"/>
              <w:tabs>
                <w:tab w:val="right" w:pos="1735"/>
              </w:tabs>
              <w:spacing w:before="0"/>
              <w:ind w:left="-11" w:firstLine="11"/>
            </w:pPr>
            <w:r>
              <w:t>58903</w:t>
            </w:r>
          </w:p>
        </w:tc>
        <w:tc>
          <w:tcPr>
            <w:tcW w:w="1276" w:type="dxa"/>
          </w:tcPr>
          <w:p>
            <w:pPr>
              <w:pStyle w:val="yTable"/>
              <w:tabs>
                <w:tab w:val="decimal" w:pos="425"/>
                <w:tab w:val="right" w:pos="1418"/>
              </w:tabs>
              <w:spacing w:before="0"/>
              <w:ind w:left="34" w:right="295"/>
              <w:jc w:val="right"/>
            </w:pPr>
            <w:r>
              <w:t>64.00</w:t>
            </w:r>
          </w:p>
        </w:tc>
      </w:tr>
      <w:tr>
        <w:tblPrEx>
          <w:tblCellMar>
            <w:left w:w="108" w:type="dxa"/>
            <w:right w:w="108" w:type="dxa"/>
          </w:tblCellMar>
        </w:tblPrEx>
        <w:tc>
          <w:tcPr>
            <w:tcW w:w="4820" w:type="dxa"/>
          </w:tcPr>
          <w:p>
            <w:pPr>
              <w:pStyle w:val="yTable"/>
              <w:tabs>
                <w:tab w:val="right" w:pos="1735"/>
              </w:tabs>
              <w:spacing w:before="0"/>
              <w:ind w:left="-11" w:firstLine="11"/>
            </w:pPr>
            <w:r>
              <w:t>58909</w:t>
            </w:r>
          </w:p>
        </w:tc>
        <w:tc>
          <w:tcPr>
            <w:tcW w:w="1276" w:type="dxa"/>
          </w:tcPr>
          <w:p>
            <w:pPr>
              <w:pStyle w:val="yTable"/>
              <w:tabs>
                <w:tab w:val="decimal" w:pos="425"/>
                <w:tab w:val="right" w:pos="1418"/>
              </w:tabs>
              <w:spacing w:before="0"/>
              <w:ind w:left="34" w:right="295"/>
              <w:jc w:val="right"/>
            </w:pPr>
            <w:r>
              <w:t>120.95</w:t>
            </w:r>
          </w:p>
        </w:tc>
      </w:tr>
      <w:tr>
        <w:tblPrEx>
          <w:tblCellMar>
            <w:left w:w="108" w:type="dxa"/>
            <w:right w:w="108" w:type="dxa"/>
          </w:tblCellMar>
        </w:tblPrEx>
        <w:tc>
          <w:tcPr>
            <w:tcW w:w="4820" w:type="dxa"/>
          </w:tcPr>
          <w:p>
            <w:pPr>
              <w:pStyle w:val="yTable"/>
              <w:tabs>
                <w:tab w:val="right" w:pos="1735"/>
              </w:tabs>
              <w:spacing w:before="0"/>
              <w:ind w:left="-11" w:firstLine="11"/>
            </w:pPr>
            <w:r>
              <w:t>58912</w:t>
            </w:r>
          </w:p>
        </w:tc>
        <w:tc>
          <w:tcPr>
            <w:tcW w:w="1276" w:type="dxa"/>
          </w:tcPr>
          <w:p>
            <w:pPr>
              <w:pStyle w:val="yTable"/>
              <w:tabs>
                <w:tab w:val="decimal" w:pos="425"/>
                <w:tab w:val="right" w:pos="1418"/>
              </w:tabs>
              <w:spacing w:before="0"/>
              <w:ind w:left="34" w:right="295"/>
              <w:jc w:val="right"/>
            </w:pPr>
            <w:r>
              <w:t>148.25</w:t>
            </w:r>
          </w:p>
        </w:tc>
      </w:tr>
      <w:tr>
        <w:tblPrEx>
          <w:tblCellMar>
            <w:left w:w="108" w:type="dxa"/>
            <w:right w:w="108" w:type="dxa"/>
          </w:tblCellMar>
        </w:tblPrEx>
        <w:tc>
          <w:tcPr>
            <w:tcW w:w="4820" w:type="dxa"/>
          </w:tcPr>
          <w:p>
            <w:pPr>
              <w:pStyle w:val="yTable"/>
              <w:tabs>
                <w:tab w:val="right" w:pos="1735"/>
              </w:tabs>
              <w:spacing w:before="0"/>
              <w:ind w:left="-11" w:firstLine="11"/>
            </w:pPr>
            <w:r>
              <w:t>58915</w:t>
            </w:r>
          </w:p>
        </w:tc>
        <w:tc>
          <w:tcPr>
            <w:tcW w:w="1276" w:type="dxa"/>
          </w:tcPr>
          <w:p>
            <w:pPr>
              <w:pStyle w:val="yTable"/>
              <w:tabs>
                <w:tab w:val="decimal" w:pos="425"/>
                <w:tab w:val="right" w:pos="1418"/>
              </w:tabs>
              <w:spacing w:before="0"/>
              <w:ind w:left="34" w:right="295"/>
              <w:jc w:val="right"/>
            </w:pPr>
            <w:r>
              <w:t>106.15</w:t>
            </w:r>
          </w:p>
        </w:tc>
      </w:tr>
      <w:tr>
        <w:tblPrEx>
          <w:tblCellMar>
            <w:left w:w="108" w:type="dxa"/>
            <w:right w:w="108" w:type="dxa"/>
          </w:tblCellMar>
        </w:tblPrEx>
        <w:tc>
          <w:tcPr>
            <w:tcW w:w="4820" w:type="dxa"/>
          </w:tcPr>
          <w:p>
            <w:pPr>
              <w:pStyle w:val="yTable"/>
              <w:tabs>
                <w:tab w:val="right" w:pos="1735"/>
              </w:tabs>
              <w:spacing w:before="0"/>
              <w:ind w:left="-11" w:firstLine="11"/>
            </w:pPr>
            <w:r>
              <w:t>58916</w:t>
            </w:r>
          </w:p>
        </w:tc>
        <w:tc>
          <w:tcPr>
            <w:tcW w:w="1276" w:type="dxa"/>
          </w:tcPr>
          <w:p>
            <w:pPr>
              <w:pStyle w:val="yTable"/>
              <w:tabs>
                <w:tab w:val="decimal" w:pos="425"/>
                <w:tab w:val="right" w:pos="1418"/>
              </w:tabs>
              <w:spacing w:before="0"/>
              <w:ind w:left="34" w:right="295"/>
              <w:jc w:val="right"/>
            </w:pPr>
            <w:r>
              <w:t>186.25</w:t>
            </w:r>
          </w:p>
        </w:tc>
      </w:tr>
      <w:tr>
        <w:tblPrEx>
          <w:tblCellMar>
            <w:left w:w="108" w:type="dxa"/>
            <w:right w:w="108" w:type="dxa"/>
          </w:tblCellMar>
        </w:tblPrEx>
        <w:tc>
          <w:tcPr>
            <w:tcW w:w="4820" w:type="dxa"/>
          </w:tcPr>
          <w:p>
            <w:pPr>
              <w:pStyle w:val="yTable"/>
              <w:tabs>
                <w:tab w:val="right" w:pos="1735"/>
              </w:tabs>
              <w:spacing w:before="0"/>
              <w:ind w:left="-11" w:firstLine="11"/>
            </w:pPr>
            <w:r>
              <w:t>58921</w:t>
            </w:r>
          </w:p>
        </w:tc>
        <w:tc>
          <w:tcPr>
            <w:tcW w:w="1276" w:type="dxa"/>
          </w:tcPr>
          <w:p>
            <w:pPr>
              <w:pStyle w:val="yTable"/>
              <w:tabs>
                <w:tab w:val="decimal" w:pos="425"/>
                <w:tab w:val="right" w:pos="1418"/>
              </w:tabs>
              <w:spacing w:before="0"/>
              <w:ind w:left="34" w:right="295"/>
              <w:jc w:val="right"/>
            </w:pPr>
            <w:r>
              <w:t>181.90</w:t>
            </w:r>
          </w:p>
        </w:tc>
      </w:tr>
      <w:tr>
        <w:tblPrEx>
          <w:tblCellMar>
            <w:left w:w="108" w:type="dxa"/>
            <w:right w:w="108" w:type="dxa"/>
          </w:tblCellMar>
        </w:tblPrEx>
        <w:tc>
          <w:tcPr>
            <w:tcW w:w="4820" w:type="dxa"/>
          </w:tcPr>
          <w:p>
            <w:pPr>
              <w:pStyle w:val="yTable"/>
              <w:tabs>
                <w:tab w:val="right" w:pos="1735"/>
              </w:tabs>
              <w:spacing w:before="0"/>
              <w:ind w:left="-11" w:firstLine="11"/>
            </w:pPr>
            <w:r>
              <w:t>58924</w:t>
            </w:r>
          </w:p>
        </w:tc>
        <w:tc>
          <w:tcPr>
            <w:tcW w:w="1276" w:type="dxa"/>
          </w:tcPr>
          <w:p>
            <w:pPr>
              <w:pStyle w:val="yTable"/>
              <w:tabs>
                <w:tab w:val="decimal" w:pos="425"/>
                <w:tab w:val="right" w:pos="1418"/>
              </w:tabs>
              <w:spacing w:before="0"/>
              <w:ind w:left="34" w:right="295"/>
              <w:jc w:val="right"/>
            </w:pPr>
            <w:r>
              <w:t>113.05</w:t>
            </w:r>
          </w:p>
        </w:tc>
      </w:tr>
      <w:tr>
        <w:tblPrEx>
          <w:tblCellMar>
            <w:left w:w="108" w:type="dxa"/>
            <w:right w:w="108" w:type="dxa"/>
          </w:tblCellMar>
        </w:tblPrEx>
        <w:tc>
          <w:tcPr>
            <w:tcW w:w="4820" w:type="dxa"/>
          </w:tcPr>
          <w:p>
            <w:pPr>
              <w:pStyle w:val="yTable"/>
              <w:tabs>
                <w:tab w:val="right" w:pos="1735"/>
              </w:tabs>
              <w:spacing w:before="0"/>
              <w:ind w:left="-11" w:firstLine="11"/>
            </w:pPr>
            <w:r>
              <w:t>58927</w:t>
            </w:r>
          </w:p>
        </w:tc>
        <w:tc>
          <w:tcPr>
            <w:tcW w:w="1276" w:type="dxa"/>
          </w:tcPr>
          <w:p>
            <w:pPr>
              <w:pStyle w:val="yTable"/>
              <w:tabs>
                <w:tab w:val="decimal" w:pos="425"/>
                <w:tab w:val="right" w:pos="1418"/>
              </w:tabs>
              <w:spacing w:before="0"/>
              <w:ind w:left="34" w:right="295"/>
              <w:jc w:val="right"/>
            </w:pPr>
            <w:r>
              <w:t>102.80</w:t>
            </w:r>
          </w:p>
        </w:tc>
      </w:tr>
      <w:tr>
        <w:tblPrEx>
          <w:tblCellMar>
            <w:left w:w="108" w:type="dxa"/>
            <w:right w:w="108" w:type="dxa"/>
          </w:tblCellMar>
        </w:tblPrEx>
        <w:tc>
          <w:tcPr>
            <w:tcW w:w="4820" w:type="dxa"/>
          </w:tcPr>
          <w:p>
            <w:pPr>
              <w:pStyle w:val="yTable"/>
              <w:tabs>
                <w:tab w:val="right" w:pos="1735"/>
              </w:tabs>
              <w:spacing w:before="0"/>
              <w:ind w:left="-11" w:firstLine="11"/>
            </w:pPr>
            <w:r>
              <w:t>58933</w:t>
            </w:r>
          </w:p>
        </w:tc>
        <w:tc>
          <w:tcPr>
            <w:tcW w:w="1276" w:type="dxa"/>
          </w:tcPr>
          <w:p>
            <w:pPr>
              <w:pStyle w:val="yTable"/>
              <w:tabs>
                <w:tab w:val="decimal" w:pos="425"/>
                <w:tab w:val="right" w:pos="1418"/>
              </w:tabs>
              <w:spacing w:before="0"/>
              <w:ind w:left="34" w:right="295"/>
              <w:jc w:val="right"/>
            </w:pPr>
            <w:r>
              <w:t>276.50</w:t>
            </w:r>
          </w:p>
        </w:tc>
      </w:tr>
      <w:tr>
        <w:tblPrEx>
          <w:tblCellMar>
            <w:left w:w="108" w:type="dxa"/>
            <w:right w:w="108" w:type="dxa"/>
          </w:tblCellMar>
        </w:tblPrEx>
        <w:tc>
          <w:tcPr>
            <w:tcW w:w="4820" w:type="dxa"/>
          </w:tcPr>
          <w:p>
            <w:pPr>
              <w:pStyle w:val="yTable"/>
              <w:tabs>
                <w:tab w:val="right" w:pos="1735"/>
              </w:tabs>
              <w:spacing w:before="0"/>
              <w:ind w:left="-11" w:firstLine="11"/>
            </w:pPr>
            <w:r>
              <w:t>58936</w:t>
            </w:r>
          </w:p>
        </w:tc>
        <w:tc>
          <w:tcPr>
            <w:tcW w:w="1276" w:type="dxa"/>
          </w:tcPr>
          <w:p>
            <w:pPr>
              <w:pStyle w:val="yTable"/>
              <w:tabs>
                <w:tab w:val="decimal" w:pos="425"/>
                <w:tab w:val="right" w:pos="1418"/>
              </w:tabs>
              <w:spacing w:before="0"/>
              <w:ind w:left="34" w:right="295"/>
              <w:jc w:val="right"/>
            </w:pPr>
            <w:r>
              <w:t>263.50</w:t>
            </w:r>
          </w:p>
        </w:tc>
      </w:tr>
      <w:tr>
        <w:tblPrEx>
          <w:tblCellMar>
            <w:left w:w="108" w:type="dxa"/>
            <w:right w:w="108" w:type="dxa"/>
          </w:tblCellMar>
        </w:tblPrEx>
        <w:tc>
          <w:tcPr>
            <w:tcW w:w="4820" w:type="dxa"/>
          </w:tcPr>
          <w:p>
            <w:pPr>
              <w:pStyle w:val="yTable"/>
              <w:tabs>
                <w:tab w:val="right" w:pos="1735"/>
              </w:tabs>
              <w:spacing w:before="0"/>
              <w:ind w:left="-11" w:firstLine="11"/>
            </w:pPr>
            <w:r>
              <w:t>58939</w:t>
            </w:r>
          </w:p>
        </w:tc>
        <w:tc>
          <w:tcPr>
            <w:tcW w:w="1276" w:type="dxa"/>
          </w:tcPr>
          <w:p>
            <w:pPr>
              <w:pStyle w:val="yTable"/>
              <w:tabs>
                <w:tab w:val="decimal" w:pos="425"/>
                <w:tab w:val="right" w:pos="1418"/>
              </w:tabs>
              <w:spacing w:before="0"/>
              <w:ind w:left="34" w:right="295"/>
              <w:jc w:val="right"/>
            </w:pPr>
            <w:r>
              <w:t>187.35</w:t>
            </w:r>
          </w:p>
        </w:tc>
      </w:tr>
      <w:tr>
        <w:tblPrEx>
          <w:tblCellMar>
            <w:left w:w="108" w:type="dxa"/>
            <w:right w:w="108" w:type="dxa"/>
          </w:tblCellMar>
        </w:tblPrEx>
        <w:tc>
          <w:tcPr>
            <w:tcW w:w="4820" w:type="dxa"/>
          </w:tcPr>
          <w:p>
            <w:pPr>
              <w:pStyle w:val="yTable"/>
              <w:tabs>
                <w:tab w:val="right" w:pos="1735"/>
              </w:tabs>
              <w:spacing w:before="0"/>
              <w:ind w:left="-11" w:firstLine="11"/>
            </w:pPr>
            <w:r>
              <w:t>59103</w:t>
            </w:r>
          </w:p>
        </w:tc>
        <w:tc>
          <w:tcPr>
            <w:tcW w:w="1276" w:type="dxa"/>
          </w:tcPr>
          <w:p>
            <w:pPr>
              <w:pStyle w:val="yTable"/>
              <w:tabs>
                <w:tab w:val="decimal" w:pos="425"/>
                <w:tab w:val="right" w:pos="1418"/>
              </w:tabs>
              <w:spacing w:before="0"/>
              <w:ind w:left="34" w:right="295"/>
              <w:jc w:val="right"/>
            </w:pPr>
            <w:r>
              <w:t>28.65</w:t>
            </w:r>
          </w:p>
        </w:tc>
      </w:tr>
      <w:tr>
        <w:tblPrEx>
          <w:tblCellMar>
            <w:left w:w="108" w:type="dxa"/>
            <w:right w:w="108" w:type="dxa"/>
          </w:tblCellMar>
        </w:tblPrEx>
        <w:tc>
          <w:tcPr>
            <w:tcW w:w="4820" w:type="dxa"/>
          </w:tcPr>
          <w:p>
            <w:pPr>
              <w:pStyle w:val="yTable"/>
              <w:tabs>
                <w:tab w:val="right" w:pos="1735"/>
              </w:tabs>
              <w:spacing w:before="0"/>
              <w:ind w:left="-11" w:firstLine="11"/>
            </w:pPr>
            <w:r>
              <w:t>59300</w:t>
            </w:r>
          </w:p>
        </w:tc>
        <w:tc>
          <w:tcPr>
            <w:tcW w:w="1276" w:type="dxa"/>
          </w:tcPr>
          <w:p>
            <w:pPr>
              <w:pStyle w:val="yTable"/>
              <w:tabs>
                <w:tab w:val="decimal" w:pos="425"/>
                <w:tab w:val="right" w:pos="1418"/>
              </w:tabs>
              <w:spacing w:before="0"/>
              <w:ind w:left="34" w:right="295"/>
              <w:jc w:val="right"/>
            </w:pPr>
            <w:r>
              <w:t>120.35</w:t>
            </w:r>
          </w:p>
        </w:tc>
      </w:tr>
      <w:tr>
        <w:tblPrEx>
          <w:tblCellMar>
            <w:left w:w="108" w:type="dxa"/>
            <w:right w:w="108" w:type="dxa"/>
          </w:tblCellMar>
        </w:tblPrEx>
        <w:tc>
          <w:tcPr>
            <w:tcW w:w="4820" w:type="dxa"/>
          </w:tcPr>
          <w:p>
            <w:pPr>
              <w:pStyle w:val="yTable"/>
              <w:tabs>
                <w:tab w:val="right" w:pos="1735"/>
              </w:tabs>
              <w:spacing w:before="0"/>
              <w:ind w:left="-11" w:firstLine="11"/>
            </w:pPr>
            <w:r>
              <w:t>59303</w:t>
            </w:r>
          </w:p>
        </w:tc>
        <w:tc>
          <w:tcPr>
            <w:tcW w:w="1276" w:type="dxa"/>
          </w:tcPr>
          <w:p>
            <w:pPr>
              <w:pStyle w:val="yTable"/>
              <w:tabs>
                <w:tab w:val="decimal" w:pos="425"/>
                <w:tab w:val="right" w:pos="1418"/>
              </w:tabs>
              <w:spacing w:before="0"/>
              <w:ind w:left="34" w:right="295"/>
              <w:jc w:val="right"/>
            </w:pPr>
            <w:r>
              <w:t>72.55</w:t>
            </w:r>
          </w:p>
        </w:tc>
      </w:tr>
      <w:tr>
        <w:tblPrEx>
          <w:tblCellMar>
            <w:left w:w="108" w:type="dxa"/>
            <w:right w:w="108" w:type="dxa"/>
          </w:tblCellMar>
        </w:tblPrEx>
        <w:tc>
          <w:tcPr>
            <w:tcW w:w="4820" w:type="dxa"/>
          </w:tcPr>
          <w:p>
            <w:pPr>
              <w:pStyle w:val="yTable"/>
              <w:tabs>
                <w:tab w:val="right" w:pos="1735"/>
              </w:tabs>
              <w:spacing w:before="0"/>
              <w:ind w:left="-11" w:firstLine="11"/>
            </w:pPr>
            <w:r>
              <w:t>59306</w:t>
            </w:r>
          </w:p>
        </w:tc>
        <w:tc>
          <w:tcPr>
            <w:tcW w:w="1276" w:type="dxa"/>
          </w:tcPr>
          <w:p>
            <w:pPr>
              <w:pStyle w:val="yTable"/>
              <w:tabs>
                <w:tab w:val="decimal" w:pos="425"/>
                <w:tab w:val="right" w:pos="1418"/>
              </w:tabs>
              <w:spacing w:before="0"/>
              <w:ind w:left="34" w:right="295"/>
              <w:jc w:val="right"/>
            </w:pPr>
            <w:r>
              <w:t>134.90</w:t>
            </w:r>
          </w:p>
        </w:tc>
      </w:tr>
      <w:tr>
        <w:tblPrEx>
          <w:tblCellMar>
            <w:left w:w="108" w:type="dxa"/>
            <w:right w:w="108" w:type="dxa"/>
          </w:tblCellMar>
        </w:tblPrEx>
        <w:tc>
          <w:tcPr>
            <w:tcW w:w="4820" w:type="dxa"/>
          </w:tcPr>
          <w:p>
            <w:pPr>
              <w:pStyle w:val="yTable"/>
              <w:tabs>
                <w:tab w:val="right" w:pos="1735"/>
              </w:tabs>
              <w:spacing w:before="0"/>
              <w:ind w:left="-11" w:firstLine="11"/>
            </w:pPr>
            <w:r>
              <w:t>59309</w:t>
            </w:r>
          </w:p>
        </w:tc>
        <w:tc>
          <w:tcPr>
            <w:tcW w:w="1276" w:type="dxa"/>
          </w:tcPr>
          <w:p>
            <w:pPr>
              <w:pStyle w:val="yTable"/>
              <w:tabs>
                <w:tab w:val="decimal" w:pos="425"/>
                <w:tab w:val="right" w:pos="1418"/>
              </w:tabs>
              <w:spacing w:before="0"/>
              <w:ind w:left="34" w:right="295"/>
              <w:jc w:val="right"/>
            </w:pPr>
            <w:r>
              <w:t>269.75</w:t>
            </w:r>
          </w:p>
        </w:tc>
      </w:tr>
      <w:tr>
        <w:tblPrEx>
          <w:tblCellMar>
            <w:left w:w="108" w:type="dxa"/>
            <w:right w:w="108" w:type="dxa"/>
          </w:tblCellMar>
        </w:tblPrEx>
        <w:tc>
          <w:tcPr>
            <w:tcW w:w="4820" w:type="dxa"/>
          </w:tcPr>
          <w:p>
            <w:pPr>
              <w:pStyle w:val="yTable"/>
              <w:tabs>
                <w:tab w:val="right" w:pos="1735"/>
              </w:tabs>
              <w:spacing w:before="0"/>
              <w:ind w:left="-11" w:firstLine="11"/>
            </w:pPr>
            <w:r>
              <w:t>59312</w:t>
            </w:r>
          </w:p>
        </w:tc>
        <w:tc>
          <w:tcPr>
            <w:tcW w:w="1276" w:type="dxa"/>
          </w:tcPr>
          <w:p>
            <w:pPr>
              <w:pStyle w:val="yTable"/>
              <w:tabs>
                <w:tab w:val="decimal" w:pos="425"/>
                <w:tab w:val="right" w:pos="1418"/>
              </w:tabs>
              <w:spacing w:before="0"/>
              <w:ind w:left="34" w:right="295"/>
              <w:jc w:val="right"/>
            </w:pPr>
            <w:r>
              <w:t>117.00</w:t>
            </w:r>
          </w:p>
        </w:tc>
      </w:tr>
      <w:tr>
        <w:tblPrEx>
          <w:tblCellMar>
            <w:left w:w="108" w:type="dxa"/>
            <w:right w:w="108" w:type="dxa"/>
          </w:tblCellMar>
        </w:tblPrEx>
        <w:tc>
          <w:tcPr>
            <w:tcW w:w="4820" w:type="dxa"/>
          </w:tcPr>
          <w:p>
            <w:pPr>
              <w:pStyle w:val="yTable"/>
              <w:tabs>
                <w:tab w:val="right" w:pos="1735"/>
              </w:tabs>
              <w:spacing w:before="0"/>
              <w:ind w:left="-11" w:firstLine="11"/>
            </w:pPr>
            <w:r>
              <w:t>59314</w:t>
            </w:r>
          </w:p>
        </w:tc>
        <w:tc>
          <w:tcPr>
            <w:tcW w:w="1276" w:type="dxa"/>
          </w:tcPr>
          <w:p>
            <w:pPr>
              <w:pStyle w:val="yTable"/>
              <w:tabs>
                <w:tab w:val="decimal" w:pos="425"/>
                <w:tab w:val="right" w:pos="1418"/>
              </w:tabs>
              <w:spacing w:before="0"/>
              <w:ind w:left="34" w:right="295"/>
              <w:jc w:val="right"/>
            </w:pPr>
            <w:r>
              <w:t>70.60</w:t>
            </w:r>
          </w:p>
        </w:tc>
      </w:tr>
      <w:tr>
        <w:tblPrEx>
          <w:tblCellMar>
            <w:left w:w="108" w:type="dxa"/>
            <w:right w:w="108" w:type="dxa"/>
          </w:tblCellMar>
        </w:tblPrEx>
        <w:tc>
          <w:tcPr>
            <w:tcW w:w="4820" w:type="dxa"/>
          </w:tcPr>
          <w:p>
            <w:pPr>
              <w:pStyle w:val="yTable"/>
              <w:tabs>
                <w:tab w:val="right" w:pos="1735"/>
              </w:tabs>
              <w:spacing w:before="0"/>
              <w:ind w:left="-11" w:firstLine="11"/>
            </w:pPr>
            <w:r>
              <w:t>59318</w:t>
            </w:r>
          </w:p>
        </w:tc>
        <w:tc>
          <w:tcPr>
            <w:tcW w:w="1276" w:type="dxa"/>
          </w:tcPr>
          <w:p>
            <w:pPr>
              <w:pStyle w:val="yTable"/>
              <w:tabs>
                <w:tab w:val="decimal" w:pos="425"/>
                <w:tab w:val="right" w:pos="1418"/>
              </w:tabs>
              <w:spacing w:before="0"/>
              <w:ind w:left="34" w:right="295"/>
              <w:jc w:val="right"/>
            </w:pPr>
            <w:r>
              <w:t>63.25</w:t>
            </w:r>
          </w:p>
        </w:tc>
      </w:tr>
      <w:tr>
        <w:tblPrEx>
          <w:tblCellMar>
            <w:left w:w="108" w:type="dxa"/>
            <w:right w:w="108" w:type="dxa"/>
          </w:tblCellMar>
        </w:tblPrEx>
        <w:tc>
          <w:tcPr>
            <w:tcW w:w="4820" w:type="dxa"/>
          </w:tcPr>
          <w:p>
            <w:pPr>
              <w:pStyle w:val="yTable"/>
              <w:tabs>
                <w:tab w:val="right" w:pos="1735"/>
              </w:tabs>
              <w:spacing w:before="0"/>
              <w:ind w:left="-11" w:firstLine="11"/>
            </w:pPr>
            <w:r>
              <w:t>59503</w:t>
            </w:r>
          </w:p>
        </w:tc>
        <w:tc>
          <w:tcPr>
            <w:tcW w:w="1276" w:type="dxa"/>
          </w:tcPr>
          <w:p>
            <w:pPr>
              <w:pStyle w:val="yTable"/>
              <w:tabs>
                <w:tab w:val="decimal" w:pos="425"/>
                <w:tab w:val="right" w:pos="1418"/>
              </w:tabs>
              <w:spacing w:before="0"/>
              <w:ind w:left="34" w:right="295"/>
              <w:jc w:val="right"/>
            </w:pPr>
            <w:r>
              <w:t>120.25</w:t>
            </w:r>
          </w:p>
        </w:tc>
      </w:tr>
      <w:tr>
        <w:tblPrEx>
          <w:tblCellMar>
            <w:left w:w="108" w:type="dxa"/>
            <w:right w:w="108" w:type="dxa"/>
          </w:tblCellMar>
        </w:tblPrEx>
        <w:tc>
          <w:tcPr>
            <w:tcW w:w="4820" w:type="dxa"/>
          </w:tcPr>
          <w:p>
            <w:pPr>
              <w:pStyle w:val="yTable"/>
              <w:tabs>
                <w:tab w:val="right" w:pos="1735"/>
              </w:tabs>
              <w:spacing w:before="0"/>
              <w:ind w:left="-11" w:firstLine="11"/>
            </w:pPr>
            <w:r>
              <w:t>59700</w:t>
            </w:r>
          </w:p>
        </w:tc>
        <w:tc>
          <w:tcPr>
            <w:tcW w:w="1276" w:type="dxa"/>
          </w:tcPr>
          <w:p>
            <w:pPr>
              <w:pStyle w:val="yTable"/>
              <w:tabs>
                <w:tab w:val="decimal" w:pos="425"/>
                <w:tab w:val="right" w:pos="1418"/>
              </w:tabs>
              <w:spacing w:before="0"/>
              <w:ind w:left="34" w:right="295"/>
              <w:jc w:val="right"/>
            </w:pPr>
            <w:r>
              <w:t>129.85</w:t>
            </w:r>
          </w:p>
        </w:tc>
      </w:tr>
      <w:tr>
        <w:tblPrEx>
          <w:tblCellMar>
            <w:left w:w="108" w:type="dxa"/>
            <w:right w:w="108" w:type="dxa"/>
          </w:tblCellMar>
        </w:tblPrEx>
        <w:tc>
          <w:tcPr>
            <w:tcW w:w="4820" w:type="dxa"/>
          </w:tcPr>
          <w:p>
            <w:pPr>
              <w:pStyle w:val="yTable"/>
              <w:tabs>
                <w:tab w:val="right" w:pos="1735"/>
              </w:tabs>
              <w:spacing w:before="0"/>
              <w:ind w:left="-11" w:firstLine="11"/>
            </w:pPr>
            <w:r>
              <w:t>59703</w:t>
            </w:r>
          </w:p>
        </w:tc>
        <w:tc>
          <w:tcPr>
            <w:tcW w:w="1276" w:type="dxa"/>
          </w:tcPr>
          <w:p>
            <w:pPr>
              <w:pStyle w:val="yTable"/>
              <w:tabs>
                <w:tab w:val="decimal" w:pos="425"/>
                <w:tab w:val="right" w:pos="1418"/>
              </w:tabs>
              <w:spacing w:before="0"/>
              <w:ind w:left="34" w:right="295"/>
              <w:jc w:val="right"/>
            </w:pPr>
            <w:r>
              <w:t>102.05</w:t>
            </w:r>
          </w:p>
        </w:tc>
      </w:tr>
      <w:tr>
        <w:tblPrEx>
          <w:tblCellMar>
            <w:left w:w="108" w:type="dxa"/>
            <w:right w:w="108" w:type="dxa"/>
          </w:tblCellMar>
        </w:tblPrEx>
        <w:tc>
          <w:tcPr>
            <w:tcW w:w="4820" w:type="dxa"/>
          </w:tcPr>
          <w:p>
            <w:pPr>
              <w:pStyle w:val="yTable"/>
              <w:tabs>
                <w:tab w:val="right" w:pos="1735"/>
              </w:tabs>
              <w:spacing w:before="0"/>
              <w:ind w:left="-11" w:firstLine="11"/>
            </w:pPr>
            <w:r>
              <w:t>59712</w:t>
            </w:r>
          </w:p>
        </w:tc>
        <w:tc>
          <w:tcPr>
            <w:tcW w:w="1276" w:type="dxa"/>
          </w:tcPr>
          <w:p>
            <w:pPr>
              <w:pStyle w:val="yTable"/>
              <w:tabs>
                <w:tab w:val="decimal" w:pos="425"/>
                <w:tab w:val="right" w:pos="1418"/>
              </w:tabs>
              <w:spacing w:before="0"/>
              <w:ind w:left="34" w:right="295"/>
              <w:jc w:val="right"/>
            </w:pPr>
            <w:r>
              <w:t>152.90</w:t>
            </w:r>
          </w:p>
        </w:tc>
      </w:tr>
      <w:tr>
        <w:tblPrEx>
          <w:tblCellMar>
            <w:left w:w="108" w:type="dxa"/>
            <w:right w:w="108" w:type="dxa"/>
          </w:tblCellMar>
        </w:tblPrEx>
        <w:tc>
          <w:tcPr>
            <w:tcW w:w="4820" w:type="dxa"/>
          </w:tcPr>
          <w:p>
            <w:pPr>
              <w:pStyle w:val="yTable"/>
              <w:tabs>
                <w:tab w:val="right" w:pos="1735"/>
              </w:tabs>
              <w:spacing w:before="0"/>
              <w:ind w:left="-11" w:firstLine="11"/>
            </w:pPr>
            <w:r>
              <w:t>59715</w:t>
            </w:r>
          </w:p>
        </w:tc>
        <w:tc>
          <w:tcPr>
            <w:tcW w:w="1276" w:type="dxa"/>
          </w:tcPr>
          <w:p>
            <w:pPr>
              <w:pStyle w:val="yTable"/>
              <w:tabs>
                <w:tab w:val="decimal" w:pos="425"/>
                <w:tab w:val="right" w:pos="1418"/>
              </w:tabs>
              <w:spacing w:before="0"/>
              <w:ind w:left="34" w:right="295"/>
              <w:jc w:val="right"/>
            </w:pPr>
            <w:r>
              <w:t>193.05</w:t>
            </w:r>
          </w:p>
        </w:tc>
      </w:tr>
      <w:tr>
        <w:tblPrEx>
          <w:tblCellMar>
            <w:left w:w="108" w:type="dxa"/>
            <w:right w:w="108" w:type="dxa"/>
          </w:tblCellMar>
        </w:tblPrEx>
        <w:tc>
          <w:tcPr>
            <w:tcW w:w="4820" w:type="dxa"/>
          </w:tcPr>
          <w:p>
            <w:pPr>
              <w:pStyle w:val="yTable"/>
              <w:tabs>
                <w:tab w:val="right" w:pos="1735"/>
              </w:tabs>
              <w:spacing w:before="0"/>
              <w:ind w:left="-11" w:firstLine="11"/>
            </w:pPr>
            <w:r>
              <w:t>59718</w:t>
            </w:r>
          </w:p>
        </w:tc>
        <w:tc>
          <w:tcPr>
            <w:tcW w:w="1276" w:type="dxa"/>
          </w:tcPr>
          <w:p>
            <w:pPr>
              <w:pStyle w:val="yTable"/>
              <w:tabs>
                <w:tab w:val="decimal" w:pos="425"/>
                <w:tab w:val="right" w:pos="1418"/>
              </w:tabs>
              <w:spacing w:before="0"/>
              <w:ind w:left="34" w:right="295"/>
              <w:jc w:val="right"/>
            </w:pPr>
            <w:r>
              <w:t>181.10</w:t>
            </w:r>
          </w:p>
        </w:tc>
      </w:tr>
      <w:tr>
        <w:tblPrEx>
          <w:tblCellMar>
            <w:left w:w="108" w:type="dxa"/>
            <w:right w:w="108" w:type="dxa"/>
          </w:tblCellMar>
        </w:tblPrEx>
        <w:tc>
          <w:tcPr>
            <w:tcW w:w="4820" w:type="dxa"/>
          </w:tcPr>
          <w:p>
            <w:pPr>
              <w:pStyle w:val="yTable"/>
              <w:tabs>
                <w:tab w:val="right" w:pos="1735"/>
              </w:tabs>
              <w:spacing w:before="0"/>
              <w:ind w:left="-11" w:firstLine="11"/>
            </w:pPr>
            <w:r>
              <w:t>59724</w:t>
            </w:r>
          </w:p>
        </w:tc>
        <w:tc>
          <w:tcPr>
            <w:tcW w:w="1276" w:type="dxa"/>
          </w:tcPr>
          <w:p>
            <w:pPr>
              <w:pStyle w:val="yTable"/>
              <w:tabs>
                <w:tab w:val="decimal" w:pos="425"/>
                <w:tab w:val="right" w:pos="1418"/>
              </w:tabs>
              <w:spacing w:before="0"/>
              <w:ind w:left="34" w:right="295"/>
              <w:jc w:val="right"/>
            </w:pPr>
            <w:r>
              <w:t>304.55</w:t>
            </w:r>
          </w:p>
        </w:tc>
      </w:tr>
      <w:tr>
        <w:tblPrEx>
          <w:tblCellMar>
            <w:left w:w="108" w:type="dxa"/>
            <w:right w:w="108" w:type="dxa"/>
          </w:tblCellMar>
        </w:tblPrEx>
        <w:tc>
          <w:tcPr>
            <w:tcW w:w="4820" w:type="dxa"/>
          </w:tcPr>
          <w:p>
            <w:pPr>
              <w:pStyle w:val="yTable"/>
              <w:tabs>
                <w:tab w:val="right" w:pos="1735"/>
              </w:tabs>
              <w:spacing w:before="0"/>
              <w:ind w:left="-11" w:firstLine="11"/>
            </w:pPr>
            <w:r>
              <w:t>59733</w:t>
            </w:r>
          </w:p>
        </w:tc>
        <w:tc>
          <w:tcPr>
            <w:tcW w:w="1276" w:type="dxa"/>
          </w:tcPr>
          <w:p>
            <w:pPr>
              <w:pStyle w:val="yTable"/>
              <w:tabs>
                <w:tab w:val="decimal" w:pos="425"/>
                <w:tab w:val="right" w:pos="1418"/>
              </w:tabs>
              <w:spacing w:before="0"/>
              <w:ind w:left="34" w:right="295"/>
              <w:jc w:val="right"/>
            </w:pPr>
            <w:r>
              <w:t>144.85</w:t>
            </w:r>
          </w:p>
        </w:tc>
      </w:tr>
      <w:tr>
        <w:tblPrEx>
          <w:tblCellMar>
            <w:left w:w="108" w:type="dxa"/>
            <w:right w:w="108" w:type="dxa"/>
          </w:tblCellMar>
        </w:tblPrEx>
        <w:tc>
          <w:tcPr>
            <w:tcW w:w="4820" w:type="dxa"/>
          </w:tcPr>
          <w:p>
            <w:pPr>
              <w:pStyle w:val="yTable"/>
              <w:tabs>
                <w:tab w:val="right" w:pos="1735"/>
              </w:tabs>
              <w:spacing w:before="0"/>
              <w:ind w:left="-11" w:firstLine="11"/>
            </w:pPr>
            <w:r>
              <w:t>59736</w:t>
            </w:r>
          </w:p>
        </w:tc>
        <w:tc>
          <w:tcPr>
            <w:tcW w:w="1276" w:type="dxa"/>
          </w:tcPr>
          <w:p>
            <w:pPr>
              <w:pStyle w:val="yTable"/>
              <w:tabs>
                <w:tab w:val="decimal" w:pos="425"/>
                <w:tab w:val="right" w:pos="1418"/>
              </w:tabs>
              <w:spacing w:before="0"/>
              <w:ind w:left="34" w:right="295"/>
              <w:jc w:val="right"/>
            </w:pPr>
            <w:r>
              <w:t>83.40</w:t>
            </w:r>
          </w:p>
        </w:tc>
      </w:tr>
      <w:tr>
        <w:tblPrEx>
          <w:tblCellMar>
            <w:left w:w="108" w:type="dxa"/>
            <w:right w:w="108" w:type="dxa"/>
          </w:tblCellMar>
        </w:tblPrEx>
        <w:tc>
          <w:tcPr>
            <w:tcW w:w="4820" w:type="dxa"/>
          </w:tcPr>
          <w:p>
            <w:pPr>
              <w:pStyle w:val="yTable"/>
              <w:tabs>
                <w:tab w:val="right" w:pos="1735"/>
              </w:tabs>
              <w:spacing w:before="0"/>
              <w:ind w:left="-11" w:firstLine="11"/>
            </w:pPr>
            <w:r>
              <w:t>59739</w:t>
            </w:r>
          </w:p>
        </w:tc>
        <w:tc>
          <w:tcPr>
            <w:tcW w:w="1276" w:type="dxa"/>
          </w:tcPr>
          <w:p>
            <w:pPr>
              <w:pStyle w:val="yTable"/>
              <w:tabs>
                <w:tab w:val="decimal" w:pos="425"/>
                <w:tab w:val="right" w:pos="1418"/>
              </w:tabs>
              <w:spacing w:before="0"/>
              <w:ind w:left="34" w:right="295"/>
              <w:jc w:val="right"/>
            </w:pPr>
            <w:r>
              <w:t>99.20</w:t>
            </w:r>
          </w:p>
        </w:tc>
      </w:tr>
      <w:tr>
        <w:tblPrEx>
          <w:tblCellMar>
            <w:left w:w="108" w:type="dxa"/>
            <w:right w:w="108" w:type="dxa"/>
          </w:tblCellMar>
        </w:tblPrEx>
        <w:tc>
          <w:tcPr>
            <w:tcW w:w="4820" w:type="dxa"/>
          </w:tcPr>
          <w:p>
            <w:pPr>
              <w:pStyle w:val="yTable"/>
              <w:tabs>
                <w:tab w:val="right" w:pos="1735"/>
              </w:tabs>
              <w:spacing w:before="0"/>
              <w:ind w:left="-11" w:firstLine="11"/>
            </w:pPr>
            <w:r>
              <w:t>59751</w:t>
            </w:r>
          </w:p>
        </w:tc>
        <w:tc>
          <w:tcPr>
            <w:tcW w:w="1276" w:type="dxa"/>
          </w:tcPr>
          <w:p>
            <w:pPr>
              <w:pStyle w:val="yTable"/>
              <w:tabs>
                <w:tab w:val="decimal" w:pos="425"/>
                <w:tab w:val="right" w:pos="1418"/>
              </w:tabs>
              <w:spacing w:before="0"/>
              <w:ind w:left="34" w:right="295"/>
              <w:jc w:val="right"/>
            </w:pPr>
            <w:r>
              <w:t>187.15</w:t>
            </w:r>
          </w:p>
        </w:tc>
      </w:tr>
      <w:tr>
        <w:tblPrEx>
          <w:tblCellMar>
            <w:left w:w="108" w:type="dxa"/>
            <w:right w:w="108" w:type="dxa"/>
          </w:tblCellMar>
        </w:tblPrEx>
        <w:tc>
          <w:tcPr>
            <w:tcW w:w="4820" w:type="dxa"/>
          </w:tcPr>
          <w:p>
            <w:pPr>
              <w:pStyle w:val="yTable"/>
              <w:tabs>
                <w:tab w:val="right" w:pos="1735"/>
              </w:tabs>
              <w:spacing w:before="0"/>
              <w:ind w:left="-11" w:firstLine="11"/>
            </w:pPr>
            <w:r>
              <w:t>59754</w:t>
            </w:r>
          </w:p>
        </w:tc>
        <w:tc>
          <w:tcPr>
            <w:tcW w:w="1276" w:type="dxa"/>
          </w:tcPr>
          <w:p>
            <w:pPr>
              <w:pStyle w:val="yTable"/>
              <w:tabs>
                <w:tab w:val="decimal" w:pos="425"/>
                <w:tab w:val="right" w:pos="1418"/>
              </w:tabs>
              <w:spacing w:before="0"/>
              <w:ind w:left="34" w:right="295"/>
              <w:jc w:val="right"/>
            </w:pPr>
            <w:r>
              <w:t>295.00</w:t>
            </w:r>
          </w:p>
        </w:tc>
      </w:tr>
      <w:tr>
        <w:tblPrEx>
          <w:tblCellMar>
            <w:left w:w="108" w:type="dxa"/>
            <w:right w:w="108" w:type="dxa"/>
          </w:tblCellMar>
        </w:tblPrEx>
        <w:tc>
          <w:tcPr>
            <w:tcW w:w="4820" w:type="dxa"/>
          </w:tcPr>
          <w:p>
            <w:pPr>
              <w:pStyle w:val="yTable"/>
              <w:tabs>
                <w:tab w:val="right" w:pos="1735"/>
              </w:tabs>
              <w:spacing w:before="0"/>
              <w:ind w:left="-11" w:firstLine="11"/>
            </w:pPr>
            <w:r>
              <w:t>59760</w:t>
            </w:r>
          </w:p>
        </w:tc>
        <w:tc>
          <w:tcPr>
            <w:tcW w:w="1276" w:type="dxa"/>
          </w:tcPr>
          <w:p>
            <w:pPr>
              <w:pStyle w:val="yTable"/>
              <w:tabs>
                <w:tab w:val="decimal" w:pos="425"/>
                <w:tab w:val="right" w:pos="1418"/>
              </w:tabs>
              <w:spacing w:before="0"/>
              <w:ind w:left="34" w:right="295"/>
              <w:jc w:val="right"/>
            </w:pPr>
            <w:r>
              <w:t>154.85</w:t>
            </w:r>
          </w:p>
        </w:tc>
      </w:tr>
      <w:tr>
        <w:tblPrEx>
          <w:tblCellMar>
            <w:left w:w="108" w:type="dxa"/>
            <w:right w:w="108" w:type="dxa"/>
          </w:tblCellMar>
        </w:tblPrEx>
        <w:tc>
          <w:tcPr>
            <w:tcW w:w="4820" w:type="dxa"/>
          </w:tcPr>
          <w:p>
            <w:pPr>
              <w:pStyle w:val="yTable"/>
              <w:tabs>
                <w:tab w:val="right" w:pos="1735"/>
              </w:tabs>
              <w:spacing w:before="0"/>
              <w:ind w:left="-11" w:firstLine="11"/>
            </w:pPr>
            <w:r>
              <w:t>59763</w:t>
            </w:r>
          </w:p>
        </w:tc>
        <w:tc>
          <w:tcPr>
            <w:tcW w:w="1276" w:type="dxa"/>
          </w:tcPr>
          <w:p>
            <w:pPr>
              <w:pStyle w:val="yTable"/>
              <w:tabs>
                <w:tab w:val="decimal" w:pos="425"/>
                <w:tab w:val="right" w:pos="1418"/>
              </w:tabs>
              <w:spacing w:before="0"/>
              <w:ind w:left="34" w:right="295"/>
              <w:jc w:val="right"/>
            </w:pPr>
            <w:r>
              <w:t>180.05</w:t>
            </w:r>
          </w:p>
        </w:tc>
      </w:tr>
      <w:tr>
        <w:tblPrEx>
          <w:tblCellMar>
            <w:left w:w="108" w:type="dxa"/>
            <w:right w:w="108" w:type="dxa"/>
          </w:tblCellMar>
        </w:tblPrEx>
        <w:tc>
          <w:tcPr>
            <w:tcW w:w="4820" w:type="dxa"/>
          </w:tcPr>
          <w:p>
            <w:pPr>
              <w:pStyle w:val="yTable"/>
              <w:tabs>
                <w:tab w:val="right" w:pos="1735"/>
              </w:tabs>
              <w:spacing w:before="0"/>
              <w:ind w:left="-11" w:firstLine="11"/>
            </w:pPr>
            <w:r>
              <w:t>59903</w:t>
            </w:r>
          </w:p>
        </w:tc>
        <w:tc>
          <w:tcPr>
            <w:tcW w:w="1276" w:type="dxa"/>
          </w:tcPr>
          <w:p>
            <w:pPr>
              <w:pStyle w:val="yTable"/>
              <w:tabs>
                <w:tab w:val="decimal" w:pos="425"/>
                <w:tab w:val="right" w:pos="1418"/>
              </w:tabs>
              <w:spacing w:before="0"/>
              <w:ind w:left="34" w:right="295"/>
              <w:jc w:val="right"/>
            </w:pPr>
            <w:r>
              <w:t>154.05</w:t>
            </w:r>
          </w:p>
        </w:tc>
      </w:tr>
      <w:tr>
        <w:tblPrEx>
          <w:tblCellMar>
            <w:left w:w="108" w:type="dxa"/>
            <w:right w:w="108" w:type="dxa"/>
          </w:tblCellMar>
        </w:tblPrEx>
        <w:tc>
          <w:tcPr>
            <w:tcW w:w="4820" w:type="dxa"/>
          </w:tcPr>
          <w:p>
            <w:pPr>
              <w:pStyle w:val="yTable"/>
              <w:tabs>
                <w:tab w:val="right" w:pos="1735"/>
              </w:tabs>
              <w:spacing w:before="0"/>
              <w:ind w:left="-11" w:firstLine="11"/>
            </w:pPr>
            <w:r>
              <w:t>59912</w:t>
            </w:r>
          </w:p>
        </w:tc>
        <w:tc>
          <w:tcPr>
            <w:tcW w:w="1276" w:type="dxa"/>
          </w:tcPr>
          <w:p>
            <w:pPr>
              <w:pStyle w:val="yTable"/>
              <w:tabs>
                <w:tab w:val="decimal" w:pos="425"/>
                <w:tab w:val="right" w:pos="1418"/>
              </w:tabs>
              <w:spacing w:before="0"/>
              <w:ind w:left="34" w:right="295"/>
              <w:jc w:val="right"/>
            </w:pPr>
            <w:r>
              <w:t>410.45</w:t>
            </w:r>
          </w:p>
        </w:tc>
      </w:tr>
      <w:tr>
        <w:tblPrEx>
          <w:tblCellMar>
            <w:left w:w="108" w:type="dxa"/>
            <w:right w:w="108" w:type="dxa"/>
          </w:tblCellMar>
        </w:tblPrEx>
        <w:tc>
          <w:tcPr>
            <w:tcW w:w="4820" w:type="dxa"/>
          </w:tcPr>
          <w:p>
            <w:pPr>
              <w:pStyle w:val="yTable"/>
              <w:tabs>
                <w:tab w:val="right" w:pos="1735"/>
              </w:tabs>
              <w:spacing w:before="0"/>
              <w:ind w:left="-11" w:firstLine="11"/>
            </w:pPr>
            <w:r>
              <w:t>59925</w:t>
            </w:r>
          </w:p>
        </w:tc>
        <w:tc>
          <w:tcPr>
            <w:tcW w:w="1276" w:type="dxa"/>
          </w:tcPr>
          <w:p>
            <w:pPr>
              <w:pStyle w:val="yTable"/>
              <w:tabs>
                <w:tab w:val="decimal" w:pos="425"/>
                <w:tab w:val="right" w:pos="1418"/>
              </w:tabs>
              <w:spacing w:before="0"/>
              <w:ind w:left="34" w:right="295"/>
              <w:jc w:val="right"/>
            </w:pPr>
            <w:r>
              <w:t>487.40</w:t>
            </w:r>
          </w:p>
        </w:tc>
      </w:tr>
      <w:tr>
        <w:tblPrEx>
          <w:tblCellMar>
            <w:left w:w="108" w:type="dxa"/>
            <w:right w:w="108" w:type="dxa"/>
          </w:tblCellMar>
        </w:tblPrEx>
        <w:tc>
          <w:tcPr>
            <w:tcW w:w="4820" w:type="dxa"/>
          </w:tcPr>
          <w:p>
            <w:pPr>
              <w:pStyle w:val="yTable"/>
              <w:tabs>
                <w:tab w:val="right" w:pos="1735"/>
              </w:tabs>
              <w:spacing w:before="0"/>
              <w:ind w:left="-11" w:firstLine="11"/>
            </w:pPr>
            <w:r>
              <w:t>59970</w:t>
            </w:r>
          </w:p>
        </w:tc>
        <w:tc>
          <w:tcPr>
            <w:tcW w:w="1276" w:type="dxa"/>
          </w:tcPr>
          <w:p>
            <w:pPr>
              <w:pStyle w:val="yTable"/>
              <w:tabs>
                <w:tab w:val="decimal" w:pos="425"/>
                <w:tab w:val="right" w:pos="1418"/>
              </w:tabs>
              <w:spacing w:before="0"/>
              <w:ind w:left="34" w:right="295"/>
              <w:jc w:val="right"/>
            </w:pPr>
            <w:r>
              <w:t>226.35</w:t>
            </w:r>
          </w:p>
        </w:tc>
      </w:tr>
      <w:tr>
        <w:tblPrEx>
          <w:tblCellMar>
            <w:left w:w="108" w:type="dxa"/>
            <w:right w:w="108" w:type="dxa"/>
          </w:tblCellMar>
        </w:tblPrEx>
        <w:tc>
          <w:tcPr>
            <w:tcW w:w="4820" w:type="dxa"/>
          </w:tcPr>
          <w:p>
            <w:pPr>
              <w:pStyle w:val="yTable"/>
              <w:tabs>
                <w:tab w:val="right" w:pos="1735"/>
              </w:tabs>
              <w:spacing w:before="0"/>
              <w:ind w:left="-11" w:firstLine="11"/>
            </w:pPr>
            <w:r>
              <w:t>59971</w:t>
            </w:r>
          </w:p>
        </w:tc>
        <w:tc>
          <w:tcPr>
            <w:tcW w:w="1276" w:type="dxa"/>
          </w:tcPr>
          <w:p>
            <w:pPr>
              <w:pStyle w:val="yTable"/>
              <w:tabs>
                <w:tab w:val="decimal" w:pos="425"/>
                <w:tab w:val="right" w:pos="1418"/>
              </w:tabs>
              <w:spacing w:before="0"/>
              <w:ind w:left="34" w:right="295"/>
              <w:jc w:val="right"/>
            </w:pPr>
            <w:r>
              <w:t>77.05</w:t>
            </w:r>
          </w:p>
        </w:tc>
      </w:tr>
      <w:tr>
        <w:tblPrEx>
          <w:tblCellMar>
            <w:left w:w="108" w:type="dxa"/>
            <w:right w:w="108" w:type="dxa"/>
          </w:tblCellMar>
        </w:tblPrEx>
        <w:tc>
          <w:tcPr>
            <w:tcW w:w="4820" w:type="dxa"/>
          </w:tcPr>
          <w:p>
            <w:pPr>
              <w:pStyle w:val="yTable"/>
              <w:tabs>
                <w:tab w:val="right" w:pos="1735"/>
              </w:tabs>
              <w:spacing w:before="0"/>
              <w:ind w:left="-11" w:firstLine="11"/>
            </w:pPr>
            <w:r>
              <w:t>59972</w:t>
            </w:r>
          </w:p>
        </w:tc>
        <w:tc>
          <w:tcPr>
            <w:tcW w:w="1276" w:type="dxa"/>
          </w:tcPr>
          <w:p>
            <w:pPr>
              <w:pStyle w:val="yTable"/>
              <w:tabs>
                <w:tab w:val="decimal" w:pos="425"/>
                <w:tab w:val="right" w:pos="1418"/>
              </w:tabs>
              <w:spacing w:before="0"/>
              <w:ind w:left="34" w:right="295"/>
              <w:jc w:val="right"/>
            </w:pPr>
            <w:r>
              <w:t>205.20</w:t>
            </w:r>
          </w:p>
        </w:tc>
      </w:tr>
      <w:tr>
        <w:tblPrEx>
          <w:tblCellMar>
            <w:left w:w="108" w:type="dxa"/>
            <w:right w:w="108" w:type="dxa"/>
          </w:tblCellMar>
        </w:tblPrEx>
        <w:tc>
          <w:tcPr>
            <w:tcW w:w="4820" w:type="dxa"/>
          </w:tcPr>
          <w:p>
            <w:pPr>
              <w:pStyle w:val="yTable"/>
              <w:tabs>
                <w:tab w:val="right" w:pos="1735"/>
              </w:tabs>
              <w:spacing w:before="0"/>
              <w:ind w:left="-11" w:firstLine="11"/>
            </w:pPr>
            <w:r>
              <w:t>59973</w:t>
            </w:r>
          </w:p>
        </w:tc>
        <w:tc>
          <w:tcPr>
            <w:tcW w:w="1276" w:type="dxa"/>
          </w:tcPr>
          <w:p>
            <w:pPr>
              <w:pStyle w:val="yTable"/>
              <w:tabs>
                <w:tab w:val="decimal" w:pos="425"/>
                <w:tab w:val="right" w:pos="1418"/>
              </w:tabs>
              <w:spacing w:before="0"/>
              <w:ind w:left="34" w:right="295"/>
              <w:jc w:val="right"/>
            </w:pPr>
            <w:r>
              <w:t>243.75</w:t>
            </w:r>
          </w:p>
        </w:tc>
      </w:tr>
      <w:tr>
        <w:tblPrEx>
          <w:tblCellMar>
            <w:left w:w="108" w:type="dxa"/>
            <w:right w:w="108" w:type="dxa"/>
          </w:tblCellMar>
        </w:tblPrEx>
        <w:tc>
          <w:tcPr>
            <w:tcW w:w="4820" w:type="dxa"/>
          </w:tcPr>
          <w:p>
            <w:pPr>
              <w:pStyle w:val="yTable"/>
              <w:tabs>
                <w:tab w:val="right" w:pos="1735"/>
              </w:tabs>
              <w:spacing w:before="0"/>
              <w:ind w:left="-11" w:firstLine="11"/>
            </w:pPr>
            <w:r>
              <w:t>59974</w:t>
            </w:r>
          </w:p>
        </w:tc>
        <w:tc>
          <w:tcPr>
            <w:tcW w:w="1276" w:type="dxa"/>
          </w:tcPr>
          <w:p>
            <w:pPr>
              <w:pStyle w:val="yTable"/>
              <w:tabs>
                <w:tab w:val="decimal" w:pos="425"/>
                <w:tab w:val="right" w:pos="1418"/>
              </w:tabs>
              <w:spacing w:before="0"/>
              <w:ind w:left="34" w:right="295"/>
              <w:jc w:val="right"/>
            </w:pPr>
            <w:r>
              <w:t>113.25</w:t>
            </w:r>
          </w:p>
        </w:tc>
      </w:tr>
      <w:tr>
        <w:tblPrEx>
          <w:tblCellMar>
            <w:left w:w="108" w:type="dxa"/>
            <w:right w:w="108" w:type="dxa"/>
          </w:tblCellMar>
        </w:tblPrEx>
        <w:tc>
          <w:tcPr>
            <w:tcW w:w="4820" w:type="dxa"/>
          </w:tcPr>
          <w:p>
            <w:pPr>
              <w:pStyle w:val="yTable"/>
              <w:tabs>
                <w:tab w:val="right" w:pos="1735"/>
              </w:tabs>
              <w:spacing w:before="0"/>
              <w:ind w:left="-11" w:firstLine="11"/>
            </w:pPr>
            <w:r>
              <w:t>60000</w:t>
            </w:r>
          </w:p>
        </w:tc>
        <w:tc>
          <w:tcPr>
            <w:tcW w:w="1276" w:type="dxa"/>
          </w:tcPr>
          <w:p>
            <w:pPr>
              <w:pStyle w:val="yTable"/>
              <w:tabs>
                <w:tab w:val="decimal" w:pos="425"/>
                <w:tab w:val="right" w:pos="1418"/>
              </w:tabs>
              <w:spacing w:before="0"/>
              <w:ind w:left="34" w:right="295"/>
              <w:jc w:val="right"/>
            </w:pPr>
            <w:r>
              <w:t>758.45</w:t>
            </w:r>
          </w:p>
        </w:tc>
      </w:tr>
      <w:tr>
        <w:tblPrEx>
          <w:tblCellMar>
            <w:left w:w="108" w:type="dxa"/>
            <w:right w:w="108" w:type="dxa"/>
          </w:tblCellMar>
        </w:tblPrEx>
        <w:tc>
          <w:tcPr>
            <w:tcW w:w="4820" w:type="dxa"/>
          </w:tcPr>
          <w:p>
            <w:pPr>
              <w:pStyle w:val="yTable"/>
              <w:tabs>
                <w:tab w:val="right" w:pos="1735"/>
              </w:tabs>
              <w:spacing w:before="0"/>
              <w:ind w:left="-11" w:firstLine="11"/>
            </w:pPr>
            <w:r>
              <w:t>60003</w:t>
            </w:r>
          </w:p>
        </w:tc>
        <w:tc>
          <w:tcPr>
            <w:tcW w:w="1276" w:type="dxa"/>
          </w:tcPr>
          <w:p>
            <w:pPr>
              <w:pStyle w:val="yTable"/>
              <w:tabs>
                <w:tab w:val="decimal" w:pos="425"/>
                <w:tab w:val="right" w:pos="1418"/>
              </w:tabs>
              <w:spacing w:before="0"/>
              <w:ind w:left="-108" w:right="295"/>
              <w:jc w:val="right"/>
            </w:pPr>
            <w:r>
              <w:t>1 112.30</w:t>
            </w:r>
          </w:p>
        </w:tc>
      </w:tr>
      <w:tr>
        <w:tblPrEx>
          <w:tblCellMar>
            <w:left w:w="108" w:type="dxa"/>
            <w:right w:w="108" w:type="dxa"/>
          </w:tblCellMar>
        </w:tblPrEx>
        <w:tc>
          <w:tcPr>
            <w:tcW w:w="4820" w:type="dxa"/>
          </w:tcPr>
          <w:p>
            <w:pPr>
              <w:pStyle w:val="yTable"/>
              <w:tabs>
                <w:tab w:val="right" w:pos="1735"/>
              </w:tabs>
              <w:spacing w:before="0"/>
              <w:ind w:left="-11" w:firstLine="11"/>
            </w:pPr>
            <w:r>
              <w:t>60006</w:t>
            </w:r>
          </w:p>
        </w:tc>
        <w:tc>
          <w:tcPr>
            <w:tcW w:w="1276" w:type="dxa"/>
          </w:tcPr>
          <w:p>
            <w:pPr>
              <w:pStyle w:val="yTable"/>
              <w:tabs>
                <w:tab w:val="decimal" w:pos="425"/>
                <w:tab w:val="right" w:pos="1418"/>
              </w:tabs>
              <w:spacing w:before="0"/>
              <w:ind w:left="-108" w:right="295"/>
              <w:jc w:val="right"/>
            </w:pPr>
            <w:r>
              <w:t>1 581.60</w:t>
            </w:r>
          </w:p>
        </w:tc>
      </w:tr>
      <w:tr>
        <w:tblPrEx>
          <w:tblCellMar>
            <w:left w:w="108" w:type="dxa"/>
            <w:right w:w="108" w:type="dxa"/>
          </w:tblCellMar>
        </w:tblPrEx>
        <w:tc>
          <w:tcPr>
            <w:tcW w:w="4820" w:type="dxa"/>
          </w:tcPr>
          <w:p>
            <w:pPr>
              <w:pStyle w:val="yTable"/>
              <w:tabs>
                <w:tab w:val="right" w:pos="1735"/>
              </w:tabs>
              <w:spacing w:before="0"/>
              <w:ind w:left="-11" w:firstLine="11"/>
            </w:pPr>
            <w:r>
              <w:t>60009</w:t>
            </w:r>
          </w:p>
        </w:tc>
        <w:tc>
          <w:tcPr>
            <w:tcW w:w="1276" w:type="dxa"/>
          </w:tcPr>
          <w:p>
            <w:pPr>
              <w:pStyle w:val="yTable"/>
              <w:tabs>
                <w:tab w:val="decimal" w:pos="425"/>
                <w:tab w:val="right" w:pos="1418"/>
              </w:tabs>
              <w:spacing w:before="0"/>
              <w:ind w:left="-108" w:right="295"/>
              <w:jc w:val="right"/>
            </w:pPr>
            <w:r>
              <w:t>1 850.85</w:t>
            </w:r>
          </w:p>
        </w:tc>
      </w:tr>
      <w:tr>
        <w:tblPrEx>
          <w:tblCellMar>
            <w:left w:w="108" w:type="dxa"/>
            <w:right w:w="108" w:type="dxa"/>
          </w:tblCellMar>
        </w:tblPrEx>
        <w:tc>
          <w:tcPr>
            <w:tcW w:w="4820" w:type="dxa"/>
          </w:tcPr>
          <w:p>
            <w:pPr>
              <w:pStyle w:val="yTable"/>
              <w:tabs>
                <w:tab w:val="right" w:pos="1735"/>
              </w:tabs>
              <w:spacing w:before="0"/>
              <w:ind w:left="-11" w:firstLine="11"/>
            </w:pPr>
            <w:r>
              <w:t>60012</w:t>
            </w:r>
          </w:p>
        </w:tc>
        <w:tc>
          <w:tcPr>
            <w:tcW w:w="1276" w:type="dxa"/>
          </w:tcPr>
          <w:p>
            <w:pPr>
              <w:pStyle w:val="yTable"/>
              <w:tabs>
                <w:tab w:val="decimal" w:pos="425"/>
                <w:tab w:val="right" w:pos="1418"/>
              </w:tabs>
              <w:spacing w:before="0"/>
              <w:ind w:left="34" w:right="295"/>
              <w:jc w:val="right"/>
            </w:pPr>
            <w:r>
              <w:t>758.45</w:t>
            </w:r>
          </w:p>
        </w:tc>
      </w:tr>
      <w:tr>
        <w:tblPrEx>
          <w:tblCellMar>
            <w:left w:w="108" w:type="dxa"/>
            <w:right w:w="108" w:type="dxa"/>
          </w:tblCellMar>
        </w:tblPrEx>
        <w:tc>
          <w:tcPr>
            <w:tcW w:w="4820" w:type="dxa"/>
          </w:tcPr>
          <w:p>
            <w:pPr>
              <w:pStyle w:val="yTable"/>
              <w:tabs>
                <w:tab w:val="right" w:pos="1735"/>
              </w:tabs>
              <w:spacing w:before="0"/>
              <w:ind w:left="-11" w:firstLine="11"/>
            </w:pPr>
            <w:r>
              <w:t>60015</w:t>
            </w:r>
          </w:p>
        </w:tc>
        <w:tc>
          <w:tcPr>
            <w:tcW w:w="1276" w:type="dxa"/>
          </w:tcPr>
          <w:p>
            <w:pPr>
              <w:pStyle w:val="yTable"/>
              <w:tabs>
                <w:tab w:val="decimal" w:pos="425"/>
                <w:tab w:val="right" w:pos="1418"/>
              </w:tabs>
              <w:spacing w:before="0"/>
              <w:ind w:left="-108" w:right="295"/>
              <w:jc w:val="right"/>
            </w:pPr>
            <w:r>
              <w:t>1 112.30</w:t>
            </w:r>
          </w:p>
        </w:tc>
      </w:tr>
      <w:tr>
        <w:tblPrEx>
          <w:tblCellMar>
            <w:left w:w="108" w:type="dxa"/>
            <w:right w:w="108" w:type="dxa"/>
          </w:tblCellMar>
        </w:tblPrEx>
        <w:tc>
          <w:tcPr>
            <w:tcW w:w="4820" w:type="dxa"/>
          </w:tcPr>
          <w:p>
            <w:pPr>
              <w:pStyle w:val="yTable"/>
              <w:tabs>
                <w:tab w:val="right" w:pos="1735"/>
              </w:tabs>
              <w:spacing w:before="0"/>
              <w:ind w:left="-11" w:firstLine="11"/>
            </w:pPr>
            <w:r>
              <w:t>60018</w:t>
            </w:r>
          </w:p>
        </w:tc>
        <w:tc>
          <w:tcPr>
            <w:tcW w:w="1276" w:type="dxa"/>
          </w:tcPr>
          <w:p>
            <w:pPr>
              <w:pStyle w:val="yTable"/>
              <w:tabs>
                <w:tab w:val="decimal" w:pos="425"/>
                <w:tab w:val="right" w:pos="1418"/>
              </w:tabs>
              <w:spacing w:before="0"/>
              <w:ind w:left="-108" w:right="295"/>
              <w:jc w:val="right"/>
            </w:pPr>
            <w:r>
              <w:t>1 581.60</w:t>
            </w:r>
          </w:p>
        </w:tc>
      </w:tr>
      <w:tr>
        <w:tblPrEx>
          <w:tblCellMar>
            <w:left w:w="108" w:type="dxa"/>
            <w:right w:w="108" w:type="dxa"/>
          </w:tblCellMar>
        </w:tblPrEx>
        <w:tc>
          <w:tcPr>
            <w:tcW w:w="4820" w:type="dxa"/>
          </w:tcPr>
          <w:p>
            <w:pPr>
              <w:pStyle w:val="yTable"/>
              <w:tabs>
                <w:tab w:val="right" w:pos="1735"/>
              </w:tabs>
              <w:spacing w:before="0"/>
              <w:ind w:left="-11" w:firstLine="11"/>
            </w:pPr>
            <w:r>
              <w:t>60021</w:t>
            </w:r>
          </w:p>
        </w:tc>
        <w:tc>
          <w:tcPr>
            <w:tcW w:w="1276" w:type="dxa"/>
          </w:tcPr>
          <w:p>
            <w:pPr>
              <w:pStyle w:val="yTable"/>
              <w:tabs>
                <w:tab w:val="decimal" w:pos="425"/>
                <w:tab w:val="right" w:pos="1418"/>
              </w:tabs>
              <w:spacing w:before="0"/>
              <w:ind w:left="-108" w:right="295"/>
              <w:jc w:val="right"/>
            </w:pPr>
            <w:r>
              <w:t>1 850.85</w:t>
            </w:r>
          </w:p>
        </w:tc>
      </w:tr>
      <w:tr>
        <w:tblPrEx>
          <w:tblCellMar>
            <w:left w:w="108" w:type="dxa"/>
            <w:right w:w="108" w:type="dxa"/>
          </w:tblCellMar>
        </w:tblPrEx>
        <w:tc>
          <w:tcPr>
            <w:tcW w:w="4820" w:type="dxa"/>
          </w:tcPr>
          <w:p>
            <w:pPr>
              <w:pStyle w:val="yTable"/>
              <w:tabs>
                <w:tab w:val="right" w:pos="1735"/>
              </w:tabs>
              <w:spacing w:before="0"/>
              <w:ind w:left="-11" w:firstLine="11"/>
            </w:pPr>
            <w:r>
              <w:t>60024</w:t>
            </w:r>
          </w:p>
        </w:tc>
        <w:tc>
          <w:tcPr>
            <w:tcW w:w="1276" w:type="dxa"/>
          </w:tcPr>
          <w:p>
            <w:pPr>
              <w:pStyle w:val="yTable"/>
              <w:tabs>
                <w:tab w:val="decimal" w:pos="425"/>
                <w:tab w:val="right" w:pos="1418"/>
              </w:tabs>
              <w:spacing w:before="0"/>
              <w:ind w:left="34" w:right="295"/>
              <w:jc w:val="right"/>
            </w:pPr>
            <w:r>
              <w:t>758.45</w:t>
            </w:r>
          </w:p>
        </w:tc>
      </w:tr>
      <w:tr>
        <w:tblPrEx>
          <w:tblCellMar>
            <w:left w:w="108" w:type="dxa"/>
            <w:right w:w="108" w:type="dxa"/>
          </w:tblCellMar>
        </w:tblPrEx>
        <w:tc>
          <w:tcPr>
            <w:tcW w:w="4820" w:type="dxa"/>
          </w:tcPr>
          <w:p>
            <w:pPr>
              <w:pStyle w:val="yTable"/>
              <w:tabs>
                <w:tab w:val="right" w:pos="1735"/>
              </w:tabs>
              <w:spacing w:before="0"/>
              <w:ind w:left="-11" w:firstLine="11"/>
            </w:pPr>
            <w:r>
              <w:t>60027</w:t>
            </w:r>
          </w:p>
        </w:tc>
        <w:tc>
          <w:tcPr>
            <w:tcW w:w="1276" w:type="dxa"/>
          </w:tcPr>
          <w:p>
            <w:pPr>
              <w:pStyle w:val="yTable"/>
              <w:tabs>
                <w:tab w:val="decimal" w:pos="425"/>
                <w:tab w:val="right" w:pos="1418"/>
              </w:tabs>
              <w:spacing w:before="0"/>
              <w:ind w:left="-108" w:right="295"/>
              <w:jc w:val="right"/>
            </w:pPr>
            <w:r>
              <w:t>1 112.30</w:t>
            </w:r>
          </w:p>
        </w:tc>
      </w:tr>
      <w:tr>
        <w:tblPrEx>
          <w:tblCellMar>
            <w:left w:w="108" w:type="dxa"/>
            <w:right w:w="108" w:type="dxa"/>
          </w:tblCellMar>
        </w:tblPrEx>
        <w:tc>
          <w:tcPr>
            <w:tcW w:w="4820" w:type="dxa"/>
          </w:tcPr>
          <w:p>
            <w:pPr>
              <w:pStyle w:val="yTable"/>
              <w:tabs>
                <w:tab w:val="right" w:pos="1735"/>
              </w:tabs>
              <w:spacing w:before="0"/>
              <w:ind w:left="-11" w:firstLine="11"/>
            </w:pPr>
            <w:r>
              <w:t>60030</w:t>
            </w:r>
          </w:p>
        </w:tc>
        <w:tc>
          <w:tcPr>
            <w:tcW w:w="1276" w:type="dxa"/>
          </w:tcPr>
          <w:p>
            <w:pPr>
              <w:pStyle w:val="yTable"/>
              <w:tabs>
                <w:tab w:val="decimal" w:pos="425"/>
                <w:tab w:val="right" w:pos="1418"/>
              </w:tabs>
              <w:spacing w:before="0"/>
              <w:ind w:left="-108" w:right="295"/>
              <w:jc w:val="right"/>
            </w:pPr>
            <w:r>
              <w:t>1 581.60</w:t>
            </w:r>
          </w:p>
        </w:tc>
      </w:tr>
      <w:tr>
        <w:tblPrEx>
          <w:tblCellMar>
            <w:left w:w="108" w:type="dxa"/>
            <w:right w:w="108" w:type="dxa"/>
          </w:tblCellMar>
        </w:tblPrEx>
        <w:tc>
          <w:tcPr>
            <w:tcW w:w="4820" w:type="dxa"/>
          </w:tcPr>
          <w:p>
            <w:pPr>
              <w:pStyle w:val="yTable"/>
              <w:tabs>
                <w:tab w:val="right" w:pos="1735"/>
              </w:tabs>
              <w:spacing w:before="0"/>
              <w:ind w:left="-11" w:firstLine="11"/>
            </w:pPr>
            <w:r>
              <w:t>60033</w:t>
            </w:r>
          </w:p>
        </w:tc>
        <w:tc>
          <w:tcPr>
            <w:tcW w:w="1276" w:type="dxa"/>
          </w:tcPr>
          <w:p>
            <w:pPr>
              <w:pStyle w:val="yTable"/>
              <w:tabs>
                <w:tab w:val="decimal" w:pos="425"/>
                <w:tab w:val="right" w:pos="1418"/>
              </w:tabs>
              <w:spacing w:before="0"/>
              <w:ind w:left="-108" w:right="295"/>
              <w:jc w:val="right"/>
            </w:pPr>
            <w:r>
              <w:t>1 850.85</w:t>
            </w:r>
          </w:p>
        </w:tc>
      </w:tr>
      <w:tr>
        <w:tblPrEx>
          <w:tblCellMar>
            <w:left w:w="108" w:type="dxa"/>
            <w:right w:w="108" w:type="dxa"/>
          </w:tblCellMar>
        </w:tblPrEx>
        <w:tc>
          <w:tcPr>
            <w:tcW w:w="4820" w:type="dxa"/>
          </w:tcPr>
          <w:p>
            <w:pPr>
              <w:pStyle w:val="yTable"/>
              <w:tabs>
                <w:tab w:val="right" w:pos="1735"/>
              </w:tabs>
              <w:spacing w:before="0"/>
              <w:ind w:left="-11" w:firstLine="11"/>
            </w:pPr>
            <w:r>
              <w:t>60036</w:t>
            </w:r>
          </w:p>
        </w:tc>
        <w:tc>
          <w:tcPr>
            <w:tcW w:w="1276" w:type="dxa"/>
          </w:tcPr>
          <w:p>
            <w:pPr>
              <w:pStyle w:val="yTable"/>
              <w:tabs>
                <w:tab w:val="decimal" w:pos="425"/>
                <w:tab w:val="right" w:pos="1418"/>
              </w:tabs>
              <w:spacing w:before="0"/>
              <w:ind w:left="34" w:right="295"/>
              <w:jc w:val="right"/>
            </w:pPr>
            <w:r>
              <w:t>758.45</w:t>
            </w:r>
          </w:p>
        </w:tc>
      </w:tr>
      <w:tr>
        <w:tblPrEx>
          <w:tblCellMar>
            <w:left w:w="108" w:type="dxa"/>
            <w:right w:w="108" w:type="dxa"/>
          </w:tblCellMar>
        </w:tblPrEx>
        <w:tc>
          <w:tcPr>
            <w:tcW w:w="4820" w:type="dxa"/>
          </w:tcPr>
          <w:p>
            <w:pPr>
              <w:pStyle w:val="yTable"/>
              <w:tabs>
                <w:tab w:val="right" w:pos="1735"/>
              </w:tabs>
              <w:spacing w:before="0"/>
              <w:ind w:left="-11" w:firstLine="11"/>
            </w:pPr>
            <w:r>
              <w:t>60039</w:t>
            </w:r>
          </w:p>
        </w:tc>
        <w:tc>
          <w:tcPr>
            <w:tcW w:w="1276" w:type="dxa"/>
          </w:tcPr>
          <w:p>
            <w:pPr>
              <w:pStyle w:val="yTable"/>
              <w:tabs>
                <w:tab w:val="decimal" w:pos="425"/>
                <w:tab w:val="right" w:pos="1418"/>
              </w:tabs>
              <w:spacing w:before="0"/>
              <w:ind w:left="-108" w:right="295"/>
              <w:jc w:val="right"/>
            </w:pPr>
            <w:r>
              <w:t>1 112.30</w:t>
            </w:r>
          </w:p>
        </w:tc>
      </w:tr>
      <w:tr>
        <w:tblPrEx>
          <w:tblCellMar>
            <w:left w:w="108" w:type="dxa"/>
            <w:right w:w="108" w:type="dxa"/>
          </w:tblCellMar>
        </w:tblPrEx>
        <w:tc>
          <w:tcPr>
            <w:tcW w:w="4820" w:type="dxa"/>
          </w:tcPr>
          <w:p>
            <w:pPr>
              <w:pStyle w:val="yTable"/>
              <w:tabs>
                <w:tab w:val="right" w:pos="1735"/>
              </w:tabs>
              <w:spacing w:before="0"/>
              <w:ind w:left="-11" w:firstLine="11"/>
            </w:pPr>
            <w:r>
              <w:t>60042</w:t>
            </w:r>
          </w:p>
        </w:tc>
        <w:tc>
          <w:tcPr>
            <w:tcW w:w="1276" w:type="dxa"/>
          </w:tcPr>
          <w:p>
            <w:pPr>
              <w:pStyle w:val="yTable"/>
              <w:tabs>
                <w:tab w:val="decimal" w:pos="425"/>
                <w:tab w:val="right" w:pos="1418"/>
              </w:tabs>
              <w:spacing w:before="0"/>
              <w:ind w:left="-108" w:right="295"/>
              <w:jc w:val="right"/>
            </w:pPr>
            <w:r>
              <w:t>1 581.60</w:t>
            </w:r>
          </w:p>
        </w:tc>
      </w:tr>
      <w:tr>
        <w:tblPrEx>
          <w:tblCellMar>
            <w:left w:w="108" w:type="dxa"/>
            <w:right w:w="108" w:type="dxa"/>
          </w:tblCellMar>
        </w:tblPrEx>
        <w:tc>
          <w:tcPr>
            <w:tcW w:w="4820" w:type="dxa"/>
          </w:tcPr>
          <w:p>
            <w:pPr>
              <w:pStyle w:val="yTable"/>
              <w:tabs>
                <w:tab w:val="right" w:pos="1735"/>
              </w:tabs>
              <w:spacing w:before="0"/>
              <w:ind w:left="-11" w:firstLine="11"/>
            </w:pPr>
            <w:r>
              <w:t>60045</w:t>
            </w:r>
          </w:p>
        </w:tc>
        <w:tc>
          <w:tcPr>
            <w:tcW w:w="1276" w:type="dxa"/>
          </w:tcPr>
          <w:p>
            <w:pPr>
              <w:pStyle w:val="yTable"/>
              <w:tabs>
                <w:tab w:val="decimal" w:pos="425"/>
                <w:tab w:val="right" w:pos="1418"/>
              </w:tabs>
              <w:spacing w:before="0"/>
              <w:ind w:left="-108" w:right="295"/>
              <w:jc w:val="right"/>
            </w:pPr>
            <w:r>
              <w:t>1 850.85</w:t>
            </w:r>
          </w:p>
        </w:tc>
      </w:tr>
      <w:tr>
        <w:tblPrEx>
          <w:tblCellMar>
            <w:left w:w="108" w:type="dxa"/>
            <w:right w:w="108" w:type="dxa"/>
          </w:tblCellMar>
        </w:tblPrEx>
        <w:tc>
          <w:tcPr>
            <w:tcW w:w="4820" w:type="dxa"/>
          </w:tcPr>
          <w:p>
            <w:pPr>
              <w:pStyle w:val="yTable"/>
              <w:tabs>
                <w:tab w:val="right" w:pos="1735"/>
              </w:tabs>
              <w:spacing w:before="0"/>
              <w:ind w:left="-11" w:firstLine="11"/>
            </w:pPr>
            <w:r>
              <w:t>60048</w:t>
            </w:r>
          </w:p>
        </w:tc>
        <w:tc>
          <w:tcPr>
            <w:tcW w:w="1276" w:type="dxa"/>
          </w:tcPr>
          <w:p>
            <w:pPr>
              <w:pStyle w:val="yTable"/>
              <w:tabs>
                <w:tab w:val="decimal" w:pos="425"/>
                <w:tab w:val="right" w:pos="1418"/>
              </w:tabs>
              <w:spacing w:before="0"/>
              <w:ind w:left="34" w:right="295"/>
              <w:jc w:val="right"/>
            </w:pPr>
            <w:r>
              <w:t>758.45</w:t>
            </w:r>
          </w:p>
        </w:tc>
      </w:tr>
      <w:tr>
        <w:tblPrEx>
          <w:tblCellMar>
            <w:left w:w="108" w:type="dxa"/>
            <w:right w:w="108" w:type="dxa"/>
          </w:tblCellMar>
        </w:tblPrEx>
        <w:tc>
          <w:tcPr>
            <w:tcW w:w="4820" w:type="dxa"/>
          </w:tcPr>
          <w:p>
            <w:pPr>
              <w:pStyle w:val="yTable"/>
              <w:tabs>
                <w:tab w:val="right" w:pos="1735"/>
              </w:tabs>
              <w:spacing w:before="0"/>
              <w:ind w:left="-11" w:firstLine="11"/>
            </w:pPr>
            <w:r>
              <w:t>60051</w:t>
            </w:r>
          </w:p>
        </w:tc>
        <w:tc>
          <w:tcPr>
            <w:tcW w:w="1276" w:type="dxa"/>
          </w:tcPr>
          <w:p>
            <w:pPr>
              <w:pStyle w:val="yTable"/>
              <w:tabs>
                <w:tab w:val="decimal" w:pos="425"/>
                <w:tab w:val="right" w:pos="1418"/>
              </w:tabs>
              <w:spacing w:before="0"/>
              <w:ind w:left="-108" w:right="295"/>
              <w:jc w:val="right"/>
            </w:pPr>
            <w:r>
              <w:t>1 112.30</w:t>
            </w:r>
          </w:p>
        </w:tc>
      </w:tr>
      <w:tr>
        <w:tblPrEx>
          <w:tblCellMar>
            <w:left w:w="108" w:type="dxa"/>
            <w:right w:w="108" w:type="dxa"/>
          </w:tblCellMar>
        </w:tblPrEx>
        <w:tc>
          <w:tcPr>
            <w:tcW w:w="4820" w:type="dxa"/>
          </w:tcPr>
          <w:p>
            <w:pPr>
              <w:pStyle w:val="yTable"/>
              <w:tabs>
                <w:tab w:val="right" w:pos="1735"/>
              </w:tabs>
              <w:spacing w:before="0"/>
              <w:ind w:left="-11" w:firstLine="11"/>
            </w:pPr>
            <w:r>
              <w:t>60054</w:t>
            </w:r>
          </w:p>
        </w:tc>
        <w:tc>
          <w:tcPr>
            <w:tcW w:w="1276" w:type="dxa"/>
          </w:tcPr>
          <w:p>
            <w:pPr>
              <w:pStyle w:val="yTable"/>
              <w:tabs>
                <w:tab w:val="decimal" w:pos="425"/>
                <w:tab w:val="right" w:pos="1418"/>
              </w:tabs>
              <w:spacing w:before="0"/>
              <w:ind w:left="-108" w:right="295"/>
              <w:jc w:val="right"/>
            </w:pPr>
            <w:r>
              <w:t>1 581.60</w:t>
            </w:r>
          </w:p>
        </w:tc>
      </w:tr>
      <w:tr>
        <w:tblPrEx>
          <w:tblCellMar>
            <w:left w:w="108" w:type="dxa"/>
            <w:right w:w="108" w:type="dxa"/>
          </w:tblCellMar>
        </w:tblPrEx>
        <w:tc>
          <w:tcPr>
            <w:tcW w:w="4820" w:type="dxa"/>
          </w:tcPr>
          <w:p>
            <w:pPr>
              <w:pStyle w:val="yTable"/>
              <w:tabs>
                <w:tab w:val="right" w:pos="1735"/>
              </w:tabs>
              <w:spacing w:before="0"/>
              <w:ind w:left="-11" w:firstLine="11"/>
            </w:pPr>
            <w:r>
              <w:t>60057</w:t>
            </w:r>
          </w:p>
        </w:tc>
        <w:tc>
          <w:tcPr>
            <w:tcW w:w="1276" w:type="dxa"/>
          </w:tcPr>
          <w:p>
            <w:pPr>
              <w:pStyle w:val="yTable"/>
              <w:tabs>
                <w:tab w:val="decimal" w:pos="425"/>
                <w:tab w:val="right" w:pos="1418"/>
              </w:tabs>
              <w:spacing w:before="0"/>
              <w:ind w:left="-108" w:right="295"/>
              <w:jc w:val="right"/>
            </w:pPr>
            <w:r>
              <w:t>1 850.85</w:t>
            </w:r>
          </w:p>
        </w:tc>
      </w:tr>
      <w:tr>
        <w:tblPrEx>
          <w:tblCellMar>
            <w:left w:w="108" w:type="dxa"/>
            <w:right w:w="108" w:type="dxa"/>
          </w:tblCellMar>
        </w:tblPrEx>
        <w:tc>
          <w:tcPr>
            <w:tcW w:w="4820" w:type="dxa"/>
          </w:tcPr>
          <w:p>
            <w:pPr>
              <w:pStyle w:val="yTable"/>
              <w:tabs>
                <w:tab w:val="right" w:pos="1735"/>
              </w:tabs>
              <w:spacing w:before="0"/>
              <w:ind w:left="-11" w:firstLine="11"/>
            </w:pPr>
            <w:r>
              <w:t>60060</w:t>
            </w:r>
          </w:p>
        </w:tc>
        <w:tc>
          <w:tcPr>
            <w:tcW w:w="1276" w:type="dxa"/>
          </w:tcPr>
          <w:p>
            <w:pPr>
              <w:pStyle w:val="yTable"/>
              <w:tabs>
                <w:tab w:val="decimal" w:pos="425"/>
                <w:tab w:val="right" w:pos="1418"/>
              </w:tabs>
              <w:spacing w:before="0"/>
              <w:ind w:left="34" w:right="295"/>
              <w:jc w:val="right"/>
            </w:pPr>
            <w:r>
              <w:t>758.45</w:t>
            </w:r>
          </w:p>
        </w:tc>
      </w:tr>
      <w:tr>
        <w:tblPrEx>
          <w:tblCellMar>
            <w:left w:w="108" w:type="dxa"/>
            <w:right w:w="108" w:type="dxa"/>
          </w:tblCellMar>
        </w:tblPrEx>
        <w:tc>
          <w:tcPr>
            <w:tcW w:w="4820" w:type="dxa"/>
          </w:tcPr>
          <w:p>
            <w:pPr>
              <w:pStyle w:val="yTable"/>
              <w:tabs>
                <w:tab w:val="right" w:pos="1735"/>
              </w:tabs>
              <w:spacing w:before="0"/>
              <w:ind w:left="-11" w:firstLine="11"/>
            </w:pPr>
            <w:r>
              <w:t>60063</w:t>
            </w:r>
          </w:p>
        </w:tc>
        <w:tc>
          <w:tcPr>
            <w:tcW w:w="1276" w:type="dxa"/>
          </w:tcPr>
          <w:p>
            <w:pPr>
              <w:pStyle w:val="yTable"/>
              <w:tabs>
                <w:tab w:val="decimal" w:pos="425"/>
                <w:tab w:val="right" w:pos="1418"/>
              </w:tabs>
              <w:spacing w:before="0"/>
              <w:ind w:left="-108" w:right="295"/>
              <w:jc w:val="right"/>
            </w:pPr>
            <w:r>
              <w:t>1 112.30</w:t>
            </w:r>
          </w:p>
        </w:tc>
      </w:tr>
      <w:tr>
        <w:tblPrEx>
          <w:tblCellMar>
            <w:left w:w="108" w:type="dxa"/>
            <w:right w:w="108" w:type="dxa"/>
          </w:tblCellMar>
        </w:tblPrEx>
        <w:tc>
          <w:tcPr>
            <w:tcW w:w="4820" w:type="dxa"/>
          </w:tcPr>
          <w:p>
            <w:pPr>
              <w:pStyle w:val="yTable"/>
              <w:tabs>
                <w:tab w:val="right" w:pos="1735"/>
              </w:tabs>
              <w:spacing w:before="0"/>
              <w:ind w:left="-11" w:firstLine="11"/>
            </w:pPr>
            <w:r>
              <w:t>60066</w:t>
            </w:r>
          </w:p>
        </w:tc>
        <w:tc>
          <w:tcPr>
            <w:tcW w:w="1276" w:type="dxa"/>
          </w:tcPr>
          <w:p>
            <w:pPr>
              <w:pStyle w:val="yTable"/>
              <w:tabs>
                <w:tab w:val="decimal" w:pos="425"/>
                <w:tab w:val="right" w:pos="1418"/>
              </w:tabs>
              <w:spacing w:before="0"/>
              <w:ind w:left="-108" w:right="295"/>
              <w:jc w:val="right"/>
            </w:pPr>
            <w:r>
              <w:t>1 581.60</w:t>
            </w:r>
          </w:p>
        </w:tc>
      </w:tr>
      <w:tr>
        <w:tblPrEx>
          <w:tblCellMar>
            <w:left w:w="108" w:type="dxa"/>
            <w:right w:w="108" w:type="dxa"/>
          </w:tblCellMar>
        </w:tblPrEx>
        <w:tc>
          <w:tcPr>
            <w:tcW w:w="4820" w:type="dxa"/>
          </w:tcPr>
          <w:p>
            <w:pPr>
              <w:pStyle w:val="yTable"/>
              <w:tabs>
                <w:tab w:val="right" w:pos="1735"/>
              </w:tabs>
              <w:spacing w:before="0"/>
              <w:ind w:left="-11" w:firstLine="11"/>
            </w:pPr>
            <w:r>
              <w:t>60069</w:t>
            </w:r>
          </w:p>
        </w:tc>
        <w:tc>
          <w:tcPr>
            <w:tcW w:w="1276" w:type="dxa"/>
          </w:tcPr>
          <w:p>
            <w:pPr>
              <w:pStyle w:val="yTable"/>
              <w:tabs>
                <w:tab w:val="decimal" w:pos="425"/>
                <w:tab w:val="right" w:pos="1418"/>
              </w:tabs>
              <w:spacing w:before="0"/>
              <w:ind w:left="-108" w:right="295"/>
              <w:jc w:val="right"/>
            </w:pPr>
            <w:r>
              <w:t>1 850.85</w:t>
            </w:r>
          </w:p>
        </w:tc>
      </w:tr>
      <w:tr>
        <w:tblPrEx>
          <w:tblCellMar>
            <w:left w:w="108" w:type="dxa"/>
            <w:right w:w="108" w:type="dxa"/>
          </w:tblCellMar>
        </w:tblPrEx>
        <w:tc>
          <w:tcPr>
            <w:tcW w:w="4820" w:type="dxa"/>
          </w:tcPr>
          <w:p>
            <w:pPr>
              <w:pStyle w:val="yTable"/>
              <w:tabs>
                <w:tab w:val="right" w:pos="1735"/>
              </w:tabs>
              <w:spacing w:before="0"/>
              <w:ind w:left="-11" w:firstLine="11"/>
            </w:pPr>
            <w:r>
              <w:t>60072</w:t>
            </w:r>
          </w:p>
        </w:tc>
        <w:tc>
          <w:tcPr>
            <w:tcW w:w="1276" w:type="dxa"/>
          </w:tcPr>
          <w:p>
            <w:pPr>
              <w:pStyle w:val="yTable"/>
              <w:tabs>
                <w:tab w:val="decimal" w:pos="425"/>
                <w:tab w:val="right" w:pos="1418"/>
              </w:tabs>
              <w:spacing w:before="0"/>
              <w:ind w:left="34" w:right="295"/>
              <w:jc w:val="right"/>
            </w:pPr>
            <w:r>
              <w:t>64.70</w:t>
            </w:r>
          </w:p>
        </w:tc>
      </w:tr>
      <w:tr>
        <w:tblPrEx>
          <w:tblCellMar>
            <w:left w:w="108" w:type="dxa"/>
            <w:right w:w="108" w:type="dxa"/>
          </w:tblCellMar>
        </w:tblPrEx>
        <w:tc>
          <w:tcPr>
            <w:tcW w:w="4820" w:type="dxa"/>
          </w:tcPr>
          <w:p>
            <w:pPr>
              <w:pStyle w:val="yTable"/>
              <w:tabs>
                <w:tab w:val="right" w:pos="1735"/>
              </w:tabs>
              <w:spacing w:before="0"/>
              <w:ind w:left="-11" w:firstLine="11"/>
            </w:pPr>
            <w:r>
              <w:t>60075</w:t>
            </w:r>
          </w:p>
        </w:tc>
        <w:tc>
          <w:tcPr>
            <w:tcW w:w="1276" w:type="dxa"/>
          </w:tcPr>
          <w:p>
            <w:pPr>
              <w:pStyle w:val="yTable"/>
              <w:tabs>
                <w:tab w:val="decimal" w:pos="425"/>
                <w:tab w:val="right" w:pos="1418"/>
              </w:tabs>
              <w:spacing w:before="0"/>
              <w:ind w:left="34" w:right="295"/>
              <w:jc w:val="right"/>
            </w:pPr>
            <w:r>
              <w:t>129.25</w:t>
            </w:r>
          </w:p>
        </w:tc>
      </w:tr>
      <w:tr>
        <w:tblPrEx>
          <w:tblCellMar>
            <w:left w:w="108" w:type="dxa"/>
            <w:right w:w="108" w:type="dxa"/>
          </w:tblCellMar>
        </w:tblPrEx>
        <w:tc>
          <w:tcPr>
            <w:tcW w:w="4820" w:type="dxa"/>
          </w:tcPr>
          <w:p>
            <w:pPr>
              <w:pStyle w:val="yTable"/>
              <w:tabs>
                <w:tab w:val="right" w:pos="1735"/>
              </w:tabs>
              <w:spacing w:before="0"/>
              <w:ind w:left="-11" w:firstLine="11"/>
            </w:pPr>
            <w:r>
              <w:t>60078</w:t>
            </w:r>
          </w:p>
        </w:tc>
        <w:tc>
          <w:tcPr>
            <w:tcW w:w="1276" w:type="dxa"/>
          </w:tcPr>
          <w:p>
            <w:pPr>
              <w:pStyle w:val="yTable"/>
              <w:tabs>
                <w:tab w:val="decimal" w:pos="425"/>
                <w:tab w:val="right" w:pos="1418"/>
              </w:tabs>
              <w:spacing w:before="0"/>
              <w:ind w:left="34" w:right="295"/>
              <w:jc w:val="right"/>
            </w:pPr>
            <w:r>
              <w:t>194.00</w:t>
            </w:r>
          </w:p>
        </w:tc>
      </w:tr>
      <w:tr>
        <w:tblPrEx>
          <w:tblCellMar>
            <w:left w:w="108" w:type="dxa"/>
            <w:right w:w="108" w:type="dxa"/>
          </w:tblCellMar>
        </w:tblPrEx>
        <w:tc>
          <w:tcPr>
            <w:tcW w:w="4820" w:type="dxa"/>
          </w:tcPr>
          <w:p>
            <w:pPr>
              <w:pStyle w:val="yTable"/>
              <w:tabs>
                <w:tab w:val="right" w:pos="1735"/>
              </w:tabs>
              <w:spacing w:before="0"/>
              <w:ind w:left="-11" w:firstLine="11"/>
            </w:pPr>
            <w:r>
              <w:t>60100</w:t>
            </w:r>
          </w:p>
        </w:tc>
        <w:tc>
          <w:tcPr>
            <w:tcW w:w="1276" w:type="dxa"/>
          </w:tcPr>
          <w:p>
            <w:pPr>
              <w:pStyle w:val="yTable"/>
              <w:tabs>
                <w:tab w:val="decimal" w:pos="425"/>
                <w:tab w:val="right" w:pos="1418"/>
              </w:tabs>
              <w:spacing w:before="0"/>
              <w:ind w:left="34" w:right="295"/>
              <w:jc w:val="right"/>
            </w:pPr>
            <w:r>
              <w:t>81.70</w:t>
            </w:r>
          </w:p>
        </w:tc>
      </w:tr>
      <w:tr>
        <w:tblPrEx>
          <w:tblCellMar>
            <w:left w:w="108" w:type="dxa"/>
            <w:right w:w="108" w:type="dxa"/>
          </w:tblCellMar>
        </w:tblPrEx>
        <w:tc>
          <w:tcPr>
            <w:tcW w:w="4820" w:type="dxa"/>
          </w:tcPr>
          <w:p>
            <w:pPr>
              <w:pStyle w:val="yTable"/>
              <w:tabs>
                <w:tab w:val="right" w:pos="1735"/>
              </w:tabs>
              <w:spacing w:before="0"/>
              <w:ind w:left="-11" w:firstLine="11"/>
            </w:pPr>
            <w:r>
              <w:t>60500</w:t>
            </w:r>
          </w:p>
        </w:tc>
        <w:tc>
          <w:tcPr>
            <w:tcW w:w="1276" w:type="dxa"/>
          </w:tcPr>
          <w:p>
            <w:pPr>
              <w:pStyle w:val="yTable"/>
              <w:tabs>
                <w:tab w:val="decimal" w:pos="425"/>
                <w:tab w:val="right" w:pos="1418"/>
              </w:tabs>
              <w:spacing w:before="0"/>
              <w:ind w:left="34" w:right="295"/>
              <w:jc w:val="right"/>
            </w:pPr>
            <w:r>
              <w:t>58.35</w:t>
            </w:r>
          </w:p>
        </w:tc>
      </w:tr>
      <w:tr>
        <w:tblPrEx>
          <w:tblCellMar>
            <w:left w:w="108" w:type="dxa"/>
            <w:right w:w="108" w:type="dxa"/>
          </w:tblCellMar>
        </w:tblPrEx>
        <w:tc>
          <w:tcPr>
            <w:tcW w:w="4820" w:type="dxa"/>
          </w:tcPr>
          <w:p>
            <w:pPr>
              <w:pStyle w:val="yTable"/>
              <w:tabs>
                <w:tab w:val="right" w:pos="1735"/>
              </w:tabs>
              <w:spacing w:before="0"/>
              <w:ind w:left="-11" w:firstLine="11"/>
            </w:pPr>
            <w:r>
              <w:t>60503</w:t>
            </w:r>
          </w:p>
        </w:tc>
        <w:tc>
          <w:tcPr>
            <w:tcW w:w="1276" w:type="dxa"/>
          </w:tcPr>
          <w:p>
            <w:pPr>
              <w:pStyle w:val="yTable"/>
              <w:tabs>
                <w:tab w:val="decimal" w:pos="425"/>
                <w:tab w:val="right" w:pos="1418"/>
              </w:tabs>
              <w:spacing w:before="0"/>
              <w:ind w:left="34" w:right="295"/>
              <w:jc w:val="right"/>
            </w:pPr>
            <w:r>
              <w:t>40.00</w:t>
            </w:r>
          </w:p>
        </w:tc>
      </w:tr>
      <w:tr>
        <w:tblPrEx>
          <w:tblCellMar>
            <w:left w:w="108" w:type="dxa"/>
            <w:right w:w="108" w:type="dxa"/>
          </w:tblCellMar>
        </w:tblPrEx>
        <w:tc>
          <w:tcPr>
            <w:tcW w:w="4820" w:type="dxa"/>
          </w:tcPr>
          <w:p>
            <w:pPr>
              <w:pStyle w:val="yTable"/>
              <w:tabs>
                <w:tab w:val="right" w:pos="1735"/>
              </w:tabs>
              <w:spacing w:before="0"/>
              <w:ind w:left="-11" w:firstLine="11"/>
            </w:pPr>
            <w:r>
              <w:t>60506</w:t>
            </w:r>
          </w:p>
        </w:tc>
        <w:tc>
          <w:tcPr>
            <w:tcW w:w="1276" w:type="dxa"/>
          </w:tcPr>
          <w:p>
            <w:pPr>
              <w:pStyle w:val="yTable"/>
              <w:tabs>
                <w:tab w:val="decimal" w:pos="425"/>
                <w:tab w:val="right" w:pos="1418"/>
              </w:tabs>
              <w:spacing w:before="0"/>
              <w:ind w:left="34" w:right="295"/>
              <w:jc w:val="right"/>
            </w:pPr>
            <w:r>
              <w:t>85.75</w:t>
            </w:r>
          </w:p>
        </w:tc>
      </w:tr>
      <w:tr>
        <w:tblPrEx>
          <w:tblCellMar>
            <w:left w:w="108" w:type="dxa"/>
            <w:right w:w="108" w:type="dxa"/>
          </w:tblCellMar>
        </w:tblPrEx>
        <w:tc>
          <w:tcPr>
            <w:tcW w:w="4820" w:type="dxa"/>
          </w:tcPr>
          <w:p>
            <w:pPr>
              <w:pStyle w:val="yTable"/>
              <w:tabs>
                <w:tab w:val="right" w:pos="1735"/>
              </w:tabs>
              <w:spacing w:before="0"/>
              <w:ind w:left="-11" w:firstLine="11"/>
            </w:pPr>
            <w:r>
              <w:t>60509</w:t>
            </w:r>
          </w:p>
        </w:tc>
        <w:tc>
          <w:tcPr>
            <w:tcW w:w="1276" w:type="dxa"/>
          </w:tcPr>
          <w:p>
            <w:pPr>
              <w:pStyle w:val="yTable"/>
              <w:tabs>
                <w:tab w:val="decimal" w:pos="425"/>
                <w:tab w:val="right" w:pos="1418"/>
              </w:tabs>
              <w:spacing w:before="0"/>
              <w:ind w:left="34" w:right="295"/>
              <w:jc w:val="right"/>
            </w:pPr>
            <w:r>
              <w:t>133.00</w:t>
            </w:r>
          </w:p>
        </w:tc>
      </w:tr>
      <w:tr>
        <w:tblPrEx>
          <w:tblCellMar>
            <w:left w:w="108" w:type="dxa"/>
            <w:right w:w="108" w:type="dxa"/>
          </w:tblCellMar>
        </w:tblPrEx>
        <w:tc>
          <w:tcPr>
            <w:tcW w:w="4820" w:type="dxa"/>
          </w:tcPr>
          <w:p>
            <w:pPr>
              <w:pStyle w:val="yTable"/>
              <w:tabs>
                <w:tab w:val="right" w:pos="1735"/>
              </w:tabs>
              <w:spacing w:before="0"/>
              <w:ind w:left="-11" w:firstLine="11"/>
            </w:pPr>
            <w:r>
              <w:t>60918</w:t>
            </w:r>
          </w:p>
        </w:tc>
        <w:tc>
          <w:tcPr>
            <w:tcW w:w="1276" w:type="dxa"/>
          </w:tcPr>
          <w:p>
            <w:pPr>
              <w:pStyle w:val="yTable"/>
              <w:tabs>
                <w:tab w:val="decimal" w:pos="425"/>
                <w:tab w:val="right" w:pos="1418"/>
              </w:tabs>
              <w:spacing w:before="0"/>
              <w:ind w:left="34" w:right="295"/>
              <w:jc w:val="right"/>
            </w:pPr>
            <w:r>
              <w:t>63.40</w:t>
            </w:r>
          </w:p>
        </w:tc>
      </w:tr>
      <w:tr>
        <w:tblPrEx>
          <w:tblCellMar>
            <w:left w:w="108" w:type="dxa"/>
            <w:right w:w="108" w:type="dxa"/>
          </w:tblCellMar>
        </w:tblPrEx>
        <w:tc>
          <w:tcPr>
            <w:tcW w:w="4820" w:type="dxa"/>
          </w:tcPr>
          <w:p>
            <w:pPr>
              <w:pStyle w:val="yTable"/>
              <w:tabs>
                <w:tab w:val="right" w:pos="1735"/>
              </w:tabs>
              <w:spacing w:before="0"/>
              <w:ind w:left="-11" w:firstLine="11"/>
            </w:pPr>
            <w:r>
              <w:t>60927</w:t>
            </w:r>
          </w:p>
        </w:tc>
        <w:tc>
          <w:tcPr>
            <w:tcW w:w="1276" w:type="dxa"/>
          </w:tcPr>
          <w:p>
            <w:pPr>
              <w:pStyle w:val="yTable"/>
              <w:tabs>
                <w:tab w:val="decimal" w:pos="425"/>
                <w:tab w:val="right" w:pos="1418"/>
              </w:tabs>
              <w:spacing w:before="0"/>
              <w:ind w:left="34" w:right="295"/>
              <w:jc w:val="right"/>
            </w:pPr>
            <w:r>
              <w:t>51.15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61109</w:t>
            </w:r>
          </w:p>
        </w:tc>
        <w:tc>
          <w:tcPr>
            <w:tcW w:w="1276" w:type="dxa"/>
            <w:tcBorders>
              <w:bottom w:val="single" w:sz="4" w:space="0" w:color="auto"/>
            </w:tcBorders>
          </w:tcPr>
          <w:p>
            <w:pPr>
              <w:pStyle w:val="yTable"/>
              <w:tabs>
                <w:tab w:val="decimal" w:pos="425"/>
                <w:tab w:val="right" w:pos="1418"/>
              </w:tabs>
              <w:spacing w:before="0"/>
              <w:ind w:left="34" w:right="295"/>
              <w:jc w:val="right"/>
            </w:pPr>
            <w:r>
              <w:t>348.15</w:t>
            </w:r>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rPr>
                <w:b/>
              </w:rPr>
            </w:pPr>
            <w:r>
              <w:rPr>
                <w:b/>
              </w:rPr>
              <w:t>MBS item number</w:t>
            </w:r>
          </w:p>
          <w:p>
            <w:pPr>
              <w:pStyle w:val="yTable"/>
              <w:spacing w:before="0"/>
              <w:rPr>
                <w:b/>
              </w:rPr>
            </w:pPr>
            <w:r>
              <w:rPr>
                <w:i/>
              </w:rPr>
              <w:t>(November 2004 edition)</w:t>
            </w:r>
          </w:p>
        </w:tc>
        <w:tc>
          <w:tcPr>
            <w:tcW w:w="1276" w:type="dxa"/>
            <w:tcBorders>
              <w:top w:val="single" w:sz="4" w:space="0" w:color="auto"/>
              <w:bottom w:val="single" w:sz="4" w:space="0" w:color="auto"/>
            </w:tcBorders>
          </w:tcPr>
          <w:p>
            <w:pPr>
              <w:pStyle w:val="yTable"/>
              <w:jc w:val="center"/>
              <w:rPr>
                <w:b/>
              </w:rPr>
            </w:pPr>
            <w:r>
              <w:rPr>
                <w:b/>
              </w:rPr>
              <w:t>Fee</w:t>
            </w:r>
          </w:p>
          <w:p>
            <w:pPr>
              <w:pStyle w:val="yTable"/>
              <w:spacing w:before="0"/>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61302</w:t>
            </w:r>
          </w:p>
        </w:tc>
        <w:tc>
          <w:tcPr>
            <w:tcW w:w="1276" w:type="dxa"/>
          </w:tcPr>
          <w:p>
            <w:pPr>
              <w:pStyle w:val="yTable"/>
              <w:tabs>
                <w:tab w:val="decimal" w:pos="425"/>
                <w:tab w:val="right" w:pos="1418"/>
              </w:tabs>
              <w:ind w:left="34" w:right="295"/>
              <w:jc w:val="right"/>
            </w:pPr>
            <w:r>
              <w:t>464.95</w:t>
            </w:r>
          </w:p>
        </w:tc>
      </w:tr>
      <w:tr>
        <w:tblPrEx>
          <w:tblCellMar>
            <w:left w:w="108" w:type="dxa"/>
            <w:right w:w="108" w:type="dxa"/>
          </w:tblCellMar>
        </w:tblPrEx>
        <w:tc>
          <w:tcPr>
            <w:tcW w:w="4820" w:type="dxa"/>
          </w:tcPr>
          <w:p>
            <w:pPr>
              <w:pStyle w:val="yTable"/>
              <w:tabs>
                <w:tab w:val="right" w:pos="1735"/>
              </w:tabs>
              <w:spacing w:before="0"/>
              <w:ind w:left="-11" w:firstLine="11"/>
            </w:pPr>
            <w:r>
              <w:t>61303</w:t>
            </w:r>
          </w:p>
        </w:tc>
        <w:tc>
          <w:tcPr>
            <w:tcW w:w="1276" w:type="dxa"/>
          </w:tcPr>
          <w:p>
            <w:pPr>
              <w:pStyle w:val="yTable"/>
              <w:tabs>
                <w:tab w:val="decimal" w:pos="425"/>
                <w:tab w:val="right" w:pos="1418"/>
              </w:tabs>
              <w:spacing w:before="0"/>
              <w:ind w:left="34" w:right="295"/>
              <w:jc w:val="right"/>
            </w:pPr>
            <w:r>
              <w:t>585.55</w:t>
            </w:r>
          </w:p>
        </w:tc>
      </w:tr>
      <w:tr>
        <w:tblPrEx>
          <w:tblCellMar>
            <w:left w:w="108" w:type="dxa"/>
            <w:right w:w="108" w:type="dxa"/>
          </w:tblCellMar>
        </w:tblPrEx>
        <w:tc>
          <w:tcPr>
            <w:tcW w:w="4820" w:type="dxa"/>
          </w:tcPr>
          <w:p>
            <w:pPr>
              <w:pStyle w:val="yTable"/>
              <w:tabs>
                <w:tab w:val="right" w:pos="1735"/>
              </w:tabs>
              <w:spacing w:before="0"/>
              <w:ind w:left="-11" w:firstLine="11"/>
            </w:pPr>
            <w:r>
              <w:t>61306</w:t>
            </w:r>
          </w:p>
        </w:tc>
        <w:tc>
          <w:tcPr>
            <w:tcW w:w="1276" w:type="dxa"/>
          </w:tcPr>
          <w:p>
            <w:pPr>
              <w:pStyle w:val="yTable"/>
              <w:tabs>
                <w:tab w:val="decimal" w:pos="425"/>
                <w:tab w:val="right" w:pos="1418"/>
              </w:tabs>
              <w:spacing w:before="0"/>
              <w:ind w:left="34" w:right="295"/>
              <w:jc w:val="right"/>
            </w:pPr>
            <w:r>
              <w:t>735.10</w:t>
            </w:r>
          </w:p>
        </w:tc>
      </w:tr>
      <w:tr>
        <w:tblPrEx>
          <w:tblCellMar>
            <w:left w:w="108" w:type="dxa"/>
            <w:right w:w="108" w:type="dxa"/>
          </w:tblCellMar>
        </w:tblPrEx>
        <w:tc>
          <w:tcPr>
            <w:tcW w:w="4820" w:type="dxa"/>
          </w:tcPr>
          <w:p>
            <w:pPr>
              <w:pStyle w:val="yTable"/>
              <w:tabs>
                <w:tab w:val="right" w:pos="1735"/>
              </w:tabs>
              <w:spacing w:before="0"/>
              <w:ind w:left="-11" w:firstLine="11"/>
            </w:pPr>
            <w:r>
              <w:t>61307</w:t>
            </w:r>
          </w:p>
        </w:tc>
        <w:tc>
          <w:tcPr>
            <w:tcW w:w="1276" w:type="dxa"/>
          </w:tcPr>
          <w:p>
            <w:pPr>
              <w:pStyle w:val="yTable"/>
              <w:tabs>
                <w:tab w:val="decimal" w:pos="425"/>
                <w:tab w:val="right" w:pos="1418"/>
              </w:tabs>
              <w:spacing w:before="0"/>
              <w:ind w:left="34" w:right="295"/>
              <w:jc w:val="right"/>
            </w:pPr>
            <w:r>
              <w:t>864.85</w:t>
            </w:r>
          </w:p>
        </w:tc>
      </w:tr>
      <w:tr>
        <w:tblPrEx>
          <w:tblCellMar>
            <w:left w:w="108" w:type="dxa"/>
            <w:right w:w="108" w:type="dxa"/>
          </w:tblCellMar>
        </w:tblPrEx>
        <w:tc>
          <w:tcPr>
            <w:tcW w:w="4820" w:type="dxa"/>
          </w:tcPr>
          <w:p>
            <w:pPr>
              <w:pStyle w:val="yTable"/>
              <w:tabs>
                <w:tab w:val="right" w:pos="1735"/>
              </w:tabs>
              <w:spacing w:before="0"/>
              <w:ind w:left="-11" w:firstLine="11"/>
            </w:pPr>
            <w:r>
              <w:t>61310</w:t>
            </w:r>
          </w:p>
        </w:tc>
        <w:tc>
          <w:tcPr>
            <w:tcW w:w="1276" w:type="dxa"/>
          </w:tcPr>
          <w:p>
            <w:pPr>
              <w:pStyle w:val="yTable"/>
              <w:tabs>
                <w:tab w:val="decimal" w:pos="425"/>
                <w:tab w:val="right" w:pos="1418"/>
              </w:tabs>
              <w:spacing w:before="0"/>
              <w:ind w:left="34" w:right="295"/>
              <w:jc w:val="right"/>
            </w:pPr>
            <w:r>
              <w:t>380.45</w:t>
            </w:r>
          </w:p>
        </w:tc>
      </w:tr>
      <w:tr>
        <w:tblPrEx>
          <w:tblCellMar>
            <w:left w:w="108" w:type="dxa"/>
            <w:right w:w="108" w:type="dxa"/>
          </w:tblCellMar>
        </w:tblPrEx>
        <w:tc>
          <w:tcPr>
            <w:tcW w:w="4820" w:type="dxa"/>
          </w:tcPr>
          <w:p>
            <w:pPr>
              <w:pStyle w:val="yTable"/>
              <w:tabs>
                <w:tab w:val="right" w:pos="1735"/>
              </w:tabs>
              <w:spacing w:before="0"/>
              <w:ind w:left="-11" w:firstLine="11"/>
            </w:pPr>
            <w:r>
              <w:t>61313</w:t>
            </w:r>
          </w:p>
        </w:tc>
        <w:tc>
          <w:tcPr>
            <w:tcW w:w="1276" w:type="dxa"/>
          </w:tcPr>
          <w:p>
            <w:pPr>
              <w:pStyle w:val="yTable"/>
              <w:tabs>
                <w:tab w:val="decimal" w:pos="425"/>
                <w:tab w:val="right" w:pos="1418"/>
              </w:tabs>
              <w:spacing w:before="0"/>
              <w:ind w:left="34" w:right="295"/>
              <w:jc w:val="right"/>
            </w:pPr>
            <w:r>
              <w:t>314.25</w:t>
            </w:r>
          </w:p>
        </w:tc>
      </w:tr>
      <w:tr>
        <w:tblPrEx>
          <w:tblCellMar>
            <w:left w:w="108" w:type="dxa"/>
            <w:right w:w="108" w:type="dxa"/>
          </w:tblCellMar>
        </w:tblPrEx>
        <w:tc>
          <w:tcPr>
            <w:tcW w:w="4820" w:type="dxa"/>
          </w:tcPr>
          <w:p>
            <w:pPr>
              <w:pStyle w:val="yTable"/>
              <w:tabs>
                <w:tab w:val="right" w:pos="1735"/>
              </w:tabs>
              <w:spacing w:before="0"/>
              <w:ind w:left="-11" w:firstLine="11"/>
            </w:pPr>
            <w:r>
              <w:t>61314</w:t>
            </w:r>
          </w:p>
        </w:tc>
        <w:tc>
          <w:tcPr>
            <w:tcW w:w="1276" w:type="dxa"/>
          </w:tcPr>
          <w:p>
            <w:pPr>
              <w:pStyle w:val="yTable"/>
              <w:tabs>
                <w:tab w:val="decimal" w:pos="425"/>
                <w:tab w:val="right" w:pos="1418"/>
              </w:tabs>
              <w:spacing w:before="0"/>
              <w:ind w:left="34" w:right="295"/>
              <w:jc w:val="right"/>
            </w:pPr>
            <w:r>
              <w:t>435.05</w:t>
            </w:r>
          </w:p>
        </w:tc>
      </w:tr>
      <w:tr>
        <w:tblPrEx>
          <w:tblCellMar>
            <w:left w:w="108" w:type="dxa"/>
            <w:right w:w="108" w:type="dxa"/>
          </w:tblCellMar>
        </w:tblPrEx>
        <w:tc>
          <w:tcPr>
            <w:tcW w:w="4820" w:type="dxa"/>
          </w:tcPr>
          <w:p>
            <w:pPr>
              <w:pStyle w:val="yTable"/>
              <w:tabs>
                <w:tab w:val="right" w:pos="1735"/>
              </w:tabs>
              <w:spacing w:before="0"/>
              <w:ind w:left="-11" w:firstLine="11"/>
            </w:pPr>
            <w:r>
              <w:t>61316</w:t>
            </w:r>
          </w:p>
        </w:tc>
        <w:tc>
          <w:tcPr>
            <w:tcW w:w="1276" w:type="dxa"/>
          </w:tcPr>
          <w:p>
            <w:pPr>
              <w:pStyle w:val="yTable"/>
              <w:tabs>
                <w:tab w:val="decimal" w:pos="425"/>
                <w:tab w:val="right" w:pos="1418"/>
              </w:tabs>
              <w:spacing w:before="0"/>
              <w:ind w:left="34" w:right="295"/>
              <w:jc w:val="right"/>
            </w:pPr>
            <w:r>
              <w:t>394.85</w:t>
            </w:r>
          </w:p>
        </w:tc>
      </w:tr>
      <w:tr>
        <w:tblPrEx>
          <w:tblCellMar>
            <w:left w:w="108" w:type="dxa"/>
            <w:right w:w="108" w:type="dxa"/>
          </w:tblCellMar>
        </w:tblPrEx>
        <w:tc>
          <w:tcPr>
            <w:tcW w:w="4820" w:type="dxa"/>
          </w:tcPr>
          <w:p>
            <w:pPr>
              <w:pStyle w:val="yTable"/>
              <w:tabs>
                <w:tab w:val="right" w:pos="1735"/>
              </w:tabs>
              <w:spacing w:before="0"/>
              <w:ind w:left="-11" w:firstLine="11"/>
            </w:pPr>
            <w:r>
              <w:t>61317</w:t>
            </w:r>
          </w:p>
        </w:tc>
        <w:tc>
          <w:tcPr>
            <w:tcW w:w="1276" w:type="dxa"/>
          </w:tcPr>
          <w:p>
            <w:pPr>
              <w:pStyle w:val="yTable"/>
              <w:tabs>
                <w:tab w:val="decimal" w:pos="425"/>
                <w:tab w:val="right" w:pos="1418"/>
              </w:tabs>
              <w:spacing w:before="0"/>
              <w:ind w:left="34" w:right="295"/>
              <w:jc w:val="right"/>
            </w:pPr>
            <w:r>
              <w:t>510.00</w:t>
            </w:r>
          </w:p>
        </w:tc>
      </w:tr>
      <w:tr>
        <w:tblPrEx>
          <w:tblCellMar>
            <w:left w:w="108" w:type="dxa"/>
            <w:right w:w="108" w:type="dxa"/>
          </w:tblCellMar>
        </w:tblPrEx>
        <w:tc>
          <w:tcPr>
            <w:tcW w:w="4820" w:type="dxa"/>
          </w:tcPr>
          <w:p>
            <w:pPr>
              <w:pStyle w:val="yTable"/>
              <w:tabs>
                <w:tab w:val="right" w:pos="1735"/>
              </w:tabs>
              <w:spacing w:before="0"/>
              <w:ind w:left="-11" w:firstLine="11"/>
            </w:pPr>
            <w:r>
              <w:t>61320</w:t>
            </w:r>
          </w:p>
        </w:tc>
        <w:tc>
          <w:tcPr>
            <w:tcW w:w="1276" w:type="dxa"/>
          </w:tcPr>
          <w:p>
            <w:pPr>
              <w:pStyle w:val="yTable"/>
              <w:tabs>
                <w:tab w:val="decimal" w:pos="425"/>
                <w:tab w:val="right" w:pos="1418"/>
              </w:tabs>
              <w:spacing w:before="0"/>
              <w:ind w:left="34" w:right="295"/>
              <w:jc w:val="right"/>
            </w:pPr>
            <w:r>
              <w:t>237.10</w:t>
            </w:r>
          </w:p>
        </w:tc>
      </w:tr>
      <w:tr>
        <w:tblPrEx>
          <w:tblCellMar>
            <w:left w:w="108" w:type="dxa"/>
            <w:right w:w="108" w:type="dxa"/>
          </w:tblCellMar>
        </w:tblPrEx>
        <w:tc>
          <w:tcPr>
            <w:tcW w:w="4820" w:type="dxa"/>
          </w:tcPr>
          <w:p>
            <w:pPr>
              <w:pStyle w:val="yTable"/>
              <w:tabs>
                <w:tab w:val="right" w:pos="1735"/>
              </w:tabs>
              <w:spacing w:before="0"/>
              <w:ind w:left="-11" w:firstLine="11"/>
            </w:pPr>
            <w:r>
              <w:t>61328</w:t>
            </w:r>
          </w:p>
        </w:tc>
        <w:tc>
          <w:tcPr>
            <w:tcW w:w="1276" w:type="dxa"/>
          </w:tcPr>
          <w:p>
            <w:pPr>
              <w:pStyle w:val="yTable"/>
              <w:tabs>
                <w:tab w:val="decimal" w:pos="425"/>
                <w:tab w:val="right" w:pos="1418"/>
              </w:tabs>
              <w:spacing w:before="0"/>
              <w:ind w:left="34" w:right="295"/>
              <w:jc w:val="right"/>
            </w:pPr>
            <w:r>
              <w:t>235.80</w:t>
            </w:r>
          </w:p>
        </w:tc>
      </w:tr>
      <w:tr>
        <w:tblPrEx>
          <w:tblCellMar>
            <w:left w:w="108" w:type="dxa"/>
            <w:right w:w="108" w:type="dxa"/>
          </w:tblCellMar>
        </w:tblPrEx>
        <w:tc>
          <w:tcPr>
            <w:tcW w:w="4820" w:type="dxa"/>
          </w:tcPr>
          <w:p>
            <w:pPr>
              <w:pStyle w:val="yTable"/>
              <w:tabs>
                <w:tab w:val="right" w:pos="1735"/>
              </w:tabs>
              <w:spacing w:before="0"/>
              <w:ind w:left="-11" w:firstLine="11"/>
            </w:pPr>
            <w:r>
              <w:t>61340</w:t>
            </w:r>
          </w:p>
        </w:tc>
        <w:tc>
          <w:tcPr>
            <w:tcW w:w="1276" w:type="dxa"/>
          </w:tcPr>
          <w:p>
            <w:pPr>
              <w:pStyle w:val="yTable"/>
              <w:tabs>
                <w:tab w:val="decimal" w:pos="425"/>
                <w:tab w:val="right" w:pos="1418"/>
              </w:tabs>
              <w:spacing w:before="0"/>
              <w:ind w:left="34" w:right="295"/>
              <w:jc w:val="right"/>
            </w:pPr>
            <w:r>
              <w:t>262.05</w:t>
            </w:r>
          </w:p>
        </w:tc>
      </w:tr>
      <w:tr>
        <w:tblPrEx>
          <w:tblCellMar>
            <w:left w:w="108" w:type="dxa"/>
            <w:right w:w="108" w:type="dxa"/>
          </w:tblCellMar>
        </w:tblPrEx>
        <w:tc>
          <w:tcPr>
            <w:tcW w:w="4820" w:type="dxa"/>
          </w:tcPr>
          <w:p>
            <w:pPr>
              <w:pStyle w:val="yTable"/>
              <w:tabs>
                <w:tab w:val="right" w:pos="1735"/>
              </w:tabs>
              <w:spacing w:before="0"/>
              <w:ind w:left="-11" w:firstLine="11"/>
            </w:pPr>
            <w:r>
              <w:t>61348</w:t>
            </w:r>
          </w:p>
        </w:tc>
        <w:tc>
          <w:tcPr>
            <w:tcW w:w="1276" w:type="dxa"/>
          </w:tcPr>
          <w:p>
            <w:pPr>
              <w:pStyle w:val="yTable"/>
              <w:tabs>
                <w:tab w:val="decimal" w:pos="425"/>
                <w:tab w:val="right" w:pos="1418"/>
              </w:tabs>
              <w:spacing w:before="0"/>
              <w:ind w:left="34" w:right="295"/>
              <w:jc w:val="right"/>
            </w:pPr>
            <w:r>
              <w:t>459.25</w:t>
            </w:r>
          </w:p>
        </w:tc>
      </w:tr>
      <w:tr>
        <w:tblPrEx>
          <w:tblCellMar>
            <w:left w:w="108" w:type="dxa"/>
            <w:right w:w="108" w:type="dxa"/>
          </w:tblCellMar>
        </w:tblPrEx>
        <w:tc>
          <w:tcPr>
            <w:tcW w:w="4820" w:type="dxa"/>
          </w:tcPr>
          <w:p>
            <w:pPr>
              <w:pStyle w:val="yTable"/>
              <w:tabs>
                <w:tab w:val="right" w:pos="1735"/>
              </w:tabs>
              <w:spacing w:before="0"/>
              <w:ind w:left="-11" w:firstLine="11"/>
            </w:pPr>
            <w:r>
              <w:t>61352</w:t>
            </w:r>
          </w:p>
        </w:tc>
        <w:tc>
          <w:tcPr>
            <w:tcW w:w="1276" w:type="dxa"/>
          </w:tcPr>
          <w:p>
            <w:pPr>
              <w:pStyle w:val="yTable"/>
              <w:tabs>
                <w:tab w:val="decimal" w:pos="425"/>
                <w:tab w:val="right" w:pos="1418"/>
              </w:tabs>
              <w:spacing w:before="0"/>
              <w:ind w:left="34" w:right="295"/>
              <w:jc w:val="right"/>
            </w:pPr>
            <w:r>
              <w:t>268.65</w:t>
            </w:r>
          </w:p>
        </w:tc>
      </w:tr>
      <w:tr>
        <w:tblPrEx>
          <w:tblCellMar>
            <w:left w:w="108" w:type="dxa"/>
            <w:right w:w="108" w:type="dxa"/>
          </w:tblCellMar>
        </w:tblPrEx>
        <w:tc>
          <w:tcPr>
            <w:tcW w:w="4820" w:type="dxa"/>
          </w:tcPr>
          <w:p>
            <w:pPr>
              <w:pStyle w:val="yTable"/>
              <w:tabs>
                <w:tab w:val="right" w:pos="1735"/>
              </w:tabs>
              <w:spacing w:before="0"/>
              <w:ind w:left="-11" w:firstLine="11"/>
            </w:pPr>
            <w:r>
              <w:t>61353</w:t>
            </w:r>
          </w:p>
        </w:tc>
        <w:tc>
          <w:tcPr>
            <w:tcW w:w="1276" w:type="dxa"/>
          </w:tcPr>
          <w:p>
            <w:pPr>
              <w:pStyle w:val="yTable"/>
              <w:tabs>
                <w:tab w:val="decimal" w:pos="425"/>
                <w:tab w:val="right" w:pos="1418"/>
              </w:tabs>
              <w:spacing w:before="0"/>
              <w:ind w:left="34" w:right="295"/>
              <w:jc w:val="right"/>
            </w:pPr>
            <w:r>
              <w:t>400.45</w:t>
            </w:r>
          </w:p>
        </w:tc>
      </w:tr>
      <w:tr>
        <w:tblPrEx>
          <w:tblCellMar>
            <w:left w:w="108" w:type="dxa"/>
            <w:right w:w="108" w:type="dxa"/>
          </w:tblCellMar>
        </w:tblPrEx>
        <w:tc>
          <w:tcPr>
            <w:tcW w:w="4820" w:type="dxa"/>
          </w:tcPr>
          <w:p>
            <w:pPr>
              <w:pStyle w:val="yTable"/>
              <w:tabs>
                <w:tab w:val="right" w:pos="1735"/>
              </w:tabs>
              <w:spacing w:before="0"/>
              <w:ind w:left="-11" w:firstLine="11"/>
            </w:pPr>
            <w:r>
              <w:t>61356</w:t>
            </w:r>
          </w:p>
        </w:tc>
        <w:tc>
          <w:tcPr>
            <w:tcW w:w="1276" w:type="dxa"/>
          </w:tcPr>
          <w:p>
            <w:pPr>
              <w:pStyle w:val="yTable"/>
              <w:tabs>
                <w:tab w:val="decimal" w:pos="425"/>
                <w:tab w:val="right" w:pos="1418"/>
              </w:tabs>
              <w:spacing w:before="0"/>
              <w:ind w:left="34" w:right="295"/>
              <w:jc w:val="right"/>
            </w:pPr>
            <w:r>
              <w:t>406.85</w:t>
            </w:r>
          </w:p>
        </w:tc>
      </w:tr>
      <w:tr>
        <w:tblPrEx>
          <w:tblCellMar>
            <w:left w:w="108" w:type="dxa"/>
            <w:right w:w="108" w:type="dxa"/>
          </w:tblCellMar>
        </w:tblPrEx>
        <w:tc>
          <w:tcPr>
            <w:tcW w:w="4820" w:type="dxa"/>
          </w:tcPr>
          <w:p>
            <w:pPr>
              <w:pStyle w:val="yTable"/>
              <w:tabs>
                <w:tab w:val="right" w:pos="1735"/>
              </w:tabs>
              <w:spacing w:before="0"/>
              <w:ind w:left="-11" w:firstLine="11"/>
            </w:pPr>
            <w:r>
              <w:t>61360</w:t>
            </w:r>
          </w:p>
        </w:tc>
        <w:tc>
          <w:tcPr>
            <w:tcW w:w="1276" w:type="dxa"/>
          </w:tcPr>
          <w:p>
            <w:pPr>
              <w:pStyle w:val="yTable"/>
              <w:tabs>
                <w:tab w:val="decimal" w:pos="425"/>
                <w:tab w:val="right" w:pos="1418"/>
              </w:tabs>
              <w:spacing w:before="0"/>
              <w:ind w:left="34" w:right="295"/>
              <w:jc w:val="right"/>
            </w:pPr>
            <w:r>
              <w:t>417.80</w:t>
            </w:r>
          </w:p>
        </w:tc>
      </w:tr>
      <w:tr>
        <w:tblPrEx>
          <w:tblCellMar>
            <w:left w:w="108" w:type="dxa"/>
            <w:right w:w="108" w:type="dxa"/>
          </w:tblCellMar>
        </w:tblPrEx>
        <w:tc>
          <w:tcPr>
            <w:tcW w:w="4820" w:type="dxa"/>
          </w:tcPr>
          <w:p>
            <w:pPr>
              <w:pStyle w:val="yTable"/>
              <w:tabs>
                <w:tab w:val="right" w:pos="1735"/>
              </w:tabs>
              <w:spacing w:before="0"/>
              <w:ind w:left="-11" w:firstLine="11"/>
            </w:pPr>
            <w:r>
              <w:t>61361</w:t>
            </w:r>
          </w:p>
        </w:tc>
        <w:tc>
          <w:tcPr>
            <w:tcW w:w="1276" w:type="dxa"/>
          </w:tcPr>
          <w:p>
            <w:pPr>
              <w:pStyle w:val="yTable"/>
              <w:tabs>
                <w:tab w:val="decimal" w:pos="425"/>
                <w:tab w:val="right" w:pos="1418"/>
              </w:tabs>
              <w:spacing w:before="0"/>
              <w:ind w:left="34" w:right="295"/>
              <w:jc w:val="right"/>
            </w:pPr>
            <w:r>
              <w:t>477.95</w:t>
            </w:r>
          </w:p>
        </w:tc>
      </w:tr>
      <w:tr>
        <w:tblPrEx>
          <w:tblCellMar>
            <w:left w:w="108" w:type="dxa"/>
            <w:right w:w="108" w:type="dxa"/>
          </w:tblCellMar>
        </w:tblPrEx>
        <w:tc>
          <w:tcPr>
            <w:tcW w:w="4820" w:type="dxa"/>
          </w:tcPr>
          <w:p>
            <w:pPr>
              <w:pStyle w:val="yTable"/>
              <w:tabs>
                <w:tab w:val="right" w:pos="1735"/>
              </w:tabs>
              <w:spacing w:before="0"/>
              <w:ind w:left="-11" w:firstLine="11"/>
            </w:pPr>
            <w:r>
              <w:t>61364</w:t>
            </w:r>
          </w:p>
        </w:tc>
        <w:tc>
          <w:tcPr>
            <w:tcW w:w="1276" w:type="dxa"/>
          </w:tcPr>
          <w:p>
            <w:pPr>
              <w:pStyle w:val="yTable"/>
              <w:tabs>
                <w:tab w:val="decimal" w:pos="425"/>
                <w:tab w:val="right" w:pos="1418"/>
              </w:tabs>
              <w:spacing w:before="0"/>
              <w:ind w:left="34" w:right="295"/>
              <w:jc w:val="right"/>
            </w:pPr>
            <w:r>
              <w:t>514.80</w:t>
            </w:r>
          </w:p>
        </w:tc>
      </w:tr>
      <w:tr>
        <w:tblPrEx>
          <w:tblCellMar>
            <w:left w:w="108" w:type="dxa"/>
            <w:right w:w="108" w:type="dxa"/>
          </w:tblCellMar>
        </w:tblPrEx>
        <w:tc>
          <w:tcPr>
            <w:tcW w:w="4820" w:type="dxa"/>
          </w:tcPr>
          <w:p>
            <w:pPr>
              <w:pStyle w:val="yTable"/>
              <w:tabs>
                <w:tab w:val="right" w:pos="1735"/>
              </w:tabs>
              <w:spacing w:before="0"/>
              <w:ind w:left="-11" w:firstLine="11"/>
            </w:pPr>
            <w:r>
              <w:t>61368</w:t>
            </w:r>
          </w:p>
        </w:tc>
        <w:tc>
          <w:tcPr>
            <w:tcW w:w="1276" w:type="dxa"/>
          </w:tcPr>
          <w:p>
            <w:pPr>
              <w:pStyle w:val="yTable"/>
              <w:tabs>
                <w:tab w:val="decimal" w:pos="425"/>
                <w:tab w:val="right" w:pos="1418"/>
              </w:tabs>
              <w:spacing w:before="0"/>
              <w:ind w:left="34" w:right="295"/>
              <w:jc w:val="right"/>
            </w:pPr>
            <w:r>
              <w:t>231.10</w:t>
            </w:r>
          </w:p>
        </w:tc>
      </w:tr>
      <w:tr>
        <w:tblPrEx>
          <w:tblCellMar>
            <w:left w:w="108" w:type="dxa"/>
            <w:right w:w="108" w:type="dxa"/>
          </w:tblCellMar>
        </w:tblPrEx>
        <w:tc>
          <w:tcPr>
            <w:tcW w:w="4820" w:type="dxa"/>
          </w:tcPr>
          <w:p>
            <w:pPr>
              <w:pStyle w:val="yTable"/>
              <w:tabs>
                <w:tab w:val="right" w:pos="1735"/>
              </w:tabs>
              <w:spacing w:before="0"/>
              <w:ind w:left="-11" w:firstLine="11"/>
            </w:pPr>
            <w:r>
              <w:t>61369</w:t>
            </w:r>
          </w:p>
        </w:tc>
        <w:tc>
          <w:tcPr>
            <w:tcW w:w="1276" w:type="dxa"/>
          </w:tcPr>
          <w:p>
            <w:pPr>
              <w:pStyle w:val="yTable"/>
              <w:tabs>
                <w:tab w:val="decimal" w:pos="425"/>
                <w:tab w:val="right" w:pos="1418"/>
              </w:tabs>
              <w:spacing w:before="0"/>
              <w:ind w:left="34" w:right="295" w:hanging="142"/>
              <w:jc w:val="right"/>
            </w:pPr>
            <w:r>
              <w:t>2 088.00</w:t>
            </w:r>
          </w:p>
        </w:tc>
      </w:tr>
      <w:tr>
        <w:tblPrEx>
          <w:tblCellMar>
            <w:left w:w="108" w:type="dxa"/>
            <w:right w:w="108" w:type="dxa"/>
          </w:tblCellMar>
        </w:tblPrEx>
        <w:tc>
          <w:tcPr>
            <w:tcW w:w="4820" w:type="dxa"/>
          </w:tcPr>
          <w:p>
            <w:pPr>
              <w:pStyle w:val="yTable"/>
              <w:tabs>
                <w:tab w:val="right" w:pos="1735"/>
              </w:tabs>
              <w:spacing w:before="0"/>
              <w:ind w:left="-11" w:firstLine="11"/>
            </w:pPr>
            <w:r>
              <w:t>61372</w:t>
            </w:r>
          </w:p>
        </w:tc>
        <w:tc>
          <w:tcPr>
            <w:tcW w:w="1276" w:type="dxa"/>
          </w:tcPr>
          <w:p>
            <w:pPr>
              <w:pStyle w:val="yTable"/>
              <w:tabs>
                <w:tab w:val="decimal" w:pos="425"/>
                <w:tab w:val="right" w:pos="1418"/>
              </w:tabs>
              <w:spacing w:before="0"/>
              <w:ind w:left="34" w:right="295"/>
              <w:jc w:val="right"/>
            </w:pPr>
            <w:r>
              <w:t>231.10</w:t>
            </w:r>
          </w:p>
        </w:tc>
      </w:tr>
      <w:tr>
        <w:tblPrEx>
          <w:tblCellMar>
            <w:left w:w="108" w:type="dxa"/>
            <w:right w:w="108" w:type="dxa"/>
          </w:tblCellMar>
        </w:tblPrEx>
        <w:tc>
          <w:tcPr>
            <w:tcW w:w="4820" w:type="dxa"/>
          </w:tcPr>
          <w:p>
            <w:pPr>
              <w:pStyle w:val="yTable"/>
              <w:tabs>
                <w:tab w:val="right" w:pos="1735"/>
              </w:tabs>
              <w:spacing w:before="0"/>
              <w:ind w:left="-11" w:firstLine="11"/>
            </w:pPr>
            <w:r>
              <w:t>61373</w:t>
            </w:r>
          </w:p>
        </w:tc>
        <w:tc>
          <w:tcPr>
            <w:tcW w:w="1276" w:type="dxa"/>
          </w:tcPr>
          <w:p>
            <w:pPr>
              <w:pStyle w:val="yTable"/>
              <w:tabs>
                <w:tab w:val="decimal" w:pos="425"/>
                <w:tab w:val="right" w:pos="1418"/>
              </w:tabs>
              <w:spacing w:before="0"/>
              <w:ind w:left="34" w:right="295"/>
              <w:jc w:val="right"/>
            </w:pPr>
            <w:r>
              <w:t>507.25</w:t>
            </w:r>
          </w:p>
        </w:tc>
      </w:tr>
      <w:tr>
        <w:tblPrEx>
          <w:tblCellMar>
            <w:left w:w="108" w:type="dxa"/>
            <w:right w:w="108" w:type="dxa"/>
          </w:tblCellMar>
        </w:tblPrEx>
        <w:tc>
          <w:tcPr>
            <w:tcW w:w="4820" w:type="dxa"/>
          </w:tcPr>
          <w:p>
            <w:pPr>
              <w:pStyle w:val="yTable"/>
              <w:tabs>
                <w:tab w:val="right" w:pos="1735"/>
              </w:tabs>
              <w:spacing w:before="0"/>
              <w:ind w:left="-11" w:firstLine="11"/>
            </w:pPr>
            <w:r>
              <w:t>61376</w:t>
            </w:r>
          </w:p>
        </w:tc>
        <w:tc>
          <w:tcPr>
            <w:tcW w:w="1276" w:type="dxa"/>
          </w:tcPr>
          <w:p>
            <w:pPr>
              <w:pStyle w:val="yTable"/>
              <w:tabs>
                <w:tab w:val="decimal" w:pos="425"/>
                <w:tab w:val="right" w:pos="1418"/>
              </w:tabs>
              <w:spacing w:before="0"/>
              <w:ind w:left="34" w:right="295"/>
              <w:jc w:val="right"/>
            </w:pPr>
            <w:r>
              <w:t>148.50</w:t>
            </w:r>
          </w:p>
        </w:tc>
      </w:tr>
      <w:tr>
        <w:tblPrEx>
          <w:tblCellMar>
            <w:left w:w="108" w:type="dxa"/>
            <w:right w:w="108" w:type="dxa"/>
          </w:tblCellMar>
        </w:tblPrEx>
        <w:tc>
          <w:tcPr>
            <w:tcW w:w="4820" w:type="dxa"/>
          </w:tcPr>
          <w:p>
            <w:pPr>
              <w:pStyle w:val="yTable"/>
              <w:tabs>
                <w:tab w:val="right" w:pos="1735"/>
              </w:tabs>
              <w:spacing w:before="0"/>
              <w:ind w:left="-11" w:firstLine="11"/>
            </w:pPr>
            <w:r>
              <w:t>61381</w:t>
            </w:r>
          </w:p>
        </w:tc>
        <w:tc>
          <w:tcPr>
            <w:tcW w:w="1276" w:type="dxa"/>
          </w:tcPr>
          <w:p>
            <w:pPr>
              <w:pStyle w:val="yTable"/>
              <w:tabs>
                <w:tab w:val="decimal" w:pos="425"/>
                <w:tab w:val="right" w:pos="1418"/>
              </w:tabs>
              <w:spacing w:before="0"/>
              <w:ind w:left="34" w:right="295"/>
              <w:jc w:val="right"/>
            </w:pPr>
            <w:r>
              <w:t>594.90</w:t>
            </w:r>
          </w:p>
        </w:tc>
      </w:tr>
      <w:tr>
        <w:tblPrEx>
          <w:tblCellMar>
            <w:left w:w="108" w:type="dxa"/>
            <w:right w:w="108" w:type="dxa"/>
          </w:tblCellMar>
        </w:tblPrEx>
        <w:tc>
          <w:tcPr>
            <w:tcW w:w="4820" w:type="dxa"/>
          </w:tcPr>
          <w:p>
            <w:pPr>
              <w:pStyle w:val="yTable"/>
              <w:tabs>
                <w:tab w:val="right" w:pos="1735"/>
              </w:tabs>
              <w:spacing w:before="0"/>
              <w:ind w:left="-11" w:firstLine="11"/>
            </w:pPr>
            <w:r>
              <w:t>61383</w:t>
            </w:r>
          </w:p>
        </w:tc>
        <w:tc>
          <w:tcPr>
            <w:tcW w:w="1276" w:type="dxa"/>
          </w:tcPr>
          <w:p>
            <w:pPr>
              <w:pStyle w:val="yTable"/>
              <w:tabs>
                <w:tab w:val="decimal" w:pos="425"/>
                <w:tab w:val="right" w:pos="1418"/>
              </w:tabs>
              <w:spacing w:before="0"/>
              <w:ind w:left="34" w:right="295"/>
              <w:jc w:val="right"/>
            </w:pPr>
            <w:r>
              <w:t>647.35</w:t>
            </w:r>
          </w:p>
        </w:tc>
      </w:tr>
      <w:tr>
        <w:tblPrEx>
          <w:tblCellMar>
            <w:left w:w="108" w:type="dxa"/>
            <w:right w:w="108" w:type="dxa"/>
          </w:tblCellMar>
        </w:tblPrEx>
        <w:tc>
          <w:tcPr>
            <w:tcW w:w="4820" w:type="dxa"/>
          </w:tcPr>
          <w:p>
            <w:pPr>
              <w:pStyle w:val="yTable"/>
              <w:tabs>
                <w:tab w:val="right" w:pos="1735"/>
              </w:tabs>
              <w:spacing w:before="0"/>
              <w:ind w:left="-11" w:firstLine="11"/>
            </w:pPr>
            <w:r>
              <w:t>61384</w:t>
            </w:r>
          </w:p>
        </w:tc>
        <w:tc>
          <w:tcPr>
            <w:tcW w:w="1276" w:type="dxa"/>
          </w:tcPr>
          <w:p>
            <w:pPr>
              <w:pStyle w:val="yTable"/>
              <w:tabs>
                <w:tab w:val="decimal" w:pos="425"/>
                <w:tab w:val="right" w:pos="1418"/>
              </w:tabs>
              <w:spacing w:before="0"/>
              <w:ind w:left="34" w:right="295"/>
              <w:jc w:val="right"/>
            </w:pPr>
            <w:r>
              <w:t>712.35</w:t>
            </w:r>
          </w:p>
        </w:tc>
      </w:tr>
      <w:tr>
        <w:tblPrEx>
          <w:tblCellMar>
            <w:left w:w="108" w:type="dxa"/>
            <w:right w:w="108" w:type="dxa"/>
          </w:tblCellMar>
        </w:tblPrEx>
        <w:tc>
          <w:tcPr>
            <w:tcW w:w="4820" w:type="dxa"/>
          </w:tcPr>
          <w:p>
            <w:pPr>
              <w:pStyle w:val="yTable"/>
              <w:tabs>
                <w:tab w:val="right" w:pos="1735"/>
              </w:tabs>
              <w:spacing w:before="0"/>
              <w:ind w:left="-11" w:firstLine="11"/>
            </w:pPr>
            <w:r>
              <w:t>61386</w:t>
            </w:r>
          </w:p>
        </w:tc>
        <w:tc>
          <w:tcPr>
            <w:tcW w:w="1276" w:type="dxa"/>
          </w:tcPr>
          <w:p>
            <w:pPr>
              <w:pStyle w:val="yTable"/>
              <w:tabs>
                <w:tab w:val="decimal" w:pos="425"/>
                <w:tab w:val="right" w:pos="1418"/>
              </w:tabs>
              <w:spacing w:before="0"/>
              <w:ind w:left="34" w:right="295"/>
              <w:jc w:val="right"/>
            </w:pPr>
            <w:r>
              <w:t>344.40</w:t>
            </w:r>
          </w:p>
        </w:tc>
      </w:tr>
      <w:tr>
        <w:tblPrEx>
          <w:tblCellMar>
            <w:left w:w="108" w:type="dxa"/>
            <w:right w:w="108" w:type="dxa"/>
          </w:tblCellMar>
        </w:tblPrEx>
        <w:tc>
          <w:tcPr>
            <w:tcW w:w="4820" w:type="dxa"/>
          </w:tcPr>
          <w:p>
            <w:pPr>
              <w:pStyle w:val="yTable"/>
              <w:tabs>
                <w:tab w:val="right" w:pos="1735"/>
              </w:tabs>
              <w:spacing w:before="0"/>
              <w:ind w:left="-11" w:firstLine="11"/>
            </w:pPr>
            <w:r>
              <w:t>61387</w:t>
            </w:r>
          </w:p>
        </w:tc>
        <w:tc>
          <w:tcPr>
            <w:tcW w:w="1276" w:type="dxa"/>
          </w:tcPr>
          <w:p>
            <w:pPr>
              <w:pStyle w:val="yTable"/>
              <w:tabs>
                <w:tab w:val="decimal" w:pos="425"/>
                <w:tab w:val="right" w:pos="1418"/>
              </w:tabs>
              <w:spacing w:before="0"/>
              <w:ind w:left="34" w:right="295"/>
              <w:jc w:val="right"/>
            </w:pPr>
            <w:r>
              <w:t>446.20</w:t>
            </w:r>
          </w:p>
        </w:tc>
      </w:tr>
      <w:tr>
        <w:tblPrEx>
          <w:tblCellMar>
            <w:left w:w="108" w:type="dxa"/>
            <w:right w:w="108" w:type="dxa"/>
          </w:tblCellMar>
        </w:tblPrEx>
        <w:tc>
          <w:tcPr>
            <w:tcW w:w="4820" w:type="dxa"/>
          </w:tcPr>
          <w:p>
            <w:pPr>
              <w:pStyle w:val="yTable"/>
              <w:tabs>
                <w:tab w:val="right" w:pos="1735"/>
              </w:tabs>
              <w:spacing w:before="0"/>
              <w:ind w:left="-11" w:firstLine="11"/>
            </w:pPr>
            <w:r>
              <w:t>61389</w:t>
            </w:r>
          </w:p>
        </w:tc>
        <w:tc>
          <w:tcPr>
            <w:tcW w:w="1276" w:type="dxa"/>
          </w:tcPr>
          <w:p>
            <w:pPr>
              <w:pStyle w:val="yTable"/>
              <w:tabs>
                <w:tab w:val="decimal" w:pos="425"/>
                <w:tab w:val="right" w:pos="1418"/>
              </w:tabs>
              <w:spacing w:before="0"/>
              <w:ind w:left="34" w:right="295"/>
              <w:jc w:val="right"/>
            </w:pPr>
            <w:r>
              <w:t>383.85</w:t>
            </w:r>
          </w:p>
        </w:tc>
      </w:tr>
      <w:tr>
        <w:tblPrEx>
          <w:tblCellMar>
            <w:left w:w="108" w:type="dxa"/>
            <w:right w:w="108" w:type="dxa"/>
          </w:tblCellMar>
        </w:tblPrEx>
        <w:tc>
          <w:tcPr>
            <w:tcW w:w="4820" w:type="dxa"/>
          </w:tcPr>
          <w:p>
            <w:pPr>
              <w:pStyle w:val="yTable"/>
              <w:tabs>
                <w:tab w:val="right" w:pos="1735"/>
              </w:tabs>
              <w:spacing w:before="0"/>
              <w:ind w:left="-11" w:firstLine="11"/>
            </w:pPr>
            <w:r>
              <w:t>61390</w:t>
            </w:r>
          </w:p>
        </w:tc>
        <w:tc>
          <w:tcPr>
            <w:tcW w:w="1276" w:type="dxa"/>
          </w:tcPr>
          <w:p>
            <w:pPr>
              <w:pStyle w:val="yTable"/>
              <w:tabs>
                <w:tab w:val="decimal" w:pos="425"/>
                <w:tab w:val="right" w:pos="1418"/>
              </w:tabs>
              <w:spacing w:before="0"/>
              <w:ind w:left="34" w:right="295"/>
              <w:jc w:val="right"/>
            </w:pPr>
            <w:r>
              <w:t>424.65</w:t>
            </w:r>
          </w:p>
        </w:tc>
      </w:tr>
      <w:tr>
        <w:tblPrEx>
          <w:tblCellMar>
            <w:left w:w="108" w:type="dxa"/>
            <w:right w:w="108" w:type="dxa"/>
          </w:tblCellMar>
        </w:tblPrEx>
        <w:tc>
          <w:tcPr>
            <w:tcW w:w="4820" w:type="dxa"/>
          </w:tcPr>
          <w:p>
            <w:pPr>
              <w:pStyle w:val="yTable"/>
              <w:tabs>
                <w:tab w:val="right" w:pos="1735"/>
              </w:tabs>
              <w:spacing w:before="0"/>
              <w:ind w:left="-11" w:firstLine="11"/>
            </w:pPr>
            <w:r>
              <w:t>61393</w:t>
            </w:r>
          </w:p>
        </w:tc>
        <w:tc>
          <w:tcPr>
            <w:tcW w:w="1276" w:type="dxa"/>
          </w:tcPr>
          <w:p>
            <w:pPr>
              <w:pStyle w:val="yTable"/>
              <w:tabs>
                <w:tab w:val="decimal" w:pos="425"/>
                <w:tab w:val="right" w:pos="1418"/>
              </w:tabs>
              <w:spacing w:before="0"/>
              <w:ind w:left="34" w:right="295"/>
              <w:jc w:val="right"/>
            </w:pPr>
            <w:r>
              <w:t>627.20</w:t>
            </w:r>
          </w:p>
        </w:tc>
      </w:tr>
      <w:tr>
        <w:tblPrEx>
          <w:tblCellMar>
            <w:left w:w="108" w:type="dxa"/>
            <w:right w:w="108" w:type="dxa"/>
          </w:tblCellMar>
        </w:tblPrEx>
        <w:tc>
          <w:tcPr>
            <w:tcW w:w="4820" w:type="dxa"/>
          </w:tcPr>
          <w:p>
            <w:pPr>
              <w:pStyle w:val="yTable"/>
              <w:tabs>
                <w:tab w:val="right" w:pos="1735"/>
              </w:tabs>
              <w:spacing w:before="0"/>
              <w:ind w:left="-11" w:firstLine="11"/>
            </w:pPr>
            <w:r>
              <w:t>61397</w:t>
            </w:r>
          </w:p>
        </w:tc>
        <w:tc>
          <w:tcPr>
            <w:tcW w:w="1276" w:type="dxa"/>
          </w:tcPr>
          <w:p>
            <w:pPr>
              <w:pStyle w:val="yTable"/>
              <w:tabs>
                <w:tab w:val="decimal" w:pos="425"/>
                <w:tab w:val="right" w:pos="1418"/>
              </w:tabs>
              <w:spacing w:before="0"/>
              <w:ind w:left="34" w:right="295"/>
              <w:jc w:val="right"/>
            </w:pPr>
            <w:r>
              <w:t>255.70</w:t>
            </w:r>
          </w:p>
        </w:tc>
      </w:tr>
      <w:tr>
        <w:tblPrEx>
          <w:tblCellMar>
            <w:left w:w="108" w:type="dxa"/>
            <w:right w:w="108" w:type="dxa"/>
          </w:tblCellMar>
        </w:tblPrEx>
        <w:tc>
          <w:tcPr>
            <w:tcW w:w="4820" w:type="dxa"/>
          </w:tcPr>
          <w:p>
            <w:pPr>
              <w:pStyle w:val="yTable"/>
              <w:tabs>
                <w:tab w:val="right" w:pos="1735"/>
              </w:tabs>
              <w:spacing w:before="0"/>
              <w:ind w:left="-11" w:firstLine="11"/>
            </w:pPr>
            <w:r>
              <w:t>61401</w:t>
            </w:r>
          </w:p>
        </w:tc>
        <w:tc>
          <w:tcPr>
            <w:tcW w:w="1276" w:type="dxa"/>
          </w:tcPr>
          <w:p>
            <w:pPr>
              <w:pStyle w:val="yTable"/>
              <w:tabs>
                <w:tab w:val="decimal" w:pos="425"/>
                <w:tab w:val="right" w:pos="1418"/>
              </w:tabs>
              <w:spacing w:before="0"/>
              <w:ind w:left="34" w:right="295"/>
              <w:jc w:val="right"/>
            </w:pPr>
            <w:r>
              <w:t>168.10</w:t>
            </w:r>
          </w:p>
        </w:tc>
      </w:tr>
      <w:tr>
        <w:tblPrEx>
          <w:tblCellMar>
            <w:left w:w="108" w:type="dxa"/>
            <w:right w:w="108" w:type="dxa"/>
          </w:tblCellMar>
        </w:tblPrEx>
        <w:tc>
          <w:tcPr>
            <w:tcW w:w="4820" w:type="dxa"/>
          </w:tcPr>
          <w:p>
            <w:pPr>
              <w:pStyle w:val="yTable"/>
              <w:tabs>
                <w:tab w:val="right" w:pos="1735"/>
              </w:tabs>
              <w:spacing w:before="0"/>
              <w:ind w:left="-11" w:firstLine="11"/>
            </w:pPr>
            <w:r>
              <w:t>61402</w:t>
            </w:r>
          </w:p>
        </w:tc>
        <w:tc>
          <w:tcPr>
            <w:tcW w:w="1276" w:type="dxa"/>
          </w:tcPr>
          <w:p>
            <w:pPr>
              <w:pStyle w:val="yTable"/>
              <w:tabs>
                <w:tab w:val="decimal" w:pos="425"/>
                <w:tab w:val="right" w:pos="1418"/>
              </w:tabs>
              <w:spacing w:before="0"/>
              <w:ind w:left="34" w:right="295"/>
              <w:jc w:val="right"/>
            </w:pPr>
            <w:r>
              <w:t>626.75</w:t>
            </w:r>
          </w:p>
        </w:tc>
      </w:tr>
      <w:tr>
        <w:tblPrEx>
          <w:tblCellMar>
            <w:left w:w="108" w:type="dxa"/>
            <w:right w:w="108" w:type="dxa"/>
          </w:tblCellMar>
        </w:tblPrEx>
        <w:tc>
          <w:tcPr>
            <w:tcW w:w="4820" w:type="dxa"/>
          </w:tcPr>
          <w:p>
            <w:pPr>
              <w:pStyle w:val="yTable"/>
              <w:tabs>
                <w:tab w:val="right" w:pos="1735"/>
              </w:tabs>
              <w:spacing w:before="0"/>
              <w:ind w:left="-11" w:firstLine="11"/>
            </w:pPr>
            <w:r>
              <w:t>61405</w:t>
            </w:r>
          </w:p>
        </w:tc>
        <w:tc>
          <w:tcPr>
            <w:tcW w:w="1276" w:type="dxa"/>
          </w:tcPr>
          <w:p>
            <w:pPr>
              <w:pStyle w:val="yTable"/>
              <w:tabs>
                <w:tab w:val="decimal" w:pos="425"/>
                <w:tab w:val="right" w:pos="1418"/>
              </w:tabs>
              <w:spacing w:before="0"/>
              <w:ind w:left="34" w:right="295"/>
              <w:jc w:val="right"/>
            </w:pPr>
            <w:r>
              <w:t>358.40</w:t>
            </w:r>
          </w:p>
        </w:tc>
      </w:tr>
      <w:tr>
        <w:tblPrEx>
          <w:tblCellMar>
            <w:left w:w="108" w:type="dxa"/>
            <w:right w:w="108" w:type="dxa"/>
          </w:tblCellMar>
        </w:tblPrEx>
        <w:tc>
          <w:tcPr>
            <w:tcW w:w="4820" w:type="dxa"/>
          </w:tcPr>
          <w:p>
            <w:pPr>
              <w:pStyle w:val="yTable"/>
              <w:tabs>
                <w:tab w:val="right" w:pos="1735"/>
              </w:tabs>
              <w:spacing w:before="0"/>
              <w:ind w:left="-11" w:firstLine="11"/>
            </w:pPr>
            <w:r>
              <w:t>61409</w:t>
            </w:r>
          </w:p>
        </w:tc>
        <w:tc>
          <w:tcPr>
            <w:tcW w:w="1276" w:type="dxa"/>
          </w:tcPr>
          <w:p>
            <w:pPr>
              <w:pStyle w:val="yTable"/>
              <w:tabs>
                <w:tab w:val="decimal" w:pos="425"/>
                <w:tab w:val="right" w:pos="1418"/>
              </w:tabs>
              <w:spacing w:before="0"/>
              <w:ind w:left="34" w:right="295"/>
              <w:jc w:val="right"/>
            </w:pPr>
            <w:r>
              <w:t>904.80</w:t>
            </w:r>
          </w:p>
        </w:tc>
      </w:tr>
      <w:tr>
        <w:tblPrEx>
          <w:tblCellMar>
            <w:left w:w="108" w:type="dxa"/>
            <w:right w:w="108" w:type="dxa"/>
          </w:tblCellMar>
        </w:tblPrEx>
        <w:tc>
          <w:tcPr>
            <w:tcW w:w="4820" w:type="dxa"/>
          </w:tcPr>
          <w:p>
            <w:pPr>
              <w:pStyle w:val="yTable"/>
              <w:tabs>
                <w:tab w:val="right" w:pos="1735"/>
              </w:tabs>
              <w:spacing w:before="0"/>
              <w:ind w:left="-11" w:firstLine="11"/>
            </w:pPr>
            <w:r>
              <w:t>61413</w:t>
            </w:r>
          </w:p>
        </w:tc>
        <w:tc>
          <w:tcPr>
            <w:tcW w:w="1276" w:type="dxa"/>
          </w:tcPr>
          <w:p>
            <w:pPr>
              <w:pStyle w:val="yTable"/>
              <w:tabs>
                <w:tab w:val="decimal" w:pos="425"/>
                <w:tab w:val="right" w:pos="1418"/>
              </w:tabs>
              <w:spacing w:before="0"/>
              <w:ind w:left="34" w:right="295"/>
              <w:jc w:val="right"/>
            </w:pPr>
            <w:r>
              <w:t>234.05</w:t>
            </w:r>
          </w:p>
        </w:tc>
      </w:tr>
      <w:tr>
        <w:tblPrEx>
          <w:tblCellMar>
            <w:left w:w="108" w:type="dxa"/>
            <w:right w:w="108" w:type="dxa"/>
          </w:tblCellMar>
        </w:tblPrEx>
        <w:tc>
          <w:tcPr>
            <w:tcW w:w="4820" w:type="dxa"/>
          </w:tcPr>
          <w:p>
            <w:pPr>
              <w:pStyle w:val="yTable"/>
              <w:tabs>
                <w:tab w:val="right" w:pos="1735"/>
              </w:tabs>
              <w:spacing w:before="0"/>
              <w:ind w:left="-11" w:firstLine="11"/>
            </w:pPr>
            <w:r>
              <w:t>61417</w:t>
            </w:r>
          </w:p>
        </w:tc>
        <w:tc>
          <w:tcPr>
            <w:tcW w:w="1276" w:type="dxa"/>
          </w:tcPr>
          <w:p>
            <w:pPr>
              <w:pStyle w:val="yTable"/>
              <w:tabs>
                <w:tab w:val="decimal" w:pos="425"/>
                <w:tab w:val="right" w:pos="1418"/>
              </w:tabs>
              <w:spacing w:before="0"/>
              <w:ind w:left="34" w:right="295"/>
              <w:jc w:val="right"/>
            </w:pPr>
            <w:r>
              <w:t>123.10</w:t>
            </w:r>
          </w:p>
        </w:tc>
      </w:tr>
      <w:tr>
        <w:tblPrEx>
          <w:tblCellMar>
            <w:left w:w="108" w:type="dxa"/>
            <w:right w:w="108" w:type="dxa"/>
          </w:tblCellMar>
        </w:tblPrEx>
        <w:tc>
          <w:tcPr>
            <w:tcW w:w="4820" w:type="dxa"/>
          </w:tcPr>
          <w:p>
            <w:pPr>
              <w:pStyle w:val="yTable"/>
              <w:tabs>
                <w:tab w:val="right" w:pos="1735"/>
              </w:tabs>
              <w:spacing w:before="0"/>
              <w:ind w:left="-11" w:firstLine="11"/>
            </w:pPr>
            <w:r>
              <w:t>61421</w:t>
            </w:r>
          </w:p>
        </w:tc>
        <w:tc>
          <w:tcPr>
            <w:tcW w:w="1276" w:type="dxa"/>
          </w:tcPr>
          <w:p>
            <w:pPr>
              <w:pStyle w:val="yTable"/>
              <w:tabs>
                <w:tab w:val="decimal" w:pos="425"/>
                <w:tab w:val="right" w:pos="1418"/>
              </w:tabs>
              <w:spacing w:before="0"/>
              <w:ind w:left="34" w:right="295"/>
              <w:jc w:val="right"/>
            </w:pPr>
            <w:r>
              <w:t>497.00</w:t>
            </w:r>
          </w:p>
        </w:tc>
      </w:tr>
      <w:tr>
        <w:tblPrEx>
          <w:tblCellMar>
            <w:left w:w="108" w:type="dxa"/>
            <w:right w:w="108" w:type="dxa"/>
          </w:tblCellMar>
        </w:tblPrEx>
        <w:tc>
          <w:tcPr>
            <w:tcW w:w="4820" w:type="dxa"/>
          </w:tcPr>
          <w:p>
            <w:pPr>
              <w:pStyle w:val="yTable"/>
              <w:tabs>
                <w:tab w:val="right" w:pos="1735"/>
              </w:tabs>
              <w:spacing w:before="0"/>
              <w:ind w:left="-11" w:firstLine="11"/>
            </w:pPr>
            <w:r>
              <w:t>61425</w:t>
            </w:r>
          </w:p>
        </w:tc>
        <w:tc>
          <w:tcPr>
            <w:tcW w:w="1276" w:type="dxa"/>
          </w:tcPr>
          <w:p>
            <w:pPr>
              <w:pStyle w:val="yTable"/>
              <w:tabs>
                <w:tab w:val="decimal" w:pos="425"/>
                <w:tab w:val="right" w:pos="1418"/>
              </w:tabs>
              <w:spacing w:before="0"/>
              <w:ind w:left="34" w:right="295"/>
              <w:jc w:val="right"/>
            </w:pPr>
            <w:r>
              <w:t>622.25</w:t>
            </w:r>
          </w:p>
        </w:tc>
      </w:tr>
      <w:tr>
        <w:tblPrEx>
          <w:tblCellMar>
            <w:left w:w="108" w:type="dxa"/>
            <w:right w:w="108" w:type="dxa"/>
          </w:tblCellMar>
        </w:tblPrEx>
        <w:tc>
          <w:tcPr>
            <w:tcW w:w="4820" w:type="dxa"/>
          </w:tcPr>
          <w:p>
            <w:pPr>
              <w:pStyle w:val="yTable"/>
              <w:tabs>
                <w:tab w:val="right" w:pos="1735"/>
              </w:tabs>
              <w:spacing w:before="0"/>
              <w:ind w:left="-11" w:firstLine="11"/>
            </w:pPr>
            <w:r>
              <w:t>61426</w:t>
            </w:r>
          </w:p>
        </w:tc>
        <w:tc>
          <w:tcPr>
            <w:tcW w:w="1276" w:type="dxa"/>
          </w:tcPr>
          <w:p>
            <w:pPr>
              <w:pStyle w:val="yTable"/>
              <w:tabs>
                <w:tab w:val="decimal" w:pos="425"/>
                <w:tab w:val="right" w:pos="1418"/>
              </w:tabs>
              <w:spacing w:before="0"/>
              <w:ind w:left="34" w:right="295"/>
              <w:jc w:val="right"/>
            </w:pPr>
            <w:r>
              <w:t>574.70</w:t>
            </w:r>
          </w:p>
        </w:tc>
      </w:tr>
      <w:tr>
        <w:tblPrEx>
          <w:tblCellMar>
            <w:left w:w="108" w:type="dxa"/>
            <w:right w:w="108" w:type="dxa"/>
          </w:tblCellMar>
        </w:tblPrEx>
        <w:tc>
          <w:tcPr>
            <w:tcW w:w="4820" w:type="dxa"/>
          </w:tcPr>
          <w:p>
            <w:pPr>
              <w:pStyle w:val="yTable"/>
              <w:tabs>
                <w:tab w:val="right" w:pos="1735"/>
              </w:tabs>
              <w:spacing w:before="0"/>
              <w:ind w:left="-11" w:firstLine="11"/>
            </w:pPr>
            <w:r>
              <w:t>61429</w:t>
            </w:r>
          </w:p>
        </w:tc>
        <w:tc>
          <w:tcPr>
            <w:tcW w:w="1276" w:type="dxa"/>
          </w:tcPr>
          <w:p>
            <w:pPr>
              <w:pStyle w:val="yTable"/>
              <w:tabs>
                <w:tab w:val="decimal" w:pos="425"/>
                <w:tab w:val="right" w:pos="1418"/>
              </w:tabs>
              <w:spacing w:before="0"/>
              <w:ind w:left="34" w:right="295"/>
              <w:jc w:val="right"/>
            </w:pPr>
            <w:r>
              <w:t>562.45</w:t>
            </w:r>
          </w:p>
        </w:tc>
      </w:tr>
      <w:tr>
        <w:tblPrEx>
          <w:tblCellMar>
            <w:left w:w="108" w:type="dxa"/>
            <w:right w:w="108" w:type="dxa"/>
          </w:tblCellMar>
        </w:tblPrEx>
        <w:tc>
          <w:tcPr>
            <w:tcW w:w="4820" w:type="dxa"/>
          </w:tcPr>
          <w:p>
            <w:pPr>
              <w:pStyle w:val="yTable"/>
              <w:tabs>
                <w:tab w:val="right" w:pos="1735"/>
              </w:tabs>
              <w:spacing w:before="0"/>
              <w:ind w:left="-11" w:firstLine="11"/>
            </w:pPr>
            <w:r>
              <w:t>61430</w:t>
            </w:r>
          </w:p>
        </w:tc>
        <w:tc>
          <w:tcPr>
            <w:tcW w:w="1276" w:type="dxa"/>
          </w:tcPr>
          <w:p>
            <w:pPr>
              <w:pStyle w:val="yTable"/>
              <w:tabs>
                <w:tab w:val="decimal" w:pos="425"/>
                <w:tab w:val="right" w:pos="1418"/>
              </w:tabs>
              <w:spacing w:before="0"/>
              <w:ind w:left="34" w:right="295"/>
              <w:jc w:val="right"/>
            </w:pPr>
            <w:r>
              <w:t>683.05</w:t>
            </w:r>
          </w:p>
        </w:tc>
      </w:tr>
      <w:tr>
        <w:tblPrEx>
          <w:tblCellMar>
            <w:left w:w="108" w:type="dxa"/>
            <w:right w:w="108" w:type="dxa"/>
          </w:tblCellMar>
        </w:tblPrEx>
        <w:tc>
          <w:tcPr>
            <w:tcW w:w="4820" w:type="dxa"/>
          </w:tcPr>
          <w:p>
            <w:pPr>
              <w:pStyle w:val="yTable"/>
              <w:tabs>
                <w:tab w:val="right" w:pos="1735"/>
              </w:tabs>
              <w:spacing w:before="0"/>
              <w:ind w:left="-11" w:firstLine="11"/>
            </w:pPr>
            <w:r>
              <w:t>61433</w:t>
            </w:r>
          </w:p>
        </w:tc>
        <w:tc>
          <w:tcPr>
            <w:tcW w:w="1276" w:type="dxa"/>
          </w:tcPr>
          <w:p>
            <w:pPr>
              <w:pStyle w:val="yTable"/>
              <w:tabs>
                <w:tab w:val="decimal" w:pos="425"/>
                <w:tab w:val="right" w:pos="1418"/>
              </w:tabs>
              <w:spacing w:before="0"/>
              <w:ind w:left="34" w:right="295"/>
              <w:jc w:val="right"/>
            </w:pPr>
            <w:r>
              <w:t>514.80</w:t>
            </w:r>
          </w:p>
        </w:tc>
      </w:tr>
      <w:tr>
        <w:tblPrEx>
          <w:tblCellMar>
            <w:left w:w="108" w:type="dxa"/>
            <w:right w:w="108" w:type="dxa"/>
          </w:tblCellMar>
        </w:tblPrEx>
        <w:tc>
          <w:tcPr>
            <w:tcW w:w="4820" w:type="dxa"/>
          </w:tcPr>
          <w:p>
            <w:pPr>
              <w:pStyle w:val="yTable"/>
              <w:tabs>
                <w:tab w:val="right" w:pos="1735"/>
              </w:tabs>
              <w:spacing w:before="0"/>
              <w:ind w:left="-11" w:firstLine="11"/>
            </w:pPr>
            <w:r>
              <w:t>61434</w:t>
            </w:r>
          </w:p>
        </w:tc>
        <w:tc>
          <w:tcPr>
            <w:tcW w:w="1276" w:type="dxa"/>
          </w:tcPr>
          <w:p>
            <w:pPr>
              <w:pStyle w:val="yTable"/>
              <w:tabs>
                <w:tab w:val="decimal" w:pos="425"/>
                <w:tab w:val="right" w:pos="1418"/>
              </w:tabs>
              <w:spacing w:before="0"/>
              <w:ind w:left="34" w:right="295"/>
              <w:jc w:val="right"/>
            </w:pPr>
            <w:r>
              <w:t>637.45</w:t>
            </w:r>
          </w:p>
        </w:tc>
      </w:tr>
      <w:tr>
        <w:tblPrEx>
          <w:tblCellMar>
            <w:left w:w="108" w:type="dxa"/>
            <w:right w:w="108" w:type="dxa"/>
          </w:tblCellMar>
        </w:tblPrEx>
        <w:tc>
          <w:tcPr>
            <w:tcW w:w="4820" w:type="dxa"/>
          </w:tcPr>
          <w:p>
            <w:pPr>
              <w:pStyle w:val="yTable"/>
              <w:tabs>
                <w:tab w:val="right" w:pos="1735"/>
              </w:tabs>
              <w:spacing w:before="0"/>
              <w:ind w:left="-11" w:firstLine="11"/>
            </w:pPr>
            <w:r>
              <w:t>61437</w:t>
            </w:r>
          </w:p>
        </w:tc>
        <w:tc>
          <w:tcPr>
            <w:tcW w:w="1276" w:type="dxa"/>
          </w:tcPr>
          <w:p>
            <w:pPr>
              <w:pStyle w:val="yTable"/>
              <w:tabs>
                <w:tab w:val="decimal" w:pos="425"/>
                <w:tab w:val="right" w:pos="1418"/>
              </w:tabs>
              <w:spacing w:before="0"/>
              <w:ind w:left="34" w:right="295"/>
              <w:jc w:val="right"/>
            </w:pPr>
            <w:r>
              <w:t>562.25</w:t>
            </w:r>
          </w:p>
        </w:tc>
      </w:tr>
      <w:tr>
        <w:tblPrEx>
          <w:tblCellMar>
            <w:left w:w="108" w:type="dxa"/>
            <w:right w:w="108" w:type="dxa"/>
          </w:tblCellMar>
        </w:tblPrEx>
        <w:tc>
          <w:tcPr>
            <w:tcW w:w="4820" w:type="dxa"/>
          </w:tcPr>
          <w:p>
            <w:pPr>
              <w:pStyle w:val="yTable"/>
              <w:tabs>
                <w:tab w:val="right" w:pos="1735"/>
              </w:tabs>
              <w:spacing w:before="0"/>
              <w:ind w:left="-11" w:firstLine="11"/>
            </w:pPr>
            <w:r>
              <w:t>61438</w:t>
            </w:r>
          </w:p>
        </w:tc>
        <w:tc>
          <w:tcPr>
            <w:tcW w:w="1276" w:type="dxa"/>
          </w:tcPr>
          <w:p>
            <w:pPr>
              <w:pStyle w:val="yTable"/>
              <w:tabs>
                <w:tab w:val="decimal" w:pos="425"/>
                <w:tab w:val="right" w:pos="1418"/>
              </w:tabs>
              <w:spacing w:before="0"/>
              <w:ind w:left="34" w:right="295"/>
              <w:jc w:val="right"/>
            </w:pPr>
            <w:r>
              <w:t>697.10</w:t>
            </w:r>
          </w:p>
        </w:tc>
      </w:tr>
      <w:tr>
        <w:tblPrEx>
          <w:tblCellMar>
            <w:left w:w="108" w:type="dxa"/>
            <w:right w:w="108" w:type="dxa"/>
          </w:tblCellMar>
        </w:tblPrEx>
        <w:tc>
          <w:tcPr>
            <w:tcW w:w="4820" w:type="dxa"/>
          </w:tcPr>
          <w:p>
            <w:pPr>
              <w:pStyle w:val="yTable"/>
              <w:tabs>
                <w:tab w:val="right" w:pos="1735"/>
              </w:tabs>
              <w:spacing w:before="0"/>
              <w:ind w:left="-11" w:firstLine="11"/>
            </w:pPr>
            <w:r>
              <w:t>61441</w:t>
            </w:r>
          </w:p>
        </w:tc>
        <w:tc>
          <w:tcPr>
            <w:tcW w:w="1276" w:type="dxa"/>
          </w:tcPr>
          <w:p>
            <w:pPr>
              <w:pStyle w:val="yTable"/>
              <w:tabs>
                <w:tab w:val="decimal" w:pos="425"/>
                <w:tab w:val="right" w:pos="1418"/>
              </w:tabs>
              <w:spacing w:before="0"/>
              <w:ind w:left="34" w:right="295"/>
              <w:jc w:val="right"/>
            </w:pPr>
            <w:r>
              <w:t>507.25</w:t>
            </w:r>
          </w:p>
        </w:tc>
      </w:tr>
      <w:tr>
        <w:tblPrEx>
          <w:tblCellMar>
            <w:left w:w="108" w:type="dxa"/>
            <w:right w:w="108" w:type="dxa"/>
          </w:tblCellMar>
        </w:tblPrEx>
        <w:tc>
          <w:tcPr>
            <w:tcW w:w="4820" w:type="dxa"/>
          </w:tcPr>
          <w:p>
            <w:pPr>
              <w:pStyle w:val="yTable"/>
              <w:tabs>
                <w:tab w:val="right" w:pos="1735"/>
              </w:tabs>
              <w:spacing w:before="0"/>
              <w:ind w:left="-11" w:firstLine="11"/>
            </w:pPr>
            <w:r>
              <w:t>61442</w:t>
            </w:r>
          </w:p>
        </w:tc>
        <w:tc>
          <w:tcPr>
            <w:tcW w:w="1276" w:type="dxa"/>
          </w:tcPr>
          <w:p>
            <w:pPr>
              <w:pStyle w:val="yTable"/>
              <w:tabs>
                <w:tab w:val="decimal" w:pos="425"/>
                <w:tab w:val="right" w:pos="1418"/>
              </w:tabs>
              <w:spacing w:before="0"/>
              <w:ind w:left="34" w:right="295"/>
              <w:jc w:val="right"/>
            </w:pPr>
            <w:r>
              <w:t>779.30</w:t>
            </w:r>
          </w:p>
        </w:tc>
      </w:tr>
      <w:tr>
        <w:tblPrEx>
          <w:tblCellMar>
            <w:left w:w="108" w:type="dxa"/>
            <w:right w:w="108" w:type="dxa"/>
          </w:tblCellMar>
        </w:tblPrEx>
        <w:tc>
          <w:tcPr>
            <w:tcW w:w="4820" w:type="dxa"/>
          </w:tcPr>
          <w:p>
            <w:pPr>
              <w:pStyle w:val="yTable"/>
              <w:tabs>
                <w:tab w:val="right" w:pos="1735"/>
              </w:tabs>
              <w:spacing w:before="0"/>
              <w:ind w:left="-11" w:firstLine="11"/>
            </w:pPr>
            <w:r>
              <w:t>61445</w:t>
            </w:r>
          </w:p>
        </w:tc>
        <w:tc>
          <w:tcPr>
            <w:tcW w:w="1276" w:type="dxa"/>
          </w:tcPr>
          <w:p>
            <w:pPr>
              <w:pStyle w:val="yTable"/>
              <w:tabs>
                <w:tab w:val="decimal" w:pos="425"/>
                <w:tab w:val="right" w:pos="1418"/>
              </w:tabs>
              <w:spacing w:before="0"/>
              <w:ind w:left="34" w:right="295"/>
              <w:jc w:val="right"/>
            </w:pPr>
            <w:r>
              <w:t>297.05</w:t>
            </w:r>
          </w:p>
        </w:tc>
      </w:tr>
      <w:tr>
        <w:tblPrEx>
          <w:tblCellMar>
            <w:left w:w="108" w:type="dxa"/>
            <w:right w:w="108" w:type="dxa"/>
          </w:tblCellMar>
        </w:tblPrEx>
        <w:tc>
          <w:tcPr>
            <w:tcW w:w="4820" w:type="dxa"/>
          </w:tcPr>
          <w:p>
            <w:pPr>
              <w:pStyle w:val="yTable"/>
              <w:tabs>
                <w:tab w:val="right" w:pos="1735"/>
              </w:tabs>
              <w:spacing w:before="0"/>
              <w:ind w:left="-11" w:firstLine="11"/>
            </w:pPr>
            <w:r>
              <w:t>61446</w:t>
            </w:r>
          </w:p>
        </w:tc>
        <w:tc>
          <w:tcPr>
            <w:tcW w:w="1276" w:type="dxa"/>
          </w:tcPr>
          <w:p>
            <w:pPr>
              <w:pStyle w:val="yTable"/>
              <w:tabs>
                <w:tab w:val="decimal" w:pos="425"/>
                <w:tab w:val="right" w:pos="1418"/>
              </w:tabs>
              <w:spacing w:before="0"/>
              <w:ind w:left="34" w:right="295"/>
              <w:jc w:val="right"/>
            </w:pPr>
            <w:r>
              <w:t>345.50</w:t>
            </w:r>
          </w:p>
        </w:tc>
      </w:tr>
      <w:tr>
        <w:tblPrEx>
          <w:tblCellMar>
            <w:left w:w="108" w:type="dxa"/>
            <w:right w:w="108" w:type="dxa"/>
          </w:tblCellMar>
        </w:tblPrEx>
        <w:tc>
          <w:tcPr>
            <w:tcW w:w="4820" w:type="dxa"/>
          </w:tcPr>
          <w:p>
            <w:pPr>
              <w:pStyle w:val="yTable"/>
              <w:tabs>
                <w:tab w:val="right" w:pos="1735"/>
              </w:tabs>
              <w:spacing w:before="0"/>
              <w:ind w:left="-11" w:firstLine="11"/>
            </w:pPr>
            <w:r>
              <w:t>61449</w:t>
            </w:r>
          </w:p>
        </w:tc>
        <w:tc>
          <w:tcPr>
            <w:tcW w:w="1276" w:type="dxa"/>
          </w:tcPr>
          <w:p>
            <w:pPr>
              <w:pStyle w:val="yTable"/>
              <w:tabs>
                <w:tab w:val="decimal" w:pos="425"/>
                <w:tab w:val="right" w:pos="1418"/>
              </w:tabs>
              <w:spacing w:before="0"/>
              <w:ind w:left="34" w:right="295"/>
              <w:jc w:val="right"/>
            </w:pPr>
            <w:r>
              <w:t>472.55</w:t>
            </w:r>
          </w:p>
        </w:tc>
      </w:tr>
      <w:tr>
        <w:tblPrEx>
          <w:tblCellMar>
            <w:left w:w="108" w:type="dxa"/>
            <w:right w:w="108" w:type="dxa"/>
          </w:tblCellMar>
        </w:tblPrEx>
        <w:tc>
          <w:tcPr>
            <w:tcW w:w="4820" w:type="dxa"/>
          </w:tcPr>
          <w:p>
            <w:pPr>
              <w:pStyle w:val="yTable"/>
              <w:tabs>
                <w:tab w:val="right" w:pos="1735"/>
              </w:tabs>
              <w:spacing w:before="0"/>
              <w:ind w:left="-11" w:firstLine="11"/>
            </w:pPr>
            <w:r>
              <w:t>61450</w:t>
            </w:r>
          </w:p>
        </w:tc>
        <w:tc>
          <w:tcPr>
            <w:tcW w:w="1276" w:type="dxa"/>
          </w:tcPr>
          <w:p>
            <w:pPr>
              <w:pStyle w:val="yTable"/>
              <w:tabs>
                <w:tab w:val="decimal" w:pos="425"/>
                <w:tab w:val="right" w:pos="1418"/>
              </w:tabs>
              <w:spacing w:before="0"/>
              <w:ind w:left="34" w:right="295"/>
              <w:jc w:val="right"/>
            </w:pPr>
            <w:r>
              <w:t>411.80</w:t>
            </w:r>
          </w:p>
        </w:tc>
      </w:tr>
      <w:tr>
        <w:tblPrEx>
          <w:tblCellMar>
            <w:left w:w="108" w:type="dxa"/>
            <w:right w:w="108" w:type="dxa"/>
          </w:tblCellMar>
        </w:tblPrEx>
        <w:tc>
          <w:tcPr>
            <w:tcW w:w="4820" w:type="dxa"/>
          </w:tcPr>
          <w:p>
            <w:pPr>
              <w:pStyle w:val="yTable"/>
              <w:tabs>
                <w:tab w:val="right" w:pos="1735"/>
              </w:tabs>
              <w:spacing w:before="0"/>
              <w:ind w:left="-11" w:firstLine="11"/>
            </w:pPr>
            <w:r>
              <w:t>61453</w:t>
            </w:r>
          </w:p>
        </w:tc>
        <w:tc>
          <w:tcPr>
            <w:tcW w:w="1276" w:type="dxa"/>
          </w:tcPr>
          <w:p>
            <w:pPr>
              <w:pStyle w:val="yTable"/>
              <w:tabs>
                <w:tab w:val="decimal" w:pos="425"/>
                <w:tab w:val="right" w:pos="1418"/>
              </w:tabs>
              <w:spacing w:before="0"/>
              <w:ind w:left="34" w:right="295"/>
              <w:jc w:val="right"/>
            </w:pPr>
            <w:r>
              <w:t>533.15</w:t>
            </w:r>
          </w:p>
        </w:tc>
      </w:tr>
      <w:tr>
        <w:tblPrEx>
          <w:tblCellMar>
            <w:left w:w="108" w:type="dxa"/>
            <w:right w:w="108" w:type="dxa"/>
          </w:tblCellMar>
        </w:tblPrEx>
        <w:tc>
          <w:tcPr>
            <w:tcW w:w="4820" w:type="dxa"/>
          </w:tcPr>
          <w:p>
            <w:pPr>
              <w:pStyle w:val="yTable"/>
              <w:tabs>
                <w:tab w:val="right" w:pos="1735"/>
              </w:tabs>
              <w:spacing w:before="0"/>
              <w:ind w:left="-11" w:firstLine="11"/>
            </w:pPr>
            <w:r>
              <w:t>61454</w:t>
            </w:r>
          </w:p>
        </w:tc>
        <w:tc>
          <w:tcPr>
            <w:tcW w:w="1276" w:type="dxa"/>
          </w:tcPr>
          <w:p>
            <w:pPr>
              <w:pStyle w:val="yTable"/>
              <w:tabs>
                <w:tab w:val="decimal" w:pos="425"/>
                <w:tab w:val="right" w:pos="1418"/>
              </w:tabs>
              <w:spacing w:before="0"/>
              <w:ind w:left="34" w:right="295"/>
              <w:jc w:val="right"/>
            </w:pPr>
            <w:r>
              <w:t>360.55</w:t>
            </w:r>
          </w:p>
        </w:tc>
      </w:tr>
      <w:tr>
        <w:tblPrEx>
          <w:tblCellMar>
            <w:left w:w="108" w:type="dxa"/>
            <w:right w:w="108" w:type="dxa"/>
          </w:tblCellMar>
        </w:tblPrEx>
        <w:tc>
          <w:tcPr>
            <w:tcW w:w="4820" w:type="dxa"/>
          </w:tcPr>
          <w:p>
            <w:pPr>
              <w:pStyle w:val="yTable"/>
              <w:tabs>
                <w:tab w:val="right" w:pos="1735"/>
              </w:tabs>
              <w:spacing w:before="0"/>
              <w:ind w:left="-11" w:firstLine="11"/>
            </w:pPr>
            <w:r>
              <w:t>61457</w:t>
            </w:r>
          </w:p>
        </w:tc>
        <w:tc>
          <w:tcPr>
            <w:tcW w:w="1276" w:type="dxa"/>
          </w:tcPr>
          <w:p>
            <w:pPr>
              <w:pStyle w:val="yTable"/>
              <w:tabs>
                <w:tab w:val="decimal" w:pos="425"/>
                <w:tab w:val="right" w:pos="1418"/>
              </w:tabs>
              <w:spacing w:before="0"/>
              <w:ind w:left="34" w:right="295"/>
              <w:jc w:val="right"/>
            </w:pPr>
            <w:r>
              <w:t>487.30</w:t>
            </w:r>
          </w:p>
        </w:tc>
      </w:tr>
      <w:tr>
        <w:tblPrEx>
          <w:tblCellMar>
            <w:left w:w="108" w:type="dxa"/>
            <w:right w:w="108" w:type="dxa"/>
          </w:tblCellMar>
        </w:tblPrEx>
        <w:tc>
          <w:tcPr>
            <w:tcW w:w="4820" w:type="dxa"/>
          </w:tcPr>
          <w:p>
            <w:pPr>
              <w:pStyle w:val="yTable"/>
              <w:tabs>
                <w:tab w:val="right" w:pos="1735"/>
              </w:tabs>
              <w:spacing w:before="0"/>
              <w:ind w:left="-11" w:firstLine="11"/>
            </w:pPr>
            <w:r>
              <w:t>61458</w:t>
            </w:r>
          </w:p>
        </w:tc>
        <w:tc>
          <w:tcPr>
            <w:tcW w:w="1276" w:type="dxa"/>
          </w:tcPr>
          <w:p>
            <w:pPr>
              <w:pStyle w:val="yTable"/>
              <w:tabs>
                <w:tab w:val="decimal" w:pos="425"/>
                <w:tab w:val="right" w:pos="1418"/>
              </w:tabs>
              <w:spacing w:before="0"/>
              <w:ind w:left="34" w:right="295"/>
              <w:jc w:val="right"/>
            </w:pPr>
            <w:r>
              <w:t>411.15</w:t>
            </w:r>
          </w:p>
        </w:tc>
      </w:tr>
      <w:tr>
        <w:tblPrEx>
          <w:tblCellMar>
            <w:left w:w="108" w:type="dxa"/>
            <w:right w:w="108" w:type="dxa"/>
          </w:tblCellMar>
        </w:tblPrEx>
        <w:tc>
          <w:tcPr>
            <w:tcW w:w="4820" w:type="dxa"/>
          </w:tcPr>
          <w:p>
            <w:pPr>
              <w:pStyle w:val="yTable"/>
              <w:tabs>
                <w:tab w:val="right" w:pos="1735"/>
              </w:tabs>
              <w:spacing w:before="0"/>
              <w:ind w:left="-11" w:firstLine="11"/>
            </w:pPr>
            <w:r>
              <w:t>61461</w:t>
            </w:r>
          </w:p>
        </w:tc>
        <w:tc>
          <w:tcPr>
            <w:tcW w:w="1276" w:type="dxa"/>
          </w:tcPr>
          <w:p>
            <w:pPr>
              <w:pStyle w:val="yTable"/>
              <w:tabs>
                <w:tab w:val="decimal" w:pos="425"/>
                <w:tab w:val="right" w:pos="1418"/>
              </w:tabs>
              <w:spacing w:before="0"/>
              <w:ind w:left="34" w:right="295"/>
              <w:jc w:val="right"/>
            </w:pPr>
            <w:r>
              <w:t>546.75</w:t>
            </w:r>
          </w:p>
        </w:tc>
      </w:tr>
      <w:tr>
        <w:tblPrEx>
          <w:tblCellMar>
            <w:left w:w="108" w:type="dxa"/>
            <w:right w:w="108" w:type="dxa"/>
          </w:tblCellMar>
        </w:tblPrEx>
        <w:tc>
          <w:tcPr>
            <w:tcW w:w="4820" w:type="dxa"/>
          </w:tcPr>
          <w:p>
            <w:pPr>
              <w:pStyle w:val="yTable"/>
              <w:tabs>
                <w:tab w:val="right" w:pos="1735"/>
              </w:tabs>
              <w:spacing w:before="0"/>
              <w:ind w:left="-11" w:firstLine="11"/>
            </w:pPr>
            <w:r>
              <w:t>61462</w:t>
            </w:r>
          </w:p>
        </w:tc>
        <w:tc>
          <w:tcPr>
            <w:tcW w:w="1276" w:type="dxa"/>
          </w:tcPr>
          <w:p>
            <w:pPr>
              <w:pStyle w:val="yTable"/>
              <w:tabs>
                <w:tab w:val="decimal" w:pos="425"/>
                <w:tab w:val="right" w:pos="1418"/>
              </w:tabs>
              <w:spacing w:before="0"/>
              <w:ind w:left="34" w:right="295"/>
              <w:jc w:val="right"/>
            </w:pPr>
            <w:r>
              <w:t>134.95</w:t>
            </w:r>
          </w:p>
        </w:tc>
      </w:tr>
      <w:tr>
        <w:tblPrEx>
          <w:tblCellMar>
            <w:left w:w="108" w:type="dxa"/>
            <w:right w:w="108" w:type="dxa"/>
          </w:tblCellMar>
        </w:tblPrEx>
        <w:tc>
          <w:tcPr>
            <w:tcW w:w="4820" w:type="dxa"/>
          </w:tcPr>
          <w:p>
            <w:pPr>
              <w:pStyle w:val="yTable"/>
              <w:tabs>
                <w:tab w:val="right" w:pos="1735"/>
              </w:tabs>
              <w:spacing w:before="0"/>
              <w:ind w:left="-11" w:firstLine="11"/>
            </w:pPr>
            <w:r>
              <w:t>61465</w:t>
            </w:r>
          </w:p>
        </w:tc>
        <w:tc>
          <w:tcPr>
            <w:tcW w:w="1276" w:type="dxa"/>
          </w:tcPr>
          <w:p>
            <w:pPr>
              <w:pStyle w:val="yTable"/>
              <w:tabs>
                <w:tab w:val="decimal" w:pos="425"/>
                <w:tab w:val="right" w:pos="1418"/>
              </w:tabs>
              <w:spacing w:before="0"/>
              <w:ind w:left="34" w:right="295"/>
              <w:jc w:val="right"/>
            </w:pPr>
            <w:r>
              <w:t>275.00</w:t>
            </w:r>
          </w:p>
        </w:tc>
      </w:tr>
      <w:tr>
        <w:tblPrEx>
          <w:tblCellMar>
            <w:left w:w="108" w:type="dxa"/>
            <w:right w:w="108" w:type="dxa"/>
          </w:tblCellMar>
        </w:tblPrEx>
        <w:tc>
          <w:tcPr>
            <w:tcW w:w="4820" w:type="dxa"/>
          </w:tcPr>
          <w:p>
            <w:pPr>
              <w:pStyle w:val="yTable"/>
              <w:tabs>
                <w:tab w:val="right" w:pos="1735"/>
              </w:tabs>
              <w:spacing w:before="0"/>
              <w:ind w:left="-11" w:firstLine="11"/>
            </w:pPr>
            <w:r>
              <w:t>61469</w:t>
            </w:r>
          </w:p>
        </w:tc>
        <w:tc>
          <w:tcPr>
            <w:tcW w:w="1276" w:type="dxa"/>
          </w:tcPr>
          <w:p>
            <w:pPr>
              <w:pStyle w:val="yTable"/>
              <w:tabs>
                <w:tab w:val="decimal" w:pos="425"/>
                <w:tab w:val="right" w:pos="1418"/>
              </w:tabs>
              <w:spacing w:before="0"/>
              <w:ind w:left="34" w:right="295"/>
              <w:jc w:val="right"/>
            </w:pPr>
            <w:r>
              <w:t>360.55</w:t>
            </w:r>
          </w:p>
        </w:tc>
      </w:tr>
      <w:tr>
        <w:tblPrEx>
          <w:tblCellMar>
            <w:left w:w="108" w:type="dxa"/>
            <w:right w:w="108" w:type="dxa"/>
          </w:tblCellMar>
        </w:tblPrEx>
        <w:tc>
          <w:tcPr>
            <w:tcW w:w="4820" w:type="dxa"/>
          </w:tcPr>
          <w:p>
            <w:pPr>
              <w:pStyle w:val="yTable"/>
              <w:tabs>
                <w:tab w:val="right" w:pos="1735"/>
              </w:tabs>
              <w:spacing w:before="0"/>
              <w:ind w:left="-11" w:firstLine="11"/>
            </w:pPr>
            <w:r>
              <w:t>61473</w:t>
            </w:r>
          </w:p>
        </w:tc>
        <w:tc>
          <w:tcPr>
            <w:tcW w:w="1276" w:type="dxa"/>
          </w:tcPr>
          <w:p>
            <w:pPr>
              <w:pStyle w:val="yTable"/>
              <w:tabs>
                <w:tab w:val="decimal" w:pos="425"/>
                <w:tab w:val="right" w:pos="1418"/>
              </w:tabs>
              <w:spacing w:before="0"/>
              <w:ind w:left="34" w:right="295"/>
              <w:jc w:val="right"/>
            </w:pPr>
            <w:r>
              <w:t>181.65</w:t>
            </w:r>
          </w:p>
        </w:tc>
      </w:tr>
      <w:tr>
        <w:tblPrEx>
          <w:tblCellMar>
            <w:left w:w="108" w:type="dxa"/>
            <w:right w:w="108" w:type="dxa"/>
          </w:tblCellMar>
        </w:tblPrEx>
        <w:tc>
          <w:tcPr>
            <w:tcW w:w="4820" w:type="dxa"/>
          </w:tcPr>
          <w:p>
            <w:pPr>
              <w:pStyle w:val="yTable"/>
              <w:tabs>
                <w:tab w:val="right" w:pos="1735"/>
              </w:tabs>
              <w:spacing w:before="0"/>
              <w:ind w:left="-11" w:firstLine="11"/>
            </w:pPr>
            <w:r>
              <w:t>61480</w:t>
            </w:r>
          </w:p>
        </w:tc>
        <w:tc>
          <w:tcPr>
            <w:tcW w:w="1276" w:type="dxa"/>
          </w:tcPr>
          <w:p>
            <w:pPr>
              <w:pStyle w:val="yTable"/>
              <w:tabs>
                <w:tab w:val="decimal" w:pos="425"/>
                <w:tab w:val="right" w:pos="1418"/>
              </w:tabs>
              <w:spacing w:before="0"/>
              <w:ind w:left="34" w:right="295"/>
              <w:jc w:val="right"/>
            </w:pPr>
            <w:r>
              <w:t>400.70</w:t>
            </w:r>
          </w:p>
        </w:tc>
      </w:tr>
      <w:tr>
        <w:tblPrEx>
          <w:tblCellMar>
            <w:left w:w="108" w:type="dxa"/>
            <w:right w:w="108" w:type="dxa"/>
          </w:tblCellMar>
        </w:tblPrEx>
        <w:tc>
          <w:tcPr>
            <w:tcW w:w="4820" w:type="dxa"/>
          </w:tcPr>
          <w:p>
            <w:pPr>
              <w:pStyle w:val="yTable"/>
              <w:tabs>
                <w:tab w:val="right" w:pos="1735"/>
              </w:tabs>
              <w:spacing w:before="0"/>
              <w:ind w:left="-11" w:firstLine="11"/>
            </w:pPr>
            <w:r>
              <w:t>61484</w:t>
            </w:r>
          </w:p>
        </w:tc>
        <w:tc>
          <w:tcPr>
            <w:tcW w:w="1276" w:type="dxa"/>
          </w:tcPr>
          <w:p>
            <w:pPr>
              <w:pStyle w:val="yTable"/>
              <w:tabs>
                <w:tab w:val="decimal" w:pos="425"/>
                <w:tab w:val="right" w:pos="1418"/>
              </w:tabs>
              <w:spacing w:before="0"/>
              <w:ind w:left="34" w:right="295"/>
              <w:jc w:val="right"/>
            </w:pPr>
            <w:r>
              <w:t>912.45</w:t>
            </w:r>
          </w:p>
        </w:tc>
      </w:tr>
      <w:tr>
        <w:tblPrEx>
          <w:tblCellMar>
            <w:left w:w="108" w:type="dxa"/>
            <w:right w:w="108" w:type="dxa"/>
          </w:tblCellMar>
        </w:tblPrEx>
        <w:tc>
          <w:tcPr>
            <w:tcW w:w="4820" w:type="dxa"/>
          </w:tcPr>
          <w:p>
            <w:pPr>
              <w:pStyle w:val="yTable"/>
              <w:tabs>
                <w:tab w:val="right" w:pos="1735"/>
              </w:tabs>
              <w:spacing w:before="0"/>
              <w:ind w:left="-11" w:firstLine="11"/>
            </w:pPr>
            <w:r>
              <w:t>61485</w:t>
            </w:r>
          </w:p>
        </w:tc>
        <w:tc>
          <w:tcPr>
            <w:tcW w:w="1276" w:type="dxa"/>
          </w:tcPr>
          <w:p>
            <w:pPr>
              <w:pStyle w:val="yTable"/>
              <w:tabs>
                <w:tab w:val="decimal" w:pos="425"/>
                <w:tab w:val="right" w:pos="1418"/>
              </w:tabs>
              <w:spacing w:before="0"/>
              <w:ind w:left="34" w:right="295" w:hanging="142"/>
              <w:jc w:val="right"/>
            </w:pPr>
            <w:r>
              <w:t>1 035.00</w:t>
            </w:r>
          </w:p>
        </w:tc>
      </w:tr>
      <w:tr>
        <w:tblPrEx>
          <w:tblCellMar>
            <w:left w:w="108" w:type="dxa"/>
            <w:right w:w="108" w:type="dxa"/>
          </w:tblCellMar>
        </w:tblPrEx>
        <w:tc>
          <w:tcPr>
            <w:tcW w:w="4820" w:type="dxa"/>
          </w:tcPr>
          <w:p>
            <w:pPr>
              <w:pStyle w:val="yTable"/>
              <w:tabs>
                <w:tab w:val="right" w:pos="1735"/>
              </w:tabs>
              <w:spacing w:before="0"/>
              <w:ind w:left="-11" w:firstLine="11"/>
            </w:pPr>
            <w:r>
              <w:t>61495</w:t>
            </w:r>
          </w:p>
        </w:tc>
        <w:tc>
          <w:tcPr>
            <w:tcW w:w="1276" w:type="dxa"/>
          </w:tcPr>
          <w:p>
            <w:pPr>
              <w:pStyle w:val="yTable"/>
              <w:tabs>
                <w:tab w:val="decimal" w:pos="425"/>
                <w:tab w:val="right" w:pos="1418"/>
              </w:tabs>
              <w:spacing w:before="0"/>
              <w:ind w:left="34" w:right="295"/>
              <w:jc w:val="right"/>
            </w:pPr>
            <w:r>
              <w:t>231.10</w:t>
            </w:r>
          </w:p>
        </w:tc>
      </w:tr>
      <w:tr>
        <w:tblPrEx>
          <w:tblCellMar>
            <w:left w:w="108" w:type="dxa"/>
            <w:right w:w="108" w:type="dxa"/>
          </w:tblCellMar>
        </w:tblPrEx>
        <w:tc>
          <w:tcPr>
            <w:tcW w:w="4820" w:type="dxa"/>
          </w:tcPr>
          <w:p>
            <w:pPr>
              <w:pStyle w:val="yTable"/>
              <w:tabs>
                <w:tab w:val="right" w:pos="1735"/>
              </w:tabs>
              <w:spacing w:before="0"/>
              <w:ind w:left="-11" w:firstLine="11"/>
            </w:pPr>
            <w:r>
              <w:t>61499</w:t>
            </w:r>
          </w:p>
        </w:tc>
        <w:tc>
          <w:tcPr>
            <w:tcW w:w="1276" w:type="dxa"/>
          </w:tcPr>
          <w:p>
            <w:pPr>
              <w:pStyle w:val="yTable"/>
              <w:tabs>
                <w:tab w:val="decimal" w:pos="425"/>
                <w:tab w:val="right" w:pos="1418"/>
              </w:tabs>
              <w:spacing w:before="0"/>
              <w:ind w:left="34" w:right="295"/>
              <w:jc w:val="right"/>
            </w:pPr>
            <w:r>
              <w:t>262.05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61650</w:t>
            </w:r>
          </w:p>
        </w:tc>
        <w:tc>
          <w:tcPr>
            <w:tcW w:w="1276" w:type="dxa"/>
            <w:tcBorders>
              <w:bottom w:val="single" w:sz="4" w:space="0" w:color="auto"/>
            </w:tcBorders>
          </w:tcPr>
          <w:p>
            <w:pPr>
              <w:pStyle w:val="yTable"/>
              <w:tabs>
                <w:tab w:val="decimal" w:pos="425"/>
                <w:tab w:val="right" w:pos="1418"/>
              </w:tabs>
              <w:spacing w:before="0"/>
              <w:ind w:left="34" w:right="295"/>
              <w:jc w:val="right"/>
            </w:pPr>
            <w:r>
              <w:t>910.20</w:t>
            </w:r>
          </w:p>
        </w:tc>
      </w:tr>
    </w:tbl>
    <w:p>
      <w:pPr>
        <w:pStyle w:val="yMiscellaneousBody"/>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tcBorders>
          </w:tcPr>
          <w:p>
            <w:pPr>
              <w:pStyle w:val="yTable"/>
              <w:rPr>
                <w:b/>
              </w:rPr>
            </w:pPr>
            <w:r>
              <w:rPr>
                <w:b/>
              </w:rPr>
              <w:t>MBS item number</w:t>
            </w:r>
          </w:p>
          <w:p>
            <w:pPr>
              <w:pStyle w:val="yTable"/>
              <w:spacing w:before="0"/>
            </w:pPr>
            <w:r>
              <w:rPr>
                <w:i/>
              </w:rPr>
              <w:t>(November 2004 edition)</w:t>
            </w:r>
          </w:p>
        </w:tc>
        <w:tc>
          <w:tcPr>
            <w:tcW w:w="1276" w:type="dxa"/>
            <w:tcBorders>
              <w:top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820" w:type="dxa"/>
            <w:tcBorders>
              <w:top w:val="single" w:sz="4" w:space="0" w:color="auto"/>
              <w:bottom w:val="single" w:sz="4" w:space="0" w:color="auto"/>
            </w:tcBorders>
          </w:tcPr>
          <w:p>
            <w:pPr>
              <w:pStyle w:val="yTable"/>
              <w:tabs>
                <w:tab w:val="right" w:pos="1735"/>
              </w:tabs>
              <w:ind w:left="-11" w:firstLine="11"/>
            </w:pPr>
            <w:r>
              <w:t>63000 — 63497</w:t>
            </w:r>
          </w:p>
        </w:tc>
        <w:tc>
          <w:tcPr>
            <w:tcW w:w="1276" w:type="dxa"/>
            <w:tcBorders>
              <w:top w:val="single" w:sz="4" w:space="0" w:color="auto"/>
              <w:bottom w:val="single" w:sz="4" w:space="0" w:color="auto"/>
            </w:tcBorders>
          </w:tcPr>
          <w:p>
            <w:pPr>
              <w:pStyle w:val="yTable"/>
              <w:tabs>
                <w:tab w:val="decimal" w:pos="425"/>
                <w:tab w:val="right" w:pos="1418"/>
              </w:tabs>
              <w:ind w:left="34" w:right="295"/>
              <w:jc w:val="right"/>
            </w:pPr>
            <w:r>
              <w:t>526.75</w:t>
            </w:r>
          </w:p>
        </w:tc>
      </w:tr>
    </w:tbl>
    <w:p>
      <w:pPr>
        <w:pStyle w:val="yFootnotesection"/>
      </w:pPr>
      <w:r>
        <w:tab/>
        <w:t>Part 3 inserted in Gazette 1 Nov 2005 p. 4977-84.]</w:t>
      </w:r>
    </w:p>
    <w:p>
      <w:pPr>
        <w:pStyle w:val="yFootnotesection"/>
      </w:pPr>
      <w:r>
        <w:tab/>
        <w:t>[Schedule 1 inserted in Gazette 20 Jul 1999 p. 3250</w:t>
      </w:r>
      <w:r>
        <w:noBreakHyphen/>
        <w:t>77; amended in Gazette 31 Aug 1999 p. 4244</w:t>
      </w:r>
      <w:r>
        <w:noBreakHyphen/>
        <w:t>5; 21 Dec 2000 p. 7626</w:t>
      </w:r>
      <w:r>
        <w:noBreakHyphen/>
        <w:t>46 (Printers correction in Gazette 6 Feb 2001 p. 743); 28 Dec 2001 p. 6692</w:t>
      </w:r>
      <w:r>
        <w:noBreakHyphen/>
        <w:t>710; 23 Sep 2003 p. 4174-85; 19 Mar 2004 p. 864</w:t>
      </w:r>
      <w:r>
        <w:noBreakHyphen/>
        <w:t>910; 29 Oct 2004 p. 4941</w:t>
      </w:r>
      <w:r>
        <w:noBreakHyphen/>
        <w:t>2; 21 Jan 2005 p. 279-83; 1 Nov 2005 p. 4977-84.]</w:t>
      </w:r>
    </w:p>
    <w:p>
      <w:pPr>
        <w:pStyle w:val="yScheduleHeading"/>
      </w:pPr>
      <w:bookmarkStart w:id="79" w:name="_Toc36356139"/>
      <w:bookmarkStart w:id="80" w:name="_Toc86727086"/>
      <w:bookmarkStart w:id="81" w:name="_Toc94408673"/>
      <w:bookmarkStart w:id="82" w:name="_Toc118519380"/>
      <w:bookmarkStart w:id="83" w:name="_Toc118616294"/>
      <w:bookmarkStart w:id="84" w:name="_Toc119464650"/>
      <w:bookmarkStart w:id="85" w:name="_Toc119464794"/>
      <w:bookmarkStart w:id="86" w:name="_Toc119466399"/>
      <w:r>
        <w:rPr>
          <w:rStyle w:val="CharSchNo"/>
        </w:rPr>
        <w:t>Schedule 2</w:t>
      </w:r>
      <w:bookmarkEnd w:id="79"/>
      <w:bookmarkEnd w:id="80"/>
      <w:bookmarkEnd w:id="81"/>
      <w:bookmarkEnd w:id="82"/>
      <w:bookmarkEnd w:id="83"/>
      <w:bookmarkEnd w:id="84"/>
      <w:bookmarkEnd w:id="85"/>
      <w:bookmarkEnd w:id="86"/>
    </w:p>
    <w:p>
      <w:pPr>
        <w:pStyle w:val="yShoulderClause"/>
        <w:spacing w:before="0"/>
      </w:pPr>
      <w:r>
        <w:t>[r. 3]</w:t>
      </w:r>
    </w:p>
    <w:p>
      <w:pPr>
        <w:pStyle w:val="yMiscellaneousHeading"/>
        <w:spacing w:after="60"/>
        <w:rPr>
          <w:b/>
          <w:sz w:val="28"/>
        </w:rPr>
      </w:pPr>
      <w:r>
        <w:rPr>
          <w:b/>
          <w:sz w:val="28"/>
        </w:rPr>
        <w:t>Scale of fees – physiotherapists</w:t>
      </w:r>
    </w:p>
    <w:p>
      <w:pPr>
        <w:pStyle w:val="yHeading3"/>
        <w:outlineLvl w:val="9"/>
        <w:rPr>
          <w:b w:val="0"/>
          <w:sz w:val="28"/>
        </w:rPr>
      </w:pPr>
      <w:bookmarkStart w:id="87" w:name="_Toc86727087"/>
      <w:bookmarkStart w:id="88" w:name="_Toc94408674"/>
      <w:bookmarkStart w:id="89" w:name="_Toc118519381"/>
      <w:bookmarkStart w:id="90" w:name="_Toc118616295"/>
      <w:bookmarkStart w:id="91" w:name="_Toc119464651"/>
      <w:bookmarkStart w:id="92" w:name="_Toc119464795"/>
      <w:bookmarkStart w:id="93" w:name="_Toc119466400"/>
      <w:r>
        <w:t>Part 1</w:t>
      </w:r>
      <w:r>
        <w:rPr>
          <w:b w:val="0"/>
        </w:rPr>
        <w:t> — </w:t>
      </w:r>
      <w:r>
        <w:t>General</w:t>
      </w:r>
      <w:bookmarkEnd w:id="87"/>
      <w:bookmarkEnd w:id="88"/>
      <w:bookmarkEnd w:id="89"/>
      <w:bookmarkEnd w:id="90"/>
      <w:bookmarkEnd w:id="91"/>
      <w:bookmarkEnd w:id="92"/>
      <w:bookmarkEnd w:id="93"/>
    </w:p>
    <w:tbl>
      <w:tblPr>
        <w:tblW w:w="0" w:type="auto"/>
        <w:tblInd w:w="108" w:type="dxa"/>
        <w:tblLayout w:type="fixed"/>
        <w:tblLook w:val="0000" w:firstRow="0" w:lastRow="0" w:firstColumn="0" w:lastColumn="0" w:noHBand="0" w:noVBand="0"/>
      </w:tblPr>
      <w:tblGrid>
        <w:gridCol w:w="567"/>
        <w:gridCol w:w="5529"/>
        <w:gridCol w:w="850"/>
      </w:tblGrid>
      <w:tr>
        <w:trPr>
          <w:cantSplit/>
        </w:trPr>
        <w:tc>
          <w:tcPr>
            <w:tcW w:w="567" w:type="dxa"/>
          </w:tcPr>
          <w:p>
            <w:pPr>
              <w:pStyle w:val="yTable"/>
              <w:rPr>
                <w:b/>
              </w:rPr>
            </w:pPr>
          </w:p>
        </w:tc>
        <w:tc>
          <w:tcPr>
            <w:tcW w:w="5529" w:type="dxa"/>
          </w:tcPr>
          <w:p>
            <w:pPr>
              <w:pStyle w:val="yTable"/>
              <w:spacing w:before="160"/>
              <w:rPr>
                <w:b/>
              </w:rPr>
            </w:pPr>
            <w:r>
              <w:rPr>
                <w:b/>
              </w:rPr>
              <w:t>Type of service</w:t>
            </w:r>
          </w:p>
        </w:tc>
        <w:tc>
          <w:tcPr>
            <w:tcW w:w="850" w:type="dxa"/>
          </w:tcPr>
          <w:p>
            <w:pPr>
              <w:pStyle w:val="yTable"/>
              <w:spacing w:before="160"/>
              <w:jc w:val="center"/>
              <w:rPr>
                <w:b/>
              </w:rPr>
            </w:pPr>
            <w:r>
              <w:rPr>
                <w:b/>
              </w:rPr>
              <w:t>Fee</w:t>
            </w:r>
          </w:p>
        </w:tc>
      </w:tr>
      <w:tr>
        <w:trPr>
          <w:cantSplit/>
        </w:trPr>
        <w:tc>
          <w:tcPr>
            <w:tcW w:w="567" w:type="dxa"/>
          </w:tcPr>
          <w:p>
            <w:pPr>
              <w:pStyle w:val="yTable"/>
              <w:spacing w:before="0"/>
              <w:rPr>
                <w:b/>
              </w:rPr>
            </w:pPr>
          </w:p>
        </w:tc>
        <w:tc>
          <w:tcPr>
            <w:tcW w:w="5529" w:type="dxa"/>
          </w:tcPr>
          <w:p>
            <w:pPr>
              <w:pStyle w:val="yTable"/>
              <w:spacing w:before="0"/>
              <w:rPr>
                <w:b/>
              </w:rPr>
            </w:pPr>
          </w:p>
        </w:tc>
        <w:tc>
          <w:tcPr>
            <w:tcW w:w="850" w:type="dxa"/>
          </w:tcPr>
          <w:p>
            <w:pPr>
              <w:pStyle w:val="yTable"/>
              <w:tabs>
                <w:tab w:val="left" w:pos="318"/>
              </w:tabs>
              <w:spacing w:before="0"/>
              <w:ind w:left="-249" w:right="34" w:firstLine="249"/>
              <w:jc w:val="center"/>
              <w:rPr>
                <w:b/>
              </w:rPr>
            </w:pPr>
            <w:r>
              <w:rPr>
                <w:b/>
              </w:rPr>
              <w:t>$</w:t>
            </w:r>
          </w:p>
        </w:tc>
      </w:tr>
      <w:tr>
        <w:trPr>
          <w:cantSplit/>
        </w:trPr>
        <w:tc>
          <w:tcPr>
            <w:tcW w:w="567" w:type="dxa"/>
          </w:tcPr>
          <w:p>
            <w:pPr>
              <w:pStyle w:val="yTable"/>
              <w:spacing w:before="120"/>
            </w:pPr>
            <w:r>
              <w:t>1.</w:t>
            </w:r>
          </w:p>
        </w:tc>
        <w:tc>
          <w:tcPr>
            <w:tcW w:w="5529" w:type="dxa"/>
          </w:tcPr>
          <w:p>
            <w:pPr>
              <w:pStyle w:val="yTable"/>
              <w:spacing w:before="120"/>
              <w:rPr>
                <w:b/>
              </w:rPr>
            </w:pPr>
            <w:r>
              <w:rPr>
                <w:b/>
              </w:rPr>
              <w:t>Initial consultation</w:t>
            </w:r>
          </w:p>
          <w:p>
            <w:pPr>
              <w:pStyle w:val="yTable"/>
            </w:pPr>
            <w:r>
              <w:t>(Includes individual initial services provided in rooms, home or hospital; hydrotherapy treatment; specialist consultations; extended treatments; and services provided outside normal business hours)</w:t>
            </w:r>
          </w:p>
        </w:tc>
        <w:tc>
          <w:tcPr>
            <w:tcW w:w="850" w:type="dxa"/>
          </w:tcPr>
          <w:p>
            <w:pPr>
              <w:pStyle w:val="yTable"/>
              <w:tabs>
                <w:tab w:val="decimal" w:pos="317"/>
              </w:tabs>
              <w:spacing w:before="120"/>
            </w:pPr>
            <w:r>
              <w:t>55.15</w:t>
            </w:r>
          </w:p>
        </w:tc>
      </w:tr>
      <w:tr>
        <w:trPr>
          <w:cantSplit/>
        </w:trPr>
        <w:tc>
          <w:tcPr>
            <w:tcW w:w="567" w:type="dxa"/>
          </w:tcPr>
          <w:p>
            <w:pPr>
              <w:pStyle w:val="yTable"/>
              <w:spacing w:before="120"/>
            </w:pPr>
            <w:r>
              <w:t>2.</w:t>
            </w:r>
          </w:p>
        </w:tc>
        <w:tc>
          <w:tcPr>
            <w:tcW w:w="5529" w:type="dxa"/>
          </w:tcPr>
          <w:p>
            <w:pPr>
              <w:pStyle w:val="yTable"/>
              <w:spacing w:before="120"/>
              <w:rPr>
                <w:b/>
              </w:rPr>
            </w:pPr>
            <w:r>
              <w:rPr>
                <w:b/>
              </w:rPr>
              <w:t>Standard consultation</w:t>
            </w:r>
          </w:p>
          <w:p>
            <w:pPr>
              <w:pStyle w:val="yTable"/>
            </w:pPr>
            <w:r>
              <w:t>(Includes individual subsequent services provided in rooms, home or hospital; hydrotherapy treatment; specialist consultations; extended treatments; and services provided outside normal business hours)</w:t>
            </w:r>
          </w:p>
        </w:tc>
        <w:tc>
          <w:tcPr>
            <w:tcW w:w="850" w:type="dxa"/>
          </w:tcPr>
          <w:p>
            <w:pPr>
              <w:pStyle w:val="yTable"/>
              <w:tabs>
                <w:tab w:val="decimal" w:pos="317"/>
              </w:tabs>
              <w:spacing w:before="120"/>
            </w:pPr>
            <w:r>
              <w:t>44.30</w:t>
            </w:r>
          </w:p>
        </w:tc>
      </w:tr>
      <w:tr>
        <w:trPr>
          <w:cantSplit/>
        </w:trPr>
        <w:tc>
          <w:tcPr>
            <w:tcW w:w="567" w:type="dxa"/>
          </w:tcPr>
          <w:p>
            <w:pPr>
              <w:pStyle w:val="yTable"/>
              <w:spacing w:before="120"/>
            </w:pPr>
            <w:r>
              <w:t>3.</w:t>
            </w:r>
          </w:p>
        </w:tc>
        <w:tc>
          <w:tcPr>
            <w:tcW w:w="5529" w:type="dxa"/>
          </w:tcPr>
          <w:p>
            <w:pPr>
              <w:pStyle w:val="yTable"/>
              <w:spacing w:before="120"/>
              <w:rPr>
                <w:b/>
              </w:rPr>
            </w:pPr>
            <w:r>
              <w:rPr>
                <w:b/>
              </w:rPr>
              <w:t>Two distinct areas of treatment per visit</w:t>
            </w:r>
          </w:p>
          <w:p>
            <w:pPr>
              <w:pStyle w:val="yTable"/>
              <w:spacing w:before="120"/>
            </w:pPr>
            <w:r>
              <w:t>(Includes individual initial or subsequent services provided in rooms, home or hospital; hydrotherapy treatment; specialist consultations; and services provided outside normal business hours)</w:t>
            </w:r>
          </w:p>
        </w:tc>
        <w:tc>
          <w:tcPr>
            <w:tcW w:w="850" w:type="dxa"/>
          </w:tcPr>
          <w:p>
            <w:pPr>
              <w:pStyle w:val="yTable"/>
              <w:tabs>
                <w:tab w:val="decimal" w:pos="317"/>
              </w:tabs>
              <w:spacing w:before="120"/>
            </w:pPr>
            <w:r>
              <w:t>56.00</w:t>
            </w:r>
          </w:p>
        </w:tc>
      </w:tr>
      <w:tr>
        <w:trPr>
          <w:cantSplit/>
        </w:trPr>
        <w:tc>
          <w:tcPr>
            <w:tcW w:w="567" w:type="dxa"/>
          </w:tcPr>
          <w:p>
            <w:pPr>
              <w:pStyle w:val="yTable"/>
              <w:spacing w:before="120"/>
            </w:pPr>
            <w:r>
              <w:t>4.</w:t>
            </w:r>
          </w:p>
        </w:tc>
        <w:tc>
          <w:tcPr>
            <w:tcW w:w="5529" w:type="dxa"/>
          </w:tcPr>
          <w:p>
            <w:pPr>
              <w:pStyle w:val="yTable"/>
              <w:spacing w:before="120"/>
              <w:rPr>
                <w:b/>
              </w:rPr>
            </w:pPr>
            <w:r>
              <w:rPr>
                <w:b/>
              </w:rPr>
              <w:t>Three or more distinct areas of treatment per visit</w:t>
            </w:r>
          </w:p>
          <w:p>
            <w:pPr>
              <w:pStyle w:val="yTable"/>
            </w:pPr>
            <w:r>
              <w:t>(Includes individual initial or subsequent services provided in rooms, home or hospital; hydrotherapy treatment; complex treatment; specialist consultations; and services provided outside normal business hours)</w:t>
            </w:r>
          </w:p>
        </w:tc>
        <w:tc>
          <w:tcPr>
            <w:tcW w:w="850" w:type="dxa"/>
          </w:tcPr>
          <w:p>
            <w:pPr>
              <w:pStyle w:val="yTable"/>
              <w:tabs>
                <w:tab w:val="decimal" w:pos="317"/>
              </w:tabs>
              <w:spacing w:before="120"/>
            </w:pPr>
            <w:r>
              <w:t>74.55</w:t>
            </w:r>
          </w:p>
        </w:tc>
      </w:tr>
      <w:tr>
        <w:trPr>
          <w:cantSplit/>
        </w:trPr>
        <w:tc>
          <w:tcPr>
            <w:tcW w:w="567" w:type="dxa"/>
          </w:tcPr>
          <w:p>
            <w:pPr>
              <w:pStyle w:val="yTable"/>
              <w:spacing w:before="120"/>
            </w:pPr>
            <w:r>
              <w:t>5.</w:t>
            </w:r>
          </w:p>
        </w:tc>
        <w:tc>
          <w:tcPr>
            <w:tcW w:w="5529" w:type="dxa"/>
          </w:tcPr>
          <w:p>
            <w:pPr>
              <w:pStyle w:val="yTable"/>
              <w:spacing w:before="120"/>
              <w:rPr>
                <w:b/>
              </w:rPr>
            </w:pPr>
            <w:r>
              <w:rPr>
                <w:b/>
              </w:rPr>
              <w:t>Group consultation – per person</w:t>
            </w:r>
          </w:p>
          <w:p>
            <w:pPr>
              <w:pStyle w:val="yTable"/>
            </w:pPr>
            <w:r>
              <w:t>(Includes services provided to more than one individual in rooms, home or hospital; hydrotherapy treatment; complex treatment; specialist consultations; extended treatments; and services provided outside normal business hours)</w:t>
            </w:r>
          </w:p>
        </w:tc>
        <w:tc>
          <w:tcPr>
            <w:tcW w:w="850" w:type="dxa"/>
          </w:tcPr>
          <w:p>
            <w:pPr>
              <w:pStyle w:val="yTable"/>
              <w:tabs>
                <w:tab w:val="decimal" w:pos="317"/>
              </w:tabs>
              <w:spacing w:before="120"/>
            </w:pPr>
            <w:r>
              <w:t>13.65</w:t>
            </w:r>
          </w:p>
        </w:tc>
      </w:tr>
      <w:tr>
        <w:trPr>
          <w:cantSplit/>
        </w:trPr>
        <w:tc>
          <w:tcPr>
            <w:tcW w:w="567" w:type="dxa"/>
          </w:tcPr>
          <w:p>
            <w:pPr>
              <w:pStyle w:val="yTable"/>
              <w:spacing w:before="120"/>
            </w:pPr>
            <w:r>
              <w:t>6.</w:t>
            </w:r>
          </w:p>
        </w:tc>
        <w:tc>
          <w:tcPr>
            <w:tcW w:w="5529" w:type="dxa"/>
          </w:tcPr>
          <w:p>
            <w:pPr>
              <w:pStyle w:val="yTable"/>
              <w:spacing w:before="120"/>
              <w:rPr>
                <w:b/>
              </w:rPr>
            </w:pPr>
            <w:r>
              <w:rPr>
                <w:b/>
              </w:rPr>
              <w:t>Worksite visit (per hour)</w:t>
            </w:r>
          </w:p>
        </w:tc>
        <w:tc>
          <w:tcPr>
            <w:tcW w:w="850" w:type="dxa"/>
          </w:tcPr>
          <w:p>
            <w:pPr>
              <w:pStyle w:val="yTable"/>
              <w:tabs>
                <w:tab w:val="decimal" w:pos="317"/>
              </w:tabs>
              <w:spacing w:before="120"/>
            </w:pPr>
            <w:r>
              <w:t>125.35</w:t>
            </w:r>
          </w:p>
        </w:tc>
      </w:tr>
      <w:tr>
        <w:trPr>
          <w:cantSplit/>
        </w:trPr>
        <w:tc>
          <w:tcPr>
            <w:tcW w:w="567" w:type="dxa"/>
          </w:tcPr>
          <w:p>
            <w:pPr>
              <w:pStyle w:val="yTable"/>
              <w:spacing w:before="120"/>
            </w:pPr>
            <w:r>
              <w:t>7.</w:t>
            </w:r>
          </w:p>
        </w:tc>
        <w:tc>
          <w:tcPr>
            <w:tcW w:w="5529" w:type="dxa"/>
          </w:tcPr>
          <w:p>
            <w:pPr>
              <w:pStyle w:val="yTable"/>
              <w:keepNext/>
              <w:keepLines/>
              <w:spacing w:before="120"/>
              <w:rPr>
                <w:b/>
              </w:rPr>
            </w:pPr>
            <w:r>
              <w:rPr>
                <w:b/>
              </w:rPr>
              <w:t>Solicitors reports</w:t>
            </w:r>
          </w:p>
        </w:tc>
        <w:tc>
          <w:tcPr>
            <w:tcW w:w="850" w:type="dxa"/>
          </w:tcPr>
          <w:p>
            <w:pPr>
              <w:pStyle w:val="yTable"/>
              <w:tabs>
                <w:tab w:val="decimal" w:pos="317"/>
              </w:tabs>
              <w:spacing w:before="120"/>
            </w:pPr>
            <w:r>
              <w:t>55.15</w:t>
            </w:r>
          </w:p>
        </w:tc>
      </w:tr>
      <w:tr>
        <w:trPr>
          <w:cantSplit/>
        </w:trPr>
        <w:tc>
          <w:tcPr>
            <w:tcW w:w="567" w:type="dxa"/>
          </w:tcPr>
          <w:p>
            <w:pPr>
              <w:pStyle w:val="yTable"/>
              <w:spacing w:before="120"/>
            </w:pPr>
            <w:r>
              <w:t>8.</w:t>
            </w:r>
          </w:p>
        </w:tc>
        <w:tc>
          <w:tcPr>
            <w:tcW w:w="5529" w:type="dxa"/>
          </w:tcPr>
          <w:p>
            <w:pPr>
              <w:pStyle w:val="yTable"/>
              <w:keepNext/>
              <w:keepLines/>
              <w:spacing w:before="120"/>
              <w:rPr>
                <w:b/>
              </w:rPr>
            </w:pPr>
            <w:r>
              <w:rPr>
                <w:b/>
              </w:rPr>
              <w:t>Travel (per kilometre)</w:t>
            </w:r>
          </w:p>
        </w:tc>
        <w:tc>
          <w:tcPr>
            <w:tcW w:w="850" w:type="dxa"/>
          </w:tcPr>
          <w:p>
            <w:pPr>
              <w:pStyle w:val="yTable"/>
              <w:tabs>
                <w:tab w:val="decimal" w:pos="317"/>
              </w:tabs>
              <w:spacing w:before="120"/>
            </w:pPr>
            <w:r>
              <w:t>.0.64</w:t>
            </w:r>
          </w:p>
        </w:tc>
      </w:tr>
    </w:tbl>
    <w:p>
      <w:pPr>
        <w:pStyle w:val="yFootnotesection"/>
      </w:pPr>
      <w:r>
        <w:tab/>
        <w:t>[Part 1 amended in Gazette 29 Oct 2004 p. 4942; 21 Jan 2005 p. 284.]</w:t>
      </w:r>
    </w:p>
    <w:p>
      <w:pPr>
        <w:pStyle w:val="yHeading3"/>
        <w:outlineLvl w:val="9"/>
      </w:pPr>
      <w:bookmarkStart w:id="94" w:name="_Toc86727088"/>
      <w:bookmarkStart w:id="95" w:name="_Toc94408675"/>
      <w:bookmarkStart w:id="96" w:name="_Toc118519382"/>
      <w:bookmarkStart w:id="97" w:name="_Toc118616296"/>
      <w:bookmarkStart w:id="98" w:name="_Toc119464652"/>
      <w:bookmarkStart w:id="99" w:name="_Toc119464796"/>
      <w:bookmarkStart w:id="100" w:name="_Toc119466401"/>
      <w:r>
        <w:t>Part 2 — Exercise</w:t>
      </w:r>
      <w:r>
        <w:noBreakHyphen/>
        <w:t>based programs</w:t>
      </w:r>
      <w:bookmarkEnd w:id="94"/>
      <w:bookmarkEnd w:id="95"/>
      <w:bookmarkEnd w:id="96"/>
      <w:bookmarkEnd w:id="97"/>
      <w:bookmarkEnd w:id="98"/>
      <w:bookmarkEnd w:id="99"/>
      <w:bookmarkEnd w:id="100"/>
    </w:p>
    <w:tbl>
      <w:tblPr>
        <w:tblW w:w="0" w:type="auto"/>
        <w:tblInd w:w="108" w:type="dxa"/>
        <w:tblLayout w:type="fixed"/>
        <w:tblLook w:val="0000" w:firstRow="0" w:lastRow="0" w:firstColumn="0" w:lastColumn="0" w:noHBand="0" w:noVBand="0"/>
      </w:tblPr>
      <w:tblGrid>
        <w:gridCol w:w="567"/>
        <w:gridCol w:w="4395"/>
        <w:gridCol w:w="567"/>
        <w:gridCol w:w="1417"/>
      </w:tblGrid>
      <w:tr>
        <w:trPr>
          <w:cantSplit/>
        </w:trPr>
        <w:tc>
          <w:tcPr>
            <w:tcW w:w="567" w:type="dxa"/>
          </w:tcPr>
          <w:p>
            <w:pPr>
              <w:pStyle w:val="yTable"/>
            </w:pPr>
          </w:p>
        </w:tc>
        <w:tc>
          <w:tcPr>
            <w:tcW w:w="4395" w:type="dxa"/>
          </w:tcPr>
          <w:p>
            <w:pPr>
              <w:pStyle w:val="yTable"/>
              <w:rPr>
                <w:b/>
              </w:rPr>
            </w:pPr>
            <w:r>
              <w:rPr>
                <w:b/>
              </w:rPr>
              <w:t>Type of service</w:t>
            </w:r>
          </w:p>
        </w:tc>
        <w:tc>
          <w:tcPr>
            <w:tcW w:w="1984" w:type="dxa"/>
            <w:gridSpan w:val="2"/>
          </w:tcPr>
          <w:p>
            <w:pPr>
              <w:pStyle w:val="yTable"/>
              <w:jc w:val="center"/>
              <w:rPr>
                <w:b/>
              </w:rPr>
            </w:pPr>
            <w:r>
              <w:rPr>
                <w:b/>
              </w:rPr>
              <w:t>Fee</w:t>
            </w:r>
            <w:r>
              <w:rPr>
                <w:b/>
              </w:rPr>
              <w:br/>
              <w:t>$</w:t>
            </w:r>
          </w:p>
        </w:tc>
      </w:tr>
      <w:tr>
        <w:trPr>
          <w:cantSplit/>
        </w:trPr>
        <w:tc>
          <w:tcPr>
            <w:tcW w:w="567" w:type="dxa"/>
          </w:tcPr>
          <w:p>
            <w:pPr>
              <w:pStyle w:val="yTable"/>
            </w:pPr>
            <w:r>
              <w:t>9.</w:t>
            </w:r>
          </w:p>
        </w:tc>
        <w:tc>
          <w:tcPr>
            <w:tcW w:w="4395" w:type="dxa"/>
          </w:tcPr>
          <w:p>
            <w:pPr>
              <w:pStyle w:val="yTable"/>
            </w:pPr>
            <w:r>
              <w:t>Exercise consultation/assessment</w:t>
            </w:r>
          </w:p>
          <w:p>
            <w:pPr>
              <w:pStyle w:val="yTable"/>
            </w:pPr>
            <w:r>
              <w:t>The following services are included in the initial/subsequent consultation fee:</w:t>
            </w:r>
          </w:p>
          <w:p>
            <w:pPr>
              <w:pStyle w:val="yTable"/>
              <w:numPr>
                <w:ilvl w:val="0"/>
                <w:numId w:val="2"/>
              </w:numPr>
            </w:pPr>
            <w:r>
              <w:t>Assessment of the worker;</w:t>
            </w:r>
          </w:p>
          <w:p>
            <w:pPr>
              <w:pStyle w:val="yTable"/>
              <w:numPr>
                <w:ilvl w:val="0"/>
                <w:numId w:val="2"/>
              </w:numPr>
            </w:pPr>
            <w:r>
              <w:t>Provision/prescription of exercises;</w:t>
            </w:r>
          </w:p>
          <w:p>
            <w:pPr>
              <w:pStyle w:val="yTable"/>
              <w:numPr>
                <w:ilvl w:val="0"/>
                <w:numId w:val="2"/>
              </w:numPr>
            </w:pPr>
            <w:r>
              <w:t>Program development, coordination;</w:t>
            </w:r>
          </w:p>
          <w:p>
            <w:pPr>
              <w:pStyle w:val="yTable"/>
              <w:numPr>
                <w:ilvl w:val="0"/>
                <w:numId w:val="2"/>
              </w:numPr>
            </w:pPr>
            <w:r>
              <w:t>Physiological testing;</w:t>
            </w:r>
          </w:p>
          <w:p>
            <w:pPr>
              <w:pStyle w:val="yTable"/>
              <w:numPr>
                <w:ilvl w:val="0"/>
                <w:numId w:val="2"/>
              </w:numPr>
              <w:rPr>
                <w:sz w:val="20"/>
              </w:rPr>
            </w:pPr>
            <w:r>
              <w:t>Communication with relevant persons (other than reports).</w:t>
            </w:r>
          </w:p>
        </w:tc>
        <w:tc>
          <w:tcPr>
            <w:tcW w:w="1984" w:type="dxa"/>
            <w:gridSpan w:val="2"/>
          </w:tcPr>
          <w:p>
            <w:pPr>
              <w:pStyle w:val="yTable"/>
              <w:spacing w:before="0"/>
              <w:jc w:val="center"/>
            </w:pPr>
            <w:r>
              <w:t xml:space="preserve">$125.75 per </w:t>
            </w:r>
            <w:r>
              <w:br/>
              <w:t xml:space="preserve">hour, total fee </w:t>
            </w:r>
            <w:r>
              <w:br/>
              <w:t>not to exceed</w:t>
            </w:r>
            <w:r>
              <w:br/>
              <w:t>$251.50</w:t>
            </w:r>
          </w:p>
          <w:p>
            <w:pPr>
              <w:pStyle w:val="yTable"/>
              <w:jc w:val="center"/>
              <w:rPr>
                <w:sz w:val="16"/>
              </w:rPr>
            </w:pPr>
            <w: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pPr>
            <w:r>
              <w:t>Physiotherapist to patient ratio must be 1:1 for the duration of the consultation.</w:t>
            </w:r>
          </w:p>
        </w:tc>
        <w:tc>
          <w:tcPr>
            <w:tcW w:w="1984" w:type="dxa"/>
            <w:gridSpan w:val="2"/>
          </w:tcPr>
          <w:p>
            <w:pPr>
              <w:pStyle w:val="yTable"/>
            </w:pPr>
          </w:p>
        </w:tc>
      </w:tr>
      <w:tr>
        <w:trPr>
          <w:cantSplit/>
        </w:trPr>
        <w:tc>
          <w:tcPr>
            <w:tcW w:w="567" w:type="dxa"/>
          </w:tcPr>
          <w:p>
            <w:pPr>
              <w:pStyle w:val="yTable"/>
            </w:pPr>
            <w:r>
              <w:t>10.</w:t>
            </w:r>
          </w:p>
        </w:tc>
        <w:tc>
          <w:tcPr>
            <w:tcW w:w="4962" w:type="dxa"/>
            <w:gridSpan w:val="2"/>
          </w:tcPr>
          <w:p>
            <w:pPr>
              <w:pStyle w:val="yTable"/>
            </w:pPr>
            <w:r>
              <w:t>Initial report</w:t>
            </w:r>
          </w:p>
        </w:tc>
        <w:tc>
          <w:tcPr>
            <w:tcW w:w="1417" w:type="dxa"/>
          </w:tcPr>
          <w:p>
            <w:pPr>
              <w:pStyle w:val="yTable"/>
              <w:tabs>
                <w:tab w:val="decimal" w:pos="600"/>
              </w:tabs>
            </w:pPr>
            <w:r>
              <w:t>55.35</w:t>
            </w:r>
          </w:p>
        </w:tc>
      </w:tr>
      <w:tr>
        <w:trPr>
          <w:cantSplit/>
        </w:trPr>
        <w:tc>
          <w:tcPr>
            <w:tcW w:w="567" w:type="dxa"/>
          </w:tcPr>
          <w:p>
            <w:pPr>
              <w:pStyle w:val="yTable"/>
            </w:pPr>
            <w:r>
              <w:t>11.</w:t>
            </w:r>
          </w:p>
        </w:tc>
        <w:tc>
          <w:tcPr>
            <w:tcW w:w="4962" w:type="dxa"/>
            <w:gridSpan w:val="2"/>
          </w:tcPr>
          <w:p>
            <w:pPr>
              <w:pStyle w:val="yTable"/>
            </w:pPr>
            <w:r>
              <w:t>Subsequent reports</w:t>
            </w:r>
          </w:p>
        </w:tc>
        <w:tc>
          <w:tcPr>
            <w:tcW w:w="1417" w:type="dxa"/>
          </w:tcPr>
          <w:p>
            <w:pPr>
              <w:pStyle w:val="yTable"/>
              <w:tabs>
                <w:tab w:val="decimal" w:pos="600"/>
              </w:tabs>
            </w:pPr>
            <w:r>
              <w:t>44.45</w:t>
            </w:r>
          </w:p>
          <w:p>
            <w:pPr>
              <w:pStyle w:val="yTable"/>
              <w:tabs>
                <w:tab w:val="decimal" w:pos="600"/>
              </w:tabs>
              <w:jc w:val="center"/>
            </w:pPr>
            <w:r>
              <w:t>per report</w:t>
            </w:r>
          </w:p>
        </w:tc>
      </w:tr>
      <w:tr>
        <w:trPr>
          <w:cantSplit/>
        </w:trPr>
        <w:tc>
          <w:tcPr>
            <w:tcW w:w="567" w:type="dxa"/>
          </w:tcPr>
          <w:p>
            <w:pPr>
              <w:pStyle w:val="yTable"/>
            </w:pPr>
            <w:r>
              <w:t>12.</w:t>
            </w:r>
          </w:p>
        </w:tc>
        <w:tc>
          <w:tcPr>
            <w:tcW w:w="4962" w:type="dxa"/>
            <w:gridSpan w:val="2"/>
          </w:tcPr>
          <w:p>
            <w:pPr>
              <w:pStyle w:val="yTable"/>
            </w:pPr>
            <w:r>
              <w:t>Final report</w:t>
            </w:r>
          </w:p>
        </w:tc>
        <w:tc>
          <w:tcPr>
            <w:tcW w:w="1417" w:type="dxa"/>
          </w:tcPr>
          <w:p>
            <w:pPr>
              <w:pStyle w:val="yTable"/>
              <w:tabs>
                <w:tab w:val="decimal" w:pos="600"/>
              </w:tabs>
            </w:pPr>
            <w:r>
              <w:t>44.45</w:t>
            </w:r>
          </w:p>
        </w:tc>
      </w:tr>
      <w:tr>
        <w:trPr>
          <w:cantSplit/>
        </w:trPr>
        <w:tc>
          <w:tcPr>
            <w:tcW w:w="567" w:type="dxa"/>
          </w:tcPr>
          <w:p>
            <w:pPr>
              <w:pStyle w:val="yTable"/>
            </w:pPr>
            <w:r>
              <w:t>13.</w:t>
            </w:r>
          </w:p>
        </w:tc>
        <w:tc>
          <w:tcPr>
            <w:tcW w:w="4962" w:type="dxa"/>
            <w:gridSpan w:val="2"/>
          </w:tcPr>
          <w:p>
            <w:pPr>
              <w:pStyle w:val="yTable"/>
            </w:pPr>
            <w:r>
              <w:t>Gym membership/Entry fees</w:t>
            </w:r>
            <w:r>
              <w:br/>
              <w:t>(Prior approval from insurer/self</w:t>
            </w:r>
            <w:r>
              <w:noBreakHyphen/>
              <w:t>insurer is required)</w:t>
            </w:r>
          </w:p>
        </w:tc>
        <w:tc>
          <w:tcPr>
            <w:tcW w:w="1417" w:type="dxa"/>
          </w:tcPr>
          <w:p>
            <w:pPr>
              <w:pStyle w:val="yTable"/>
            </w:pPr>
            <w:r>
              <w:t xml:space="preserve">Market rates </w:t>
            </w:r>
          </w:p>
        </w:tc>
      </w:tr>
      <w:tr>
        <w:trPr>
          <w:cantSplit/>
        </w:trPr>
        <w:tc>
          <w:tcPr>
            <w:tcW w:w="567" w:type="dxa"/>
          </w:tcPr>
          <w:p>
            <w:pPr>
              <w:pStyle w:val="yTable"/>
            </w:pPr>
            <w:r>
              <w:t>14.</w:t>
            </w:r>
          </w:p>
        </w:tc>
        <w:tc>
          <w:tcPr>
            <w:tcW w:w="4962" w:type="dxa"/>
            <w:gridSpan w:val="2"/>
          </w:tcPr>
          <w:p>
            <w:pPr>
              <w:pStyle w:val="yTable"/>
            </w:pPr>
            <w:r>
              <w:t xml:space="preserve"> Travel, within metropolitan area</w:t>
            </w:r>
          </w:p>
        </w:tc>
        <w:tc>
          <w:tcPr>
            <w:tcW w:w="1417" w:type="dxa"/>
          </w:tcPr>
          <w:p>
            <w:pPr>
              <w:pStyle w:val="yTable"/>
            </w:pPr>
            <w:r>
              <w:t>31.35 per journey to a venue (If a physiotherapist consults with more than one worker before leaving a venue, the fee for the journey to the venue is to be apportioned equally between the workers.)</w:t>
            </w:r>
          </w:p>
        </w:tc>
      </w:tr>
    </w:tbl>
    <w:p>
      <w:pPr>
        <w:pStyle w:val="yFootnotesection"/>
      </w:pPr>
      <w:r>
        <w:tab/>
        <w:t>[Part 2 amended in Gazette 21 Jan 2005 p. 284-5</w:t>
      </w:r>
    </w:p>
    <w:p>
      <w:pPr>
        <w:pStyle w:val="yFootnotesection"/>
      </w:pPr>
      <w:r>
        <w:tab/>
        <w:t>[Schedule 2 inserted in Gazette 21 May 2002 p. 2593-4; amended in Gazette 25 Mar 2003 p. 923; 23 Sep 2003 p. 4185-6; 29 Oct 2004 p. 4942; 21 Jan 2005 p. 284-5.]</w:t>
      </w:r>
    </w:p>
    <w:p>
      <w:pPr>
        <w:pStyle w:val="yScheduleHeading"/>
        <w:rPr>
          <w:rStyle w:val="CharSchNo"/>
        </w:rPr>
      </w:pPr>
      <w:bookmarkStart w:id="101" w:name="_Toc86727089"/>
      <w:bookmarkStart w:id="102" w:name="_Toc86727394"/>
      <w:bookmarkStart w:id="103" w:name="_Toc94408676"/>
      <w:bookmarkStart w:id="104" w:name="_Toc118519383"/>
      <w:bookmarkStart w:id="105" w:name="_Toc118616297"/>
      <w:bookmarkStart w:id="106" w:name="_Toc119464653"/>
      <w:bookmarkStart w:id="107" w:name="_Toc119464797"/>
      <w:bookmarkStart w:id="108" w:name="_Toc119466402"/>
      <w:bookmarkStart w:id="109" w:name="_Toc36356141"/>
      <w:r>
        <w:rPr>
          <w:rStyle w:val="CharSchNo"/>
        </w:rPr>
        <w:t>Schedule 3</w:t>
      </w:r>
      <w:bookmarkEnd w:id="101"/>
      <w:bookmarkEnd w:id="102"/>
      <w:bookmarkEnd w:id="103"/>
      <w:bookmarkEnd w:id="104"/>
      <w:bookmarkEnd w:id="105"/>
      <w:bookmarkEnd w:id="106"/>
      <w:bookmarkEnd w:id="107"/>
      <w:bookmarkEnd w:id="108"/>
    </w:p>
    <w:p>
      <w:pPr>
        <w:pStyle w:val="yShoulderClause"/>
      </w:pPr>
      <w:r>
        <w:t>[r. 4]</w:t>
      </w:r>
    </w:p>
    <w:p>
      <w:pPr>
        <w:pStyle w:val="yHeading2"/>
        <w:spacing w:after="120"/>
        <w:outlineLvl w:val="9"/>
      </w:pPr>
      <w:bookmarkStart w:id="110" w:name="_Toc86727090"/>
      <w:bookmarkStart w:id="111" w:name="_Toc94408677"/>
      <w:bookmarkStart w:id="112" w:name="_Toc118519384"/>
      <w:bookmarkStart w:id="113" w:name="_Toc118616298"/>
      <w:bookmarkStart w:id="114" w:name="_Toc119464654"/>
      <w:bookmarkStart w:id="115" w:name="_Toc119464798"/>
      <w:bookmarkStart w:id="116" w:name="_Toc119466403"/>
      <w:r>
        <w:t>Scale of fees — chiropractors</w:t>
      </w:r>
      <w:bookmarkEnd w:id="110"/>
      <w:bookmarkEnd w:id="111"/>
      <w:bookmarkEnd w:id="112"/>
      <w:bookmarkEnd w:id="113"/>
      <w:bookmarkEnd w:id="114"/>
      <w:bookmarkEnd w:id="115"/>
      <w:bookmarkEnd w:id="116"/>
    </w:p>
    <w:tbl>
      <w:tblPr>
        <w:tblW w:w="0" w:type="auto"/>
        <w:tblInd w:w="675" w:type="dxa"/>
        <w:tblLayout w:type="fixed"/>
        <w:tblLook w:val="0000" w:firstRow="0" w:lastRow="0" w:firstColumn="0" w:lastColumn="0" w:noHBand="0" w:noVBand="0"/>
      </w:tblPr>
      <w:tblGrid>
        <w:gridCol w:w="4820"/>
        <w:gridCol w:w="1559"/>
      </w:tblGrid>
      <w:tr>
        <w:trPr>
          <w:tblHeader/>
        </w:trPr>
        <w:tc>
          <w:tcPr>
            <w:tcW w:w="4820" w:type="dxa"/>
            <w:tcBorders>
              <w:top w:val="single" w:sz="4" w:space="0" w:color="auto"/>
              <w:bottom w:val="single" w:sz="4" w:space="0" w:color="auto"/>
            </w:tcBorders>
          </w:tcPr>
          <w:p>
            <w:pPr>
              <w:pStyle w:val="yTable"/>
              <w:rPr>
                <w:b/>
              </w:rPr>
            </w:pPr>
            <w:r>
              <w:rPr>
                <w:b/>
              </w:rPr>
              <w:t>Type of service</w:t>
            </w:r>
          </w:p>
        </w:tc>
        <w:tc>
          <w:tcPr>
            <w:tcW w:w="1559"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c>
          <w:tcPr>
            <w:tcW w:w="4820" w:type="dxa"/>
          </w:tcPr>
          <w:p>
            <w:pPr>
              <w:pStyle w:val="yTable"/>
            </w:pPr>
            <w:r>
              <w:t>Initial consultation and examination</w:t>
            </w:r>
          </w:p>
        </w:tc>
        <w:tc>
          <w:tcPr>
            <w:tcW w:w="1559" w:type="dxa"/>
          </w:tcPr>
          <w:p>
            <w:pPr>
              <w:pStyle w:val="yTable"/>
              <w:tabs>
                <w:tab w:val="decimal" w:pos="601"/>
              </w:tabs>
              <w:ind w:left="317" w:hanging="284"/>
            </w:pPr>
            <w:r>
              <w:t>43.60</w:t>
            </w:r>
          </w:p>
        </w:tc>
      </w:tr>
      <w:tr>
        <w:tc>
          <w:tcPr>
            <w:tcW w:w="4820" w:type="dxa"/>
          </w:tcPr>
          <w:p>
            <w:pPr>
              <w:pStyle w:val="yTable"/>
            </w:pPr>
            <w:r>
              <w:t>Subsequent consultation</w:t>
            </w:r>
          </w:p>
        </w:tc>
        <w:tc>
          <w:tcPr>
            <w:tcW w:w="1559" w:type="dxa"/>
          </w:tcPr>
          <w:p>
            <w:pPr>
              <w:pStyle w:val="yTable"/>
              <w:tabs>
                <w:tab w:val="decimal" w:pos="600"/>
              </w:tabs>
              <w:ind w:left="317" w:hanging="284"/>
            </w:pPr>
            <w:r>
              <w:t>36.40</w:t>
            </w:r>
          </w:p>
        </w:tc>
      </w:tr>
      <w:tr>
        <w:tc>
          <w:tcPr>
            <w:tcW w:w="4820" w:type="dxa"/>
          </w:tcPr>
          <w:p>
            <w:pPr>
              <w:pStyle w:val="yTable"/>
            </w:pPr>
            <w:r>
              <w:t>Spinal x</w:t>
            </w:r>
            <w:r>
              <w:noBreakHyphen/>
              <w:t>ray, one region</w:t>
            </w:r>
          </w:p>
        </w:tc>
        <w:tc>
          <w:tcPr>
            <w:tcW w:w="1559" w:type="dxa"/>
          </w:tcPr>
          <w:p>
            <w:pPr>
              <w:pStyle w:val="yTable"/>
              <w:tabs>
                <w:tab w:val="decimal" w:pos="600"/>
              </w:tabs>
              <w:ind w:left="317" w:hanging="284"/>
            </w:pPr>
            <w:r>
              <w:t>86.65</w:t>
            </w:r>
          </w:p>
        </w:tc>
      </w:tr>
      <w:tr>
        <w:tc>
          <w:tcPr>
            <w:tcW w:w="4820" w:type="dxa"/>
          </w:tcPr>
          <w:p>
            <w:pPr>
              <w:pStyle w:val="yTable"/>
            </w:pPr>
            <w:r>
              <w:t>Spinal x</w:t>
            </w:r>
            <w:r>
              <w:noBreakHyphen/>
              <w:t>ray, 2 or more regions</w:t>
            </w:r>
          </w:p>
        </w:tc>
        <w:tc>
          <w:tcPr>
            <w:tcW w:w="1559" w:type="dxa"/>
          </w:tcPr>
          <w:p>
            <w:pPr>
              <w:pStyle w:val="yTable"/>
              <w:tabs>
                <w:tab w:val="decimal" w:pos="600"/>
              </w:tabs>
              <w:ind w:left="317" w:hanging="284"/>
            </w:pPr>
            <w:r>
              <w:t>130.05</w:t>
            </w:r>
          </w:p>
        </w:tc>
      </w:tr>
      <w:tr>
        <w:tc>
          <w:tcPr>
            <w:tcW w:w="4820" w:type="dxa"/>
            <w:tcBorders>
              <w:bottom w:val="single" w:sz="4" w:space="0" w:color="auto"/>
            </w:tcBorders>
          </w:tcPr>
          <w:p>
            <w:pPr>
              <w:pStyle w:val="yTable"/>
            </w:pPr>
            <w:r>
              <w:t>Travel (per kilometre)</w:t>
            </w:r>
          </w:p>
        </w:tc>
        <w:tc>
          <w:tcPr>
            <w:tcW w:w="1559" w:type="dxa"/>
            <w:tcBorders>
              <w:bottom w:val="single" w:sz="4" w:space="0" w:color="auto"/>
            </w:tcBorders>
          </w:tcPr>
          <w:p>
            <w:pPr>
              <w:pStyle w:val="yTable"/>
              <w:tabs>
                <w:tab w:val="decimal" w:pos="600"/>
              </w:tabs>
              <w:ind w:left="317" w:hanging="284"/>
            </w:pPr>
            <w:r>
              <w:t>0.62</w:t>
            </w:r>
          </w:p>
        </w:tc>
      </w:tr>
    </w:tbl>
    <w:p>
      <w:pPr>
        <w:pStyle w:val="yFootnotesection"/>
      </w:pPr>
      <w:r>
        <w:tab/>
        <w:t>[Schedule 3 inserted in Gazette 12 Sep 2003 p. 4082; amended in Gazette 9 Jan 2004 p. 99; 21 Jan 2005 p. 285.]</w:t>
      </w:r>
    </w:p>
    <w:p>
      <w:pPr>
        <w:pStyle w:val="yScheduleHeading"/>
      </w:pPr>
      <w:bookmarkStart w:id="117" w:name="_Toc86727091"/>
      <w:bookmarkStart w:id="118" w:name="_Toc86727396"/>
      <w:bookmarkStart w:id="119" w:name="_Toc94408678"/>
      <w:bookmarkStart w:id="120" w:name="_Toc118519385"/>
      <w:bookmarkStart w:id="121" w:name="_Toc118616299"/>
      <w:bookmarkStart w:id="122" w:name="_Toc119464655"/>
      <w:bookmarkStart w:id="123" w:name="_Toc119464799"/>
      <w:bookmarkStart w:id="124" w:name="_Toc119466404"/>
      <w:bookmarkStart w:id="125" w:name="_Toc36356142"/>
      <w:bookmarkEnd w:id="109"/>
      <w:r>
        <w:rPr>
          <w:rStyle w:val="CharSchNo"/>
        </w:rPr>
        <w:t>Schedule 4</w:t>
      </w:r>
      <w:bookmarkEnd w:id="117"/>
      <w:bookmarkEnd w:id="118"/>
      <w:bookmarkEnd w:id="119"/>
      <w:bookmarkEnd w:id="120"/>
      <w:bookmarkEnd w:id="121"/>
      <w:bookmarkEnd w:id="122"/>
      <w:bookmarkEnd w:id="123"/>
      <w:bookmarkEnd w:id="124"/>
    </w:p>
    <w:p>
      <w:pPr>
        <w:pStyle w:val="yShoulderClause"/>
      </w:pPr>
      <w:r>
        <w:t>[r. 5]</w:t>
      </w:r>
    </w:p>
    <w:p>
      <w:pPr>
        <w:pStyle w:val="yHeading2"/>
        <w:outlineLvl w:val="9"/>
      </w:pPr>
      <w:bookmarkStart w:id="126" w:name="_Toc86727092"/>
      <w:bookmarkStart w:id="127" w:name="_Toc94408679"/>
      <w:bookmarkStart w:id="128" w:name="_Toc118519386"/>
      <w:bookmarkStart w:id="129" w:name="_Toc118616300"/>
      <w:bookmarkStart w:id="130" w:name="_Toc119464656"/>
      <w:bookmarkStart w:id="131" w:name="_Toc119464800"/>
      <w:bookmarkStart w:id="132" w:name="_Toc119466405"/>
      <w:r>
        <w:rPr>
          <w:rStyle w:val="CharSchText"/>
        </w:rPr>
        <w:t>Scale of fees — occupational therapists</w:t>
      </w:r>
      <w:bookmarkEnd w:id="126"/>
      <w:bookmarkEnd w:id="127"/>
      <w:bookmarkEnd w:id="128"/>
      <w:bookmarkEnd w:id="129"/>
      <w:bookmarkEnd w:id="130"/>
      <w:bookmarkEnd w:id="131"/>
      <w:bookmarkEnd w:id="132"/>
    </w:p>
    <w:tbl>
      <w:tblPr>
        <w:tblW w:w="0" w:type="auto"/>
        <w:tblInd w:w="817" w:type="dxa"/>
        <w:tblLayout w:type="fixed"/>
        <w:tblLook w:val="0000" w:firstRow="0" w:lastRow="0" w:firstColumn="0" w:lastColumn="0" w:noHBand="0" w:noVBand="0"/>
      </w:tblPr>
      <w:tblGrid>
        <w:gridCol w:w="425"/>
        <w:gridCol w:w="4820"/>
        <w:gridCol w:w="992"/>
      </w:tblGrid>
      <w:tr>
        <w:tc>
          <w:tcPr>
            <w:tcW w:w="425" w:type="dxa"/>
          </w:tcPr>
          <w:p>
            <w:pPr>
              <w:pStyle w:val="yTable"/>
            </w:pPr>
          </w:p>
        </w:tc>
        <w:tc>
          <w:tcPr>
            <w:tcW w:w="4820" w:type="dxa"/>
          </w:tcPr>
          <w:p>
            <w:pPr>
              <w:pStyle w:val="yTable"/>
              <w:rPr>
                <w:b/>
              </w:rPr>
            </w:pPr>
            <w:r>
              <w:rPr>
                <w:b/>
              </w:rPr>
              <w:t>Type of Service</w:t>
            </w:r>
          </w:p>
        </w:tc>
        <w:tc>
          <w:tcPr>
            <w:tcW w:w="992" w:type="dxa"/>
          </w:tcPr>
          <w:p>
            <w:pPr>
              <w:pStyle w:val="yTable"/>
              <w:jc w:val="center"/>
              <w:rPr>
                <w:b/>
              </w:rPr>
            </w:pPr>
            <w:r>
              <w:rPr>
                <w:b/>
              </w:rPr>
              <w:t>Fee</w:t>
            </w:r>
          </w:p>
          <w:p>
            <w:pPr>
              <w:pStyle w:val="yTable"/>
              <w:jc w:val="center"/>
              <w:rPr>
                <w:b/>
              </w:rPr>
            </w:pPr>
            <w:r>
              <w:rPr>
                <w:b/>
              </w:rPr>
              <w:t>$</w:t>
            </w:r>
          </w:p>
        </w:tc>
      </w:tr>
      <w:tr>
        <w:tc>
          <w:tcPr>
            <w:tcW w:w="425" w:type="dxa"/>
          </w:tcPr>
          <w:p>
            <w:pPr>
              <w:pStyle w:val="yTable"/>
            </w:pPr>
            <w:r>
              <w:t>1.</w:t>
            </w:r>
          </w:p>
        </w:tc>
        <w:tc>
          <w:tcPr>
            <w:tcW w:w="4820" w:type="dxa"/>
          </w:tcPr>
          <w:p>
            <w:pPr>
              <w:pStyle w:val="yTable"/>
            </w:pPr>
            <w:r>
              <w:t>Brief consultation (&lt; 15 minutes)</w:t>
            </w:r>
          </w:p>
        </w:tc>
        <w:tc>
          <w:tcPr>
            <w:tcW w:w="992" w:type="dxa"/>
          </w:tcPr>
          <w:p>
            <w:pPr>
              <w:pStyle w:val="yTable"/>
              <w:tabs>
                <w:tab w:val="decimal" w:pos="317"/>
              </w:tabs>
            </w:pPr>
            <w:r>
              <w:t>18.85</w:t>
            </w:r>
          </w:p>
        </w:tc>
      </w:tr>
      <w:tr>
        <w:tc>
          <w:tcPr>
            <w:tcW w:w="425" w:type="dxa"/>
          </w:tcPr>
          <w:p>
            <w:pPr>
              <w:pStyle w:val="yTable"/>
            </w:pPr>
            <w:r>
              <w:t>2.</w:t>
            </w:r>
          </w:p>
        </w:tc>
        <w:tc>
          <w:tcPr>
            <w:tcW w:w="4820" w:type="dxa"/>
          </w:tcPr>
          <w:p>
            <w:pPr>
              <w:pStyle w:val="yTable"/>
            </w:pPr>
            <w:r>
              <w:t>Short consultation (15 minutes to &lt; 30 minutes)</w:t>
            </w:r>
          </w:p>
        </w:tc>
        <w:tc>
          <w:tcPr>
            <w:tcW w:w="992" w:type="dxa"/>
          </w:tcPr>
          <w:p>
            <w:pPr>
              <w:pStyle w:val="yTable"/>
              <w:tabs>
                <w:tab w:val="decimal" w:pos="317"/>
              </w:tabs>
            </w:pPr>
            <w:r>
              <w:t>37.75</w:t>
            </w:r>
          </w:p>
        </w:tc>
      </w:tr>
      <w:tr>
        <w:tc>
          <w:tcPr>
            <w:tcW w:w="425" w:type="dxa"/>
          </w:tcPr>
          <w:p>
            <w:pPr>
              <w:pStyle w:val="yTable"/>
            </w:pPr>
            <w:r>
              <w:t>3.</w:t>
            </w:r>
          </w:p>
        </w:tc>
        <w:tc>
          <w:tcPr>
            <w:tcW w:w="4820" w:type="dxa"/>
          </w:tcPr>
          <w:p>
            <w:pPr>
              <w:pStyle w:val="yTable"/>
            </w:pPr>
            <w:r>
              <w:t>Standard consultation (30 minutes to &lt; 45 minutes)</w:t>
            </w:r>
          </w:p>
        </w:tc>
        <w:tc>
          <w:tcPr>
            <w:tcW w:w="992" w:type="dxa"/>
          </w:tcPr>
          <w:p>
            <w:pPr>
              <w:pStyle w:val="yTable"/>
              <w:tabs>
                <w:tab w:val="decimal" w:pos="317"/>
              </w:tabs>
            </w:pPr>
            <w:r>
              <w:t>62.20</w:t>
            </w:r>
          </w:p>
        </w:tc>
      </w:tr>
      <w:tr>
        <w:tc>
          <w:tcPr>
            <w:tcW w:w="425" w:type="dxa"/>
          </w:tcPr>
          <w:p>
            <w:pPr>
              <w:pStyle w:val="yTable"/>
            </w:pPr>
            <w:r>
              <w:t>4.</w:t>
            </w:r>
          </w:p>
        </w:tc>
        <w:tc>
          <w:tcPr>
            <w:tcW w:w="4820" w:type="dxa"/>
          </w:tcPr>
          <w:p>
            <w:pPr>
              <w:pStyle w:val="yTable"/>
            </w:pPr>
            <w:r>
              <w:t>Extended consultation (45 minutes to &lt; one hour)</w:t>
            </w:r>
          </w:p>
        </w:tc>
        <w:tc>
          <w:tcPr>
            <w:tcW w:w="992" w:type="dxa"/>
          </w:tcPr>
          <w:p>
            <w:pPr>
              <w:pStyle w:val="yTable"/>
              <w:tabs>
                <w:tab w:val="decimal" w:pos="317"/>
              </w:tabs>
            </w:pPr>
            <w:r>
              <w:t>93.30</w:t>
            </w:r>
          </w:p>
        </w:tc>
      </w:tr>
      <w:tr>
        <w:tc>
          <w:tcPr>
            <w:tcW w:w="425" w:type="dxa"/>
          </w:tcPr>
          <w:p>
            <w:pPr>
              <w:pStyle w:val="yTable"/>
            </w:pPr>
            <w:r>
              <w:t>5.</w:t>
            </w:r>
          </w:p>
        </w:tc>
        <w:tc>
          <w:tcPr>
            <w:tcW w:w="4820" w:type="dxa"/>
          </w:tcPr>
          <w:p>
            <w:pPr>
              <w:pStyle w:val="yTable"/>
            </w:pPr>
            <w:r>
              <w:t xml:space="preserve">Extended consultation ( </w:t>
            </w:r>
            <w:r>
              <w:rPr>
                <w:u w:val="single"/>
              </w:rPr>
              <w:t>&gt;</w:t>
            </w:r>
            <w:r>
              <w:t xml:space="preserve"> one hour)</w:t>
            </w:r>
          </w:p>
        </w:tc>
        <w:tc>
          <w:tcPr>
            <w:tcW w:w="992" w:type="dxa"/>
          </w:tcPr>
          <w:p>
            <w:pPr>
              <w:pStyle w:val="yTable"/>
              <w:tabs>
                <w:tab w:val="decimal" w:pos="317"/>
              </w:tabs>
            </w:pPr>
            <w:r>
              <w:t>124.35</w:t>
            </w:r>
          </w:p>
        </w:tc>
      </w:tr>
      <w:tr>
        <w:tc>
          <w:tcPr>
            <w:tcW w:w="425" w:type="dxa"/>
          </w:tcPr>
          <w:p>
            <w:pPr>
              <w:pStyle w:val="yTable"/>
            </w:pPr>
            <w:r>
              <w:t>6.</w:t>
            </w:r>
          </w:p>
        </w:tc>
        <w:tc>
          <w:tcPr>
            <w:tcW w:w="4820" w:type="dxa"/>
          </w:tcPr>
          <w:p>
            <w:pPr>
              <w:pStyle w:val="yTable"/>
            </w:pPr>
            <w:r>
              <w:t xml:space="preserve">Standard group consultation (30 minutes) </w:t>
            </w:r>
          </w:p>
          <w:p>
            <w:pPr>
              <w:pStyle w:val="yTable"/>
            </w:pPr>
            <w:r>
              <w:t>per person</w:t>
            </w:r>
          </w:p>
        </w:tc>
        <w:tc>
          <w:tcPr>
            <w:tcW w:w="992" w:type="dxa"/>
          </w:tcPr>
          <w:p>
            <w:pPr>
              <w:pStyle w:val="yTable"/>
              <w:tabs>
                <w:tab w:val="decimal" w:pos="317"/>
              </w:tabs>
            </w:pPr>
          </w:p>
          <w:p>
            <w:pPr>
              <w:pStyle w:val="yTable"/>
              <w:tabs>
                <w:tab w:val="decimal" w:pos="317"/>
              </w:tabs>
            </w:pPr>
            <w:r>
              <w:t>40.85</w:t>
            </w:r>
          </w:p>
        </w:tc>
      </w:tr>
      <w:tr>
        <w:trPr>
          <w:cantSplit/>
        </w:trPr>
        <w:tc>
          <w:tcPr>
            <w:tcW w:w="425" w:type="dxa"/>
          </w:tcPr>
          <w:p>
            <w:pPr>
              <w:pStyle w:val="yTable"/>
            </w:pPr>
            <w:r>
              <w:t>7.</w:t>
            </w:r>
          </w:p>
        </w:tc>
        <w:tc>
          <w:tcPr>
            <w:tcW w:w="5812" w:type="dxa"/>
            <w:gridSpan w:val="2"/>
          </w:tcPr>
          <w:p>
            <w:pPr>
              <w:pStyle w:val="yTable"/>
            </w:pPr>
            <w:r>
              <w:t>Travel costs are to be calculated at the hourly rate by the length of time spent travelling.</w:t>
            </w:r>
          </w:p>
        </w:tc>
      </w:tr>
    </w:tbl>
    <w:p>
      <w:pPr>
        <w:pStyle w:val="yFootnotesection"/>
      </w:pPr>
      <w:r>
        <w:tab/>
        <w:t>[Schedule 4 inserted in Gazette 23 Sep 2003 p. 4186; amended in Gazette 9 Jan 2004 p. 99; 21 Jan 2005 p. 285.]</w:t>
      </w:r>
    </w:p>
    <w:p>
      <w:pPr>
        <w:pStyle w:val="yScheduleHeading"/>
      </w:pPr>
      <w:bookmarkStart w:id="133" w:name="_Toc86727093"/>
      <w:bookmarkStart w:id="134" w:name="_Toc94408680"/>
      <w:bookmarkStart w:id="135" w:name="_Toc118519387"/>
      <w:bookmarkStart w:id="136" w:name="_Toc118616301"/>
      <w:bookmarkStart w:id="137" w:name="_Toc119464657"/>
      <w:bookmarkStart w:id="138" w:name="_Toc119464801"/>
      <w:bookmarkStart w:id="139" w:name="_Toc119466406"/>
      <w:r>
        <w:rPr>
          <w:rStyle w:val="CharSchNo"/>
        </w:rPr>
        <w:t>Schedule 5</w:t>
      </w:r>
      <w:r>
        <w:t xml:space="preserve"> — </w:t>
      </w:r>
      <w:r>
        <w:rPr>
          <w:rStyle w:val="CharSchText"/>
        </w:rPr>
        <w:t xml:space="preserve">Scale of fees — speech </w:t>
      </w:r>
      <w:bookmarkEnd w:id="125"/>
      <w:bookmarkEnd w:id="133"/>
      <w:bookmarkEnd w:id="134"/>
      <w:bookmarkEnd w:id="135"/>
      <w:bookmarkEnd w:id="136"/>
      <w:r>
        <w:rPr>
          <w:rStyle w:val="CharSchText"/>
        </w:rPr>
        <w:t>pathologists</w:t>
      </w:r>
      <w:bookmarkEnd w:id="137"/>
      <w:bookmarkEnd w:id="138"/>
      <w:bookmarkEnd w:id="139"/>
    </w:p>
    <w:p>
      <w:pPr>
        <w:pStyle w:val="yShoulderClause"/>
      </w:pPr>
      <w:r>
        <w:t>[r. 7]</w:t>
      </w:r>
    </w:p>
    <w:tbl>
      <w:tblPr>
        <w:tblW w:w="0" w:type="auto"/>
        <w:tblInd w:w="108" w:type="dxa"/>
        <w:tblLayout w:type="fixed"/>
        <w:tblLook w:val="0000" w:firstRow="0" w:lastRow="0" w:firstColumn="0" w:lastColumn="0" w:noHBand="0" w:noVBand="0"/>
      </w:tblPr>
      <w:tblGrid>
        <w:gridCol w:w="851"/>
        <w:gridCol w:w="4819"/>
        <w:gridCol w:w="1276"/>
      </w:tblGrid>
      <w:tr>
        <w:tc>
          <w:tcPr>
            <w:tcW w:w="851" w:type="dxa"/>
          </w:tcPr>
          <w:p>
            <w:pPr>
              <w:pStyle w:val="yTable"/>
            </w:pPr>
          </w:p>
        </w:tc>
        <w:tc>
          <w:tcPr>
            <w:tcW w:w="4819" w:type="dxa"/>
          </w:tcPr>
          <w:p>
            <w:pPr>
              <w:pStyle w:val="yTable"/>
              <w:rPr>
                <w:b/>
              </w:rPr>
            </w:pPr>
            <w:r>
              <w:rPr>
                <w:b/>
              </w:rPr>
              <w:t>Type of service</w:t>
            </w:r>
          </w:p>
        </w:tc>
        <w:tc>
          <w:tcPr>
            <w:tcW w:w="1276" w:type="dxa"/>
          </w:tcPr>
          <w:p>
            <w:pPr>
              <w:pStyle w:val="yTable"/>
              <w:jc w:val="center"/>
              <w:rPr>
                <w:b/>
              </w:rPr>
            </w:pPr>
            <w:r>
              <w:rPr>
                <w:b/>
              </w:rPr>
              <w:t>Fee</w:t>
            </w:r>
          </w:p>
        </w:tc>
      </w:tr>
      <w:tr>
        <w:tc>
          <w:tcPr>
            <w:tcW w:w="851" w:type="dxa"/>
          </w:tcPr>
          <w:p>
            <w:pPr>
              <w:pStyle w:val="yTable"/>
            </w:pPr>
            <w:r>
              <w:t>1.</w:t>
            </w:r>
          </w:p>
        </w:tc>
        <w:tc>
          <w:tcPr>
            <w:tcW w:w="4819" w:type="dxa"/>
          </w:tcPr>
          <w:p>
            <w:pPr>
              <w:pStyle w:val="yTable"/>
            </w:pPr>
            <w:r>
              <w:t>Initial consultation/assessment (up to and including 1 hour)</w:t>
            </w:r>
          </w:p>
        </w:tc>
        <w:tc>
          <w:tcPr>
            <w:tcW w:w="1276" w:type="dxa"/>
          </w:tcPr>
          <w:p>
            <w:pPr>
              <w:pStyle w:val="yTable"/>
              <w:ind w:right="175"/>
              <w:jc w:val="right"/>
            </w:pPr>
          </w:p>
          <w:p>
            <w:pPr>
              <w:pStyle w:val="yTable"/>
              <w:spacing w:before="0"/>
              <w:ind w:right="175"/>
              <w:jc w:val="right"/>
            </w:pPr>
            <w:r>
              <w:t>$114.90</w:t>
            </w:r>
          </w:p>
        </w:tc>
      </w:tr>
      <w:tr>
        <w:tc>
          <w:tcPr>
            <w:tcW w:w="851" w:type="dxa"/>
          </w:tcPr>
          <w:p>
            <w:pPr>
              <w:pStyle w:val="yTable"/>
            </w:pPr>
            <w:r>
              <w:t>2.</w:t>
            </w:r>
          </w:p>
        </w:tc>
        <w:tc>
          <w:tcPr>
            <w:tcW w:w="4819" w:type="dxa"/>
          </w:tcPr>
          <w:p>
            <w:pPr>
              <w:pStyle w:val="yTable"/>
            </w:pPr>
            <w:r>
              <w:t>Initial consultation/assessment (exceeding 1 hour)</w:t>
            </w:r>
          </w:p>
        </w:tc>
        <w:tc>
          <w:tcPr>
            <w:tcW w:w="1276" w:type="dxa"/>
          </w:tcPr>
          <w:p>
            <w:pPr>
              <w:pStyle w:val="yTable"/>
              <w:ind w:right="176"/>
              <w:jc w:val="right"/>
            </w:pPr>
            <w:r>
              <w:t>$148.90</w:t>
            </w:r>
          </w:p>
        </w:tc>
      </w:tr>
      <w:tr>
        <w:tc>
          <w:tcPr>
            <w:tcW w:w="851" w:type="dxa"/>
          </w:tcPr>
          <w:p>
            <w:pPr>
              <w:pStyle w:val="yTable"/>
            </w:pPr>
            <w:r>
              <w:t>3.</w:t>
            </w:r>
          </w:p>
        </w:tc>
        <w:tc>
          <w:tcPr>
            <w:tcW w:w="4819" w:type="dxa"/>
          </w:tcPr>
          <w:p>
            <w:pPr>
              <w:pStyle w:val="yTable"/>
            </w:pPr>
            <w:r>
              <w:t>Subsequent consultation (&lt;½ hour)</w:t>
            </w:r>
            <w:r>
              <w:tab/>
            </w:r>
          </w:p>
        </w:tc>
        <w:tc>
          <w:tcPr>
            <w:tcW w:w="1276" w:type="dxa"/>
          </w:tcPr>
          <w:p>
            <w:pPr>
              <w:pStyle w:val="yTable"/>
              <w:ind w:right="175"/>
              <w:jc w:val="right"/>
            </w:pPr>
            <w:r>
              <w:t>$50.20</w:t>
            </w:r>
          </w:p>
        </w:tc>
      </w:tr>
      <w:tr>
        <w:tc>
          <w:tcPr>
            <w:tcW w:w="851" w:type="dxa"/>
          </w:tcPr>
          <w:p>
            <w:pPr>
              <w:pStyle w:val="yTable"/>
            </w:pPr>
            <w:r>
              <w:t>4.</w:t>
            </w:r>
          </w:p>
        </w:tc>
        <w:tc>
          <w:tcPr>
            <w:tcW w:w="4819" w:type="dxa"/>
          </w:tcPr>
          <w:p>
            <w:pPr>
              <w:pStyle w:val="yTable"/>
            </w:pPr>
            <w:r>
              <w:t>Subsequent consultation (½ hour – 1 hour)</w:t>
            </w:r>
          </w:p>
        </w:tc>
        <w:tc>
          <w:tcPr>
            <w:tcW w:w="1276" w:type="dxa"/>
          </w:tcPr>
          <w:p>
            <w:pPr>
              <w:pStyle w:val="yTable"/>
              <w:ind w:right="175"/>
              <w:jc w:val="right"/>
            </w:pPr>
            <w:r>
              <w:t>$65.10</w:t>
            </w:r>
          </w:p>
        </w:tc>
      </w:tr>
      <w:tr>
        <w:tc>
          <w:tcPr>
            <w:tcW w:w="851" w:type="dxa"/>
          </w:tcPr>
          <w:p>
            <w:pPr>
              <w:pStyle w:val="yTable"/>
            </w:pPr>
            <w:r>
              <w:t>5.</w:t>
            </w:r>
          </w:p>
        </w:tc>
        <w:tc>
          <w:tcPr>
            <w:tcW w:w="4819" w:type="dxa"/>
          </w:tcPr>
          <w:p>
            <w:pPr>
              <w:pStyle w:val="yTable"/>
            </w:pPr>
            <w:r>
              <w:t>Subsequent consultation (&gt;1 hour)</w:t>
            </w:r>
          </w:p>
        </w:tc>
        <w:tc>
          <w:tcPr>
            <w:tcW w:w="1276" w:type="dxa"/>
          </w:tcPr>
          <w:p>
            <w:pPr>
              <w:pStyle w:val="yTable"/>
              <w:ind w:right="175"/>
              <w:jc w:val="right"/>
            </w:pPr>
            <w:r>
              <w:t>$87.90</w:t>
            </w:r>
          </w:p>
        </w:tc>
      </w:tr>
    </w:tbl>
    <w:p>
      <w:pPr>
        <w:pStyle w:val="yFootnotesection"/>
      </w:pPr>
      <w:r>
        <w:tab/>
        <w:t>[Schedule 5 inserted in Gazette 14 Dec 2001 p. 6417; amended in Gazette 7 Mar 2003 p. 741-2; 9 Jan 2004 p. 100; 21 Jan 2005 p. 285-6; 11 Nov 2005 p. 5569.]</w:t>
      </w:r>
    </w:p>
    <w:p>
      <w:pPr>
        <w:pStyle w:val="yScheduleHeading"/>
      </w:pPr>
      <w:bookmarkStart w:id="140" w:name="_Toc119464658"/>
      <w:bookmarkStart w:id="141" w:name="_Toc119464802"/>
      <w:bookmarkStart w:id="142" w:name="_Toc119466407"/>
      <w:r>
        <w:rPr>
          <w:rStyle w:val="CharSchNo"/>
        </w:rPr>
        <w:t>Schedule 6</w:t>
      </w:r>
      <w:r>
        <w:t> — </w:t>
      </w:r>
      <w:r>
        <w:rPr>
          <w:rStyle w:val="CharSchText"/>
        </w:rPr>
        <w:t>Scale of maximum fees — approved medical specialists</w:t>
      </w:r>
      <w:bookmarkEnd w:id="140"/>
      <w:bookmarkEnd w:id="141"/>
      <w:bookmarkEnd w:id="142"/>
    </w:p>
    <w:p>
      <w:pPr>
        <w:pStyle w:val="yShoulderClause"/>
      </w:pPr>
      <w:r>
        <w:t>[r. 9]</w:t>
      </w:r>
    </w:p>
    <w:p>
      <w:pPr>
        <w:pStyle w:val="yFootnoteheading"/>
      </w:pPr>
      <w:r>
        <w:tab/>
        <w:t>[Heading inserted in Gazette 11 Nov 2005 p. 5568.]</w:t>
      </w:r>
    </w:p>
    <w:p>
      <w:pPr>
        <w:pStyle w:val="yHeading3"/>
      </w:pPr>
      <w:bookmarkStart w:id="143" w:name="_Toc119464659"/>
      <w:bookmarkStart w:id="144" w:name="_Toc119464803"/>
      <w:bookmarkStart w:id="145" w:name="_Toc119466408"/>
      <w:r>
        <w:t>Part 1</w:t>
      </w:r>
      <w:r>
        <w:rPr>
          <w:b w:val="0"/>
        </w:rPr>
        <w:t xml:space="preserve"> — </w:t>
      </w:r>
      <w:r>
        <w:t>Assessments</w:t>
      </w:r>
      <w:bookmarkEnd w:id="143"/>
      <w:bookmarkEnd w:id="144"/>
      <w:bookmarkEnd w:id="145"/>
    </w:p>
    <w:tbl>
      <w:tblPr>
        <w:tblW w:w="0" w:type="auto"/>
        <w:tblInd w:w="534" w:type="dxa"/>
        <w:tblLayout w:type="fixed"/>
        <w:tblLook w:val="0000" w:firstRow="0" w:lastRow="0" w:firstColumn="0" w:lastColumn="0" w:noHBand="0" w:noVBand="0"/>
      </w:tblPr>
      <w:tblGrid>
        <w:gridCol w:w="708"/>
        <w:gridCol w:w="3402"/>
        <w:gridCol w:w="2552"/>
      </w:tblGrid>
      <w:tr>
        <w:trPr>
          <w:tblHeader/>
        </w:trPr>
        <w:tc>
          <w:tcPr>
            <w:tcW w:w="708" w:type="dxa"/>
            <w:tcBorders>
              <w:top w:val="single" w:sz="4" w:space="0" w:color="auto"/>
              <w:bottom w:val="single" w:sz="4" w:space="0" w:color="auto"/>
            </w:tcBorders>
          </w:tcPr>
          <w:p>
            <w:pPr>
              <w:pStyle w:val="zytable"/>
              <w:jc w:val="center"/>
              <w:rPr>
                <w:b/>
              </w:rPr>
            </w:pPr>
          </w:p>
        </w:tc>
        <w:tc>
          <w:tcPr>
            <w:tcW w:w="3402" w:type="dxa"/>
            <w:tcBorders>
              <w:top w:val="single" w:sz="4" w:space="0" w:color="auto"/>
              <w:bottom w:val="single" w:sz="4" w:space="0" w:color="auto"/>
            </w:tcBorders>
          </w:tcPr>
          <w:p>
            <w:pPr>
              <w:pStyle w:val="yTable"/>
              <w:jc w:val="center"/>
            </w:pPr>
            <w:r>
              <w:rPr>
                <w:b/>
              </w:rPr>
              <w:t>Description of assessment</w:t>
            </w:r>
          </w:p>
        </w:tc>
        <w:tc>
          <w:tcPr>
            <w:tcW w:w="2552" w:type="dxa"/>
            <w:tcBorders>
              <w:top w:val="single" w:sz="4" w:space="0" w:color="auto"/>
              <w:bottom w:val="single" w:sz="4" w:space="0" w:color="auto"/>
            </w:tcBorders>
          </w:tcPr>
          <w:p>
            <w:pPr>
              <w:pStyle w:val="yTable"/>
              <w:jc w:val="center"/>
            </w:pPr>
            <w:r>
              <w:rPr>
                <w:b/>
              </w:rPr>
              <w:t>Maximum fee</w:t>
            </w:r>
          </w:p>
        </w:tc>
      </w:tr>
      <w:tr>
        <w:tc>
          <w:tcPr>
            <w:tcW w:w="708" w:type="dxa"/>
          </w:tcPr>
          <w:p>
            <w:pPr>
              <w:pStyle w:val="yTable"/>
            </w:pPr>
            <w:r>
              <w:t>1.</w:t>
            </w:r>
          </w:p>
        </w:tc>
        <w:tc>
          <w:tcPr>
            <w:tcW w:w="3402" w:type="dxa"/>
          </w:tcPr>
          <w:p>
            <w:pPr>
              <w:pStyle w:val="yTable"/>
            </w:pPr>
            <w:r>
              <w:t>Examination and provision of report and certificate — straightforward assessment — other than a service mentioned in item 4, 5, 6 or 8</w:t>
            </w:r>
          </w:p>
        </w:tc>
        <w:tc>
          <w:tcPr>
            <w:tcW w:w="2552" w:type="dxa"/>
          </w:tcPr>
          <w:p>
            <w:pPr>
              <w:pStyle w:val="yTable"/>
            </w:pPr>
            <w:r>
              <w:t>$880 (or, if an interpreter is present at the examination, $1 100 excluding any fee payable to the interpreter)</w:t>
            </w:r>
          </w:p>
        </w:tc>
      </w:tr>
      <w:tr>
        <w:tc>
          <w:tcPr>
            <w:tcW w:w="708" w:type="dxa"/>
          </w:tcPr>
          <w:p>
            <w:pPr>
              <w:pStyle w:val="yTable"/>
            </w:pPr>
            <w:r>
              <w:t>2.</w:t>
            </w:r>
          </w:p>
        </w:tc>
        <w:tc>
          <w:tcPr>
            <w:tcW w:w="3402" w:type="dxa"/>
          </w:tcPr>
          <w:p>
            <w:pPr>
              <w:pStyle w:val="yTable"/>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552" w:type="dxa"/>
          </w:tcPr>
          <w:p>
            <w:pPr>
              <w:pStyle w:val="yTable"/>
            </w:pPr>
            <w:r>
              <w:t>$1 100 (or, if an interpreter is present at the examination, $1 320 excluding any fee payable to the interpreter)</w:t>
            </w:r>
          </w:p>
        </w:tc>
      </w:tr>
      <w:tr>
        <w:tc>
          <w:tcPr>
            <w:tcW w:w="708" w:type="dxa"/>
          </w:tcPr>
          <w:p>
            <w:pPr>
              <w:pStyle w:val="yTable"/>
            </w:pPr>
            <w:r>
              <w:t>3.</w:t>
            </w:r>
          </w:p>
        </w:tc>
        <w:tc>
          <w:tcPr>
            <w:tcW w:w="3402" w:type="dxa"/>
          </w:tcPr>
          <w:p>
            <w:pPr>
              <w:pStyle w:val="yTable"/>
            </w:pPr>
            <w:r>
              <w:t>Examination and provision of report and certificate — complex assessment (eg. multiple injuries; severe impairment such as spinal cord injury or head injury) — other than a service mentioned in item 4, 5, 6 or 8</w:t>
            </w:r>
          </w:p>
        </w:tc>
        <w:tc>
          <w:tcPr>
            <w:tcW w:w="2552" w:type="dxa"/>
          </w:tcPr>
          <w:p>
            <w:pPr>
              <w:pStyle w:val="yTable"/>
            </w:pPr>
            <w:r>
              <w:t>$1 320 (or, if an interpreter is present at the examination, $1 540 excluding any fee payable to the interpreter)</w:t>
            </w:r>
          </w:p>
        </w:tc>
      </w:tr>
      <w:tr>
        <w:tc>
          <w:tcPr>
            <w:tcW w:w="708" w:type="dxa"/>
          </w:tcPr>
          <w:p>
            <w:pPr>
              <w:pStyle w:val="yTable"/>
            </w:pPr>
            <w:r>
              <w:t>4.</w:t>
            </w:r>
          </w:p>
        </w:tc>
        <w:tc>
          <w:tcPr>
            <w:tcW w:w="3402" w:type="dxa"/>
          </w:tcPr>
          <w:p>
            <w:pPr>
              <w:pStyle w:val="yTable"/>
            </w:pPr>
            <w:r>
              <w:t>Examination of any of ear, nose and throat only, including audiometric testing, and provision of report and certificate — other than a service mentioned in item 8</w:t>
            </w:r>
          </w:p>
        </w:tc>
        <w:tc>
          <w:tcPr>
            <w:tcW w:w="2552" w:type="dxa"/>
          </w:tcPr>
          <w:p>
            <w:pPr>
              <w:pStyle w:val="yTable"/>
            </w:pPr>
            <w:r>
              <w:t>$880 (or, if an interpreter is present at the examination, $1 100 excluding any fee payable to the interpreter)</w:t>
            </w:r>
          </w:p>
        </w:tc>
      </w:tr>
      <w:tr>
        <w:tc>
          <w:tcPr>
            <w:tcW w:w="708" w:type="dxa"/>
          </w:tcPr>
          <w:p>
            <w:pPr>
              <w:pStyle w:val="yTable"/>
            </w:pPr>
            <w:r>
              <w:t>5.</w:t>
            </w:r>
          </w:p>
        </w:tc>
        <w:tc>
          <w:tcPr>
            <w:tcW w:w="3402" w:type="dxa"/>
          </w:tcPr>
          <w:p>
            <w:pPr>
              <w:pStyle w:val="yTable"/>
            </w:pPr>
            <w:r>
              <w:t>Examination and provision of report and certificate — psychiatric — standard assessment — other than a service mentioned in item 8</w:t>
            </w:r>
          </w:p>
        </w:tc>
        <w:tc>
          <w:tcPr>
            <w:tcW w:w="2552" w:type="dxa"/>
          </w:tcPr>
          <w:p>
            <w:pPr>
              <w:pStyle w:val="yTable"/>
            </w:pPr>
            <w:r>
              <w:t>$1 320 (or, if an interpreter is present at the examination, $1 540 excluding any fee payable to the interpreter)</w:t>
            </w:r>
          </w:p>
        </w:tc>
      </w:tr>
      <w:tr>
        <w:tc>
          <w:tcPr>
            <w:tcW w:w="708" w:type="dxa"/>
          </w:tcPr>
          <w:p>
            <w:pPr>
              <w:pStyle w:val="yTable"/>
            </w:pPr>
            <w:r>
              <w:t>6.</w:t>
            </w:r>
          </w:p>
        </w:tc>
        <w:tc>
          <w:tcPr>
            <w:tcW w:w="3402" w:type="dxa"/>
          </w:tcPr>
          <w:p>
            <w:pPr>
              <w:pStyle w:val="yTable"/>
            </w:pPr>
            <w:r>
              <w:t>Examination and provision of report and certificate — psychiatric — complex assessment (eg. reviewing significant documented prior psychiatric history) — other than a service mentioned in item 8</w:t>
            </w:r>
          </w:p>
        </w:tc>
        <w:tc>
          <w:tcPr>
            <w:tcW w:w="2552" w:type="dxa"/>
          </w:tcPr>
          <w:p>
            <w:pPr>
              <w:pStyle w:val="yTable"/>
            </w:pPr>
            <w:r>
              <w:t>$2 200 (or, if an interpreter is present at the examination, $2 420 excluding any fee payable to the interpreter)</w:t>
            </w:r>
          </w:p>
        </w:tc>
      </w:tr>
      <w:tr>
        <w:tc>
          <w:tcPr>
            <w:tcW w:w="708" w:type="dxa"/>
          </w:tcPr>
          <w:p>
            <w:pPr>
              <w:pStyle w:val="yTable"/>
            </w:pPr>
            <w:r>
              <w:t>7.</w:t>
            </w:r>
          </w:p>
        </w:tc>
        <w:tc>
          <w:tcPr>
            <w:tcW w:w="3402" w:type="dxa"/>
          </w:tcPr>
          <w:p>
            <w:pPr>
              <w:pStyle w:val="yTable"/>
            </w:pPr>
            <w:r>
              <w:t>Consolidation of written assessments from multiple assessors</w:t>
            </w:r>
          </w:p>
        </w:tc>
        <w:tc>
          <w:tcPr>
            <w:tcW w:w="2552" w:type="dxa"/>
          </w:tcPr>
          <w:p>
            <w:pPr>
              <w:pStyle w:val="yTable"/>
            </w:pPr>
            <w:r>
              <w:t>$440</w:t>
            </w:r>
          </w:p>
        </w:tc>
      </w:tr>
      <w:tr>
        <w:tc>
          <w:tcPr>
            <w:tcW w:w="708" w:type="dxa"/>
          </w:tcPr>
          <w:p>
            <w:pPr>
              <w:pStyle w:val="yTable"/>
            </w:pPr>
            <w:r>
              <w:t>8.</w:t>
            </w:r>
          </w:p>
        </w:tc>
        <w:tc>
          <w:tcPr>
            <w:tcW w:w="3402" w:type="dxa"/>
          </w:tcPr>
          <w:p>
            <w:pPr>
              <w:pStyle w:val="yTable"/>
            </w:pPr>
            <w:r>
              <w:t>Re</w:t>
            </w:r>
            <w:r>
              <w:noBreakHyphen/>
              <w:t>examination and provision of report and certificate</w:t>
            </w:r>
          </w:p>
        </w:tc>
        <w:tc>
          <w:tcPr>
            <w:tcW w:w="2552" w:type="dxa"/>
          </w:tcPr>
          <w:p>
            <w:pPr>
              <w:pStyle w:val="yTable"/>
            </w:pPr>
            <w:r>
              <w:t>$660 (or, if an interpreter is present at the examination, $880 excluding any fee payable to the interpreter)</w:t>
            </w:r>
          </w:p>
        </w:tc>
      </w:tr>
      <w:tr>
        <w:tc>
          <w:tcPr>
            <w:tcW w:w="708" w:type="dxa"/>
            <w:tcBorders>
              <w:bottom w:val="single" w:sz="4" w:space="0" w:color="auto"/>
            </w:tcBorders>
          </w:tcPr>
          <w:p>
            <w:pPr>
              <w:pStyle w:val="yTable"/>
            </w:pPr>
            <w:r>
              <w:t>9.</w:t>
            </w:r>
          </w:p>
        </w:tc>
        <w:tc>
          <w:tcPr>
            <w:tcW w:w="3402" w:type="dxa"/>
            <w:tcBorders>
              <w:bottom w:val="single" w:sz="4" w:space="0" w:color="auto"/>
            </w:tcBorders>
          </w:tcPr>
          <w:p>
            <w:pPr>
              <w:pStyle w:val="yTable"/>
            </w:pPr>
            <w:r>
              <w:t>Provision of supplementary report and certificate</w:t>
            </w:r>
          </w:p>
        </w:tc>
        <w:tc>
          <w:tcPr>
            <w:tcW w:w="2552" w:type="dxa"/>
            <w:tcBorders>
              <w:bottom w:val="single" w:sz="4" w:space="0" w:color="auto"/>
            </w:tcBorders>
          </w:tcPr>
          <w:p>
            <w:pPr>
              <w:pStyle w:val="yTable"/>
            </w:pPr>
            <w:r>
              <w:t>$220</w:t>
            </w:r>
          </w:p>
        </w:tc>
      </w:tr>
    </w:tbl>
    <w:p>
      <w:pPr>
        <w:pStyle w:val="yFootnotesection"/>
      </w:pPr>
      <w:r>
        <w:tab/>
        <w:t>[Part 1 inserted in Gazette 11 Nov 2005 p. 5568-9.]</w:t>
      </w:r>
    </w:p>
    <w:p>
      <w:pPr>
        <w:pStyle w:val="yHeading3"/>
      </w:pPr>
      <w:bookmarkStart w:id="146" w:name="_Toc119464660"/>
      <w:bookmarkStart w:id="147" w:name="_Toc119464804"/>
      <w:bookmarkStart w:id="148" w:name="_Toc119466409"/>
      <w:r>
        <w:t>Part </w:t>
      </w:r>
      <w:r>
        <w:rPr>
          <w:bCs/>
        </w:rPr>
        <w:t>2</w:t>
      </w:r>
      <w:r>
        <w:rPr>
          <w:b w:val="0"/>
        </w:rPr>
        <w:t> — </w:t>
      </w:r>
      <w:r>
        <w:t>Attempted assessments</w:t>
      </w:r>
      <w:bookmarkEnd w:id="146"/>
      <w:bookmarkEnd w:id="147"/>
      <w:bookmarkEnd w:id="148"/>
    </w:p>
    <w:tbl>
      <w:tblPr>
        <w:tblW w:w="0" w:type="auto"/>
        <w:tblInd w:w="534" w:type="dxa"/>
        <w:tblLayout w:type="fixed"/>
        <w:tblLook w:val="0000" w:firstRow="0" w:lastRow="0" w:firstColumn="0" w:lastColumn="0" w:noHBand="0" w:noVBand="0"/>
      </w:tblPr>
      <w:tblGrid>
        <w:gridCol w:w="708"/>
        <w:gridCol w:w="3402"/>
        <w:gridCol w:w="2552"/>
      </w:tblGrid>
      <w:tr>
        <w:trPr>
          <w:tblHeader/>
        </w:trPr>
        <w:tc>
          <w:tcPr>
            <w:tcW w:w="708" w:type="dxa"/>
            <w:tcBorders>
              <w:top w:val="single" w:sz="4" w:space="0" w:color="auto"/>
              <w:bottom w:val="single" w:sz="4" w:space="0" w:color="auto"/>
            </w:tcBorders>
          </w:tcPr>
          <w:p>
            <w:pPr>
              <w:pStyle w:val="yTable"/>
            </w:pPr>
            <w:r>
              <w:tab/>
            </w:r>
          </w:p>
        </w:tc>
        <w:tc>
          <w:tcPr>
            <w:tcW w:w="3402" w:type="dxa"/>
            <w:tcBorders>
              <w:top w:val="single" w:sz="4" w:space="0" w:color="auto"/>
              <w:bottom w:val="single" w:sz="4" w:space="0" w:color="auto"/>
            </w:tcBorders>
          </w:tcPr>
          <w:p>
            <w:pPr>
              <w:pStyle w:val="yTable"/>
            </w:pPr>
            <w:r>
              <w:rPr>
                <w:b/>
              </w:rPr>
              <w:t>Description of circumstances</w:t>
            </w:r>
          </w:p>
        </w:tc>
        <w:tc>
          <w:tcPr>
            <w:tcW w:w="2552" w:type="dxa"/>
            <w:tcBorders>
              <w:top w:val="single" w:sz="4" w:space="0" w:color="auto"/>
              <w:bottom w:val="single" w:sz="4" w:space="0" w:color="auto"/>
            </w:tcBorders>
          </w:tcPr>
          <w:p>
            <w:pPr>
              <w:pStyle w:val="yTable"/>
            </w:pPr>
            <w:r>
              <w:rPr>
                <w:b/>
              </w:rPr>
              <w:t>Maximum fee</w:t>
            </w:r>
          </w:p>
        </w:tc>
      </w:tr>
      <w:tr>
        <w:tc>
          <w:tcPr>
            <w:tcW w:w="708" w:type="dxa"/>
            <w:tcBorders>
              <w:bottom w:val="single" w:sz="4" w:space="0" w:color="auto"/>
            </w:tcBorders>
          </w:tcPr>
          <w:p>
            <w:pPr>
              <w:pStyle w:val="yTable"/>
            </w:pPr>
            <w:r>
              <w:t>1.</w:t>
            </w:r>
          </w:p>
        </w:tc>
        <w:tc>
          <w:tcPr>
            <w:tcW w:w="3402" w:type="dxa"/>
            <w:tcBorders>
              <w:bottom w:val="single" w:sz="4" w:space="0" w:color="auto"/>
            </w:tcBorders>
          </w:tcPr>
          <w:p>
            <w:pPr>
              <w:pStyle w:val="yTable"/>
            </w:pPr>
            <w:r>
              <w:t xml:space="preserve">If a worker who is required under Part VII Division 2 of the Act to submit to an examination by an approved medical specialist does not attend, in a case in which — </w:t>
            </w:r>
          </w:p>
          <w:p>
            <w:pPr>
              <w:pStyle w:val="yTable"/>
              <w:tabs>
                <w:tab w:val="left" w:pos="601"/>
              </w:tabs>
              <w:ind w:left="601" w:hanging="601"/>
            </w:pPr>
            <w:r>
              <w:t>(a)</w:t>
            </w:r>
            <w:r>
              <w:tab/>
              <w:t>no prior arrangements to cancel the examination are made; or</w:t>
            </w:r>
          </w:p>
          <w:p>
            <w:pPr>
              <w:pStyle w:val="yTable"/>
              <w:tabs>
                <w:tab w:val="left" w:pos="601"/>
              </w:tabs>
              <w:ind w:left="601" w:hanging="601"/>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pPr>
            <w:r>
              <w:t>$440</w:t>
            </w:r>
          </w:p>
        </w:tc>
      </w:tr>
    </w:tbl>
    <w:p>
      <w:pPr>
        <w:pStyle w:val="yFootnotesection"/>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r>
        <w:tab/>
        <w:t>[Part 2 inserted in Gazette 11 Nov 2005 p. 5569.]</w:t>
      </w:r>
      <w:bookmarkStart w:id="149" w:name="UpToHere"/>
      <w:bookmarkEnd w:id="149"/>
    </w:p>
    <w:p>
      <w:pPr>
        <w:pStyle w:val="nHeading2"/>
      </w:pPr>
      <w:bookmarkStart w:id="150" w:name="_Toc86727094"/>
      <w:bookmarkStart w:id="151" w:name="_Toc86727399"/>
      <w:bookmarkStart w:id="152" w:name="_Toc86734598"/>
      <w:bookmarkStart w:id="153" w:name="_Toc94073871"/>
      <w:bookmarkStart w:id="154" w:name="_Toc94408681"/>
      <w:bookmarkStart w:id="155" w:name="_Toc118519388"/>
      <w:bookmarkStart w:id="156" w:name="_Toc118616302"/>
      <w:bookmarkStart w:id="157" w:name="_Toc119464661"/>
      <w:bookmarkStart w:id="158" w:name="_Toc119464805"/>
      <w:bookmarkStart w:id="159" w:name="_Toc119466410"/>
      <w:r>
        <w:t>Notes</w:t>
      </w:r>
      <w:bookmarkEnd w:id="150"/>
      <w:bookmarkEnd w:id="151"/>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Workers’ Compensation and Injury Management (Scales of Fees)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160" w:name="_Toc36356143"/>
      <w:bookmarkStart w:id="161" w:name="_Toc86727095"/>
      <w:bookmarkStart w:id="162" w:name="_Toc94408682"/>
      <w:bookmarkStart w:id="163" w:name="_Toc119464662"/>
      <w:bookmarkStart w:id="164" w:name="_Toc119466411"/>
      <w:r>
        <w:t>Compilation table</w:t>
      </w:r>
      <w:bookmarkEnd w:id="160"/>
      <w:bookmarkEnd w:id="161"/>
      <w:bookmarkEnd w:id="162"/>
      <w:bookmarkEnd w:id="163"/>
      <w:bookmarkEnd w:id="16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iCs/>
                <w:sz w:val="19"/>
              </w:rPr>
            </w:pPr>
            <w:r>
              <w:rPr>
                <w:i/>
                <w:sz w:val="19"/>
              </w:rPr>
              <w:t>Workers’ Compensation and Rehabilitation (Scales of Fees) Regulations 1998</w:t>
            </w:r>
            <w:r>
              <w:rPr>
                <w:iCs/>
                <w:sz w:val="19"/>
                <w:vertAlign w:val="superscript"/>
              </w:rPr>
              <w:t> 2</w:t>
            </w:r>
          </w:p>
        </w:tc>
        <w:tc>
          <w:tcPr>
            <w:tcW w:w="1276" w:type="dxa"/>
          </w:tcPr>
          <w:p>
            <w:pPr>
              <w:pStyle w:val="nTable"/>
              <w:spacing w:before="120"/>
              <w:rPr>
                <w:sz w:val="19"/>
              </w:rPr>
            </w:pPr>
            <w:r>
              <w:rPr>
                <w:sz w:val="19"/>
              </w:rPr>
              <w:t>13 Oct 1998 p. 5709</w:t>
            </w:r>
            <w:r>
              <w:rPr>
                <w:sz w:val="19"/>
              </w:rPr>
              <w:noBreakHyphen/>
              <w:t>25</w:t>
            </w:r>
          </w:p>
        </w:tc>
        <w:tc>
          <w:tcPr>
            <w:tcW w:w="2693" w:type="dxa"/>
          </w:tcPr>
          <w:p>
            <w:pPr>
              <w:pStyle w:val="nTable"/>
              <w:spacing w:before="120"/>
              <w:rPr>
                <w:sz w:val="19"/>
              </w:rPr>
            </w:pPr>
            <w:r>
              <w:rPr>
                <w:sz w:val="19"/>
              </w:rPr>
              <w:t>13 Oct 1998</w:t>
            </w:r>
          </w:p>
        </w:tc>
      </w:tr>
      <w:tr>
        <w:trPr>
          <w:cantSplit/>
        </w:trPr>
        <w:tc>
          <w:tcPr>
            <w:tcW w:w="3119" w:type="dxa"/>
          </w:tcPr>
          <w:p>
            <w:pPr>
              <w:pStyle w:val="nTable"/>
              <w:spacing w:before="120"/>
              <w:ind w:right="113"/>
              <w:rPr>
                <w:i/>
                <w:sz w:val="19"/>
              </w:rPr>
            </w:pPr>
            <w:r>
              <w:rPr>
                <w:i/>
                <w:sz w:val="19"/>
              </w:rPr>
              <w:t>Workers’ Compensation and Rehabilitation (Scales of Fees) Amendment Regulations 1999</w:t>
            </w:r>
          </w:p>
        </w:tc>
        <w:tc>
          <w:tcPr>
            <w:tcW w:w="1276" w:type="dxa"/>
          </w:tcPr>
          <w:p>
            <w:pPr>
              <w:pStyle w:val="nTable"/>
              <w:spacing w:before="120"/>
              <w:rPr>
                <w:sz w:val="19"/>
              </w:rPr>
            </w:pPr>
            <w:r>
              <w:rPr>
                <w:sz w:val="19"/>
              </w:rPr>
              <w:t>20 Jul 1999 p. 3249</w:t>
            </w:r>
            <w:r>
              <w:rPr>
                <w:sz w:val="19"/>
              </w:rPr>
              <w:noBreakHyphen/>
              <w:t>77</w:t>
            </w:r>
          </w:p>
        </w:tc>
        <w:tc>
          <w:tcPr>
            <w:tcW w:w="2693" w:type="dxa"/>
          </w:tcPr>
          <w:p>
            <w:pPr>
              <w:pStyle w:val="nTable"/>
              <w:spacing w:before="120"/>
              <w:rPr>
                <w:sz w:val="19"/>
              </w:rPr>
            </w:pPr>
            <w:r>
              <w:rPr>
                <w:sz w:val="19"/>
              </w:rPr>
              <w:t>20 Jul 1999</w:t>
            </w:r>
          </w:p>
        </w:tc>
      </w:tr>
      <w:tr>
        <w:trPr>
          <w:cantSplit/>
        </w:trPr>
        <w:tc>
          <w:tcPr>
            <w:tcW w:w="3119" w:type="dxa"/>
          </w:tcPr>
          <w:p>
            <w:pPr>
              <w:pStyle w:val="nTable"/>
              <w:spacing w:before="120"/>
              <w:ind w:right="113"/>
              <w:rPr>
                <w:sz w:val="19"/>
              </w:rPr>
            </w:pPr>
            <w:r>
              <w:rPr>
                <w:i/>
                <w:sz w:val="19"/>
              </w:rPr>
              <w:t>Workers’ Compensation and Rehabilitation (Scales of Fees) Amendment Regulations (No. 2) 1999</w:t>
            </w:r>
          </w:p>
        </w:tc>
        <w:tc>
          <w:tcPr>
            <w:tcW w:w="1276" w:type="dxa"/>
          </w:tcPr>
          <w:p>
            <w:pPr>
              <w:pStyle w:val="nTable"/>
              <w:spacing w:before="120"/>
              <w:rPr>
                <w:sz w:val="19"/>
              </w:rPr>
            </w:pPr>
            <w:r>
              <w:rPr>
                <w:sz w:val="19"/>
              </w:rPr>
              <w:t>31 Aug 1999 p. 4244</w:t>
            </w:r>
            <w:r>
              <w:rPr>
                <w:sz w:val="19"/>
              </w:rPr>
              <w:noBreakHyphen/>
              <w:t>5</w:t>
            </w:r>
          </w:p>
        </w:tc>
        <w:tc>
          <w:tcPr>
            <w:tcW w:w="2693" w:type="dxa"/>
          </w:tcPr>
          <w:p>
            <w:pPr>
              <w:pStyle w:val="nTable"/>
              <w:spacing w:before="120"/>
              <w:rPr>
                <w:sz w:val="19"/>
              </w:rPr>
            </w:pPr>
            <w:r>
              <w:rPr>
                <w:sz w:val="19"/>
              </w:rPr>
              <w:t>31 Aug 1999</w:t>
            </w:r>
          </w:p>
        </w:tc>
      </w:tr>
      <w:tr>
        <w:trPr>
          <w:cantSplit/>
        </w:trPr>
        <w:tc>
          <w:tcPr>
            <w:tcW w:w="3119" w:type="dxa"/>
          </w:tcPr>
          <w:p>
            <w:pPr>
              <w:pStyle w:val="nTable"/>
              <w:spacing w:before="120"/>
              <w:ind w:right="113"/>
              <w:rPr>
                <w:sz w:val="19"/>
              </w:rPr>
            </w:pPr>
            <w:r>
              <w:rPr>
                <w:i/>
                <w:sz w:val="19"/>
              </w:rPr>
              <w:t>Workers’ Compensation and Rehabilitation (Scales of Fees) Amendment Regulations 2000</w:t>
            </w:r>
            <w:r>
              <w:rPr>
                <w:sz w:val="19"/>
              </w:rPr>
              <w:br/>
            </w:r>
          </w:p>
        </w:tc>
        <w:tc>
          <w:tcPr>
            <w:tcW w:w="1276" w:type="dxa"/>
          </w:tcPr>
          <w:p>
            <w:pPr>
              <w:pStyle w:val="nTable"/>
              <w:spacing w:before="120"/>
              <w:rPr>
                <w:sz w:val="19"/>
              </w:rPr>
            </w:pPr>
            <w:r>
              <w:rPr>
                <w:sz w:val="19"/>
              </w:rPr>
              <w:t>21 Dec 2000 p. 7623</w:t>
            </w:r>
            <w:r>
              <w:rPr>
                <w:sz w:val="19"/>
              </w:rPr>
              <w:noBreakHyphen/>
              <w:t>51</w:t>
            </w:r>
            <w:r>
              <w:rPr>
                <w:sz w:val="19"/>
              </w:rPr>
              <w:br/>
              <w:t>(Printers correction 6 Feb 2001 p. 743)</w:t>
            </w:r>
          </w:p>
        </w:tc>
        <w:tc>
          <w:tcPr>
            <w:tcW w:w="2693" w:type="dxa"/>
          </w:tcPr>
          <w:p>
            <w:pPr>
              <w:pStyle w:val="nTable"/>
              <w:spacing w:before="120"/>
              <w:rPr>
                <w:sz w:val="19"/>
              </w:rPr>
            </w:pPr>
            <w:r>
              <w:rPr>
                <w:sz w:val="19"/>
              </w:rPr>
              <w:t>21 Dec 2000</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2001</w:t>
            </w:r>
          </w:p>
        </w:tc>
        <w:tc>
          <w:tcPr>
            <w:tcW w:w="1276" w:type="dxa"/>
          </w:tcPr>
          <w:p>
            <w:pPr>
              <w:pStyle w:val="nTable"/>
              <w:spacing w:before="120"/>
              <w:rPr>
                <w:sz w:val="19"/>
              </w:rPr>
            </w:pPr>
            <w:r>
              <w:rPr>
                <w:sz w:val="19"/>
              </w:rPr>
              <w:t>14 Dec 2001 p. 6416</w:t>
            </w:r>
            <w:r>
              <w:rPr>
                <w:sz w:val="19"/>
              </w:rPr>
              <w:noBreakHyphen/>
              <w:t>17</w:t>
            </w:r>
          </w:p>
        </w:tc>
        <w:tc>
          <w:tcPr>
            <w:tcW w:w="2693" w:type="dxa"/>
          </w:tcPr>
          <w:p>
            <w:pPr>
              <w:pStyle w:val="nTable"/>
              <w:spacing w:before="120"/>
              <w:rPr>
                <w:sz w:val="19"/>
              </w:rPr>
            </w:pPr>
            <w:r>
              <w:rPr>
                <w:sz w:val="19"/>
              </w:rPr>
              <w:t>14 Dec 2001</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2001</w:t>
            </w:r>
          </w:p>
        </w:tc>
        <w:tc>
          <w:tcPr>
            <w:tcW w:w="1276" w:type="dxa"/>
          </w:tcPr>
          <w:p>
            <w:pPr>
              <w:pStyle w:val="nTable"/>
              <w:spacing w:before="120"/>
              <w:rPr>
                <w:sz w:val="19"/>
              </w:rPr>
            </w:pPr>
            <w:r>
              <w:rPr>
                <w:sz w:val="19"/>
              </w:rPr>
              <w:t>28 Dec 2001 p. 6691</w:t>
            </w:r>
            <w:r>
              <w:rPr>
                <w:sz w:val="19"/>
              </w:rPr>
              <w:noBreakHyphen/>
              <w:t>710</w:t>
            </w:r>
          </w:p>
        </w:tc>
        <w:tc>
          <w:tcPr>
            <w:tcW w:w="2693" w:type="dxa"/>
          </w:tcPr>
          <w:p>
            <w:pPr>
              <w:pStyle w:val="nTable"/>
              <w:spacing w:before="120"/>
              <w:rPr>
                <w:sz w:val="19"/>
              </w:rPr>
            </w:pPr>
            <w:r>
              <w:rPr>
                <w:sz w:val="19"/>
              </w:rPr>
              <w:t>28 Dec 2001</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2002</w:t>
            </w:r>
          </w:p>
        </w:tc>
        <w:tc>
          <w:tcPr>
            <w:tcW w:w="1276" w:type="dxa"/>
          </w:tcPr>
          <w:p>
            <w:pPr>
              <w:pStyle w:val="nTable"/>
              <w:spacing w:before="120"/>
              <w:rPr>
                <w:sz w:val="19"/>
              </w:rPr>
            </w:pPr>
            <w:r>
              <w:rPr>
                <w:sz w:val="19"/>
              </w:rPr>
              <w:t>21 May 2002 p. 2593-4</w:t>
            </w:r>
          </w:p>
        </w:tc>
        <w:tc>
          <w:tcPr>
            <w:tcW w:w="2693" w:type="dxa"/>
          </w:tcPr>
          <w:p>
            <w:pPr>
              <w:pStyle w:val="nTable"/>
              <w:spacing w:before="120"/>
              <w:rPr>
                <w:sz w:val="19"/>
              </w:rPr>
            </w:pPr>
            <w:r>
              <w:rPr>
                <w:sz w:val="19"/>
              </w:rPr>
              <w:t>21 May 2002</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2002</w:t>
            </w:r>
          </w:p>
        </w:tc>
        <w:tc>
          <w:tcPr>
            <w:tcW w:w="1276" w:type="dxa"/>
          </w:tcPr>
          <w:p>
            <w:pPr>
              <w:pStyle w:val="nTable"/>
              <w:spacing w:before="120"/>
              <w:rPr>
                <w:sz w:val="19"/>
              </w:rPr>
            </w:pPr>
            <w:r>
              <w:rPr>
                <w:sz w:val="19"/>
              </w:rPr>
              <w:t>10 Sep 2002 p. 4602-3</w:t>
            </w:r>
          </w:p>
        </w:tc>
        <w:tc>
          <w:tcPr>
            <w:tcW w:w="2693" w:type="dxa"/>
          </w:tcPr>
          <w:p>
            <w:pPr>
              <w:pStyle w:val="nTable"/>
              <w:spacing w:before="120"/>
              <w:rPr>
                <w:sz w:val="19"/>
              </w:rPr>
            </w:pPr>
            <w:r>
              <w:rPr>
                <w:sz w:val="19"/>
              </w:rPr>
              <w:t>10 Sep 2002</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2003</w:t>
            </w:r>
          </w:p>
        </w:tc>
        <w:tc>
          <w:tcPr>
            <w:tcW w:w="1276" w:type="dxa"/>
          </w:tcPr>
          <w:p>
            <w:pPr>
              <w:pStyle w:val="nTable"/>
              <w:spacing w:before="120"/>
              <w:rPr>
                <w:sz w:val="19"/>
              </w:rPr>
            </w:pPr>
            <w:r>
              <w:rPr>
                <w:sz w:val="19"/>
              </w:rPr>
              <w:t>7 Mar 2003 p. 741-2</w:t>
            </w:r>
          </w:p>
        </w:tc>
        <w:tc>
          <w:tcPr>
            <w:tcW w:w="2693" w:type="dxa"/>
          </w:tcPr>
          <w:p>
            <w:pPr>
              <w:pStyle w:val="nTable"/>
              <w:spacing w:before="120"/>
              <w:rPr>
                <w:sz w:val="19"/>
              </w:rPr>
            </w:pPr>
            <w:r>
              <w:rPr>
                <w:sz w:val="19"/>
              </w:rPr>
              <w:t>7 Mar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2003</w:t>
            </w:r>
          </w:p>
        </w:tc>
        <w:tc>
          <w:tcPr>
            <w:tcW w:w="1276" w:type="dxa"/>
          </w:tcPr>
          <w:p>
            <w:pPr>
              <w:pStyle w:val="nTable"/>
              <w:spacing w:before="120"/>
              <w:rPr>
                <w:sz w:val="19"/>
              </w:rPr>
            </w:pPr>
            <w:r>
              <w:rPr>
                <w:sz w:val="19"/>
              </w:rPr>
              <w:t>25 Mar 2003 p. 922-3</w:t>
            </w:r>
          </w:p>
        </w:tc>
        <w:tc>
          <w:tcPr>
            <w:tcW w:w="2693" w:type="dxa"/>
          </w:tcPr>
          <w:p>
            <w:pPr>
              <w:pStyle w:val="nTable"/>
              <w:spacing w:before="120"/>
              <w:rPr>
                <w:sz w:val="19"/>
              </w:rPr>
            </w:pPr>
            <w:r>
              <w:rPr>
                <w:sz w:val="19"/>
              </w:rPr>
              <w:t>25 Mar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3) 2003</w:t>
            </w:r>
          </w:p>
        </w:tc>
        <w:tc>
          <w:tcPr>
            <w:tcW w:w="1276" w:type="dxa"/>
          </w:tcPr>
          <w:p>
            <w:pPr>
              <w:pStyle w:val="nTable"/>
              <w:spacing w:before="120"/>
              <w:rPr>
                <w:sz w:val="19"/>
              </w:rPr>
            </w:pPr>
            <w:r>
              <w:rPr>
                <w:sz w:val="19"/>
              </w:rPr>
              <w:t>9 May 2003 p. 1626</w:t>
            </w:r>
          </w:p>
        </w:tc>
        <w:tc>
          <w:tcPr>
            <w:tcW w:w="2693" w:type="dxa"/>
          </w:tcPr>
          <w:p>
            <w:pPr>
              <w:pStyle w:val="nTable"/>
              <w:spacing w:before="120"/>
              <w:rPr>
                <w:sz w:val="19"/>
              </w:rPr>
            </w:pPr>
            <w:r>
              <w:rPr>
                <w:sz w:val="19"/>
              </w:rPr>
              <w:t>9 May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4) 2003</w:t>
            </w:r>
          </w:p>
        </w:tc>
        <w:tc>
          <w:tcPr>
            <w:tcW w:w="1276" w:type="dxa"/>
          </w:tcPr>
          <w:p>
            <w:pPr>
              <w:pStyle w:val="nTable"/>
              <w:spacing w:before="120"/>
              <w:rPr>
                <w:sz w:val="19"/>
              </w:rPr>
            </w:pPr>
            <w:r>
              <w:rPr>
                <w:sz w:val="19"/>
              </w:rPr>
              <w:t>12 Sep 2003 p. 4081-2</w:t>
            </w:r>
          </w:p>
        </w:tc>
        <w:tc>
          <w:tcPr>
            <w:tcW w:w="2693" w:type="dxa"/>
          </w:tcPr>
          <w:p>
            <w:pPr>
              <w:pStyle w:val="nTable"/>
              <w:spacing w:before="120"/>
              <w:rPr>
                <w:sz w:val="19"/>
              </w:rPr>
            </w:pPr>
            <w:r>
              <w:rPr>
                <w:sz w:val="19"/>
              </w:rPr>
              <w:t>12 Sep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5) 2003</w:t>
            </w:r>
          </w:p>
        </w:tc>
        <w:tc>
          <w:tcPr>
            <w:tcW w:w="1276" w:type="dxa"/>
          </w:tcPr>
          <w:p>
            <w:pPr>
              <w:pStyle w:val="nTable"/>
              <w:spacing w:before="120"/>
              <w:rPr>
                <w:sz w:val="19"/>
              </w:rPr>
            </w:pPr>
            <w:r>
              <w:rPr>
                <w:sz w:val="19"/>
              </w:rPr>
              <w:t>23 Sep 2003 p. 4173-86</w:t>
            </w:r>
          </w:p>
        </w:tc>
        <w:tc>
          <w:tcPr>
            <w:tcW w:w="2693" w:type="dxa"/>
          </w:tcPr>
          <w:p>
            <w:pPr>
              <w:pStyle w:val="nTable"/>
              <w:spacing w:before="120"/>
              <w:rPr>
                <w:sz w:val="19"/>
              </w:rPr>
            </w:pPr>
            <w:r>
              <w:rPr>
                <w:sz w:val="19"/>
              </w:rPr>
              <w:t>23 Sep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6) 2003</w:t>
            </w:r>
          </w:p>
        </w:tc>
        <w:tc>
          <w:tcPr>
            <w:tcW w:w="1276" w:type="dxa"/>
          </w:tcPr>
          <w:p>
            <w:pPr>
              <w:pStyle w:val="nTable"/>
              <w:spacing w:before="120"/>
              <w:rPr>
                <w:sz w:val="19"/>
              </w:rPr>
            </w:pPr>
            <w:r>
              <w:rPr>
                <w:sz w:val="19"/>
              </w:rPr>
              <w:t>9 Jan 2004 p. 98</w:t>
            </w:r>
            <w:r>
              <w:rPr>
                <w:sz w:val="19"/>
              </w:rPr>
              <w:noBreakHyphen/>
              <w:t>100</w:t>
            </w:r>
          </w:p>
        </w:tc>
        <w:tc>
          <w:tcPr>
            <w:tcW w:w="2693" w:type="dxa"/>
          </w:tcPr>
          <w:p>
            <w:pPr>
              <w:pStyle w:val="nTable"/>
              <w:spacing w:before="120"/>
              <w:rPr>
                <w:sz w:val="19"/>
              </w:rPr>
            </w:pPr>
            <w:r>
              <w:rPr>
                <w:sz w:val="19"/>
              </w:rPr>
              <w:t>9 Jan 2004</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2004</w:t>
            </w:r>
          </w:p>
        </w:tc>
        <w:tc>
          <w:tcPr>
            <w:tcW w:w="1276" w:type="dxa"/>
          </w:tcPr>
          <w:p>
            <w:pPr>
              <w:pStyle w:val="nTable"/>
              <w:spacing w:before="120"/>
              <w:rPr>
                <w:sz w:val="19"/>
              </w:rPr>
            </w:pPr>
            <w:r>
              <w:rPr>
                <w:sz w:val="19"/>
              </w:rPr>
              <w:t>19 Mar 2004 p. 861</w:t>
            </w:r>
            <w:r>
              <w:rPr>
                <w:sz w:val="19"/>
              </w:rPr>
              <w:noBreakHyphen/>
              <w:t>910</w:t>
            </w:r>
          </w:p>
        </w:tc>
        <w:tc>
          <w:tcPr>
            <w:tcW w:w="2693" w:type="dxa"/>
          </w:tcPr>
          <w:p>
            <w:pPr>
              <w:pStyle w:val="nTable"/>
              <w:spacing w:before="120"/>
              <w:rPr>
                <w:sz w:val="19"/>
              </w:rPr>
            </w:pPr>
            <w:r>
              <w:rPr>
                <w:sz w:val="19"/>
              </w:rPr>
              <w:t xml:space="preserve">19 Mar 2004 </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2004</w:t>
            </w:r>
          </w:p>
        </w:tc>
        <w:tc>
          <w:tcPr>
            <w:tcW w:w="1276" w:type="dxa"/>
          </w:tcPr>
          <w:p>
            <w:pPr>
              <w:pStyle w:val="nTable"/>
              <w:spacing w:before="120"/>
              <w:rPr>
                <w:sz w:val="19"/>
              </w:rPr>
            </w:pPr>
            <w:r>
              <w:rPr>
                <w:sz w:val="19"/>
              </w:rPr>
              <w:t>29 Oct 2004 p. 4940</w:t>
            </w:r>
            <w:r>
              <w:rPr>
                <w:sz w:val="19"/>
              </w:rPr>
              <w:noBreakHyphen/>
              <w:t>2</w:t>
            </w:r>
          </w:p>
        </w:tc>
        <w:tc>
          <w:tcPr>
            <w:tcW w:w="2693" w:type="dxa"/>
          </w:tcPr>
          <w:p>
            <w:pPr>
              <w:pStyle w:val="nTable"/>
              <w:spacing w:before="120"/>
              <w:rPr>
                <w:sz w:val="19"/>
              </w:rPr>
            </w:pPr>
            <w:r>
              <w:rPr>
                <w:sz w:val="19"/>
              </w:rPr>
              <w:t>29 Oct 2004</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2005</w:t>
            </w:r>
          </w:p>
        </w:tc>
        <w:tc>
          <w:tcPr>
            <w:tcW w:w="1276" w:type="dxa"/>
          </w:tcPr>
          <w:p>
            <w:pPr>
              <w:pStyle w:val="nTable"/>
              <w:spacing w:before="120"/>
              <w:rPr>
                <w:sz w:val="19"/>
              </w:rPr>
            </w:pPr>
            <w:r>
              <w:rPr>
                <w:sz w:val="19"/>
              </w:rPr>
              <w:t>21 Jan 2005 p. 278</w:t>
            </w:r>
            <w:r>
              <w:rPr>
                <w:sz w:val="19"/>
              </w:rPr>
              <w:noBreakHyphen/>
              <w:t>86</w:t>
            </w:r>
          </w:p>
        </w:tc>
        <w:tc>
          <w:tcPr>
            <w:tcW w:w="2693" w:type="dxa"/>
          </w:tcPr>
          <w:p>
            <w:pPr>
              <w:pStyle w:val="nTable"/>
              <w:spacing w:before="120"/>
              <w:rPr>
                <w:sz w:val="19"/>
              </w:rPr>
            </w:pPr>
            <w:r>
              <w:rPr>
                <w:sz w:val="19"/>
              </w:rPr>
              <w:t>21 Jan 2005</w:t>
            </w:r>
          </w:p>
        </w:tc>
      </w:tr>
      <w:tr>
        <w:trPr>
          <w:cantSplit/>
        </w:trPr>
        <w:tc>
          <w:tcPr>
            <w:tcW w:w="3119" w:type="dxa"/>
          </w:tcPr>
          <w:p>
            <w:pPr>
              <w:pStyle w:val="nTable"/>
              <w:spacing w:before="120"/>
              <w:ind w:right="113"/>
              <w:rPr>
                <w:iCs/>
                <w:sz w:val="19"/>
              </w:rPr>
            </w:pPr>
            <w:r>
              <w:rPr>
                <w:i/>
                <w:sz w:val="19"/>
              </w:rPr>
              <w:t>Workers’ Compensation and Rehabilitation (Scales of Fees) Amendment Regulations (No. 2) 2005</w:t>
            </w:r>
          </w:p>
        </w:tc>
        <w:tc>
          <w:tcPr>
            <w:tcW w:w="1276" w:type="dxa"/>
          </w:tcPr>
          <w:p>
            <w:pPr>
              <w:pStyle w:val="nTable"/>
              <w:spacing w:before="120"/>
              <w:rPr>
                <w:sz w:val="19"/>
              </w:rPr>
            </w:pPr>
            <w:r>
              <w:rPr>
                <w:sz w:val="19"/>
              </w:rPr>
              <w:t>1 Nov 2005 p. 4976-84</w:t>
            </w:r>
          </w:p>
        </w:tc>
        <w:tc>
          <w:tcPr>
            <w:tcW w:w="2693" w:type="dxa"/>
          </w:tcPr>
          <w:p>
            <w:pPr>
              <w:pStyle w:val="nTable"/>
              <w:spacing w:before="120"/>
              <w:rPr>
                <w:sz w:val="19"/>
              </w:rPr>
            </w:pPr>
            <w:r>
              <w:rPr>
                <w:sz w:val="19"/>
              </w:rPr>
              <w:t>1 Nov 2005</w:t>
            </w:r>
          </w:p>
        </w:tc>
      </w:tr>
      <w:tr>
        <w:trPr>
          <w:cantSplit/>
        </w:trPr>
        <w:tc>
          <w:tcPr>
            <w:tcW w:w="3119" w:type="dxa"/>
            <w:tcBorders>
              <w:bottom w:val="single" w:sz="4" w:space="0" w:color="auto"/>
            </w:tcBorders>
          </w:tcPr>
          <w:p>
            <w:pPr>
              <w:pStyle w:val="nTable"/>
              <w:spacing w:before="120"/>
              <w:ind w:right="113"/>
              <w:rPr>
                <w:i/>
                <w:sz w:val="19"/>
              </w:rPr>
            </w:pPr>
            <w:r>
              <w:rPr>
                <w:i/>
                <w:sz w:val="19"/>
              </w:rPr>
              <w:t>Workers’ Compensation and Injury Management (Scale of Fees) Amendment Regulations (No. 3) 2005</w:t>
            </w:r>
          </w:p>
        </w:tc>
        <w:tc>
          <w:tcPr>
            <w:tcW w:w="1276" w:type="dxa"/>
            <w:tcBorders>
              <w:bottom w:val="single" w:sz="4" w:space="0" w:color="auto"/>
            </w:tcBorders>
          </w:tcPr>
          <w:p>
            <w:pPr>
              <w:pStyle w:val="nTable"/>
              <w:spacing w:before="120"/>
              <w:rPr>
                <w:sz w:val="19"/>
              </w:rPr>
            </w:pPr>
            <w:r>
              <w:rPr>
                <w:sz w:val="19"/>
              </w:rPr>
              <w:t>11 Nov 2005 p. 5567-70</w:t>
            </w:r>
          </w:p>
        </w:tc>
        <w:tc>
          <w:tcPr>
            <w:tcW w:w="2693" w:type="dxa"/>
            <w:tcBorders>
              <w:bottom w:val="single" w:sz="4" w:space="0" w:color="auto"/>
            </w:tcBorders>
          </w:tcPr>
          <w:p>
            <w:pPr>
              <w:pStyle w:val="nTable"/>
              <w:spacing w:before="120"/>
              <w:rPr>
                <w:sz w:val="19"/>
              </w:rPr>
            </w:pPr>
            <w:r>
              <w:rPr>
                <w:sz w:val="19"/>
              </w:rPr>
              <w:t xml:space="preserve">14 Nov 2005 (see r. 2 and </w:t>
            </w:r>
            <w:r>
              <w:rPr>
                <w:i/>
                <w:sz w:val="19"/>
              </w:rPr>
              <w:t>Gazette</w:t>
            </w:r>
            <w:r>
              <w:rPr>
                <w:sz w:val="19"/>
              </w:rPr>
              <w:t xml:space="preserve"> 31 Dec 2004 p. 7131 and 17 Jun 2005 p. 2657 </w:t>
            </w:r>
          </w:p>
        </w:tc>
      </w:tr>
    </w:tbl>
    <w:p>
      <w:pPr>
        <w:pStyle w:val="nSubsection"/>
      </w:pPr>
      <w:r>
        <w:rPr>
          <w:vertAlign w:val="superscript"/>
        </w:rPr>
        <w:t>2</w:t>
      </w:r>
      <w:r>
        <w:tab/>
        <w:t xml:space="preserve">Now known as the </w:t>
      </w:r>
      <w:r>
        <w:rPr>
          <w:i/>
        </w:rPr>
        <w:t>Workers’ Compensation and Injury Management (Scales of Fees) Regulations 1998</w:t>
      </w:r>
      <w:r>
        <w:t>; short title changed</w:t>
      </w:r>
      <w:r>
        <w:rPr>
          <w:i/>
        </w:rPr>
        <w:t xml:space="preserve"> </w:t>
      </w:r>
      <w:r>
        <w:t>(see note under s.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305"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12" w:type="dxa"/>
          <w:gridSpan w:val="2"/>
        </w:tcPr>
        <w:p>
          <w:pPr>
            <w:pStyle w:val="HeaderSectionRigh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64"/>
    </w:tblGrid>
    <w:tr>
      <w:trPr>
        <w:cantSplit/>
      </w:trPr>
      <w:tc>
        <w:tcPr>
          <w:tcW w:w="7312" w:type="dxa"/>
          <w:gridSpan w:val="3"/>
        </w:tcPr>
        <w:p>
          <w:pPr>
            <w:pStyle w:val="HeaderActNameLeft"/>
            <w:ind w:right="364"/>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gridSpan w:val="2"/>
        </w:tcPr>
        <w:p>
          <w:pPr>
            <w:pStyle w:val="HeaderNumberLeft"/>
          </w:pPr>
        </w:p>
      </w:tc>
      <w:tc>
        <w:tcPr>
          <w:tcW w:w="5764" w:type="dxa"/>
        </w:tcPr>
        <w:p>
          <w:pPr>
            <w:pStyle w:val="HeaderTextLeft"/>
          </w:pPr>
        </w:p>
      </w:tc>
    </w:tr>
    <w:tr>
      <w:tc>
        <w:tcPr>
          <w:tcW w:w="1548" w:type="dxa"/>
          <w:gridSpan w:val="2"/>
        </w:tcPr>
        <w:p>
          <w:pPr>
            <w:pStyle w:val="HeaderNumberLeft"/>
          </w:pPr>
        </w:p>
      </w:tc>
      <w:tc>
        <w:tcPr>
          <w:tcW w:w="5764" w:type="dxa"/>
        </w:tcPr>
        <w:p>
          <w:pPr>
            <w:pStyle w:val="HeaderTextLeft"/>
          </w:pPr>
        </w:p>
      </w:tc>
    </w:tr>
    <w:tr>
      <w:trPr>
        <w:cantSplit/>
      </w:trPr>
      <w:tc>
        <w:tcPr>
          <w:tcW w:w="1490" w:type="dxa"/>
        </w:tcPr>
        <w:p>
          <w:pPr>
            <w:pStyle w:val="HeaderSection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822" w:type="dxa"/>
          <w:gridSpan w:val="2"/>
        </w:tcPr>
        <w:p>
          <w:pPr>
            <w:pStyle w:val="HeaderSectionLeft"/>
            <w:rPr>
              <w:b w:val="0"/>
            </w:rPr>
          </w:pPr>
          <w:r>
            <w:fldChar w:fldCharType="begin"/>
          </w:r>
          <w:r>
            <w:instrText xml:space="preserve"> 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left="284" w:right="17"/>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54E8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14899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50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8A53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3E4F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A08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EE7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B210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C08598"/>
    <w:lvl w:ilvl="0">
      <w:start w:val="1"/>
      <w:numFmt w:val="decimal"/>
      <w:pStyle w:val="ListNumber"/>
      <w:lvlText w:val="%1."/>
      <w:lvlJc w:val="left"/>
      <w:pPr>
        <w:tabs>
          <w:tab w:val="num" w:pos="360"/>
        </w:tabs>
        <w:ind w:left="360" w:hanging="360"/>
      </w:pPr>
    </w:lvl>
  </w:abstractNum>
  <w:abstractNum w:abstractNumId="9">
    <w:nsid w:val="FFFFFF89"/>
    <w:multiLevelType w:val="singleLevel"/>
    <w:tmpl w:val="B12A3A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D44212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3C3412"/>
    <w:multiLevelType w:val="multilevel"/>
    <w:tmpl w:val="039CB68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53DA6D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5DE1D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682E6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3"/>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217"/>
    <w:docVar w:name="WAFER_20151216150217" w:val="RemoveTrackChanges"/>
    <w:docVar w:name="WAFER_20151216150217_GUID" w:val="2b944462-beb5-48ff-9d3f-30c9d31759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10494</Words>
  <Characters>57194</Characters>
  <Application>Microsoft Office Word</Application>
  <DocSecurity>0</DocSecurity>
  <Lines>4766</Lines>
  <Paragraphs>3223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1998 - 01-l0-03</dc:title>
  <dc:subject/>
  <dc:creator/>
  <cp:keywords/>
  <dc:description/>
  <cp:lastModifiedBy>svcMRProcess</cp:lastModifiedBy>
  <cp:revision>4</cp:revision>
  <cp:lastPrinted>2002-06-11T02:27:00Z</cp:lastPrinted>
  <dcterms:created xsi:type="dcterms:W3CDTF">2018-09-17T00:33:00Z</dcterms:created>
  <dcterms:modified xsi:type="dcterms:W3CDTF">2018-09-17T00:33:00Z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20051114</vt:lpwstr>
  </property>
  <property fmtid="{D5CDD505-2E9C-101B-9397-08002B2CF9AE}" pid="4" name="DocumentType">
    <vt:lpwstr>Reg</vt:lpwstr>
  </property>
  <property fmtid="{D5CDD505-2E9C-101B-9397-08002B2CF9AE}" pid="5" name="OwlsUID">
    <vt:i4>101</vt:i4>
  </property>
  <property fmtid="{D5CDD505-2E9C-101B-9397-08002B2CF9AE}" pid="6" name="AsAtDate">
    <vt:lpwstr>14 Nov 2005</vt:lpwstr>
  </property>
  <property fmtid="{D5CDD505-2E9C-101B-9397-08002B2CF9AE}" pid="7" name="Suffix">
    <vt:lpwstr>01-l0-03</vt:lpwstr>
  </property>
</Properties>
</file>