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3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>
      <w:pPr>
        <w:pStyle w:val="WA"/>
      </w:pP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66" name="Picture 66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PrincipalActRegPage1"/>
      </w:pPr>
      <w:r>
        <w:fldChar w:fldCharType="begin"/>
      </w:r>
      <w:r>
        <w:instrText xml:space="preserve"> STYLEREF "PrincipalAct_Reg"</w:instrText>
      </w:r>
      <w:r>
        <w:fldChar w:fldCharType="separate"/>
      </w:r>
      <w:r>
        <w:rPr>
          <w:noProof/>
        </w:rPr>
        <w:t>Waste Avoidance and Resource Recovery Act 2007</w:t>
      </w:r>
      <w:r>
        <w:fldChar w:fldCharType="end"/>
      </w:r>
    </w:p>
    <w:p>
      <w:pPr>
        <w:pStyle w:val="NameofActRegPage1"/>
        <w:spacing w:before="1800" w:after="20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Waste Avoidance and Resource Recovery (e-waste) Regulations 2024</w:t>
      </w:r>
      <w:r>
        <w:fldChar w:fldCharType="end"/>
      </w:r>
    </w:p>
    <w:p/>
    <w:p>
      <w:pPr>
        <w:jc w:val="center"/>
        <w:sectPr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7" w:h="16840" w:code="9"/>
          <w:pgMar w:top="2376" w:right="2405" w:bottom="3542" w:left="2405" w:header="706" w:footer="3544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  <w:outlineLvl w:val="0"/>
      </w:pPr>
      <w:r>
        <w:lastRenderedPageBreak/>
        <w:t>Western Australia</w:t>
      </w:r>
    </w:p>
    <w:p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Waste Avoidance and Resource Recovery (e-waste) Regulations 2024</w:t>
      </w:r>
      <w:r>
        <w:fldChar w:fldCharType="end"/>
      </w:r>
    </w:p>
    <w:p>
      <w:pPr>
        <w:pStyle w:val="Arrangement"/>
      </w:pPr>
      <w:r>
        <w:t>Contents</w:t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fldChar w:fldCharType="begin"/>
      </w:r>
      <w:r>
        <w:instrText xml:space="preserve"> TOC \t "Heading 2,2,yScheduleHeading,2,yHeading 2,2,zHeading 2,3,zyScheduleHeading,3,zyHeading 2,3,Heading 3,4,yHeading 3,4,zHeading 3,5,zyHeading 3,5,Heading 4,6,yHeading 4,6,zHeading 4,7,zyHeading 4,7,Heading 5,8,yHeading 5,8,zHeading 5,9,zyHeading 5,9" \t "nHeading 2,2,nHeading 3,8" \n "2-7" \w \* MERGEFORMAT </w:instrText>
      </w:r>
      <w:r>
        <w:fldChar w:fldCharType="separate"/>
      </w:r>
      <w:r>
        <w:t>Part 1 — Preliminary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1.</w:t>
      </w:r>
      <w:r>
        <w:tab/>
        <w:t>Citation</w:t>
      </w:r>
      <w:r>
        <w:tab/>
      </w:r>
      <w:r>
        <w:fldChar w:fldCharType="begin"/>
      </w:r>
      <w:r>
        <w:instrText xml:space="preserve"> PAGEREF _Toc165445783 \h </w:instrText>
      </w:r>
      <w:r>
        <w:fldChar w:fldCharType="separate"/>
      </w:r>
      <w:r>
        <w:t>2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r>
        <w:tab/>
      </w:r>
      <w:r>
        <w:fldChar w:fldCharType="begin"/>
      </w:r>
      <w:r>
        <w:instrText xml:space="preserve"> PAGEREF _Toc165445784 \h </w:instrText>
      </w:r>
      <w:r>
        <w:fldChar w:fldCharType="separate"/>
      </w:r>
      <w:r>
        <w:t>2</w:t>
      </w:r>
      <w:r>
        <w:fldChar w:fldCharType="end"/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Notes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ab/>
        <w:t>Compilation table</w:t>
      </w:r>
      <w:r>
        <w:tab/>
      </w:r>
      <w:r>
        <w:fldChar w:fldCharType="begin"/>
      </w:r>
      <w:r>
        <w:instrText xml:space="preserve"> PAGEREF _Toc165445786 \h </w:instrText>
      </w:r>
      <w:r>
        <w:fldChar w:fldCharType="separate"/>
      </w:r>
      <w:r>
        <w:t>3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ab/>
        <w:t>Uncommenced provisions table</w:t>
      </w:r>
      <w:r>
        <w:tab/>
      </w:r>
      <w:r>
        <w:fldChar w:fldCharType="begin"/>
      </w:r>
      <w:r>
        <w:instrText xml:space="preserve"> PAGEREF _Toc165445787 \h </w:instrText>
      </w:r>
      <w:r>
        <w:fldChar w:fldCharType="separate"/>
      </w:r>
      <w:r>
        <w:t>3</w:t>
      </w:r>
      <w:r>
        <w:fldChar w:fldCharType="end"/>
      </w:r>
    </w:p>
    <w:p>
      <w:pPr>
        <w:pStyle w:val="NoteHeading"/>
      </w:pPr>
      <w:r>
        <w:fldChar w:fldCharType="end"/>
      </w: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>
      <w:pPr>
        <w:pStyle w:val="NoteHeading"/>
        <w:sectPr>
          <w:headerReference w:type="even" r:id="rId15"/>
          <w:headerReference w:type="default" r:id="rId16"/>
          <w:footerReference w:type="even" r:id="rId17"/>
          <w:footerReference w:type="default" r:id="rId18"/>
          <w:headerReference w:type="first" r:id="rId19"/>
          <w:footerReference w:type="first" r:id="rId20"/>
          <w:type w:val="oddPage"/>
          <w:pgSz w:w="11907" w:h="16840" w:code="9"/>
          <w:pgMar w:top="2381" w:right="2410" w:bottom="3544" w:left="2410" w:header="720" w:footer="3544" w:gutter="0"/>
          <w:pgNumType w:fmt="lowerRoman" w:start="1"/>
          <w:cols w:space="720"/>
          <w:noEndnote/>
          <w:titlePg/>
        </w:sectPr>
      </w:pPr>
    </w:p>
    <w:p>
      <w:pPr>
        <w:pStyle w:val="PrincipalActReg"/>
      </w:pPr>
      <w:r>
        <w:lastRenderedPageBreak/>
        <w:t>Waste Avoidance and Resource Recovery Act 2007</w:t>
      </w:r>
    </w:p>
    <w:p>
      <w:pPr>
        <w:pStyle w:val="NameofActReg"/>
      </w:pPr>
      <w:r>
        <w:t>Waste Avoidance and Resource Recovery (e</w:t>
      </w:r>
      <w:r>
        <w:noBreakHyphen/>
        <w:t>waste) Regulations 2024</w:t>
      </w:r>
    </w:p>
    <w:p>
      <w:pPr>
        <w:pStyle w:val="Heading2"/>
        <w:pageBreakBefore w:val="0"/>
        <w:spacing w:before="360"/>
      </w:pPr>
      <w:bookmarkStart w:id="2" w:name="_Toc165034799"/>
      <w:bookmarkStart w:id="3" w:name="_Toc165034863"/>
      <w:bookmarkStart w:id="4" w:name="_Toc165035039"/>
      <w:bookmarkStart w:id="5" w:name="_Toc165378645"/>
      <w:bookmarkStart w:id="6" w:name="_Toc165378652"/>
      <w:bookmarkStart w:id="7" w:name="_Toc165445782"/>
      <w:r>
        <w:rPr>
          <w:rStyle w:val="CharPartNo"/>
        </w:rPr>
        <w:t>Part 1</w:t>
      </w:r>
      <w:r>
        <w:rPr>
          <w:rStyle w:val="CharDivNo"/>
        </w:rPr>
        <w:t> </w:t>
      </w:r>
      <w:r>
        <w:t>—</w:t>
      </w:r>
      <w:r>
        <w:rPr>
          <w:rStyle w:val="CharDivText"/>
        </w:rPr>
        <w:t> </w:t>
      </w:r>
      <w:r>
        <w:rPr>
          <w:rStyle w:val="CharPartText"/>
        </w:rPr>
        <w:t>Preliminary</w:t>
      </w:r>
      <w:bookmarkEnd w:id="2"/>
      <w:bookmarkEnd w:id="3"/>
      <w:bookmarkEnd w:id="4"/>
      <w:bookmarkEnd w:id="5"/>
      <w:bookmarkEnd w:id="6"/>
      <w:bookmarkEnd w:id="7"/>
    </w:p>
    <w:p>
      <w:pPr>
        <w:pStyle w:val="Heading5"/>
      </w:pPr>
      <w:bookmarkStart w:id="8" w:name="_Toc165034800"/>
      <w:bookmarkStart w:id="9" w:name="_Toc165445783"/>
      <w:r>
        <w:rPr>
          <w:rStyle w:val="CharSectno"/>
        </w:rPr>
        <w:t>1</w:t>
      </w:r>
      <w:r>
        <w:t>.</w:t>
      </w:r>
      <w:r>
        <w:tab/>
        <w:t>Citation</w:t>
      </w:r>
      <w:bookmarkEnd w:id="8"/>
      <w:bookmarkEnd w:id="9"/>
    </w:p>
    <w:p>
      <w:pPr>
        <w:pStyle w:val="Subsection"/>
      </w:pPr>
      <w:r>
        <w:tab/>
      </w:r>
      <w:r>
        <w:tab/>
      </w:r>
      <w:bookmarkStart w:id="10" w:name="Start_Cursor"/>
      <w:bookmarkEnd w:id="10"/>
      <w:r>
        <w:t xml:space="preserve">These </w:t>
      </w:r>
      <w:r>
        <w:rPr>
          <w:spacing w:val="-2"/>
        </w:rPr>
        <w:t>regulations</w:t>
      </w:r>
      <w:r>
        <w:t xml:space="preserve"> are the </w:t>
      </w:r>
      <w:r>
        <w:rPr>
          <w:i/>
        </w:rPr>
        <w:t>Waste Avoidance and Resource Recovery (e</w:t>
      </w:r>
      <w:r>
        <w:rPr>
          <w:i/>
        </w:rPr>
        <w:noBreakHyphen/>
        <w:t>waste) Regulations 2024</w:t>
      </w:r>
      <w:r>
        <w:t>.</w:t>
      </w:r>
    </w:p>
    <w:p>
      <w:pPr>
        <w:pStyle w:val="Heading5"/>
        <w:rPr>
          <w:spacing w:val="-2"/>
        </w:rPr>
      </w:pPr>
      <w:bookmarkStart w:id="11" w:name="_Toc165034801"/>
      <w:bookmarkStart w:id="12" w:name="_Toc165445784"/>
      <w:r>
        <w:rPr>
          <w:rStyle w:val="CharSectno"/>
        </w:rP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bookmarkEnd w:id="11"/>
      <w:bookmarkEnd w:id="12"/>
    </w:p>
    <w:p>
      <w:pPr>
        <w:pStyle w:val="Subsection"/>
        <w:rPr>
          <w:spacing w:val="-2"/>
        </w:rPr>
      </w:pPr>
      <w:r>
        <w:rPr>
          <w:spacing w:val="-2"/>
        </w:rPr>
        <w:tab/>
      </w:r>
      <w:r>
        <w:rPr>
          <w:spacing w:val="-2"/>
        </w:rPr>
        <w:tab/>
      </w:r>
      <w:r>
        <w:t xml:space="preserve">These </w:t>
      </w:r>
      <w:r>
        <w:rPr>
          <w:spacing w:val="-2"/>
        </w:rPr>
        <w:t>regulations come into operation as follows</w:t>
      </w:r>
      <w:r>
        <w:t> —</w:t>
      </w:r>
    </w:p>
    <w:p>
      <w:pPr>
        <w:pStyle w:val="Indenta"/>
      </w:pPr>
      <w:r>
        <w:tab/>
        <w:t>(a)</w:t>
      </w:r>
      <w:r>
        <w:tab/>
      </w:r>
      <w:r>
        <w:rPr>
          <w:spacing w:val="-2"/>
        </w:rPr>
        <w:t>Part 1 (other than regulations 3 to 7)</w:t>
      </w:r>
      <w:r>
        <w:t xml:space="preserve"> — on the day on which these </w:t>
      </w:r>
      <w:r>
        <w:rPr>
          <w:spacing w:val="-2"/>
        </w:rPr>
        <w:t>regulations</w:t>
      </w:r>
      <w:r>
        <w:t xml:space="preserve"> are published on the WA legislation website;</w:t>
      </w:r>
    </w:p>
    <w:p>
      <w:pPr>
        <w:pStyle w:val="Indenta"/>
      </w:pPr>
      <w:r>
        <w:tab/>
        <w:t>(b)</w:t>
      </w:r>
      <w:r>
        <w:tab/>
        <w:t xml:space="preserve">the rest of the </w:t>
      </w:r>
      <w:r>
        <w:rPr>
          <w:spacing w:val="-2"/>
        </w:rPr>
        <w:t>regulations</w:t>
      </w:r>
      <w:r>
        <w:t> — on 1 July 2024.</w:t>
      </w:r>
    </w:p>
    <w:p>
      <w:pPr>
        <w:pStyle w:val="Ednotesection"/>
      </w:pPr>
      <w:r>
        <w:t>[</w:t>
      </w:r>
      <w:r>
        <w:rPr>
          <w:b/>
          <w:bCs/>
        </w:rPr>
        <w:t>3-7</w:t>
      </w:r>
      <w:r>
        <w:t>.</w:t>
      </w:r>
      <w:r>
        <w:tab/>
        <w:t>Have not come into operation.]</w:t>
      </w:r>
    </w:p>
    <w:p>
      <w:pPr>
        <w:pStyle w:val="Ednotepart"/>
      </w:pPr>
      <w:r>
        <w:t>[Parts 2-4 have not come into operation.]</w:t>
      </w:r>
    </w:p>
    <w:p>
      <w:pPr>
        <w:pStyle w:val="yEdnoteschedule"/>
      </w:pPr>
      <w:r>
        <w:t>[Schedule 1 has not come into operation.]</w:t>
      </w:r>
    </w:p>
    <w:p>
      <w:pPr>
        <w:pStyle w:val="CentredBaseLine"/>
        <w:jc w:val="center"/>
      </w:pPr>
      <w:r>
        <w:rPr>
          <w:noProof/>
        </w:rPr>
        <w:drawing>
          <wp:inline distT="0" distB="0" distL="0" distR="0">
            <wp:extent cx="933450" cy="171450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dline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2671" cy="171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ectPr>
          <w:headerReference w:type="even" r:id="rId22"/>
          <w:headerReference w:type="default" r:id="rId23"/>
          <w:pgSz w:w="11907" w:h="16840" w:code="9"/>
          <w:pgMar w:top="2381" w:right="2410" w:bottom="3544" w:left="2410" w:header="720" w:footer="3544" w:gutter="0"/>
          <w:cols w:space="720"/>
          <w:titlePg/>
          <w:docGrid w:linePitch="326"/>
        </w:sectPr>
      </w:pPr>
    </w:p>
    <w:p>
      <w:pPr>
        <w:pStyle w:val="nHeading2"/>
      </w:pPr>
      <w:bookmarkStart w:id="14" w:name="_Toc165378648"/>
      <w:bookmarkStart w:id="15" w:name="_Toc165378655"/>
      <w:bookmarkStart w:id="16" w:name="_Toc165445785"/>
      <w:bookmarkStart w:id="17" w:name="_Toc165035065"/>
      <w:r>
        <w:lastRenderedPageBreak/>
        <w:t>Notes</w:t>
      </w:r>
      <w:bookmarkEnd w:id="14"/>
      <w:bookmarkEnd w:id="15"/>
      <w:bookmarkEnd w:id="16"/>
    </w:p>
    <w:p>
      <w:pPr>
        <w:pStyle w:val="nStatement"/>
      </w:pPr>
      <w:r>
        <w:t xml:space="preserve">This is a compilation of the </w:t>
      </w:r>
      <w:r>
        <w:rPr>
          <w:i/>
          <w:noProof/>
        </w:rPr>
        <w:t>Waste Avoidance and Resource Recovery (e-waste) Regulations 2024</w:t>
      </w:r>
      <w:r>
        <w:t>. For provisions that have come into operation see the compilation table. For provisions that have not yet come into operation see the uncommenced provisions table.</w:t>
      </w:r>
    </w:p>
    <w:p>
      <w:pPr>
        <w:pStyle w:val="nHeading3"/>
      </w:pPr>
      <w:bookmarkStart w:id="18" w:name="_Toc165445786"/>
      <w:r>
        <w:t>Compilation table</w:t>
      </w:r>
      <w:bookmarkEnd w:id="18"/>
    </w:p>
    <w:tbl>
      <w:tblPr>
        <w:tblW w:w="0" w:type="auto"/>
        <w:tblInd w:w="28" w:type="dxa"/>
        <w:tblBorders>
          <w:top w:val="single" w:sz="8" w:space="0" w:color="auto"/>
          <w:bottom w:val="single" w:sz="4" w:space="0" w:color="auto"/>
          <w:insideH w:val="single" w:sz="8" w:space="0" w:color="auto"/>
        </w:tblBorders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118"/>
        <w:gridCol w:w="1276"/>
        <w:gridCol w:w="2693"/>
      </w:tblGrid>
      <w:tr>
        <w:trPr>
          <w:tblHeader/>
        </w:trPr>
        <w:tc>
          <w:tcPr>
            <w:tcW w:w="3118" w:type="dxa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Citation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Published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Commencement</w:t>
            </w:r>
          </w:p>
        </w:tc>
      </w:tr>
      <w:tr>
        <w:tc>
          <w:tcPr>
            <w:tcW w:w="3118" w:type="dxa"/>
          </w:tcPr>
          <w:p>
            <w:pPr>
              <w:pStyle w:val="nTable"/>
              <w:spacing w:after="40"/>
              <w:rPr>
                <w:iCs/>
              </w:rPr>
            </w:pPr>
            <w:r>
              <w:rPr>
                <w:i/>
                <w:noProof/>
              </w:rPr>
              <w:t>Waste Avoidance and Resource Recovery (e-waste) Regulations 2024</w:t>
            </w:r>
            <w:r>
              <w:rPr>
                <w:iCs/>
              </w:rPr>
              <w:t xml:space="preserve"> Pt. 1 (other than r. 3</w:t>
            </w:r>
            <w:r>
              <w:rPr>
                <w:iCs/>
              </w:rPr>
              <w:noBreakHyphen/>
              <w:t>7)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SL 2024/70 1 May 2024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1 May 2024 (see r. 2(a))</w:t>
            </w:r>
          </w:p>
        </w:tc>
      </w:tr>
    </w:tbl>
    <w:p>
      <w:pPr>
        <w:pStyle w:val="nHeading3"/>
      </w:pPr>
      <w:bookmarkStart w:id="19" w:name="_Toc165445787"/>
      <w:r>
        <w:t>Uncommenced provisions table</w:t>
      </w:r>
      <w:bookmarkEnd w:id="19"/>
    </w:p>
    <w:p>
      <w:pPr>
        <w:pStyle w:val="nStatement"/>
        <w:keepNext/>
        <w:spacing w:after="240"/>
      </w:pPr>
      <w:r>
        <w:t xml:space="preserve">To view the text of the uncommenced provisions see </w:t>
      </w:r>
      <w:r>
        <w:rPr>
          <w:i/>
        </w:rPr>
        <w:t>Subsidiary legislation as made</w:t>
      </w:r>
      <w:r>
        <w:t xml:space="preserve"> on the WA Legislation website.</w:t>
      </w:r>
    </w:p>
    <w:tbl>
      <w:tblPr>
        <w:tblW w:w="0" w:type="auto"/>
        <w:tblInd w:w="28" w:type="dxa"/>
        <w:tblBorders>
          <w:top w:val="single" w:sz="8" w:space="0" w:color="auto"/>
          <w:bottom w:val="single" w:sz="4" w:space="0" w:color="auto"/>
          <w:insideH w:val="single" w:sz="8" w:space="0" w:color="auto"/>
        </w:tblBorders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118"/>
        <w:gridCol w:w="1276"/>
        <w:gridCol w:w="2693"/>
      </w:tblGrid>
      <w:tr>
        <w:trPr>
          <w:tblHeader/>
        </w:trPr>
        <w:tc>
          <w:tcPr>
            <w:tcW w:w="3118" w:type="dxa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Citation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Published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Commencement</w:t>
            </w:r>
          </w:p>
        </w:tc>
      </w:tr>
      <w:tr>
        <w:tc>
          <w:tcPr>
            <w:tcW w:w="3118" w:type="dxa"/>
          </w:tcPr>
          <w:p>
            <w:pPr>
              <w:pStyle w:val="nTable"/>
              <w:spacing w:after="40"/>
              <w:rPr>
                <w:iCs/>
              </w:rPr>
            </w:pPr>
            <w:r>
              <w:rPr>
                <w:i/>
                <w:noProof/>
              </w:rPr>
              <w:t>Waste Avoidance and Resource Recovery (e-waste) Regulations 2024</w:t>
            </w:r>
            <w:r>
              <w:rPr>
                <w:iCs/>
              </w:rPr>
              <w:t xml:space="preserve"> r. 3</w:t>
            </w:r>
            <w:r>
              <w:rPr>
                <w:iCs/>
              </w:rPr>
              <w:noBreakHyphen/>
              <w:t>7, Pt. 2</w:t>
            </w:r>
            <w:r>
              <w:rPr>
                <w:iCs/>
              </w:rPr>
              <w:noBreakHyphen/>
              <w:t>4 and Sch. 1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SL 2024/70 1 May 2024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1 Jul 2024 (see r. 2(b))</w:t>
            </w:r>
          </w:p>
        </w:tc>
      </w:tr>
    </w:tbl>
    <w:p>
      <w:pPr>
        <w:sectPr>
          <w:headerReference w:type="even" r:id="rId24"/>
          <w:headerReference w:type="default" r:id="rId25"/>
          <w:pgSz w:w="11907" w:h="16840" w:code="9"/>
          <w:pgMar w:top="2376" w:right="2404" w:bottom="3544" w:left="2404" w:header="720" w:footer="3544" w:gutter="0"/>
          <w:cols w:space="720"/>
          <w:noEndnote/>
          <w:docGrid w:linePitch="326"/>
        </w:sectPr>
      </w:pPr>
    </w:p>
    <w:bookmarkEnd w:id="17"/>
    <w:p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page">
                  <wp:align>center</wp:align>
                </wp:positionH>
                <wp:positionV relativeFrom="page">
                  <wp:posOffset>7505700</wp:posOffset>
                </wp:positionV>
                <wp:extent cx="127000" cy="647700"/>
                <wp:effectExtent l="0" t="0" r="1905" b="0"/>
                <wp:wrapNone/>
                <wp:docPr id="1" name="Authority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7000" cy="647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6350">
                              <a:solidFill>
                                <a:prstClr val="black"/>
                              </a:solidFill>
                            </a14:hiddenLine>
                          </a:ext>
                        </a:extLst>
                      </wps:spPr>
                      <wps:txbx>
                        <w:txbxContent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>
                              <w:rPr>
                                <w:sz w:val="16"/>
                              </w:rPr>
                              <w:t>2024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This work is licensed under a Creative Commons Attribution 4.0 International Licence (CC BY 4.0). To view relevant information and for a link to a copy of the licence, visit </w:t>
                            </w:r>
                            <w:r>
                              <w:rPr>
                                <w:sz w:val="16"/>
                                <w:u w:val="single"/>
                              </w:rPr>
                              <w:t>www.legislation.wa.gov.au</w:t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Attribute work as: 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>
                              <w:rPr>
                                <w:sz w:val="16"/>
                              </w:rPr>
                              <w:t>2024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438" w:right="2098"/>
                              <w:jc w:val="center"/>
                              <w:rPr>
                                <w:rFonts w:ascii="Arial" w:hAnsi="Arial" w:cs="Arial"/>
                                <w:sz w:val="1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2"/>
                              </w:rPr>
                              <w:t>By Authority: GEOFF O. LAWN, Government Printer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100000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7AE4C8B" id="_x0000_t202" coordsize="21600,21600" o:spt="202" path="m,l,21600r21600,l21600,xe">
                <v:stroke joinstyle="miter"/>
                <v:path gradientshapeok="t" o:connecttype="rect"/>
              </v:shapetype>
              <v:shape id="Authority" o:spid="_x0000_s1026" type="#_x0000_t202" style="position:absolute;margin-left:0;margin-top:591pt;width:10pt;height:51pt;z-index:251660288;visibility:visible;mso-wrap-style:square;mso-width-percent:1000;mso-height-percent:0;mso-wrap-distance-left:9pt;mso-wrap-distance-top:0;mso-wrap-distance-right:9pt;mso-wrap-distance-bottom:0;mso-position-horizontal:center;mso-position-horizontal-relative:page;mso-position-vertical:absolute;mso-position-vertical-relative:page;mso-width-percent:100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" stroked="f" strokeweight=".5pt">
                <v:textbox>
                  <w:txbxContent>
                    <w:p w14:paraId="78D93F84" w14:textId="69407FCD" w:rsidR="00F67538" w:rsidRDefault="00F67538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 w:rsidR="00EF23DB">
                        <w:rPr>
                          <w:sz w:val="16"/>
                        </w:rPr>
                        <w:t>2024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41669A5F" w14:textId="77777777" w:rsidR="00F67538" w:rsidRDefault="00F67538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This work is licensed under a Creative Commons Attribution 4.0 International Licence (CC BY 4.0). To view relevant information and for a link to a copy of the licence, visit </w:t>
                      </w:r>
                      <w:r>
                        <w:rPr>
                          <w:sz w:val="16"/>
                          <w:u w:val="single"/>
                        </w:rPr>
                        <w:t>www.legislation.wa.gov.au</w:t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183D0C40" w14:textId="1426A1B8" w:rsidR="00F67538" w:rsidRDefault="00F67538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Attribute work as: 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 w:rsidR="00EF23DB">
                        <w:rPr>
                          <w:sz w:val="16"/>
                        </w:rPr>
                        <w:t>2024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790BAFA4" w14:textId="77777777" w:rsidR="00F67538" w:rsidRDefault="00F67538">
                      <w:pPr>
                        <w:ind w:left="2438" w:right="2098"/>
                        <w:jc w:val="center"/>
                        <w:rPr>
                          <w:rFonts w:ascii="Arial" w:hAnsi="Arial" w:cs="Arial"/>
                          <w:sz w:val="12"/>
                        </w:rPr>
                      </w:pPr>
                      <w:r>
                        <w:rPr>
                          <w:rFonts w:ascii="Arial" w:hAnsi="Arial" w:cs="Arial"/>
                          <w:sz w:val="12"/>
                        </w:rPr>
                        <w:t>By Authority: GEOFF O. LAWN, Government Printer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sectPr>
      <w:headerReference w:type="even" r:id="rId26"/>
      <w:headerReference w:type="default" r:id="rId27"/>
      <w:footerReference w:type="even" r:id="rId28"/>
      <w:footerReference w:type="default" r:id="rId29"/>
      <w:headerReference w:type="first" r:id="rId30"/>
      <w:footerReference w:type="first" r:id="rId31"/>
      <w:endnotePr>
        <w:numFmt w:val="decimal"/>
      </w:endnotePr>
      <w:type w:val="continuous"/>
      <w:pgSz w:w="11907" w:h="16840" w:code="9"/>
      <w:pgMar w:top="567" w:right="1701" w:bottom="567" w:left="1701" w:header="720" w:footer="720" w:gutter="0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>
      <w:pPr>
        <w:rPr>
          <w:b/>
          <w:sz w:val="28"/>
        </w:rPr>
      </w:pPr>
      <w:r>
        <w:rPr>
          <w:b/>
          <w:sz w:val="28"/>
        </w:rPr>
        <w:t>Endnotes</w:t>
      </w:r>
    </w:p>
    <w:p>
      <w:pPr>
        <w:spacing w:after="240"/>
        <w:rPr>
          <w:rFonts w:ascii="Times" w:hAnsi="Times"/>
          <w:sz w:val="18"/>
        </w:rPr>
      </w:pPr>
      <w:r>
        <w:rPr>
          <w:sz w:val="20"/>
        </w:rPr>
        <w:t>[For ease of reference detach these notes and read them alongside the draft.]</w:t>
      </w:r>
    </w:p>
    <w:p/>
  </w:endnote>
  <w:endnote w:type="continuationSeparator" w:id="0">
    <w:p>
      <w:pPr>
        <w:pStyle w:val="Footer"/>
      </w:pPr>
    </w:p>
    <w:p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5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01 May 2024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>Published on www.legislation.wa.gov.au</w:t>
    </w:r>
    <w:r>
      <w:rPr>
        <w:sz w:val="16"/>
      </w:rPr>
      <w:tab/>
      <w:t xml:space="preserve">[PCO </w:t>
    </w:r>
    <w:r>
      <w:rPr>
        <w:sz w:val="16"/>
      </w:rPr>
      <w:fldChar w:fldCharType="begin"/>
    </w:r>
    <w:r>
      <w:rPr>
        <w:sz w:val="16"/>
      </w:rPr>
      <w:instrText xml:space="preserve"> DOCPROPERTY "Suffix" </w:instrText>
    </w:r>
    <w:r>
      <w:rPr>
        <w:sz w:val="16"/>
      </w:rPr>
      <w:fldChar w:fldCharType="separate"/>
    </w:r>
    <w:r>
      <w:rPr>
        <w:sz w:val="16"/>
      </w:rPr>
      <w:t>00-a0-00</w:t>
    </w:r>
    <w:r>
      <w:rPr>
        <w:sz w:val="16"/>
      </w:rPr>
      <w:fldChar w:fldCharType="end"/>
    </w:r>
    <w:r>
      <w:rPr>
        <w:sz w:val="16"/>
      </w:rPr>
      <w:t>]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01 May 2024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 xml:space="preserve">[PCO </w:t>
    </w:r>
    <w:r>
      <w:rPr>
        <w:sz w:val="16"/>
      </w:rPr>
      <w:fldChar w:fldCharType="begin"/>
    </w:r>
    <w:r>
      <w:rPr>
        <w:sz w:val="16"/>
      </w:rPr>
      <w:instrText xml:space="preserve"> DOCPROPERTY "Suffix" </w:instrText>
    </w:r>
    <w:r>
      <w:rPr>
        <w:sz w:val="16"/>
      </w:rPr>
      <w:fldChar w:fldCharType="separate"/>
    </w:r>
    <w:r>
      <w:rPr>
        <w:sz w:val="16"/>
      </w:rPr>
      <w:t>00-a0-00</w:t>
    </w:r>
    <w:r>
      <w:rPr>
        <w:sz w:val="16"/>
      </w:rPr>
      <w:fldChar w:fldCharType="end"/>
    </w:r>
    <w:r>
      <w:rPr>
        <w:sz w:val="16"/>
      </w:rPr>
      <w:t>]</w:t>
    </w:r>
    <w:r>
      <w:rPr>
        <w:sz w:val="16"/>
      </w:rPr>
      <w:tab/>
      <w:t>Published on www.legislation.wa.gov.au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01 May 2024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 xml:space="preserve">[PCO </w:t>
    </w:r>
    <w:r>
      <w:rPr>
        <w:sz w:val="16"/>
      </w:rPr>
      <w:fldChar w:fldCharType="begin"/>
    </w:r>
    <w:r>
      <w:rPr>
        <w:sz w:val="16"/>
      </w:rPr>
      <w:instrText xml:space="preserve"> DOCPROPERTY "Suffix" </w:instrText>
    </w:r>
    <w:r>
      <w:rPr>
        <w:sz w:val="16"/>
      </w:rPr>
      <w:fldChar w:fldCharType="separate"/>
    </w:r>
    <w:r>
      <w:rPr>
        <w:sz w:val="16"/>
      </w:rPr>
      <w:t>00-a0-00</w:t>
    </w:r>
    <w:r>
      <w:rPr>
        <w:sz w:val="16"/>
      </w:rPr>
      <w:fldChar w:fldCharType="end"/>
    </w:r>
    <w:r>
      <w:rPr>
        <w:sz w:val="16"/>
      </w:rPr>
      <w:t>]</w:t>
    </w:r>
    <w:r>
      <w:rPr>
        <w:sz w:val="16"/>
      </w:rPr>
      <w:tab/>
      <w:t>Published on www.legislation.wa.gov.au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xviii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01 May 2024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>Published on www.legislation.wa.gov.au</w:t>
    </w:r>
    <w:r>
      <w:rPr>
        <w:sz w:val="16"/>
      </w:rPr>
      <w:tab/>
      <w:t xml:space="preserve">[PCO </w:t>
    </w:r>
    <w:r>
      <w:rPr>
        <w:sz w:val="16"/>
      </w:rPr>
      <w:fldChar w:fldCharType="begin"/>
    </w:r>
    <w:r>
      <w:rPr>
        <w:sz w:val="16"/>
      </w:rPr>
      <w:instrText xml:space="preserve"> DOCPROPERTY "Suffix" </w:instrText>
    </w:r>
    <w:r>
      <w:rPr>
        <w:sz w:val="16"/>
      </w:rPr>
      <w:fldChar w:fldCharType="separate"/>
    </w:r>
    <w:r>
      <w:rPr>
        <w:sz w:val="16"/>
      </w:rPr>
      <w:t>00-a0-00</w:t>
    </w:r>
    <w:r>
      <w:rPr>
        <w:sz w:val="16"/>
      </w:rPr>
      <w:fldChar w:fldCharType="end"/>
    </w:r>
    <w:r>
      <w:rPr>
        <w:sz w:val="16"/>
      </w:rPr>
      <w:t>]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01 May 2024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xix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 xml:space="preserve">[PCO </w:t>
    </w:r>
    <w:r>
      <w:rPr>
        <w:sz w:val="16"/>
      </w:rPr>
      <w:fldChar w:fldCharType="begin"/>
    </w:r>
    <w:r>
      <w:rPr>
        <w:sz w:val="16"/>
      </w:rPr>
      <w:instrText xml:space="preserve"> DOCPROPERTY "Suffix" </w:instrText>
    </w:r>
    <w:r>
      <w:rPr>
        <w:sz w:val="16"/>
      </w:rPr>
      <w:fldChar w:fldCharType="separate"/>
    </w:r>
    <w:r>
      <w:rPr>
        <w:sz w:val="16"/>
      </w:rPr>
      <w:t>00-a0-00</w:t>
    </w:r>
    <w:r>
      <w:rPr>
        <w:sz w:val="16"/>
      </w:rPr>
      <w:fldChar w:fldCharType="end"/>
    </w:r>
    <w:r>
      <w:rPr>
        <w:sz w:val="16"/>
      </w:rPr>
      <w:t>]</w:t>
    </w:r>
    <w:r>
      <w:rPr>
        <w:sz w:val="16"/>
      </w:rPr>
      <w:tab/>
      <w:t>Published on www.legislation.wa.gov.au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01 May 2024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 xml:space="preserve">[PCO </w:t>
    </w:r>
    <w:r>
      <w:rPr>
        <w:sz w:val="16"/>
      </w:rPr>
      <w:fldChar w:fldCharType="begin"/>
    </w:r>
    <w:r>
      <w:rPr>
        <w:sz w:val="16"/>
      </w:rPr>
      <w:instrText xml:space="preserve"> DOCPROPERTY "Suffix" </w:instrText>
    </w:r>
    <w:r>
      <w:rPr>
        <w:sz w:val="16"/>
      </w:rPr>
      <w:fldChar w:fldCharType="separate"/>
    </w:r>
    <w:r>
      <w:rPr>
        <w:sz w:val="16"/>
      </w:rPr>
      <w:t>00-a0-00</w:t>
    </w:r>
    <w:r>
      <w:rPr>
        <w:sz w:val="16"/>
      </w:rPr>
      <w:fldChar w:fldCharType="end"/>
    </w:r>
    <w:r>
      <w:rPr>
        <w:sz w:val="16"/>
      </w:rPr>
      <w:t>]</w:t>
    </w:r>
    <w:r>
      <w:rPr>
        <w:sz w:val="16"/>
      </w:rPr>
      <w:tab/>
      <w:t>Published on www.legislation.wa.gov.au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  <w:bookmarkStart w:id="0" w:name="TitlePage"/>
    <w:bookmarkEnd w:id="0"/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Waste Avoidance and Resource Recovery (e-waste) Regulations 2024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Waste Avoidance and Resource Recovery (e-waste) Regulations 2024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  <w:bookmarkStart w:id="1" w:name="TOC"/>
    <w:bookmarkEnd w:id="1"/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Waste Avoidance and Resource Recovery (e-waste) Regulations 2024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CharSchno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CharSchText </w:instrText>
          </w:r>
          <w: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CharSDivNo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CharSDivText </w:instrText>
          </w:r>
          <w:r>
            <w:fldChar w:fldCharType="end"/>
          </w:r>
        </w:p>
      </w:tc>
    </w:tr>
    <w:tr>
      <w:trPr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7263" w:type="dxa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97"/>
      <w:gridCol w:w="1466"/>
    </w:tblGrid>
    <w:tr>
      <w:trPr>
        <w:cantSplit/>
        <w:jc w:val="center"/>
      </w:trPr>
      <w:tc>
        <w:tcPr>
          <w:tcW w:w="7160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Waste Avoidance and Resource Recovery (e-waste) Regulations 2024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CharSchText </w:instrText>
          </w:r>
          <w:r>
            <w:fldChar w:fldCharType="end"/>
          </w:r>
        </w:p>
      </w:tc>
      <w:tc>
        <w:tcPr>
          <w:tcW w:w="1445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CharSchno</w:instrText>
          </w:r>
          <w:r>
            <w:rPr>
              <w:b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CharSDivText </w:instrText>
          </w:r>
          <w:r>
            <w:fldChar w:fldCharType="end"/>
          </w:r>
        </w:p>
      </w:tc>
      <w:tc>
        <w:tcPr>
          <w:tcW w:w="1445" w:type="dxa"/>
        </w:tcPr>
        <w:p>
          <w:pPr>
            <w:pStyle w:val="Header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CharSDivNo</w:instrText>
          </w:r>
          <w:r>
            <w:rPr>
              <w:b/>
            </w:rPr>
            <w:fldChar w:fldCharType="end"/>
          </w:r>
        </w:p>
      </w:tc>
    </w:tr>
    <w:tr>
      <w:trPr>
        <w:jc w:val="center"/>
      </w:trPr>
      <w:tc>
        <w:tcPr>
          <w:tcW w:w="7160" w:type="dxa"/>
          <w:gridSpan w:val="2"/>
        </w:tcPr>
        <w:p>
          <w:pPr>
            <w:pStyle w:val="Header"/>
            <w:spacing w:before="40"/>
            <w:ind w:right="17"/>
            <w:jc w:val="right"/>
          </w:pPr>
        </w:p>
      </w:tc>
    </w:tr>
  </w:tbl>
  <w:p>
    <w:pPr>
      <w:pStyle w:val="Header"/>
      <w:pBdr>
        <w:top w:val="single" w:sz="4" w:space="1" w:color="auto"/>
      </w:pBdr>
    </w:pPr>
    <w:bookmarkStart w:id="13" w:name="Schedule"/>
    <w:bookmarkEnd w:id="13"/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Waste Avoidance and Resource Recovery (e-waste) Regulations 2024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"nHeading 2" </w:instrText>
          </w:r>
          <w:r>
            <w:rPr>
              <w:b/>
            </w:rPr>
            <w:fldChar w:fldCharType="separate"/>
          </w:r>
          <w:r>
            <w:rPr>
              <w:b/>
            </w:rPr>
            <w:t>Notes</w: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"nHeading 3" </w:instrText>
          </w:r>
          <w:r>
            <w:fldChar w:fldCharType="separate"/>
          </w:r>
          <w:r>
            <w:t>Compilation table</w:t>
          </w:r>
          <w: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Waste Avoidance and Resource Recovery (e-waste) Regulations 2024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"nHeading 3" </w:instrText>
          </w:r>
          <w:r>
            <w:fldChar w:fldCharType="separate"/>
          </w:r>
          <w:r>
            <w:t>Compilation table</w: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"nHeading 2" </w:instrText>
          </w:r>
          <w:r>
            <w:rPr>
              <w:b/>
            </w:rPr>
            <w:fldChar w:fldCharType="separate"/>
          </w:r>
          <w:r>
            <w:rPr>
              <w:b/>
            </w:rPr>
            <w:t>Notes</w:t>
          </w:r>
          <w:r>
            <w:rPr>
              <w:b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</w:p>
      </w:tc>
    </w:tr>
  </w:tbl>
  <w:p>
    <w:pPr>
      <w:pStyle w:val="Header"/>
      <w:pBdr>
        <w:top w:val="single" w:sz="4" w:space="1" w:color="auto"/>
      </w:pBdr>
    </w:pPr>
    <w:bookmarkStart w:id="20" w:name="Compilation"/>
    <w:bookmarkEnd w:id="20"/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  <w:bookmarkStart w:id="21" w:name="Coversheet"/>
    <w:bookmarkEnd w:id="21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1F066C2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EF88F74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4E44E0D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615A2A1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F54AD31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5784C556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856E670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7006F51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83E2D3D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3A14993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A9071E2"/>
    <w:multiLevelType w:val="singleLevel"/>
    <w:tmpl w:val="6686A91E"/>
    <w:lvl w:ilvl="0">
      <w:start w:val="1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</w:rPr>
    </w:lvl>
  </w:abstractNum>
  <w:abstractNum w:abstractNumId="11" w15:restartNumberingAfterBreak="0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 w15:restartNumberingAfterBreak="0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 w15:restartNumberingAfterBreak="0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6" w15:restartNumberingAfterBreak="0">
    <w:nsid w:val="3BBA1437"/>
    <w:multiLevelType w:val="singleLevel"/>
    <w:tmpl w:val="0C09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17" w15:restartNumberingAfterBreak="0">
    <w:nsid w:val="3C2808C0"/>
    <w:multiLevelType w:val="singleLevel"/>
    <w:tmpl w:val="58E827E4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8" w15:restartNumberingAfterBreak="0">
    <w:nsid w:val="41B90854"/>
    <w:multiLevelType w:val="singleLevel"/>
    <w:tmpl w:val="0C090001"/>
    <w:lvl w:ilvl="0">
      <w:start w:val="1"/>
      <w:numFmt w:val="bullet"/>
      <w:lvlText w:val=""/>
      <w:lvlJc w:val="left"/>
      <w:rPr>
        <w:rFonts w:ascii="Symbol" w:hAnsi="Symbol" w:hint="default"/>
      </w:rPr>
    </w:lvl>
  </w:abstractNum>
  <w:abstractNum w:abstractNumId="19" w15:restartNumberingAfterBreak="0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0" w15:restartNumberingAfterBreak="0">
    <w:nsid w:val="4CC03303"/>
    <w:multiLevelType w:val="singleLevel"/>
    <w:tmpl w:val="08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1" w15:restartNumberingAfterBreak="0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2" w15:restartNumberingAfterBreak="0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3" w15:restartNumberingAfterBreak="0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4" w15:restartNumberingAfterBreak="0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num w:numId="1">
    <w:abstractNumId w:val="11"/>
  </w:num>
  <w:num w:numId="2">
    <w:abstractNumId w:val="12"/>
  </w:num>
  <w:num w:numId="3">
    <w:abstractNumId w:val="14"/>
  </w:num>
  <w:num w:numId="4">
    <w:abstractNumId w:val="22"/>
  </w:num>
  <w:num w:numId="5">
    <w:abstractNumId w:val="15"/>
  </w:num>
  <w:num w:numId="6">
    <w:abstractNumId w:val="18"/>
  </w:num>
  <w:num w:numId="7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1140"/>
  <w:evenAndOddHeader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6625"/>
  </w:hdrShapeDefaults>
  <w:footnotePr>
    <w:footnote w:id="-1"/>
    <w:footnote w:id="0"/>
  </w:footnotePr>
  <w:endnotePr>
    <w:pos w:val="sectEnd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RuleResults" w:val="&lt;AllLaws&gt;&lt;/AllLaws&gt;"/>
    <w:docVar w:name="WAFER" w:val="20240426143921"/>
    <w:docVar w:name="WAFER_20150206084300" w:val="b265764f-9cc9-4051-b597-28966bcc0033"/>
    <w:docVar w:name="WAFER_20150206084300_GUID" w:val="UsedStyles"/>
    <w:docVar w:name="WAFER_20151016170500" w:val="65b8bf31-20ff-4e33-a7f5-3e8a982d38e1"/>
    <w:docVar w:name="WAFER_20151016170500_GUID" w:val="UpdateStyles"/>
    <w:docVar w:name="WAFER_20151016171156" w:val="6c2db7ef-daac-4b3e-9dc6-438f5d0ef0de"/>
    <w:docVar w:name="WAFER_20151016171156_GUID" w:val="UpdateStyles,UsedStyles"/>
    <w:docVar w:name="WAFER_20151016171216" w:val="94d94bff-48d8-4137-a72c-5fd727eea17c"/>
    <w:docVar w:name="WAFER_20151016171216_GUID" w:val="UpdateStyles,UsedStyles"/>
    <w:docVar w:name="WAFER_20151019113755" w:val="2391df09-cb41-4aa3-adeb-85763481adf4"/>
    <w:docVar w:name="WAFER_20151019113755_GUID" w:val="UpdateStyles"/>
    <w:docVar w:name="WAFER_20151102150240" w:val="b5d22a23-aebe-4a72-ade9-c7eb5fe3ff91"/>
    <w:docVar w:name="WAFER_20151102150240_GUID" w:val="UpdateStyles"/>
    <w:docVar w:name="WAFER_20190125160029" w:val="5f5bd124-b00b-412a-a7b5-01fcf0a689e4"/>
    <w:docVar w:name="WAFER_20190125160029_GUID" w:val="UpdateStyles"/>
    <w:docVar w:name="WAFER_20190213151332" w:val="ba422db1-9a36-4369-9917-270567d09a43"/>
    <w:docVar w:name="WAFER_20190213151332_GUID" w:val="UpdateStyles"/>
    <w:docVar w:name="WAFER_20190214104147" w:val="462c59b5-9a0c-4a8b-a415-d2eeb9a467c9"/>
    <w:docVar w:name="WAFER_20190214104147_GUID" w:val="UpdateStyles"/>
    <w:docVar w:name="WAFER_20190227114746" w:val="b6cf0004-89c3-4ce4-92f2-c7ba61597248"/>
    <w:docVar w:name="WAFER_20190227114746_GUID" w:val="UpdateStyles.ProcessFixes,UpdateStyles.ProcessFixes,RemoveIncorrectStyles.ProcessStyles,RemoveIncorrectStyles.ProcessStyles"/>
    <w:docVar w:name="WAFER_20191031134536" w:val="22d86058-aa5d-4625-8196-006bb3c08a21"/>
    <w:docVar w:name="WAFER_20191031134536_GUID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setPageSize.ResetPageSize,ResetPageFooter.ResetPageFooter"/>
    <w:docVar w:name="WAFER_20200207102504" w:val="6a1c105a-3450-41aa-9a46-e934e904a723"/>
    <w:docVar w:name="WAFER_20200207102504_GUID" w:val="6a1c105a-3450-41aa-9a46-e934e904a723"/>
    <w:docVar w:name="WAFER_20230403110444" w:val="6a1c105a-3450-41aa-9a46-e934e904a723"/>
    <w:docVar w:name="WAFER_20230403110444_GUID" w:val="6a1c105a-3450-41aa-9a46-e934e904a723"/>
    <w:docVar w:name="WAFER_20240202154835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,RemoveIncorrectStyles.ProcessStyles"/>
    <w:docVar w:name="WAFER_20240202154835_GUID" w:val="14e8d964-ef74-44df-aac4-1cde318e35c6"/>
    <w:docVar w:name="WAFER_20240426143921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"/>
    <w:docVar w:name="WAFER_20240426143921_GUID" w:val="f697eeba-23bf-4c12-aa8c-d009a69bbe3a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6625"/>
    <o:shapelayout v:ext="edit">
      <o:idmap v:ext="edit" data="1"/>
    </o:shapelayout>
  </w:shapeDefaults>
  <w:decimalSymbol w:val="."/>
  <w:listSeparator w:val=","/>
  <w15:docId w15:val="{15613D62-78F5-4891-B90B-8DAAF3B4D3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iPriority="39" w:unhideWhenUsed="1"/>
    <w:lsdException w:name="toc 3" w:semiHidden="1" w:unhideWhenUsed="1"/>
    <w:lsdException w:name="toc 4" w:semiHidden="1" w:uiPriority="39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iPriority="39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">
    <w:name w:val="Body Text"/>
    <w:basedOn w:val="Normal"/>
    <w:pPr>
      <w:spacing w:after="12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character" w:customStyle="1" w:styleId="CharSectno">
    <w:name w:val="CharSectno"/>
    <w:rPr>
      <w:noProof w:val="0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paragraph" w:customStyle="1" w:styleId="Equation">
    <w:name w:val="Equation"/>
    <w:rPr>
      <w:noProof/>
      <w:sz w:val="24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styleId="Footer">
    <w:name w:val="footer"/>
    <w:basedOn w:val="Normal"/>
    <w:link w:val="FooterChar"/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customStyle="1" w:styleId="Graphics">
    <w:name w:val="Graphics"/>
    <w:basedOn w:val="Equation"/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rPr>
      <w:rFonts w:ascii="Times" w:hAnsi="Times"/>
      <w:sz w:val="18"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tabs>
        <w:tab w:val="num" w:pos="360"/>
      </w:tabs>
    </w:pPr>
  </w:style>
  <w:style w:type="paragraph" w:styleId="ListBullet2">
    <w:name w:val="List Bullet 2"/>
    <w:basedOn w:val="Normal"/>
    <w:autoRedefine/>
    <w:pPr>
      <w:tabs>
        <w:tab w:val="num" w:pos="360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tabs>
        <w:tab w:val="num" w:pos="360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tabs>
        <w:tab w:val="num" w:pos="360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tabs>
        <w:tab w:val="num" w:pos="360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tabs>
        <w:tab w:val="num" w:pos="360"/>
      </w:tabs>
    </w:pPr>
  </w:style>
  <w:style w:type="paragraph" w:styleId="ListNumber2">
    <w:name w:val="List Number 2"/>
    <w:basedOn w:val="Normal"/>
    <w:pPr>
      <w:tabs>
        <w:tab w:val="num" w:pos="360"/>
        <w:tab w:val="num" w:pos="720"/>
      </w:tabs>
      <w:ind w:left="720"/>
    </w:pPr>
  </w:style>
  <w:style w:type="paragraph" w:styleId="ListNumber3">
    <w:name w:val="List Number 3"/>
    <w:basedOn w:val="Normal"/>
    <w:pPr>
      <w:tabs>
        <w:tab w:val="num" w:pos="360"/>
        <w:tab w:val="num" w:pos="1080"/>
      </w:tabs>
      <w:ind w:left="1080"/>
    </w:pPr>
  </w:style>
  <w:style w:type="paragraph" w:styleId="ListNumber4">
    <w:name w:val="List Number 4"/>
    <w:basedOn w:val="Normal"/>
    <w:pPr>
      <w:tabs>
        <w:tab w:val="num" w:pos="360"/>
        <w:tab w:val="num" w:pos="1440"/>
      </w:tabs>
      <w:ind w:left="1440"/>
    </w:pPr>
  </w:style>
  <w:style w:type="paragraph" w:styleId="ListNumber5">
    <w:name w:val="List Number 5"/>
    <w:basedOn w:val="Normal"/>
    <w:pPr>
      <w:tabs>
        <w:tab w:val="num" w:pos="360"/>
        <w:tab w:val="num" w:pos="1800"/>
      </w:tabs>
      <w:ind w:left="1800"/>
    </w:pPr>
  </w:style>
  <w:style w:type="paragraph" w:customStyle="1" w:styleId="LongTitle">
    <w:name w:val="Long Title"/>
    <w:rPr>
      <w:b/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MadeBy">
    <w:name w:val="MadeBy"/>
    <w:pPr>
      <w:spacing w:before="600"/>
    </w:pPr>
    <w:rPr>
      <w:sz w:val="24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qFormat/>
    <w:pPr>
      <w:keepNext/>
      <w:jc w:val="center"/>
      <w:outlineLvl w:val="1"/>
    </w:pPr>
    <w:rPr>
      <w:b/>
      <w:sz w:val="32"/>
    </w:rPr>
  </w:style>
  <w:style w:type="paragraph" w:customStyle="1" w:styleId="nHeading3">
    <w:name w:val="nHeading 3"/>
    <w:qFormat/>
    <w:pPr>
      <w:keepNext/>
      <w:spacing w:before="240" w:after="120"/>
      <w:jc w:val="center"/>
      <w:outlineLvl w:val="2"/>
    </w:pPr>
    <w:rPr>
      <w:b/>
      <w:sz w:val="26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styleId="Salutation">
    <w:name w:val="Salutation"/>
    <w:basedOn w:val="Normal"/>
    <w:next w:val="Normal"/>
  </w:style>
  <w:style w:type="paragraph" w:styleId="Signature">
    <w:name w:val="Signature"/>
    <w:basedOn w:val="Normal"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uiPriority w:val="39"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rPr>
      <w:rFonts w:ascii="Arial" w:hAnsi="Arial"/>
      <w:noProof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ByCommand">
    <w:name w:val="ByCommand"/>
    <w:basedOn w:val="Normal"/>
    <w:pPr>
      <w:tabs>
        <w:tab w:val="right" w:pos="7088"/>
      </w:tabs>
      <w:spacing w:before="108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TableAm">
    <w:name w:val="TableAm"/>
    <w:qFormat/>
    <w:pPr>
      <w:tabs>
        <w:tab w:val="left" w:pos="567"/>
      </w:tabs>
      <w:spacing w:before="120"/>
    </w:pPr>
    <w:rPr>
      <w:sz w:val="24"/>
    </w:rPr>
  </w:style>
  <w:style w:type="paragraph" w:customStyle="1" w:styleId="TableAmNote">
    <w:name w:val="TableAmNote"/>
    <w:pPr>
      <w:tabs>
        <w:tab w:val="left" w:pos="567"/>
      </w:tabs>
      <w:spacing w:before="60"/>
    </w:pPr>
    <w:rPr>
      <w:rFonts w:ascii="Arial" w:hAnsi="Arial"/>
      <w:sz w:val="18"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TableNAm">
    <w:name w:val="TableNAm"/>
    <w:qFormat/>
    <w:pPr>
      <w:tabs>
        <w:tab w:val="left" w:pos="567"/>
      </w:tabs>
      <w:spacing w:before="120"/>
    </w:pPr>
    <w:rPr>
      <w:sz w:val="24"/>
    </w:rPr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pPr>
      <w:keepNext/>
      <w:spacing w:before="160" w:after="60"/>
      <w:jc w:val="center"/>
    </w:pPr>
    <w:rPr>
      <w:rFonts w:ascii="Arial" w:hAnsi="Arial"/>
      <w:b/>
      <w:bCs/>
      <w:sz w:val="18"/>
    </w:rPr>
  </w:style>
  <w:style w:type="paragraph" w:customStyle="1" w:styleId="THeadingNAm">
    <w:name w:val="THeadingNAm"/>
    <w:pPr>
      <w:keepNext/>
      <w:spacing w:before="160" w:after="60" w:line="260" w:lineRule="atLeast"/>
      <w:ind w:left="879" w:right="142"/>
      <w:jc w:val="center"/>
    </w:pPr>
    <w:rPr>
      <w:b/>
      <w:bCs/>
      <w:sz w:val="24"/>
    </w:rPr>
  </w:style>
  <w:style w:type="paragraph" w:customStyle="1" w:styleId="yTableNAm">
    <w:name w:val="yTableNAm"/>
    <w:basedOn w:val="TableNAm"/>
    <w:rPr>
      <w:sz w:val="22"/>
    </w:rPr>
  </w:style>
  <w:style w:type="paragraph" w:customStyle="1" w:styleId="yTHeadingNAm">
    <w:name w:val="yTHeadingNAm"/>
    <w:basedOn w:val="THeadingNAm"/>
    <w:pPr>
      <w:ind w:left="142"/>
    </w:pPr>
    <w:rPr>
      <w:sz w:val="22"/>
    </w:rPr>
  </w:style>
  <w:style w:type="paragraph" w:customStyle="1" w:styleId="zTableNAm">
    <w:name w:val="zTableNAm"/>
    <w:basedOn w:val="TableNAm"/>
  </w:style>
  <w:style w:type="paragraph" w:customStyle="1" w:styleId="zTHeadingNAm">
    <w:name w:val="zTHeadingNAm"/>
    <w:basedOn w:val="THeadingNAm"/>
  </w:style>
  <w:style w:type="paragraph" w:customStyle="1" w:styleId="zyTableNAm">
    <w:name w:val="zyTableNAm"/>
    <w:basedOn w:val="yTableNAm"/>
  </w:style>
  <w:style w:type="paragraph" w:customStyle="1" w:styleId="zyTHeadingNAm">
    <w:name w:val="zyTHeadingNAm"/>
    <w:basedOn w:val="yTHeadingNAm"/>
  </w:style>
  <w:style w:type="paragraph" w:customStyle="1" w:styleId="SignatureText">
    <w:name w:val="SignatureText"/>
    <w:basedOn w:val="Normal"/>
  </w:style>
  <w:style w:type="paragraph" w:customStyle="1" w:styleId="ExCo">
    <w:name w:val="ExCo"/>
    <w:qFormat/>
    <w:rPr>
      <w:sz w:val="24"/>
    </w:rPr>
  </w:style>
  <w:style w:type="paragraph" w:customStyle="1" w:styleId="Certificate">
    <w:name w:val="Certificate"/>
    <w:qFormat/>
    <w:rPr>
      <w:sz w:val="24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TitleNote">
    <w:name w:val="TitleNote"/>
    <w:rPr>
      <w:sz w:val="24"/>
    </w:rPr>
  </w:style>
  <w:style w:type="paragraph" w:customStyle="1" w:styleId="nStatement">
    <w:name w:val="nStatement"/>
    <w:pPr>
      <w:spacing w:before="80"/>
    </w:pPr>
  </w:style>
  <w:style w:type="paragraph" w:customStyle="1" w:styleId="nNote">
    <w:name w:val="nNote"/>
    <w:pPr>
      <w:spacing w:before="80"/>
      <w:ind w:left="454" w:hanging="454"/>
    </w:pPr>
  </w:style>
  <w:style w:type="paragraph" w:customStyle="1" w:styleId="nNotePara">
    <w:name w:val="nNotePara"/>
    <w:pPr>
      <w:tabs>
        <w:tab w:val="right" w:pos="993"/>
      </w:tabs>
      <w:spacing w:before="40"/>
      <w:ind w:left="1134" w:hanging="1134"/>
    </w:pPr>
  </w:style>
  <w:style w:type="paragraph" w:customStyle="1" w:styleId="nNoteSubPara">
    <w:name w:val="nNoteSubPara"/>
    <w:pPr>
      <w:tabs>
        <w:tab w:val="right" w:pos="1418"/>
      </w:tabs>
      <w:spacing w:before="40"/>
      <w:ind w:left="1701" w:hanging="1701"/>
    </w:pPr>
  </w:style>
  <w:style w:type="paragraph" w:customStyle="1" w:styleId="AssentDate">
    <w:name w:val="AssentDate"/>
    <w:pPr>
      <w:jc w:val="right"/>
    </w:pPr>
    <w:rPr>
      <w:sz w:val="24"/>
    </w:rPr>
  </w:style>
  <w:style w:type="table" w:styleId="TableGrid">
    <w:name w:val="Table Grid"/>
    <w:basedOn w:val="TableNormal"/>
    <w:uiPriority w:val="59"/>
    <w:rPr>
      <w:rFonts w:asciiTheme="minorHAnsi" w:eastAsiaTheme="minorHAnsi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oterChar">
    <w:name w:val="Footer Char"/>
    <w:basedOn w:val="DefaultParagraphFont"/>
    <w:link w:val="Footer"/>
    <w:rPr>
      <w:rFonts w:ascii="Arial" w:hAnsi="Arial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eader" Target="header3.xml"/><Relationship Id="rId18" Type="http://schemas.openxmlformats.org/officeDocument/2006/relationships/footer" Target="footer5.xml"/><Relationship Id="rId26" Type="http://schemas.openxmlformats.org/officeDocument/2006/relationships/header" Target="header11.xml"/><Relationship Id="rId3" Type="http://schemas.openxmlformats.org/officeDocument/2006/relationships/styles" Target="styles.xml"/><Relationship Id="rId21" Type="http://schemas.openxmlformats.org/officeDocument/2006/relationships/image" Target="media/image2.jpeg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5" Type="http://schemas.openxmlformats.org/officeDocument/2006/relationships/header" Target="header10.xml"/><Relationship Id="rId33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6.xml"/><Relationship Id="rId29" Type="http://schemas.openxmlformats.org/officeDocument/2006/relationships/footer" Target="footer8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24" Type="http://schemas.openxmlformats.org/officeDocument/2006/relationships/header" Target="header9.xml"/><Relationship Id="rId32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23" Type="http://schemas.openxmlformats.org/officeDocument/2006/relationships/header" Target="header8.xml"/><Relationship Id="rId28" Type="http://schemas.openxmlformats.org/officeDocument/2006/relationships/footer" Target="footer7.xml"/><Relationship Id="rId10" Type="http://schemas.openxmlformats.org/officeDocument/2006/relationships/header" Target="header2.xml"/><Relationship Id="rId19" Type="http://schemas.openxmlformats.org/officeDocument/2006/relationships/header" Target="header6.xml"/><Relationship Id="rId31" Type="http://schemas.openxmlformats.org/officeDocument/2006/relationships/footer" Target="footer9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header" Target="header7.xml"/><Relationship Id="rId27" Type="http://schemas.openxmlformats.org/officeDocument/2006/relationships/header" Target="header12.xml"/><Relationship Id="rId30" Type="http://schemas.openxmlformats.org/officeDocument/2006/relationships/header" Target="header13.xml"/><Relationship Id="rId8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87F71BA-CFCD-4E87-B44C-C4F890AC6B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345</Words>
  <Characters>1916</Characters>
  <Application>Microsoft Office Word</Application>
  <DocSecurity>0</DocSecurity>
  <Lines>87</Lines>
  <Paragraphs>62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Drafting Template (Regs)</vt:lpstr>
    </vt:vector>
  </TitlesOfParts>
  <Manager/>
  <Company/>
  <LinksUpToDate>false</LinksUpToDate>
  <CharactersWithSpaces>2199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Waste Avoidance and Resource Recovery (e-waste) Regulations 2024 - 00-a0-00</dc:title>
  <dc:subject/>
  <dc:creator/>
  <cp:keywords/>
  <dc:description/>
  <cp:lastModifiedBy>Master Repository Process</cp:lastModifiedBy>
  <cp:revision>4</cp:revision>
  <cp:lastPrinted>2021-03-14T07:59:00Z</cp:lastPrinted>
  <dcterms:created xsi:type="dcterms:W3CDTF">2025-06-05T02:07:00Z</dcterms:created>
  <dcterms:modified xsi:type="dcterms:W3CDTF">2025-06-05T02:07:00Z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RegID">
    <vt:lpwstr>54147</vt:lpwstr>
  </property>
  <property fmtid="{D5CDD505-2E9C-101B-9397-08002B2CF9AE}" pid="3" name="DocumentType">
    <vt:lpwstr>Reg</vt:lpwstr>
  </property>
  <property fmtid="{D5CDD505-2E9C-101B-9397-08002B2CF9AE}" pid="4" name="AsAtDate">
    <vt:lpwstr>01 May 2024</vt:lpwstr>
  </property>
  <property fmtid="{D5CDD505-2E9C-101B-9397-08002B2CF9AE}" pid="5" name="Suffix">
    <vt:lpwstr>00-a0-00</vt:lpwstr>
  </property>
  <property fmtid="{D5CDD505-2E9C-101B-9397-08002B2CF9AE}" pid="6" name="Official">
    <vt:lpwstr/>
  </property>
  <property fmtid="{D5CDD505-2E9C-101B-9397-08002B2CF9AE}" pid="7" name="CommencementDate">
    <vt:lpwstr>20240501</vt:lpwstr>
  </property>
  <property fmtid="{D5CDD505-2E9C-101B-9397-08002B2CF9AE}" pid="8" name="CommencementAsAt">
    <vt:filetime>2024-04-30T16:00:00Z</vt:filetime>
  </property>
  <property fmtid="{D5CDD505-2E9C-101B-9397-08002B2CF9AE}" pid="9" name="CommencementYear">
    <vt:lpwstr>2024</vt:lpwstr>
  </property>
</Properties>
</file>