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and Disability Services (Complaints)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and Disability Services (Complaints) Regulations 2010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and Disability Services (Complaints) Regulations 2010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_Toc165443661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_Toc165443662 \h </w:instrText>
      </w:r>
      <w:r>
        <w:fldChar w:fldCharType="separate"/>
      </w:r>
      <w:r>
        <w:t>1</w:t>
      </w:r>
      <w:r>
        <w:fldChar w:fldCharType="end"/>
      </w:r>
    </w:p>
    <w:p>
      <w:pPr>
        <w:pStyle w:val="TOC8"/>
        <w:rPr>
          <w:rFonts w:asciiTheme="minorHAnsi" w:eastAsiaTheme="minorEastAsia" w:hAnsiTheme="minorHAnsi" w:cstheme="minorBidi"/>
          <w:szCs w:val="22"/>
        </w:rPr>
      </w:pPr>
      <w:r>
        <w:t>2A.</w:t>
      </w:r>
      <w:r>
        <w:tab/>
        <w:t>Prescribed offences (Act s. 52B(3), 52H(3) and 52R(2))</w:t>
      </w:r>
      <w:r>
        <w:tab/>
      </w:r>
      <w:r>
        <w:fldChar w:fldCharType="begin"/>
      </w:r>
      <w:r>
        <w:instrText xml:space="preserve"> PAGEREF _Toc165443663 \h </w:instrText>
      </w:r>
      <w:r>
        <w:fldChar w:fldCharType="separate"/>
      </w:r>
      <w:r>
        <w:t>1</w:t>
      </w:r>
      <w:r>
        <w:fldChar w:fldCharType="end"/>
      </w:r>
    </w:p>
    <w:p>
      <w:pPr>
        <w:pStyle w:val="TOC8"/>
        <w:rPr>
          <w:rFonts w:asciiTheme="minorHAnsi" w:eastAsiaTheme="minorEastAsia" w:hAnsiTheme="minorHAnsi" w:cstheme="minorBidi"/>
          <w:szCs w:val="22"/>
        </w:rPr>
      </w:pPr>
      <w:r>
        <w:t>2B.</w:t>
      </w:r>
      <w:r>
        <w:tab/>
        <w:t>Interstate orders prescribed (Act s. 52Q(1))</w:t>
      </w:r>
      <w:r>
        <w:tab/>
      </w:r>
      <w:r>
        <w:fldChar w:fldCharType="begin"/>
      </w:r>
      <w:r>
        <w:instrText xml:space="preserve"> PAGEREF _Toc165443664 \h </w:instrText>
      </w:r>
      <w:r>
        <w:fldChar w:fldCharType="separate"/>
      </w:r>
      <w:r>
        <w:t>2</w:t>
      </w:r>
      <w:r>
        <w:fldChar w:fldCharType="end"/>
      </w:r>
    </w:p>
    <w:p>
      <w:pPr>
        <w:pStyle w:val="TOC8"/>
        <w:rPr>
          <w:rFonts w:asciiTheme="minorHAnsi" w:eastAsiaTheme="minorEastAsia" w:hAnsiTheme="minorHAnsi" w:cstheme="minorBidi"/>
          <w:szCs w:val="22"/>
        </w:rPr>
      </w:pPr>
      <w:r>
        <w:t>3.</w:t>
      </w:r>
      <w:r>
        <w:tab/>
        <w:t>Prescribed time (Act s. 75(1))</w:t>
      </w:r>
      <w:r>
        <w:tab/>
      </w:r>
      <w:r>
        <w:fldChar w:fldCharType="begin"/>
      </w:r>
      <w:r>
        <w:instrText xml:space="preserve"> PAGEREF _Toc165443665 \h </w:instrText>
      </w:r>
      <w:r>
        <w:fldChar w:fldCharType="separate"/>
      </w:r>
      <w:r>
        <w:t>3</w:t>
      </w:r>
      <w:r>
        <w:fldChar w:fldCharType="end"/>
      </w:r>
    </w:p>
    <w:p>
      <w:pPr>
        <w:pStyle w:val="TOC8"/>
        <w:rPr>
          <w:rFonts w:asciiTheme="minorHAnsi" w:eastAsiaTheme="minorEastAsia" w:hAnsiTheme="minorHAnsi" w:cstheme="minorBidi"/>
          <w:szCs w:val="22"/>
        </w:rPr>
      </w:pPr>
      <w:r>
        <w:t>4.</w:t>
      </w:r>
      <w:r>
        <w:tab/>
        <w:t>Prescribed providers and classes of providers (Act s. 75(1))</w:t>
      </w:r>
      <w:r>
        <w:tab/>
      </w:r>
      <w:r>
        <w:fldChar w:fldCharType="begin"/>
      </w:r>
      <w:r>
        <w:instrText xml:space="preserve"> PAGEREF _Toc165443666 \h </w:instrText>
      </w:r>
      <w:r>
        <w:fldChar w:fldCharType="separate"/>
      </w:r>
      <w:r>
        <w:t>3</w:t>
      </w:r>
      <w:r>
        <w:fldChar w:fldCharType="end"/>
      </w:r>
    </w:p>
    <w:p>
      <w:pPr>
        <w:pStyle w:val="TOC8"/>
        <w:rPr>
          <w:rFonts w:asciiTheme="minorHAnsi" w:eastAsiaTheme="minorEastAsia" w:hAnsiTheme="minorHAnsi" w:cstheme="minorBidi"/>
          <w:szCs w:val="22"/>
        </w:rPr>
      </w:pPr>
      <w:r>
        <w:t>5.</w:t>
      </w:r>
      <w:r>
        <w:tab/>
        <w:t>Return, form of (Act s. 75(2))</w:t>
      </w:r>
      <w:r>
        <w:tab/>
      </w:r>
      <w:r>
        <w:fldChar w:fldCharType="begin"/>
      </w:r>
      <w:r>
        <w:instrText xml:space="preserve"> PAGEREF _Toc165443667 \h </w:instrText>
      </w:r>
      <w:r>
        <w:fldChar w:fldCharType="separate"/>
      </w:r>
      <w:r>
        <w:t>4</w:t>
      </w:r>
      <w:r>
        <w:fldChar w:fldCharType="end"/>
      </w:r>
    </w:p>
    <w:p>
      <w:pPr>
        <w:pStyle w:val="TOC8"/>
        <w:rPr>
          <w:rFonts w:asciiTheme="minorHAnsi" w:eastAsiaTheme="minorEastAsia" w:hAnsiTheme="minorHAnsi" w:cstheme="minorBidi"/>
          <w:szCs w:val="22"/>
        </w:rPr>
      </w:pPr>
      <w:r>
        <w:t>6.</w:t>
      </w:r>
      <w:r>
        <w:tab/>
        <w:t>Code of conduct prescribed (Act s. 77A)</w:t>
      </w:r>
      <w:r>
        <w:tab/>
      </w:r>
      <w:r>
        <w:fldChar w:fldCharType="begin"/>
      </w:r>
      <w:r>
        <w:instrText xml:space="preserve"> PAGEREF _Toc165443668 \h </w:instrText>
      </w:r>
      <w:r>
        <w:fldChar w:fldCharType="separate"/>
      </w:r>
      <w:r>
        <w:t>4</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Private hospitals</w:t>
      </w:r>
    </w:p>
    <w:p>
      <w:pPr>
        <w:pStyle w:val="TOC2"/>
        <w:keepNext w:val="0"/>
        <w:tabs>
          <w:tab w:val="right" w:leader="dot" w:pos="7077"/>
        </w:tabs>
        <w:rPr>
          <w:rFonts w:asciiTheme="minorHAnsi" w:eastAsiaTheme="minorEastAsia" w:hAnsiTheme="minorHAnsi" w:cstheme="minorBidi"/>
          <w:b w:val="0"/>
          <w:sz w:val="22"/>
          <w:szCs w:val="22"/>
        </w:rPr>
      </w:pPr>
      <w:r>
        <w:t>Schedule 1A — Prescribed offences</w:t>
      </w:r>
    </w:p>
    <w:p>
      <w:pPr>
        <w:pStyle w:val="TOC4"/>
        <w:keepNext w:val="0"/>
        <w:tabs>
          <w:tab w:val="right" w:leader="dot" w:pos="7077"/>
        </w:tabs>
        <w:rPr>
          <w:rFonts w:asciiTheme="minorHAnsi" w:eastAsiaTheme="minorEastAsia" w:hAnsiTheme="minorHAnsi" w:cstheme="minorBidi"/>
          <w:b w:val="0"/>
          <w:szCs w:val="22"/>
        </w:rPr>
      </w:pPr>
      <w:r>
        <w:t>Division 1 — Offences under Australian Consumer Law</w:t>
      </w:r>
    </w:p>
    <w:p>
      <w:pPr>
        <w:pStyle w:val="TOC4"/>
        <w:keepNext w:val="0"/>
        <w:tabs>
          <w:tab w:val="right" w:leader="dot" w:pos="7077"/>
        </w:tabs>
        <w:rPr>
          <w:rFonts w:asciiTheme="minorHAnsi" w:eastAsiaTheme="minorEastAsia" w:hAnsiTheme="minorHAnsi" w:cstheme="minorBidi"/>
          <w:b w:val="0"/>
          <w:szCs w:val="22"/>
        </w:rPr>
      </w:pPr>
      <w:r>
        <w:t xml:space="preserve">Division 2 — Offences under </w:t>
      </w:r>
      <w:r>
        <w:rPr>
          <w:i/>
        </w:rPr>
        <w:t>Children and Community Services Act 2004</w:t>
      </w:r>
    </w:p>
    <w:p>
      <w:pPr>
        <w:pStyle w:val="TOC4"/>
        <w:keepNext w:val="0"/>
        <w:tabs>
          <w:tab w:val="right" w:leader="dot" w:pos="7077"/>
        </w:tabs>
        <w:rPr>
          <w:rFonts w:asciiTheme="minorHAnsi" w:eastAsiaTheme="minorEastAsia" w:hAnsiTheme="minorHAnsi" w:cstheme="minorBidi"/>
          <w:b w:val="0"/>
          <w:szCs w:val="22"/>
        </w:rPr>
      </w:pPr>
      <w:r>
        <w:t xml:space="preserve">Division 3 — Offences under </w:t>
      </w:r>
      <w:r>
        <w:rPr>
          <w:i/>
        </w:rPr>
        <w:t>The Criminal Code</w:t>
      </w:r>
    </w:p>
    <w:p>
      <w:pPr>
        <w:pStyle w:val="TOC4"/>
        <w:keepNext w:val="0"/>
        <w:tabs>
          <w:tab w:val="right" w:leader="dot" w:pos="7077"/>
        </w:tabs>
        <w:rPr>
          <w:rFonts w:asciiTheme="minorHAnsi" w:eastAsiaTheme="minorEastAsia" w:hAnsiTheme="minorHAnsi" w:cstheme="minorBidi"/>
          <w:b w:val="0"/>
          <w:szCs w:val="22"/>
        </w:rPr>
      </w:pPr>
      <w:r>
        <w:t xml:space="preserve">Division 4 — Offences under </w:t>
      </w:r>
      <w:r>
        <w:rPr>
          <w:i/>
        </w:rPr>
        <w:t>Human Reproductive Technology Act 1991</w:t>
      </w:r>
    </w:p>
    <w:p>
      <w:pPr>
        <w:pStyle w:val="TOC4"/>
        <w:keepNext w:val="0"/>
        <w:tabs>
          <w:tab w:val="right" w:leader="dot" w:pos="7077"/>
        </w:tabs>
        <w:rPr>
          <w:rFonts w:asciiTheme="minorHAnsi" w:eastAsiaTheme="minorEastAsia" w:hAnsiTheme="minorHAnsi" w:cstheme="minorBidi"/>
          <w:b w:val="0"/>
          <w:szCs w:val="22"/>
        </w:rPr>
      </w:pPr>
      <w:r>
        <w:t xml:space="preserve">Division 5 — Offences under </w:t>
      </w:r>
      <w:r>
        <w:rPr>
          <w:i/>
        </w:rPr>
        <w:t>Misuse of Drugs Act 1981</w:t>
      </w:r>
    </w:p>
    <w:p>
      <w:pPr>
        <w:pStyle w:val="TOC4"/>
        <w:keepNext w:val="0"/>
        <w:tabs>
          <w:tab w:val="right" w:leader="dot" w:pos="7077"/>
        </w:tabs>
        <w:rPr>
          <w:rFonts w:asciiTheme="minorHAnsi" w:eastAsiaTheme="minorEastAsia" w:hAnsiTheme="minorHAnsi" w:cstheme="minorBidi"/>
          <w:b w:val="0"/>
          <w:szCs w:val="22"/>
        </w:rPr>
      </w:pPr>
      <w:r>
        <w:t xml:space="preserve">Division 6 — Offence under </w:t>
      </w:r>
      <w:r>
        <w:rPr>
          <w:i/>
        </w:rPr>
        <w:t>Prohibited Behaviour Orders Act 2010</w:t>
      </w:r>
    </w:p>
    <w:p>
      <w:pPr>
        <w:pStyle w:val="TOC4"/>
        <w:keepNext w:val="0"/>
        <w:tabs>
          <w:tab w:val="right" w:leader="dot" w:pos="7077"/>
        </w:tabs>
        <w:rPr>
          <w:rFonts w:asciiTheme="minorHAnsi" w:eastAsiaTheme="minorEastAsia" w:hAnsiTheme="minorHAnsi" w:cstheme="minorBidi"/>
          <w:b w:val="0"/>
          <w:szCs w:val="22"/>
        </w:rPr>
      </w:pPr>
      <w:r>
        <w:lastRenderedPageBreak/>
        <w:t xml:space="preserve">Division 7 — Offences under </w:t>
      </w:r>
      <w:r>
        <w:rPr>
          <w:i/>
        </w:rPr>
        <w:t>Prostitution Act 2000</w:t>
      </w:r>
    </w:p>
    <w:p>
      <w:pPr>
        <w:pStyle w:val="TOC4"/>
        <w:keepNext w:val="0"/>
        <w:tabs>
          <w:tab w:val="right" w:leader="dot" w:pos="7077"/>
        </w:tabs>
        <w:rPr>
          <w:rFonts w:asciiTheme="minorHAnsi" w:eastAsiaTheme="minorEastAsia" w:hAnsiTheme="minorHAnsi" w:cstheme="minorBidi"/>
          <w:b w:val="0"/>
          <w:szCs w:val="22"/>
        </w:rPr>
      </w:pPr>
      <w:r>
        <w:t>Division 7A — Offences under Public Health Act 2016</w:t>
      </w:r>
    </w:p>
    <w:p>
      <w:pPr>
        <w:pStyle w:val="TOC4"/>
        <w:keepNext w:val="0"/>
        <w:tabs>
          <w:tab w:val="right" w:leader="dot" w:pos="7077"/>
        </w:tabs>
        <w:rPr>
          <w:rFonts w:asciiTheme="minorHAnsi" w:eastAsiaTheme="minorEastAsia" w:hAnsiTheme="minorHAnsi" w:cstheme="minorBidi"/>
          <w:b w:val="0"/>
          <w:szCs w:val="22"/>
        </w:rPr>
      </w:pPr>
      <w:r>
        <w:t xml:space="preserve">Division 8 — Offences under </w:t>
      </w:r>
      <w:r>
        <w:rPr>
          <w:i/>
        </w:rPr>
        <w:t>Restraining Orders Act 1997</w:t>
      </w:r>
    </w:p>
    <w:p>
      <w:pPr>
        <w:pStyle w:val="TOC4"/>
        <w:keepNext w:val="0"/>
        <w:tabs>
          <w:tab w:val="right" w:leader="dot" w:pos="7077"/>
        </w:tabs>
        <w:rPr>
          <w:rFonts w:asciiTheme="minorHAnsi" w:eastAsiaTheme="minorEastAsia" w:hAnsiTheme="minorHAnsi" w:cstheme="minorBidi"/>
          <w:b w:val="0"/>
          <w:szCs w:val="22"/>
        </w:rPr>
      </w:pPr>
      <w:r>
        <w:t xml:space="preserve">Division 9 — Offences under </w:t>
      </w:r>
      <w:r>
        <w:rPr>
          <w:i/>
        </w:rPr>
        <w:t>Voluntary Assisted Dying Act 2019</w:t>
      </w:r>
    </w:p>
    <w:p>
      <w:pPr>
        <w:pStyle w:val="TOC2"/>
        <w:tabs>
          <w:tab w:val="right" w:leader="dot" w:pos="7077"/>
        </w:tabs>
        <w:rPr>
          <w:rFonts w:asciiTheme="minorHAnsi" w:eastAsiaTheme="minorEastAsia" w:hAnsiTheme="minorHAnsi" w:cstheme="minorBidi"/>
          <w:b w:val="0"/>
          <w:sz w:val="22"/>
          <w:szCs w:val="22"/>
        </w:rPr>
      </w:pPr>
      <w:r>
        <w:t>Schedule 2 — Form</w:t>
      </w:r>
    </w:p>
    <w:p>
      <w:pPr>
        <w:pStyle w:val="TOC8"/>
        <w:rPr>
          <w:rFonts w:asciiTheme="minorHAnsi" w:eastAsiaTheme="minorEastAsia" w:hAnsiTheme="minorHAnsi" w:cstheme="minorBidi"/>
          <w:szCs w:val="22"/>
        </w:rPr>
      </w:pPr>
      <w:r>
        <w:t>1.</w:t>
      </w:r>
      <w:r>
        <w:tab/>
        <w:t>Annual return of complaints information</w:t>
      </w:r>
      <w:r>
        <w:tab/>
      </w:r>
      <w:r>
        <w:fldChar w:fldCharType="begin"/>
      </w:r>
      <w:r>
        <w:instrText xml:space="preserve"> PAGEREF _Toc165443682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3 — Code of conduct for certain health care workers</w:t>
      </w:r>
    </w:p>
    <w:p>
      <w:pPr>
        <w:pStyle w:val="TOC8"/>
        <w:rPr>
          <w:rFonts w:asciiTheme="minorHAnsi" w:eastAsiaTheme="minorEastAsia" w:hAnsiTheme="minorHAnsi" w:cstheme="minorBidi"/>
          <w:szCs w:val="22"/>
        </w:rPr>
      </w:pPr>
      <w:r>
        <w:t>1.</w:t>
      </w:r>
      <w:r>
        <w:tab/>
        <w:t>Health care workers to provide services in safe and ethical manner</w:t>
      </w:r>
      <w:r>
        <w:tab/>
      </w:r>
      <w:r>
        <w:fldChar w:fldCharType="begin"/>
      </w:r>
      <w:r>
        <w:instrText xml:space="preserve"> PAGEREF _Toc165443684 \h </w:instrText>
      </w:r>
      <w:r>
        <w:fldChar w:fldCharType="separate"/>
      </w:r>
      <w:r>
        <w:t>23</w:t>
      </w:r>
      <w:r>
        <w:fldChar w:fldCharType="end"/>
      </w:r>
    </w:p>
    <w:p>
      <w:pPr>
        <w:pStyle w:val="TOC8"/>
        <w:rPr>
          <w:rFonts w:asciiTheme="minorHAnsi" w:eastAsiaTheme="minorEastAsia" w:hAnsiTheme="minorHAnsi" w:cstheme="minorBidi"/>
          <w:szCs w:val="22"/>
        </w:rPr>
      </w:pPr>
      <w:r>
        <w:t>2.</w:t>
      </w:r>
      <w:r>
        <w:tab/>
        <w:t>Health care workers to obtain consent</w:t>
      </w:r>
      <w:r>
        <w:tab/>
      </w:r>
      <w:r>
        <w:fldChar w:fldCharType="begin"/>
      </w:r>
      <w:r>
        <w:instrText xml:space="preserve"> PAGEREF _Toc165443685 \h </w:instrText>
      </w:r>
      <w:r>
        <w:fldChar w:fldCharType="separate"/>
      </w:r>
      <w:r>
        <w:t>24</w:t>
      </w:r>
      <w:r>
        <w:fldChar w:fldCharType="end"/>
      </w:r>
    </w:p>
    <w:p>
      <w:pPr>
        <w:pStyle w:val="TOC8"/>
        <w:rPr>
          <w:rFonts w:asciiTheme="minorHAnsi" w:eastAsiaTheme="minorEastAsia" w:hAnsiTheme="minorHAnsi" w:cstheme="minorBidi"/>
          <w:szCs w:val="22"/>
        </w:rPr>
      </w:pPr>
      <w:r>
        <w:t>3.</w:t>
      </w:r>
      <w:r>
        <w:tab/>
        <w:t>Appropriate conduct in relation to treatment advice</w:t>
      </w:r>
      <w:r>
        <w:tab/>
      </w:r>
      <w:r>
        <w:fldChar w:fldCharType="begin"/>
      </w:r>
      <w:r>
        <w:instrText xml:space="preserve"> PAGEREF _Toc165443686 \h </w:instrText>
      </w:r>
      <w:r>
        <w:fldChar w:fldCharType="separate"/>
      </w:r>
      <w:r>
        <w:t>24</w:t>
      </w:r>
      <w:r>
        <w:fldChar w:fldCharType="end"/>
      </w:r>
    </w:p>
    <w:p>
      <w:pPr>
        <w:pStyle w:val="TOC8"/>
        <w:rPr>
          <w:rFonts w:asciiTheme="minorHAnsi" w:eastAsiaTheme="minorEastAsia" w:hAnsiTheme="minorHAnsi" w:cstheme="minorBidi"/>
          <w:szCs w:val="22"/>
        </w:rPr>
      </w:pPr>
      <w:r>
        <w:t>4.</w:t>
      </w:r>
      <w:r>
        <w:tab/>
        <w:t>Health care workers to report concerns about conduct of other health care workers</w:t>
      </w:r>
      <w:r>
        <w:tab/>
      </w:r>
      <w:r>
        <w:fldChar w:fldCharType="begin"/>
      </w:r>
      <w:r>
        <w:instrText xml:space="preserve"> PAGEREF _Toc165443687 \h </w:instrText>
      </w:r>
      <w:r>
        <w:fldChar w:fldCharType="separate"/>
      </w:r>
      <w:r>
        <w:t>24</w:t>
      </w:r>
      <w:r>
        <w:fldChar w:fldCharType="end"/>
      </w:r>
    </w:p>
    <w:p>
      <w:pPr>
        <w:pStyle w:val="TOC8"/>
        <w:rPr>
          <w:rFonts w:asciiTheme="minorHAnsi" w:eastAsiaTheme="minorEastAsia" w:hAnsiTheme="minorHAnsi" w:cstheme="minorBidi"/>
          <w:szCs w:val="22"/>
        </w:rPr>
      </w:pPr>
      <w:r>
        <w:t>5.</w:t>
      </w:r>
      <w:r>
        <w:tab/>
        <w:t>Health care workers to take appropriate action in response to adverse events</w:t>
      </w:r>
      <w:r>
        <w:tab/>
      </w:r>
      <w:r>
        <w:fldChar w:fldCharType="begin"/>
      </w:r>
      <w:r>
        <w:instrText xml:space="preserve"> PAGEREF _Toc165443688 \h </w:instrText>
      </w:r>
      <w:r>
        <w:fldChar w:fldCharType="separate"/>
      </w:r>
      <w:r>
        <w:t>24</w:t>
      </w:r>
      <w:r>
        <w:fldChar w:fldCharType="end"/>
      </w:r>
    </w:p>
    <w:p>
      <w:pPr>
        <w:pStyle w:val="TOC8"/>
        <w:rPr>
          <w:rFonts w:asciiTheme="minorHAnsi" w:eastAsiaTheme="minorEastAsia" w:hAnsiTheme="minorHAnsi" w:cstheme="minorBidi"/>
          <w:szCs w:val="22"/>
        </w:rPr>
      </w:pPr>
      <w:r>
        <w:t>6.</w:t>
      </w:r>
      <w:r>
        <w:tab/>
        <w:t>Health care workers to adopt standard precautions for infection control</w:t>
      </w:r>
      <w:r>
        <w:tab/>
      </w:r>
      <w:r>
        <w:fldChar w:fldCharType="begin"/>
      </w:r>
      <w:r>
        <w:instrText xml:space="preserve"> PAGEREF _Toc165443689 \h </w:instrText>
      </w:r>
      <w:r>
        <w:fldChar w:fldCharType="separate"/>
      </w:r>
      <w:r>
        <w:t>25</w:t>
      </w:r>
      <w:r>
        <w:fldChar w:fldCharType="end"/>
      </w:r>
    </w:p>
    <w:p>
      <w:pPr>
        <w:pStyle w:val="TOC8"/>
        <w:rPr>
          <w:rFonts w:asciiTheme="minorHAnsi" w:eastAsiaTheme="minorEastAsia" w:hAnsiTheme="minorHAnsi" w:cstheme="minorBidi"/>
          <w:szCs w:val="22"/>
        </w:rPr>
      </w:pPr>
      <w:r>
        <w:t>7.</w:t>
      </w:r>
      <w:r>
        <w:tab/>
        <w:t>Health care workers diagnosed with infectious medical conditions</w:t>
      </w:r>
      <w:r>
        <w:tab/>
      </w:r>
      <w:r>
        <w:fldChar w:fldCharType="begin"/>
      </w:r>
      <w:r>
        <w:instrText xml:space="preserve"> PAGEREF _Toc165443690 \h </w:instrText>
      </w:r>
      <w:r>
        <w:fldChar w:fldCharType="separate"/>
      </w:r>
      <w:r>
        <w:t>25</w:t>
      </w:r>
      <w:r>
        <w:fldChar w:fldCharType="end"/>
      </w:r>
    </w:p>
    <w:p>
      <w:pPr>
        <w:pStyle w:val="TOC8"/>
        <w:rPr>
          <w:rFonts w:asciiTheme="minorHAnsi" w:eastAsiaTheme="minorEastAsia" w:hAnsiTheme="minorHAnsi" w:cstheme="minorBidi"/>
          <w:szCs w:val="22"/>
        </w:rPr>
      </w:pPr>
      <w:r>
        <w:t>8.</w:t>
      </w:r>
      <w:r>
        <w:tab/>
        <w:t>Health care workers not to make claims to cure certain serious illnesses</w:t>
      </w:r>
      <w:r>
        <w:tab/>
      </w:r>
      <w:r>
        <w:fldChar w:fldCharType="begin"/>
      </w:r>
      <w:r>
        <w:instrText xml:space="preserve"> PAGEREF _Toc165443691 \h </w:instrText>
      </w:r>
      <w:r>
        <w:fldChar w:fldCharType="separate"/>
      </w:r>
      <w:r>
        <w:t>26</w:t>
      </w:r>
      <w:r>
        <w:fldChar w:fldCharType="end"/>
      </w:r>
    </w:p>
    <w:p>
      <w:pPr>
        <w:pStyle w:val="TOC8"/>
        <w:rPr>
          <w:rFonts w:asciiTheme="minorHAnsi" w:eastAsiaTheme="minorEastAsia" w:hAnsiTheme="minorHAnsi" w:cstheme="minorBidi"/>
          <w:szCs w:val="22"/>
        </w:rPr>
      </w:pPr>
      <w:r>
        <w:t>9.</w:t>
      </w:r>
      <w:r>
        <w:tab/>
        <w:t>Health care workers not to misinform clients</w:t>
      </w:r>
      <w:r>
        <w:tab/>
      </w:r>
      <w:r>
        <w:fldChar w:fldCharType="begin"/>
      </w:r>
      <w:r>
        <w:instrText xml:space="preserve"> PAGEREF _Toc165443692 \h </w:instrText>
      </w:r>
      <w:r>
        <w:fldChar w:fldCharType="separate"/>
      </w:r>
      <w:r>
        <w:t>26</w:t>
      </w:r>
      <w:r>
        <w:fldChar w:fldCharType="end"/>
      </w:r>
    </w:p>
    <w:p>
      <w:pPr>
        <w:pStyle w:val="TOC8"/>
        <w:rPr>
          <w:rFonts w:asciiTheme="minorHAnsi" w:eastAsiaTheme="minorEastAsia" w:hAnsiTheme="minorHAnsi" w:cstheme="minorBidi"/>
          <w:szCs w:val="22"/>
        </w:rPr>
      </w:pPr>
      <w:r>
        <w:t>10.</w:t>
      </w:r>
      <w:r>
        <w:tab/>
        <w:t>Health care workers not to practise under influence of alcohol or unlawful substances</w:t>
      </w:r>
      <w:r>
        <w:tab/>
      </w:r>
      <w:r>
        <w:fldChar w:fldCharType="begin"/>
      </w:r>
      <w:r>
        <w:instrText xml:space="preserve"> PAGEREF _Toc165443693 \h </w:instrText>
      </w:r>
      <w:r>
        <w:fldChar w:fldCharType="separate"/>
      </w:r>
      <w:r>
        <w:t>26</w:t>
      </w:r>
      <w:r>
        <w:fldChar w:fldCharType="end"/>
      </w:r>
    </w:p>
    <w:p>
      <w:pPr>
        <w:pStyle w:val="TOC8"/>
        <w:rPr>
          <w:rFonts w:asciiTheme="minorHAnsi" w:eastAsiaTheme="minorEastAsia" w:hAnsiTheme="minorHAnsi" w:cstheme="minorBidi"/>
          <w:szCs w:val="22"/>
        </w:rPr>
      </w:pPr>
      <w:r>
        <w:t>11.</w:t>
      </w:r>
      <w:r>
        <w:tab/>
        <w:t>Health care workers with certain mental or physical impairments</w:t>
      </w:r>
      <w:r>
        <w:tab/>
      </w:r>
      <w:r>
        <w:fldChar w:fldCharType="begin"/>
      </w:r>
      <w:r>
        <w:instrText xml:space="preserve"> PAGEREF _Toc165443694 \h </w:instrText>
      </w:r>
      <w:r>
        <w:fldChar w:fldCharType="separate"/>
      </w:r>
      <w:r>
        <w:t>27</w:t>
      </w:r>
      <w:r>
        <w:fldChar w:fldCharType="end"/>
      </w:r>
    </w:p>
    <w:p>
      <w:pPr>
        <w:pStyle w:val="TOC8"/>
        <w:rPr>
          <w:rFonts w:asciiTheme="minorHAnsi" w:eastAsiaTheme="minorEastAsia" w:hAnsiTheme="minorHAnsi" w:cstheme="minorBidi"/>
          <w:szCs w:val="22"/>
        </w:rPr>
      </w:pPr>
      <w:r>
        <w:t>12.</w:t>
      </w:r>
      <w:r>
        <w:tab/>
        <w:t>Health care workers not to financially exploit clients</w:t>
      </w:r>
      <w:r>
        <w:tab/>
      </w:r>
      <w:r>
        <w:fldChar w:fldCharType="begin"/>
      </w:r>
      <w:r>
        <w:instrText xml:space="preserve"> PAGEREF _Toc165443695 \h </w:instrText>
      </w:r>
      <w:r>
        <w:fldChar w:fldCharType="separate"/>
      </w:r>
      <w:r>
        <w:t>27</w:t>
      </w:r>
      <w:r>
        <w:fldChar w:fldCharType="end"/>
      </w:r>
    </w:p>
    <w:p>
      <w:pPr>
        <w:pStyle w:val="TOC8"/>
        <w:rPr>
          <w:rFonts w:asciiTheme="minorHAnsi" w:eastAsiaTheme="minorEastAsia" w:hAnsiTheme="minorHAnsi" w:cstheme="minorBidi"/>
          <w:szCs w:val="22"/>
        </w:rPr>
      </w:pPr>
      <w:r>
        <w:t>13.</w:t>
      </w:r>
      <w:r>
        <w:tab/>
        <w:t>Health care workers not to engage in sexual or other misconduct</w:t>
      </w:r>
      <w:r>
        <w:tab/>
      </w:r>
      <w:r>
        <w:fldChar w:fldCharType="begin"/>
      </w:r>
      <w:r>
        <w:instrText xml:space="preserve"> PAGEREF _Toc165443696 \h </w:instrText>
      </w:r>
      <w:r>
        <w:fldChar w:fldCharType="separate"/>
      </w:r>
      <w:r>
        <w:t>27</w:t>
      </w:r>
      <w:r>
        <w:fldChar w:fldCharType="end"/>
      </w:r>
    </w:p>
    <w:p>
      <w:pPr>
        <w:pStyle w:val="TOC8"/>
        <w:rPr>
          <w:rFonts w:asciiTheme="minorHAnsi" w:eastAsiaTheme="minorEastAsia" w:hAnsiTheme="minorHAnsi" w:cstheme="minorBidi"/>
          <w:szCs w:val="22"/>
        </w:rPr>
      </w:pPr>
      <w:r>
        <w:t>14.</w:t>
      </w:r>
      <w:r>
        <w:tab/>
        <w:t>Health care workers to comply with relevant privacy laws</w:t>
      </w:r>
      <w:r>
        <w:tab/>
      </w:r>
      <w:r>
        <w:fldChar w:fldCharType="begin"/>
      </w:r>
      <w:r>
        <w:instrText xml:space="preserve"> PAGEREF _Toc165443697 \h </w:instrText>
      </w:r>
      <w:r>
        <w:fldChar w:fldCharType="separate"/>
      </w:r>
      <w:r>
        <w:t>28</w:t>
      </w:r>
      <w:r>
        <w:fldChar w:fldCharType="end"/>
      </w:r>
    </w:p>
    <w:p>
      <w:pPr>
        <w:pStyle w:val="TOC8"/>
        <w:rPr>
          <w:rFonts w:asciiTheme="minorHAnsi" w:eastAsiaTheme="minorEastAsia" w:hAnsiTheme="minorHAnsi" w:cstheme="minorBidi"/>
          <w:szCs w:val="22"/>
        </w:rPr>
      </w:pPr>
      <w:r>
        <w:lastRenderedPageBreak/>
        <w:t>15.</w:t>
      </w:r>
      <w:r>
        <w:tab/>
        <w:t>Health care workers to keep appropriate records</w:t>
      </w:r>
      <w:r>
        <w:tab/>
      </w:r>
      <w:r>
        <w:fldChar w:fldCharType="begin"/>
      </w:r>
      <w:r>
        <w:instrText xml:space="preserve"> PAGEREF _Toc165443698 \h </w:instrText>
      </w:r>
      <w:r>
        <w:fldChar w:fldCharType="separate"/>
      </w:r>
      <w:r>
        <w:t>28</w:t>
      </w:r>
      <w:r>
        <w:fldChar w:fldCharType="end"/>
      </w:r>
    </w:p>
    <w:p>
      <w:pPr>
        <w:pStyle w:val="TOC8"/>
        <w:rPr>
          <w:rFonts w:asciiTheme="minorHAnsi" w:eastAsiaTheme="minorEastAsia" w:hAnsiTheme="minorHAnsi" w:cstheme="minorBidi"/>
          <w:szCs w:val="22"/>
        </w:rPr>
      </w:pPr>
      <w:r>
        <w:t>16.</w:t>
      </w:r>
      <w:r>
        <w:tab/>
        <w:t>Health care workers to have appropriate insurance</w:t>
      </w:r>
      <w:r>
        <w:tab/>
      </w:r>
      <w:r>
        <w:fldChar w:fldCharType="begin"/>
      </w:r>
      <w:r>
        <w:instrText xml:space="preserve"> PAGEREF _Toc165443699 \h </w:instrText>
      </w:r>
      <w:r>
        <w:fldChar w:fldCharType="separate"/>
      </w:r>
      <w:r>
        <w:t>28</w:t>
      </w:r>
      <w:r>
        <w:fldChar w:fldCharType="end"/>
      </w:r>
    </w:p>
    <w:p>
      <w:pPr>
        <w:pStyle w:val="TOC8"/>
        <w:rPr>
          <w:rFonts w:asciiTheme="minorHAnsi" w:eastAsiaTheme="minorEastAsia" w:hAnsiTheme="minorHAnsi" w:cstheme="minorBidi"/>
          <w:szCs w:val="22"/>
        </w:rPr>
      </w:pPr>
      <w:r>
        <w:t>17.</w:t>
      </w:r>
      <w:r>
        <w:tab/>
        <w:t>Health care workers to display code and other information</w:t>
      </w:r>
      <w:r>
        <w:tab/>
      </w:r>
      <w:r>
        <w:fldChar w:fldCharType="begin"/>
      </w:r>
      <w:r>
        <w:instrText xml:space="preserve"> PAGEREF _Toc165443700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_Toc165443702 \h </w:instrText>
      </w:r>
      <w:r>
        <w:fldChar w:fldCharType="separate"/>
      </w:r>
      <w:r>
        <w:t>30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_Toc165443703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Health and Disability Services (Complaints) Act 1995</w:t>
      </w:r>
    </w:p>
    <w:p>
      <w:pPr>
        <w:pStyle w:val="NameofActReg"/>
        <w:spacing w:before="680" w:after="800"/>
      </w:pPr>
      <w:r>
        <w:t>Health and Disability Services (Complaints) Regulations 2010</w:t>
      </w:r>
    </w:p>
    <w:p>
      <w:pPr>
        <w:pStyle w:val="Heading5"/>
      </w:pPr>
      <w:bookmarkStart w:id="2" w:name="Start_Cursor"/>
      <w:bookmarkStart w:id="3" w:name="_Toc165443661"/>
      <w:bookmarkEnd w:id="2"/>
      <w:r>
        <w:rPr>
          <w:rStyle w:val="CharSectno"/>
        </w:rPr>
        <w:t>1</w:t>
      </w:r>
      <w:r>
        <w:t>.</w:t>
      </w:r>
      <w:r>
        <w:tab/>
        <w:t>Citation</w:t>
      </w:r>
      <w:bookmarkEnd w:id="3"/>
    </w:p>
    <w:p>
      <w:pPr>
        <w:pStyle w:val="Subsection"/>
      </w:pPr>
      <w:r>
        <w:tab/>
      </w:r>
      <w:r>
        <w:tab/>
      </w:r>
      <w:r>
        <w:rPr>
          <w:spacing w:val="-2"/>
        </w:rPr>
        <w:t>These</w:t>
      </w:r>
      <w:r>
        <w:t xml:space="preserve"> </w:t>
      </w:r>
      <w:r>
        <w:rPr>
          <w:spacing w:val="-2"/>
        </w:rPr>
        <w:t>regulations</w:t>
      </w:r>
      <w:r>
        <w:t xml:space="preserve"> are the </w:t>
      </w:r>
      <w:r>
        <w:rPr>
          <w:i/>
        </w:rPr>
        <w:t>Health and Disability Services (Complaints) Regulations 2010</w:t>
      </w:r>
      <w:r>
        <w:t>.</w:t>
      </w:r>
    </w:p>
    <w:p>
      <w:pPr>
        <w:pStyle w:val="Footnotesection"/>
      </w:pPr>
      <w:r>
        <w:tab/>
        <w:t>[Regulation 1 inserted: Gazette 20 May 2011 p. 1838.]</w:t>
      </w:r>
    </w:p>
    <w:p>
      <w:pPr>
        <w:pStyle w:val="Heading5"/>
        <w:rPr>
          <w:spacing w:val="-2"/>
        </w:rPr>
      </w:pPr>
      <w:bookmarkStart w:id="4" w:name="_Toc165443662"/>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5" w:name="_Toc165443663"/>
      <w:r>
        <w:rPr>
          <w:rStyle w:val="CharSectno"/>
        </w:rPr>
        <w:t>2A</w:t>
      </w:r>
      <w:r>
        <w:t>.</w:t>
      </w:r>
      <w:r>
        <w:tab/>
        <w:t>Prescribed offences (Act s. 52B(3), 52H(3) and 52R(2))</w:t>
      </w:r>
      <w:bookmarkEnd w:id="5"/>
    </w:p>
    <w:p>
      <w:pPr>
        <w:pStyle w:val="Subsection"/>
      </w:pPr>
      <w:r>
        <w:tab/>
        <w:t>(1)</w:t>
      </w:r>
      <w:r>
        <w:tab/>
        <w:t xml:space="preserve">For the purposes of sections 52B(3)(a)(ii), 52H(3)(a)(ii) and 52R(2)(a)(ii) of the Act, each of the following is a prescribed offence — </w:t>
      </w:r>
    </w:p>
    <w:p>
      <w:pPr>
        <w:pStyle w:val="Indenta"/>
      </w:pPr>
      <w:r>
        <w:tab/>
        <w:t>(a)</w:t>
      </w:r>
      <w:r>
        <w:tab/>
        <w:t>an offence specified in Schedule 1A;</w:t>
      </w:r>
    </w:p>
    <w:p>
      <w:pPr>
        <w:pStyle w:val="Indenta"/>
      </w:pPr>
      <w:r>
        <w:tab/>
        <w:t>(b)</w:t>
      </w:r>
      <w:r>
        <w:tab/>
        <w:t>an offence of conspiracy, attempt or incitement to commit an offence referred to in paragraph (a);</w:t>
      </w:r>
    </w:p>
    <w:p>
      <w:pPr>
        <w:pStyle w:val="Indenta"/>
      </w:pPr>
      <w:r>
        <w:tab/>
        <w:t>(c)</w:t>
      </w:r>
      <w:r>
        <w:tab/>
        <w:t xml:space="preserve">an offence against the law of the Commonwealth or of any place outside this State if the offender’s acts or omissions that constituted the offence under that law </w:t>
      </w:r>
      <w:r>
        <w:lastRenderedPageBreak/>
        <w:t>would have constituted an offence under paragraph (a) or (b) if they had occurred in this State.</w:t>
      </w:r>
    </w:p>
    <w:p>
      <w:pPr>
        <w:pStyle w:val="Subsection"/>
      </w:pPr>
      <w:r>
        <w:tab/>
        <w:t>(2)</w:t>
      </w:r>
      <w:r>
        <w:tab/>
        <w:t xml:space="preserve">In Schedule 1A — </w:t>
      </w:r>
    </w:p>
    <w:p>
      <w:pPr>
        <w:pStyle w:val="Defstart"/>
      </w:pPr>
      <w:r>
        <w:tab/>
      </w:r>
      <w:r>
        <w:rPr>
          <w:rStyle w:val="CharDefText"/>
        </w:rPr>
        <w:t>Australian Consumer Law</w:t>
      </w:r>
      <w:r>
        <w:t xml:space="preserve"> means — </w:t>
      </w:r>
    </w:p>
    <w:p>
      <w:pPr>
        <w:pStyle w:val="Defpara"/>
      </w:pPr>
      <w:r>
        <w:tab/>
        <w:t>(a)</w:t>
      </w:r>
      <w:r>
        <w:tab/>
        <w:t xml:space="preserve">the Australian Consumer Law as defined in the </w:t>
      </w:r>
      <w:r>
        <w:rPr>
          <w:i/>
        </w:rPr>
        <w:t>Competition and Consumer Act 2010</w:t>
      </w:r>
      <w:r>
        <w:t xml:space="preserve"> (Commonwealth) section 4(1); and </w:t>
      </w:r>
    </w:p>
    <w:p>
      <w:pPr>
        <w:pStyle w:val="Defpara"/>
      </w:pPr>
      <w:r>
        <w:tab/>
        <w:t>(b)</w:t>
      </w:r>
      <w:r>
        <w:tab/>
        <w:t xml:space="preserve">the </w:t>
      </w:r>
      <w:r>
        <w:rPr>
          <w:i/>
        </w:rPr>
        <w:t>Australian Consumer Law (WA)</w:t>
      </w:r>
      <w:r>
        <w:t xml:space="preserve"> as defined in the </w:t>
      </w:r>
      <w:r>
        <w:rPr>
          <w:i/>
        </w:rPr>
        <w:t>Fair Trading Act 2010</w:t>
      </w:r>
      <w:r>
        <w:t xml:space="preserve"> section 17(1).</w:t>
      </w:r>
    </w:p>
    <w:p>
      <w:pPr>
        <w:pStyle w:val="Footnotesection"/>
      </w:pPr>
      <w:r>
        <w:tab/>
        <w:t>[Regulation 2A inserted: SL 2023/115 r. 4.]</w:t>
      </w:r>
    </w:p>
    <w:p>
      <w:pPr>
        <w:pStyle w:val="Heading5"/>
      </w:pPr>
      <w:bookmarkStart w:id="6" w:name="_Toc165443664"/>
      <w:r>
        <w:rPr>
          <w:rStyle w:val="CharSectno"/>
        </w:rPr>
        <w:t>2B</w:t>
      </w:r>
      <w:r>
        <w:t>.</w:t>
      </w:r>
      <w:r>
        <w:tab/>
        <w:t>Interstate orders prescribed (Act s. 52Q(1))</w:t>
      </w:r>
      <w:bookmarkEnd w:id="6"/>
    </w:p>
    <w:p>
      <w:pPr>
        <w:pStyle w:val="Subsection"/>
      </w:pPr>
      <w:r>
        <w:tab/>
        <w:t>(1)</w:t>
      </w:r>
      <w:r>
        <w:tab/>
        <w:t xml:space="preserve">For the purposes of the definition of </w:t>
      </w:r>
      <w:r>
        <w:rPr>
          <w:b/>
          <w:i/>
        </w:rPr>
        <w:t>interstate interim prohibition order</w:t>
      </w:r>
      <w:r>
        <w:t xml:space="preserve"> in section 52Q(1) of the Act, each of the following is an interstate interim prohibition order — </w:t>
      </w:r>
    </w:p>
    <w:p>
      <w:pPr>
        <w:pStyle w:val="Indenta"/>
      </w:pPr>
      <w:r>
        <w:tab/>
        <w:t>(a)</w:t>
      </w:r>
      <w:r>
        <w:tab/>
        <w:t xml:space="preserve">an order under the </w:t>
      </w:r>
      <w:r>
        <w:rPr>
          <w:i/>
        </w:rPr>
        <w:t>Health and Community Services Complaints Act 2004</w:t>
      </w:r>
      <w:r>
        <w:t xml:space="preserve"> (South Australia) section 56B(2)(a) or (b);</w:t>
      </w:r>
    </w:p>
    <w:p>
      <w:pPr>
        <w:pStyle w:val="Indenta"/>
      </w:pPr>
      <w:r>
        <w:tab/>
        <w:t>(b)</w:t>
      </w:r>
      <w:r>
        <w:tab/>
        <w:t xml:space="preserve">an order under the </w:t>
      </w:r>
      <w:r>
        <w:rPr>
          <w:i/>
        </w:rPr>
        <w:t>Health Care Complaints Act 1993</w:t>
      </w:r>
      <w:r>
        <w:t xml:space="preserve"> (New South Wales) section 41AA(1);</w:t>
      </w:r>
    </w:p>
    <w:p>
      <w:pPr>
        <w:pStyle w:val="Indenta"/>
      </w:pPr>
      <w:r>
        <w:tab/>
        <w:t>(c)</w:t>
      </w:r>
      <w:r>
        <w:tab/>
        <w:t xml:space="preserve">an order under the </w:t>
      </w:r>
      <w:r>
        <w:rPr>
          <w:i/>
        </w:rPr>
        <w:t>Health Complaints Act 2016</w:t>
      </w:r>
      <w:r>
        <w:t xml:space="preserve"> (Victoria) section 90(1) or (1A);</w:t>
      </w:r>
    </w:p>
    <w:p>
      <w:pPr>
        <w:pStyle w:val="Indenta"/>
      </w:pPr>
      <w:r>
        <w:tab/>
        <w:t>(d)</w:t>
      </w:r>
      <w:r>
        <w:tab/>
        <w:t xml:space="preserve">an order under the </w:t>
      </w:r>
      <w:r>
        <w:rPr>
          <w:i/>
        </w:rPr>
        <w:t>Health Ombudsman Act 2013</w:t>
      </w:r>
      <w:r>
        <w:t xml:space="preserve"> (Queensland) section 68(1);</w:t>
      </w:r>
    </w:p>
    <w:p>
      <w:pPr>
        <w:pStyle w:val="Indenta"/>
      </w:pPr>
      <w:r>
        <w:tab/>
        <w:t>(e)</w:t>
      </w:r>
      <w:r>
        <w:tab/>
        <w:t xml:space="preserve">an order under the </w:t>
      </w:r>
      <w:r>
        <w:rPr>
          <w:i/>
          <w:iCs/>
        </w:rPr>
        <w:t>Human Rights Commission Act 2005</w:t>
      </w:r>
      <w:r>
        <w:t xml:space="preserve"> (Australian Capital Territory) section 94G(1).</w:t>
      </w:r>
    </w:p>
    <w:p>
      <w:pPr>
        <w:pStyle w:val="Subsection"/>
      </w:pPr>
      <w:r>
        <w:tab/>
        <w:t>(2)</w:t>
      </w:r>
      <w:r>
        <w:tab/>
        <w:t xml:space="preserve">For the purposes of the definition of </w:t>
      </w:r>
      <w:r>
        <w:rPr>
          <w:b/>
          <w:i/>
        </w:rPr>
        <w:t>interstate prohibition order</w:t>
      </w:r>
      <w:r>
        <w:t xml:space="preserve"> in section 52Q(1) of the Act, each of the following is an interstate prohibition order — </w:t>
      </w:r>
    </w:p>
    <w:p>
      <w:pPr>
        <w:pStyle w:val="Indenta"/>
      </w:pPr>
      <w:r>
        <w:tab/>
        <w:t>(a)</w:t>
      </w:r>
      <w:r>
        <w:tab/>
        <w:t xml:space="preserve">an order under the </w:t>
      </w:r>
      <w:r>
        <w:rPr>
          <w:i/>
        </w:rPr>
        <w:t>Health and Community Services Complaints Act 2004</w:t>
      </w:r>
      <w:r>
        <w:t xml:space="preserve"> (South Australia) section 56C(2)(a) or (b);</w:t>
      </w:r>
    </w:p>
    <w:p>
      <w:pPr>
        <w:pStyle w:val="Indenta"/>
      </w:pPr>
      <w:r>
        <w:lastRenderedPageBreak/>
        <w:tab/>
        <w:t>(b)</w:t>
      </w:r>
      <w:r>
        <w:tab/>
        <w:t xml:space="preserve">an order under the </w:t>
      </w:r>
      <w:r>
        <w:rPr>
          <w:i/>
        </w:rPr>
        <w:t>Health Care Complaints Act 1993</w:t>
      </w:r>
      <w:r>
        <w:t xml:space="preserve"> (New South Wales) section 41A(2)(a);</w:t>
      </w:r>
    </w:p>
    <w:p>
      <w:pPr>
        <w:pStyle w:val="Indenta"/>
      </w:pPr>
      <w:r>
        <w:tab/>
        <w:t>(c)</w:t>
      </w:r>
      <w:r>
        <w:tab/>
        <w:t xml:space="preserve">an order under the </w:t>
      </w:r>
      <w:r>
        <w:rPr>
          <w:i/>
        </w:rPr>
        <w:t>Health Complaints Act 2016</w:t>
      </w:r>
      <w:r>
        <w:t xml:space="preserve"> (Victoria) section 95(1) or (1A);</w:t>
      </w:r>
    </w:p>
    <w:p>
      <w:pPr>
        <w:pStyle w:val="Indenta"/>
      </w:pPr>
      <w:r>
        <w:tab/>
        <w:t>(d)</w:t>
      </w:r>
      <w:r>
        <w:tab/>
        <w:t xml:space="preserve">an order under the </w:t>
      </w:r>
      <w:r>
        <w:rPr>
          <w:i/>
        </w:rPr>
        <w:t>Health Ombudsman Act 2013</w:t>
      </w:r>
      <w:r>
        <w:t xml:space="preserve"> (Queensland) section 90C(1);</w:t>
      </w:r>
    </w:p>
    <w:p>
      <w:pPr>
        <w:pStyle w:val="Indenta"/>
      </w:pPr>
      <w:r>
        <w:tab/>
        <w:t>(e)</w:t>
      </w:r>
      <w:r>
        <w:tab/>
        <w:t xml:space="preserve">an order under the </w:t>
      </w:r>
      <w:r>
        <w:rPr>
          <w:i/>
          <w:iCs/>
        </w:rPr>
        <w:t>Human Rights Commission Act 2005</w:t>
      </w:r>
      <w:r>
        <w:t xml:space="preserve"> (Australian Capital Territory) section 94H(1).</w:t>
      </w:r>
    </w:p>
    <w:p>
      <w:pPr>
        <w:pStyle w:val="Footnotesection"/>
      </w:pPr>
      <w:r>
        <w:tab/>
        <w:t>[Regulation 2B inserted: SL 2023/115 r. 4; amended: SL 2024/54 r. 4.]</w:t>
      </w:r>
    </w:p>
    <w:p>
      <w:pPr>
        <w:pStyle w:val="Heading5"/>
      </w:pPr>
      <w:bookmarkStart w:id="7" w:name="_Toc165443665"/>
      <w:r>
        <w:rPr>
          <w:rStyle w:val="CharSectno"/>
        </w:rPr>
        <w:t>3</w:t>
      </w:r>
      <w:r>
        <w:t>.</w:t>
      </w:r>
      <w:r>
        <w:tab/>
        <w:t>Prescribed time (Act s. 75(1))</w:t>
      </w:r>
      <w:bookmarkEnd w:id="7"/>
    </w:p>
    <w:p>
      <w:pPr>
        <w:pStyle w:val="Subsection"/>
      </w:pPr>
      <w:r>
        <w:tab/>
      </w:r>
      <w:r>
        <w:tab/>
        <w:t>For the purposes of section 75(1) of the Act, the prescribed time is 31 days.</w:t>
      </w:r>
    </w:p>
    <w:p>
      <w:pPr>
        <w:pStyle w:val="Heading5"/>
      </w:pPr>
      <w:bookmarkStart w:id="8" w:name="_Toc165443666"/>
      <w:r>
        <w:rPr>
          <w:rStyle w:val="CharSectno"/>
        </w:rPr>
        <w:t>4</w:t>
      </w:r>
      <w:r>
        <w:t>.</w:t>
      </w:r>
      <w:r>
        <w:tab/>
        <w:t>Prescribed providers and classes of providers (Act s. 75(1))</w:t>
      </w:r>
      <w:bookmarkEnd w:id="8"/>
    </w:p>
    <w:p>
      <w:pPr>
        <w:pStyle w:val="Subsection"/>
      </w:pPr>
      <w:r>
        <w:tab/>
        <w:t>(1)</w:t>
      </w:r>
      <w:r>
        <w:tab/>
        <w:t xml:space="preserve">For the purposes of section 75(1) of the Act, each of these is a prescribed provider — </w:t>
      </w:r>
    </w:p>
    <w:p>
      <w:pPr>
        <w:pStyle w:val="Indenta"/>
      </w:pPr>
      <w:r>
        <w:tab/>
        <w:t>(a)</w:t>
      </w:r>
      <w:r>
        <w:tab/>
        <w:t xml:space="preserve">the chief executive officer of the department of the Public Service principally assisting in the administration of the </w:t>
      </w:r>
      <w:r>
        <w:rPr>
          <w:i/>
        </w:rPr>
        <w:t>Prisons Act </w:t>
      </w:r>
      <w:r>
        <w:rPr>
          <w:i/>
          <w:iCs/>
        </w:rPr>
        <w:t>1981</w:t>
      </w:r>
      <w:r>
        <w:t>;</w:t>
      </w:r>
    </w:p>
    <w:p>
      <w:pPr>
        <w:pStyle w:val="Indenta"/>
      </w:pPr>
      <w:r>
        <w:tab/>
        <w:t>(b)</w:t>
      </w:r>
      <w:r>
        <w:tab/>
        <w:t>the chief executive of St John Ambulance Western Australia Ltd (ABN 55 028 468 715);</w:t>
      </w:r>
    </w:p>
    <w:p>
      <w:pPr>
        <w:pStyle w:val="Indenta"/>
      </w:pPr>
      <w:r>
        <w:tab/>
        <w:t>(c)</w:t>
      </w:r>
      <w:r>
        <w:tab/>
        <w:t>the chief executive of the Royal Flying Doctor Service of Australia (Western Operations);</w:t>
      </w:r>
    </w:p>
    <w:p>
      <w:pPr>
        <w:pStyle w:val="Indenta"/>
      </w:pPr>
      <w:r>
        <w:tab/>
        <w:t>(d)</w:t>
      </w:r>
      <w:r>
        <w:tab/>
        <w:t>the chief executive of Silver Chain Nursing Association Incorporated.</w:t>
      </w:r>
    </w:p>
    <w:p>
      <w:pPr>
        <w:pStyle w:val="Subsection"/>
      </w:pPr>
      <w:r>
        <w:tab/>
        <w:t>(2)</w:t>
      </w:r>
      <w:r>
        <w:tab/>
        <w:t xml:space="preserve">For the purposes of section 75(1) of the Act, each of these is a prescribed class of providers — </w:t>
      </w:r>
    </w:p>
    <w:p>
      <w:pPr>
        <w:pStyle w:val="Indenta"/>
      </w:pPr>
      <w:r>
        <w:tab/>
        <w:t>(a)</w:t>
      </w:r>
      <w:r>
        <w:tab/>
        <w:t xml:space="preserve">the class comprising health service providers established by order under the </w:t>
      </w:r>
      <w:r>
        <w:rPr>
          <w:i/>
        </w:rPr>
        <w:t xml:space="preserve">Health Services Act 2016 </w:t>
      </w:r>
      <w:r>
        <w:t>section 32(1);</w:t>
      </w:r>
    </w:p>
    <w:p>
      <w:pPr>
        <w:pStyle w:val="Indenta"/>
        <w:keepNext/>
      </w:pPr>
      <w:r>
        <w:lastRenderedPageBreak/>
        <w:tab/>
        <w:t>(b)</w:t>
      </w:r>
      <w:r>
        <w:tab/>
        <w:t>the class comprising the people who manage or are the chief executives of the private hospitals listed in Schedule 1.</w:t>
      </w:r>
    </w:p>
    <w:p>
      <w:pPr>
        <w:pStyle w:val="Footnotesection"/>
      </w:pPr>
      <w:r>
        <w:tab/>
        <w:t>[Regulation 4 amended: Gazette 20 May 2011 p. 1838; 24 Jun 2016 p. 2314; SL 2023/115 r. 5.]</w:t>
      </w:r>
    </w:p>
    <w:p>
      <w:pPr>
        <w:pStyle w:val="Heading5"/>
      </w:pPr>
      <w:bookmarkStart w:id="9" w:name="_Toc165443667"/>
      <w:r>
        <w:rPr>
          <w:rStyle w:val="CharSectno"/>
        </w:rPr>
        <w:t>5</w:t>
      </w:r>
      <w:r>
        <w:t>.</w:t>
      </w:r>
      <w:r>
        <w:tab/>
        <w:t>Return, form of (Act s. 75(2))</w:t>
      </w:r>
      <w:bookmarkEnd w:id="9"/>
    </w:p>
    <w:p>
      <w:pPr>
        <w:pStyle w:val="Subsection"/>
      </w:pPr>
      <w:r>
        <w:tab/>
      </w:r>
      <w:r>
        <w:tab/>
        <w:t>For the purposes of section 75(2) of the Act, the prescribed form is Form 1 in Schedule 2.</w:t>
      </w:r>
    </w:p>
    <w:p>
      <w:pPr>
        <w:pStyle w:val="Heading5"/>
      </w:pPr>
      <w:bookmarkStart w:id="10" w:name="_Toc165443668"/>
      <w:r>
        <w:rPr>
          <w:rStyle w:val="CharSectno"/>
        </w:rPr>
        <w:t>6</w:t>
      </w:r>
      <w:r>
        <w:t>.</w:t>
      </w:r>
      <w:r>
        <w:tab/>
        <w:t>Code of conduct prescribed (Act s. 77A)</w:t>
      </w:r>
      <w:bookmarkEnd w:id="10"/>
    </w:p>
    <w:p>
      <w:pPr>
        <w:pStyle w:val="Subsection"/>
      </w:pPr>
      <w:r>
        <w:tab/>
      </w:r>
      <w:r>
        <w:tab/>
        <w:t xml:space="preserve">For the purposes of section 77A of the Act, the code of conduct set out in Schedule 3 applies to the provision of health services by — </w:t>
      </w:r>
    </w:p>
    <w:p>
      <w:pPr>
        <w:pStyle w:val="Indenta"/>
      </w:pPr>
      <w:r>
        <w:tab/>
        <w:t>(a)</w:t>
      </w:r>
      <w:r>
        <w:tab/>
        <w:t>health care workers who are not registered providers; and</w:t>
      </w:r>
    </w:p>
    <w:p>
      <w:pPr>
        <w:pStyle w:val="Indenta"/>
      </w:pPr>
      <w:r>
        <w:tab/>
        <w:t>(b)</w:t>
      </w:r>
      <w:r>
        <w:tab/>
        <w:t>health care workers who are registered providers and who provide health services that are unrelated to their registration.</w:t>
      </w:r>
    </w:p>
    <w:p>
      <w:pPr>
        <w:pStyle w:val="Footnotesection"/>
      </w:pPr>
      <w:r>
        <w:tab/>
        <w:t>[Regulation 6 inserted: SL 2023/115 r. 6.]</w:t>
      </w:r>
    </w:p>
    <w:p>
      <w:pPr>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keepNext w:val="0"/>
        <w:pageBreakBefore w:val="0"/>
      </w:pPr>
      <w:bookmarkStart w:id="11" w:name="_Toc165302148"/>
      <w:bookmarkStart w:id="12" w:name="_Toc165363055"/>
      <w:bookmarkStart w:id="13" w:name="_Toc165443669"/>
      <w:r>
        <w:rPr>
          <w:rStyle w:val="CharSchNo"/>
        </w:rPr>
        <w:lastRenderedPageBreak/>
        <w:t>Schedule 1</w:t>
      </w:r>
      <w:r>
        <w:rPr>
          <w:rStyle w:val="CharSDivNo"/>
        </w:rPr>
        <w:t> </w:t>
      </w:r>
      <w:r>
        <w:t>—</w:t>
      </w:r>
      <w:r>
        <w:rPr>
          <w:rStyle w:val="CharSDivText"/>
        </w:rPr>
        <w:t> </w:t>
      </w:r>
      <w:r>
        <w:rPr>
          <w:rStyle w:val="CharSchText"/>
        </w:rPr>
        <w:t>Private hospitals</w:t>
      </w:r>
      <w:bookmarkEnd w:id="11"/>
      <w:bookmarkEnd w:id="12"/>
      <w:bookmarkEnd w:id="13"/>
    </w:p>
    <w:p>
      <w:pPr>
        <w:pStyle w:val="yShoulderClause"/>
      </w:pPr>
      <w:r>
        <w:t>[r. 4(2)(b)]</w:t>
      </w:r>
    </w:p>
    <w:p>
      <w:pPr>
        <w:pStyle w:val="yFootnoteheading"/>
      </w:pPr>
      <w:r>
        <w:tab/>
        <w:t>[Heading inserted: Gazette 20 May 2011 p. 1838.]</w:t>
      </w:r>
    </w:p>
    <w:p>
      <w:pPr>
        <w:pStyle w:val="yNumberedItem"/>
      </w:pPr>
      <w:r>
        <w:t>1.</w:t>
      </w:r>
      <w:r>
        <w:tab/>
        <w:t>Abbotsford Private Hospital</w:t>
      </w:r>
    </w:p>
    <w:p>
      <w:pPr>
        <w:pStyle w:val="yNumberedItem"/>
      </w:pPr>
      <w:r>
        <w:t>2.</w:t>
      </w:r>
      <w:r>
        <w:tab/>
        <w:t>Albany Community Hospice</w:t>
      </w:r>
    </w:p>
    <w:p>
      <w:pPr>
        <w:pStyle w:val="yNumberedItem"/>
      </w:pPr>
      <w:r>
        <w:t>3.</w:t>
      </w:r>
      <w:r>
        <w:tab/>
        <w:t>Attadale Private Hospital</w:t>
      </w:r>
    </w:p>
    <w:p>
      <w:pPr>
        <w:pStyle w:val="yNumberedItem"/>
      </w:pPr>
      <w:r>
        <w:t>4.</w:t>
      </w:r>
      <w:r>
        <w:tab/>
        <w:t>Bethesda Hospital</w:t>
      </w:r>
    </w:p>
    <w:p>
      <w:pPr>
        <w:pStyle w:val="yNumberedItem"/>
      </w:pPr>
      <w:r>
        <w:t>5.</w:t>
      </w:r>
      <w:r>
        <w:tab/>
        <w:t>Busselton Hospice Care Incorporated</w:t>
      </w:r>
    </w:p>
    <w:p>
      <w:pPr>
        <w:pStyle w:val="yNumberedItem"/>
      </w:pPr>
      <w:r>
        <w:t>6.</w:t>
      </w:r>
      <w:r>
        <w:tab/>
        <w:t>Glengarry Private Hospital</w:t>
      </w:r>
    </w:p>
    <w:p>
      <w:pPr>
        <w:pStyle w:val="yNumberedItem"/>
      </w:pPr>
      <w:r>
        <w:t>7.</w:t>
      </w:r>
      <w:r>
        <w:tab/>
        <w:t>Hollywood Private Hospital</w:t>
      </w:r>
    </w:p>
    <w:p>
      <w:pPr>
        <w:pStyle w:val="yNumberedItem"/>
      </w:pPr>
      <w:r>
        <w:t>8.</w:t>
      </w:r>
      <w:r>
        <w:tab/>
        <w:t>Joondalup Health Campus</w:t>
      </w:r>
    </w:p>
    <w:p>
      <w:pPr>
        <w:pStyle w:val="yNumberedItem"/>
      </w:pPr>
      <w:r>
        <w:t>9.</w:t>
      </w:r>
      <w:r>
        <w:tab/>
        <w:t>The Marian Centre</w:t>
      </w:r>
    </w:p>
    <w:p>
      <w:pPr>
        <w:pStyle w:val="yNumberedItem"/>
      </w:pPr>
      <w:r>
        <w:t>10.</w:t>
      </w:r>
      <w:r>
        <w:tab/>
        <w:t>Mercy Hospital</w:t>
      </w:r>
    </w:p>
    <w:p>
      <w:pPr>
        <w:pStyle w:val="yNumberedItem"/>
      </w:pPr>
      <w:r>
        <w:t>11.</w:t>
      </w:r>
      <w:r>
        <w:tab/>
        <w:t>Mount Hospital</w:t>
      </w:r>
    </w:p>
    <w:p>
      <w:pPr>
        <w:pStyle w:val="yNumberedItem"/>
      </w:pPr>
      <w:r>
        <w:t>12.</w:t>
      </w:r>
      <w:r>
        <w:tab/>
        <w:t>Mount Lawley Private Hospital</w:t>
      </w:r>
    </w:p>
    <w:p>
      <w:pPr>
        <w:pStyle w:val="yNumberedItem"/>
      </w:pPr>
      <w:r>
        <w:t>13.</w:t>
      </w:r>
      <w:r>
        <w:tab/>
        <w:t>Ngala Family Services</w:t>
      </w:r>
    </w:p>
    <w:p>
      <w:pPr>
        <w:pStyle w:val="yNumberedItem"/>
      </w:pPr>
      <w:r>
        <w:t>14.</w:t>
      </w:r>
      <w:r>
        <w:tab/>
        <w:t>Peel Health Campus</w:t>
      </w:r>
    </w:p>
    <w:p>
      <w:pPr>
        <w:pStyle w:val="yNumberedItem"/>
      </w:pPr>
      <w:r>
        <w:t>15.</w:t>
      </w:r>
      <w:r>
        <w:tab/>
        <w:t>Perth Clinic</w:t>
      </w:r>
    </w:p>
    <w:p>
      <w:pPr>
        <w:pStyle w:val="yNumberedItem"/>
      </w:pPr>
      <w:r>
        <w:t>16.</w:t>
      </w:r>
      <w:r>
        <w:tab/>
        <w:t>South Perth Hospital</w:t>
      </w:r>
    </w:p>
    <w:p>
      <w:pPr>
        <w:pStyle w:val="yNumberedItem"/>
      </w:pPr>
      <w:r>
        <w:t>17.</w:t>
      </w:r>
      <w:r>
        <w:tab/>
        <w:t>St John of God Hospital, Bunbury</w:t>
      </w:r>
    </w:p>
    <w:p>
      <w:pPr>
        <w:pStyle w:val="yNumberedItem"/>
      </w:pPr>
      <w:r>
        <w:t>18.</w:t>
      </w:r>
      <w:r>
        <w:tab/>
        <w:t>St John of God Hospital, Geraldton</w:t>
      </w:r>
    </w:p>
    <w:p>
      <w:pPr>
        <w:pStyle w:val="yNumberedItem"/>
      </w:pPr>
      <w:r>
        <w:t>19.</w:t>
      </w:r>
      <w:r>
        <w:tab/>
        <w:t>St John of God Hospital, Murdoch</w:t>
      </w:r>
    </w:p>
    <w:p>
      <w:pPr>
        <w:pStyle w:val="yNumberedItem"/>
      </w:pPr>
      <w:r>
        <w:t>20.</w:t>
      </w:r>
      <w:r>
        <w:tab/>
        <w:t>St John of God Hospital, Subiaco</w:t>
      </w:r>
    </w:p>
    <w:p>
      <w:pPr>
        <w:pStyle w:val="yNumberedItem"/>
      </w:pPr>
      <w:r>
        <w:t>21.</w:t>
      </w:r>
      <w:r>
        <w:tab/>
        <w:t>Subiaco Private Hospital Pty Limited</w:t>
      </w:r>
    </w:p>
    <w:p>
      <w:pPr>
        <w:pStyle w:val="yNumberedItem"/>
      </w:pPr>
      <w:r>
        <w:t>22.</w:t>
      </w:r>
      <w:r>
        <w:tab/>
        <w:t>Waikiki Private Hospital</w:t>
      </w:r>
    </w:p>
    <w:p>
      <w:pPr>
        <w:pStyle w:val="yFootnotesection"/>
      </w:pPr>
      <w:r>
        <w:tab/>
        <w:t>[Schedule 1 inserted: Gazette 20 May 2011 p. 1838-9.]</w:t>
      </w:r>
    </w:p>
    <w:p>
      <w:pPr>
        <w:pStyle w:val="yScheduleHeading"/>
      </w:pPr>
      <w:bookmarkStart w:id="14" w:name="_Toc165302149"/>
      <w:bookmarkStart w:id="15" w:name="_Toc165363056"/>
      <w:bookmarkStart w:id="16" w:name="_Toc165443670"/>
      <w:r>
        <w:rPr>
          <w:rStyle w:val="CharSchNo"/>
        </w:rPr>
        <w:lastRenderedPageBreak/>
        <w:t>Schedule 1A</w:t>
      </w:r>
      <w:r>
        <w:t> — </w:t>
      </w:r>
      <w:r>
        <w:rPr>
          <w:rStyle w:val="CharSchText"/>
        </w:rPr>
        <w:t>Prescribed offences</w:t>
      </w:r>
      <w:bookmarkEnd w:id="14"/>
      <w:bookmarkEnd w:id="15"/>
      <w:bookmarkEnd w:id="16"/>
    </w:p>
    <w:p>
      <w:pPr>
        <w:pStyle w:val="yShoulderClause"/>
      </w:pPr>
      <w:r>
        <w:t>[r. 2A]</w:t>
      </w:r>
    </w:p>
    <w:p>
      <w:pPr>
        <w:pStyle w:val="yFootnoteheading"/>
      </w:pPr>
      <w:r>
        <w:tab/>
        <w:t>[Heading inserted: SL 2023/115 r. 7.]</w:t>
      </w:r>
    </w:p>
    <w:p>
      <w:pPr>
        <w:pStyle w:val="yHeading3"/>
      </w:pPr>
      <w:bookmarkStart w:id="17" w:name="_Toc165302150"/>
      <w:bookmarkStart w:id="18" w:name="_Toc165363057"/>
      <w:bookmarkStart w:id="19" w:name="_Toc165443671"/>
      <w:r>
        <w:rPr>
          <w:rStyle w:val="CharSDivNo"/>
        </w:rPr>
        <w:t>Division 1</w:t>
      </w:r>
      <w:r>
        <w:t> — </w:t>
      </w:r>
      <w:r>
        <w:rPr>
          <w:rStyle w:val="CharSDivText"/>
        </w:rPr>
        <w:t>Offences under Australian Consumer Law</w:t>
      </w:r>
      <w:bookmarkEnd w:id="17"/>
      <w:bookmarkEnd w:id="18"/>
      <w:bookmarkEnd w:id="19"/>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c>
          <w:tcPr>
            <w:tcW w:w="709" w:type="dxa"/>
            <w:noWrap/>
          </w:tcPr>
          <w:p>
            <w:pPr>
              <w:pStyle w:val="yTableNAm"/>
            </w:pPr>
            <w:r>
              <w:t>1.</w:t>
            </w:r>
          </w:p>
        </w:tc>
        <w:tc>
          <w:tcPr>
            <w:tcW w:w="1276" w:type="dxa"/>
            <w:noWrap/>
          </w:tcPr>
          <w:p>
            <w:pPr>
              <w:pStyle w:val="yTableNAm"/>
            </w:pPr>
            <w:r>
              <w:t>s. 151</w:t>
            </w:r>
          </w:p>
        </w:tc>
        <w:tc>
          <w:tcPr>
            <w:tcW w:w="4819" w:type="dxa"/>
            <w:noWrap/>
          </w:tcPr>
          <w:p>
            <w:pPr>
              <w:pStyle w:val="yTableNAm"/>
            </w:pPr>
            <w:r>
              <w:t>False or misleading representations about goods or services</w:t>
            </w:r>
          </w:p>
        </w:tc>
      </w:tr>
      <w:tr>
        <w:tc>
          <w:tcPr>
            <w:tcW w:w="709" w:type="dxa"/>
            <w:noWrap/>
          </w:tcPr>
          <w:p>
            <w:pPr>
              <w:pStyle w:val="yTableNAm"/>
            </w:pPr>
            <w:r>
              <w:t>2.</w:t>
            </w:r>
          </w:p>
        </w:tc>
        <w:tc>
          <w:tcPr>
            <w:tcW w:w="1276" w:type="dxa"/>
            <w:noWrap/>
          </w:tcPr>
          <w:p>
            <w:pPr>
              <w:pStyle w:val="yTableNAm"/>
            </w:pPr>
            <w:r>
              <w:t>s. 155</w:t>
            </w:r>
          </w:p>
        </w:tc>
        <w:tc>
          <w:tcPr>
            <w:tcW w:w="4819" w:type="dxa"/>
            <w:noWrap/>
          </w:tcPr>
          <w:p>
            <w:pPr>
              <w:pStyle w:val="yTableNAm"/>
            </w:pPr>
            <w:r>
              <w:t>Misleading conduct as to the nature etc. of goods</w:t>
            </w:r>
          </w:p>
        </w:tc>
      </w:tr>
      <w:tr>
        <w:tc>
          <w:tcPr>
            <w:tcW w:w="709" w:type="dxa"/>
            <w:noWrap/>
          </w:tcPr>
          <w:p>
            <w:pPr>
              <w:pStyle w:val="yTableNAm"/>
            </w:pPr>
            <w:r>
              <w:t>3.</w:t>
            </w:r>
          </w:p>
        </w:tc>
        <w:tc>
          <w:tcPr>
            <w:tcW w:w="1276" w:type="dxa"/>
            <w:noWrap/>
          </w:tcPr>
          <w:p>
            <w:pPr>
              <w:pStyle w:val="yTableNAm"/>
            </w:pPr>
            <w:r>
              <w:t>s. 156</w:t>
            </w:r>
          </w:p>
        </w:tc>
        <w:tc>
          <w:tcPr>
            <w:tcW w:w="4819" w:type="dxa"/>
            <w:noWrap/>
          </w:tcPr>
          <w:p>
            <w:pPr>
              <w:pStyle w:val="yTableNAm"/>
            </w:pPr>
            <w:r>
              <w:t>Misleading conduct as to the nature etc. of services</w:t>
            </w:r>
          </w:p>
        </w:tc>
      </w:tr>
    </w:tbl>
    <w:p>
      <w:pPr>
        <w:pStyle w:val="yFootnotesection"/>
      </w:pPr>
      <w:r>
        <w:tab/>
        <w:t>[Division 1 inserted: SL 2023/115 r. 7.]</w:t>
      </w:r>
    </w:p>
    <w:p>
      <w:pPr>
        <w:pStyle w:val="yHeading3"/>
        <w:rPr>
          <w:i/>
        </w:rPr>
      </w:pPr>
      <w:bookmarkStart w:id="20" w:name="_Toc165302151"/>
      <w:bookmarkStart w:id="21" w:name="_Toc165363058"/>
      <w:bookmarkStart w:id="22" w:name="_Toc165443672"/>
      <w:r>
        <w:rPr>
          <w:rStyle w:val="CharSDivNo"/>
        </w:rPr>
        <w:t>Division 2</w:t>
      </w:r>
      <w:r>
        <w:t> — </w:t>
      </w:r>
      <w:r>
        <w:rPr>
          <w:rStyle w:val="CharSDivText"/>
        </w:rPr>
        <w:t xml:space="preserve">Offences under </w:t>
      </w:r>
      <w:r>
        <w:rPr>
          <w:rStyle w:val="CharSDivText"/>
          <w:i/>
        </w:rPr>
        <w:t>Children and Community Services Act 2004</w:t>
      </w:r>
      <w:bookmarkEnd w:id="20"/>
      <w:bookmarkEnd w:id="21"/>
      <w:bookmarkEnd w:id="22"/>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101</w:t>
            </w:r>
          </w:p>
        </w:tc>
        <w:tc>
          <w:tcPr>
            <w:tcW w:w="4819" w:type="dxa"/>
            <w:noWrap/>
          </w:tcPr>
          <w:p>
            <w:pPr>
              <w:pStyle w:val="yTableNAm"/>
            </w:pPr>
            <w:r>
              <w:t>Failing to protect child from harm</w:t>
            </w:r>
          </w:p>
        </w:tc>
      </w:tr>
      <w:tr>
        <w:trPr>
          <w:cantSplit/>
        </w:trPr>
        <w:tc>
          <w:tcPr>
            <w:tcW w:w="709" w:type="dxa"/>
            <w:noWrap/>
          </w:tcPr>
          <w:p>
            <w:pPr>
              <w:pStyle w:val="yTableNAm"/>
            </w:pPr>
            <w:r>
              <w:t>2.</w:t>
            </w:r>
          </w:p>
        </w:tc>
        <w:tc>
          <w:tcPr>
            <w:tcW w:w="1276" w:type="dxa"/>
            <w:noWrap/>
          </w:tcPr>
          <w:p>
            <w:pPr>
              <w:pStyle w:val="yTableNAm"/>
            </w:pPr>
            <w:r>
              <w:t>s. 104A(2)</w:t>
            </w:r>
          </w:p>
        </w:tc>
        <w:tc>
          <w:tcPr>
            <w:tcW w:w="4819" w:type="dxa"/>
            <w:noWrap/>
          </w:tcPr>
          <w:p>
            <w:pPr>
              <w:pStyle w:val="yTableNAm"/>
              <w:rPr>
                <w:highlight w:val="yellow"/>
              </w:rPr>
            </w:pPr>
            <w:r>
              <w:t>Body piercing on certain parts of child’s body</w:t>
            </w:r>
          </w:p>
        </w:tc>
      </w:tr>
      <w:tr>
        <w:trPr>
          <w:cantSplit/>
        </w:trPr>
        <w:tc>
          <w:tcPr>
            <w:tcW w:w="709" w:type="dxa"/>
            <w:noWrap/>
          </w:tcPr>
          <w:p>
            <w:pPr>
              <w:pStyle w:val="yTableNAm"/>
            </w:pPr>
            <w:r>
              <w:t>3.</w:t>
            </w:r>
          </w:p>
        </w:tc>
        <w:tc>
          <w:tcPr>
            <w:tcW w:w="1276" w:type="dxa"/>
            <w:noWrap/>
          </w:tcPr>
          <w:p>
            <w:pPr>
              <w:pStyle w:val="yTableNAm"/>
            </w:pPr>
            <w:r>
              <w:t>s. 192</w:t>
            </w:r>
          </w:p>
        </w:tc>
        <w:tc>
          <w:tcPr>
            <w:tcW w:w="4819" w:type="dxa"/>
            <w:noWrap/>
          </w:tcPr>
          <w:p>
            <w:pPr>
              <w:pStyle w:val="yTableNAm"/>
            </w:pPr>
            <w:r>
              <w:t>Employing child to perform in indecent, obscene or pornographic manner</w:t>
            </w:r>
          </w:p>
        </w:tc>
      </w:tr>
    </w:tbl>
    <w:p>
      <w:pPr>
        <w:pStyle w:val="yFootnotesection"/>
      </w:pPr>
      <w:r>
        <w:tab/>
        <w:t>[Division 2 inserted: SL 2023/115 r. 7.]</w:t>
      </w:r>
    </w:p>
    <w:p>
      <w:pPr>
        <w:pStyle w:val="yHeading3"/>
        <w:rPr>
          <w:i/>
        </w:rPr>
      </w:pPr>
      <w:bookmarkStart w:id="23" w:name="_Toc165302152"/>
      <w:bookmarkStart w:id="24" w:name="_Toc165363059"/>
      <w:bookmarkStart w:id="25" w:name="_Toc165443673"/>
      <w:r>
        <w:rPr>
          <w:rStyle w:val="CharSDivNo"/>
        </w:rPr>
        <w:lastRenderedPageBreak/>
        <w:t>Division 3</w:t>
      </w:r>
      <w:r>
        <w:t> — </w:t>
      </w:r>
      <w:r>
        <w:rPr>
          <w:rStyle w:val="CharSDivText"/>
        </w:rPr>
        <w:t xml:space="preserve">Offences under </w:t>
      </w:r>
      <w:r>
        <w:rPr>
          <w:rStyle w:val="CharSDivText"/>
          <w:i/>
        </w:rPr>
        <w:t>The Criminal Code</w:t>
      </w:r>
      <w:bookmarkEnd w:id="23"/>
      <w:bookmarkEnd w:id="24"/>
      <w:bookmarkEnd w:id="25"/>
    </w:p>
    <w:p>
      <w:pPr>
        <w:pStyle w:val="yFootnoteheading"/>
        <w:keepNext/>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c>
          <w:tcPr>
            <w:tcW w:w="709" w:type="dxa"/>
            <w:noWrap/>
          </w:tcPr>
          <w:p>
            <w:pPr>
              <w:pStyle w:val="yTableNAm"/>
            </w:pPr>
            <w:r>
              <w:t>1.</w:t>
            </w:r>
          </w:p>
        </w:tc>
        <w:tc>
          <w:tcPr>
            <w:tcW w:w="1276" w:type="dxa"/>
            <w:noWrap/>
          </w:tcPr>
          <w:p>
            <w:pPr>
              <w:pStyle w:val="yTableNAm"/>
            </w:pPr>
            <w:r>
              <w:t>s. 77</w:t>
            </w:r>
          </w:p>
        </w:tc>
        <w:tc>
          <w:tcPr>
            <w:tcW w:w="4819" w:type="dxa"/>
            <w:noWrap/>
          </w:tcPr>
          <w:p>
            <w:pPr>
              <w:pStyle w:val="yTableNAm"/>
            </w:pPr>
            <w:r>
              <w:t>Conduct intended to incite racial animosity or racist harassment</w:t>
            </w:r>
          </w:p>
        </w:tc>
      </w:tr>
      <w:tr>
        <w:tc>
          <w:tcPr>
            <w:tcW w:w="709" w:type="dxa"/>
            <w:noWrap/>
          </w:tcPr>
          <w:p>
            <w:pPr>
              <w:pStyle w:val="yTableNAm"/>
            </w:pPr>
            <w:r>
              <w:t>2.</w:t>
            </w:r>
          </w:p>
        </w:tc>
        <w:tc>
          <w:tcPr>
            <w:tcW w:w="1276" w:type="dxa"/>
            <w:noWrap/>
          </w:tcPr>
          <w:p>
            <w:pPr>
              <w:pStyle w:val="yTableNAm"/>
            </w:pPr>
            <w:r>
              <w:t>s. 78</w:t>
            </w:r>
          </w:p>
        </w:tc>
        <w:tc>
          <w:tcPr>
            <w:tcW w:w="4819" w:type="dxa"/>
            <w:noWrap/>
          </w:tcPr>
          <w:p>
            <w:pPr>
              <w:pStyle w:val="yTableNAm"/>
            </w:pPr>
            <w:r>
              <w:t>Conduct likely to incite racial animosity or racist harassment</w:t>
            </w:r>
          </w:p>
        </w:tc>
      </w:tr>
      <w:tr>
        <w:tc>
          <w:tcPr>
            <w:tcW w:w="709" w:type="dxa"/>
            <w:noWrap/>
          </w:tcPr>
          <w:p>
            <w:pPr>
              <w:pStyle w:val="yTableNAm"/>
            </w:pPr>
            <w:r>
              <w:t>3.</w:t>
            </w:r>
          </w:p>
        </w:tc>
        <w:tc>
          <w:tcPr>
            <w:tcW w:w="1276" w:type="dxa"/>
            <w:noWrap/>
          </w:tcPr>
          <w:p>
            <w:pPr>
              <w:pStyle w:val="yTableNAm"/>
            </w:pPr>
            <w:r>
              <w:t>s. 79</w:t>
            </w:r>
          </w:p>
        </w:tc>
        <w:tc>
          <w:tcPr>
            <w:tcW w:w="4819" w:type="dxa"/>
            <w:noWrap/>
          </w:tcPr>
          <w:p>
            <w:pPr>
              <w:pStyle w:val="yTableNAm"/>
            </w:pPr>
            <w:r>
              <w:t>Possession of material for dissemination with intent to incite racial animosity or racist harassment</w:t>
            </w:r>
          </w:p>
        </w:tc>
      </w:tr>
      <w:tr>
        <w:tc>
          <w:tcPr>
            <w:tcW w:w="709" w:type="dxa"/>
            <w:noWrap/>
          </w:tcPr>
          <w:p>
            <w:pPr>
              <w:pStyle w:val="yTableNAm"/>
            </w:pPr>
            <w:r>
              <w:t>4.</w:t>
            </w:r>
          </w:p>
        </w:tc>
        <w:tc>
          <w:tcPr>
            <w:tcW w:w="1276" w:type="dxa"/>
            <w:noWrap/>
          </w:tcPr>
          <w:p>
            <w:pPr>
              <w:pStyle w:val="yTableNAm"/>
            </w:pPr>
            <w:r>
              <w:t>s. 80</w:t>
            </w:r>
          </w:p>
        </w:tc>
        <w:tc>
          <w:tcPr>
            <w:tcW w:w="4819" w:type="dxa"/>
            <w:noWrap/>
          </w:tcPr>
          <w:p>
            <w:pPr>
              <w:pStyle w:val="yTableNAm"/>
            </w:pPr>
            <w:r>
              <w:t>Possession of material for dissemination that is likely to incite racial animosity or racist harassment</w:t>
            </w:r>
          </w:p>
        </w:tc>
      </w:tr>
      <w:tr>
        <w:tc>
          <w:tcPr>
            <w:tcW w:w="709" w:type="dxa"/>
            <w:noWrap/>
          </w:tcPr>
          <w:p>
            <w:pPr>
              <w:pStyle w:val="yTableNAm"/>
            </w:pPr>
            <w:r>
              <w:t>5.</w:t>
            </w:r>
          </w:p>
        </w:tc>
        <w:tc>
          <w:tcPr>
            <w:tcW w:w="1276" w:type="dxa"/>
            <w:noWrap/>
          </w:tcPr>
          <w:p>
            <w:pPr>
              <w:pStyle w:val="yTableNAm"/>
            </w:pPr>
            <w:r>
              <w:t>s. 80A</w:t>
            </w:r>
          </w:p>
        </w:tc>
        <w:tc>
          <w:tcPr>
            <w:tcW w:w="4819" w:type="dxa"/>
            <w:noWrap/>
          </w:tcPr>
          <w:p>
            <w:pPr>
              <w:pStyle w:val="yTableNAm"/>
            </w:pPr>
            <w:r>
              <w:t>Conduct intended to racially harass</w:t>
            </w:r>
          </w:p>
        </w:tc>
      </w:tr>
      <w:tr>
        <w:tc>
          <w:tcPr>
            <w:tcW w:w="709" w:type="dxa"/>
            <w:noWrap/>
          </w:tcPr>
          <w:p>
            <w:pPr>
              <w:pStyle w:val="yTableNAm"/>
            </w:pPr>
            <w:r>
              <w:t>6.</w:t>
            </w:r>
          </w:p>
        </w:tc>
        <w:tc>
          <w:tcPr>
            <w:tcW w:w="1276" w:type="dxa"/>
            <w:noWrap/>
          </w:tcPr>
          <w:p>
            <w:pPr>
              <w:pStyle w:val="yTableNAm"/>
            </w:pPr>
            <w:r>
              <w:t>s. 80B</w:t>
            </w:r>
          </w:p>
        </w:tc>
        <w:tc>
          <w:tcPr>
            <w:tcW w:w="4819" w:type="dxa"/>
            <w:noWrap/>
          </w:tcPr>
          <w:p>
            <w:pPr>
              <w:pStyle w:val="yTableNAm"/>
            </w:pPr>
            <w:r>
              <w:t>Conduct likely to racially harass</w:t>
            </w:r>
          </w:p>
        </w:tc>
      </w:tr>
      <w:tr>
        <w:tc>
          <w:tcPr>
            <w:tcW w:w="709" w:type="dxa"/>
            <w:noWrap/>
          </w:tcPr>
          <w:p>
            <w:pPr>
              <w:pStyle w:val="yTableNAm"/>
            </w:pPr>
            <w:r>
              <w:t>7.</w:t>
            </w:r>
          </w:p>
        </w:tc>
        <w:tc>
          <w:tcPr>
            <w:tcW w:w="1276" w:type="dxa"/>
            <w:noWrap/>
          </w:tcPr>
          <w:p>
            <w:pPr>
              <w:pStyle w:val="yTableNAm"/>
            </w:pPr>
            <w:r>
              <w:t>s. 80C</w:t>
            </w:r>
          </w:p>
        </w:tc>
        <w:tc>
          <w:tcPr>
            <w:tcW w:w="4819" w:type="dxa"/>
            <w:noWrap/>
          </w:tcPr>
          <w:p>
            <w:pPr>
              <w:pStyle w:val="yTableNAm"/>
            </w:pPr>
            <w:r>
              <w:t>Possession of material for display with intent to racially harass</w:t>
            </w:r>
          </w:p>
        </w:tc>
      </w:tr>
      <w:tr>
        <w:tc>
          <w:tcPr>
            <w:tcW w:w="709" w:type="dxa"/>
            <w:noWrap/>
          </w:tcPr>
          <w:p>
            <w:pPr>
              <w:pStyle w:val="yTableNAm"/>
            </w:pPr>
            <w:r>
              <w:t>8.</w:t>
            </w:r>
          </w:p>
        </w:tc>
        <w:tc>
          <w:tcPr>
            <w:tcW w:w="1276" w:type="dxa"/>
            <w:noWrap/>
          </w:tcPr>
          <w:p>
            <w:pPr>
              <w:pStyle w:val="yTableNAm"/>
            </w:pPr>
            <w:r>
              <w:t>s. 80D</w:t>
            </w:r>
          </w:p>
        </w:tc>
        <w:tc>
          <w:tcPr>
            <w:tcW w:w="4819" w:type="dxa"/>
            <w:noWrap/>
          </w:tcPr>
          <w:p>
            <w:pPr>
              <w:pStyle w:val="yTableNAm"/>
            </w:pPr>
            <w:r>
              <w:t>Possession of material for display that is likely to racially harass</w:t>
            </w:r>
          </w:p>
        </w:tc>
      </w:tr>
      <w:tr>
        <w:tc>
          <w:tcPr>
            <w:tcW w:w="709" w:type="dxa"/>
            <w:noWrap/>
          </w:tcPr>
          <w:p>
            <w:pPr>
              <w:pStyle w:val="yTableNAm"/>
            </w:pPr>
            <w:r>
              <w:t>9.</w:t>
            </w:r>
          </w:p>
        </w:tc>
        <w:tc>
          <w:tcPr>
            <w:tcW w:w="1276" w:type="dxa"/>
            <w:noWrap/>
          </w:tcPr>
          <w:p>
            <w:pPr>
              <w:pStyle w:val="yTableNAm"/>
            </w:pPr>
            <w:r>
              <w:t>s. 181</w:t>
            </w:r>
          </w:p>
        </w:tc>
        <w:tc>
          <w:tcPr>
            <w:tcW w:w="4819" w:type="dxa"/>
            <w:noWrap/>
          </w:tcPr>
          <w:p>
            <w:pPr>
              <w:pStyle w:val="yTableNAm"/>
            </w:pPr>
            <w:r>
              <w:t>Carnal knowledge of animal</w:t>
            </w:r>
          </w:p>
        </w:tc>
      </w:tr>
      <w:tr>
        <w:tc>
          <w:tcPr>
            <w:tcW w:w="709" w:type="dxa"/>
            <w:noWrap/>
          </w:tcPr>
          <w:p>
            <w:pPr>
              <w:pStyle w:val="yTableNAm"/>
            </w:pPr>
            <w:r>
              <w:t>10.</w:t>
            </w:r>
          </w:p>
        </w:tc>
        <w:tc>
          <w:tcPr>
            <w:tcW w:w="1276" w:type="dxa"/>
            <w:noWrap/>
          </w:tcPr>
          <w:p>
            <w:pPr>
              <w:pStyle w:val="yTableNAm"/>
            </w:pPr>
            <w:r>
              <w:t>s. 186</w:t>
            </w:r>
          </w:p>
        </w:tc>
        <w:tc>
          <w:tcPr>
            <w:tcW w:w="4819" w:type="dxa"/>
            <w:noWrap/>
          </w:tcPr>
          <w:p>
            <w:pPr>
              <w:pStyle w:val="yTableNAm"/>
            </w:pPr>
            <w:r>
              <w:t>Occupier or owner allowing young person to be on premises for unlawful carnal knowledge</w:t>
            </w:r>
          </w:p>
        </w:tc>
      </w:tr>
      <w:tr>
        <w:tc>
          <w:tcPr>
            <w:tcW w:w="709" w:type="dxa"/>
            <w:noWrap/>
          </w:tcPr>
          <w:p>
            <w:pPr>
              <w:pStyle w:val="yTableNAm"/>
            </w:pPr>
            <w:r>
              <w:t>11.</w:t>
            </w:r>
          </w:p>
        </w:tc>
        <w:tc>
          <w:tcPr>
            <w:tcW w:w="1276" w:type="dxa"/>
            <w:noWrap/>
          </w:tcPr>
          <w:p>
            <w:pPr>
              <w:pStyle w:val="yTableNAm"/>
            </w:pPr>
            <w:r>
              <w:t>s. 187</w:t>
            </w:r>
          </w:p>
        </w:tc>
        <w:tc>
          <w:tcPr>
            <w:tcW w:w="4819" w:type="dxa"/>
            <w:noWrap/>
          </w:tcPr>
          <w:p>
            <w:pPr>
              <w:pStyle w:val="yTableNAm"/>
            </w:pPr>
            <w:r>
              <w:t>Facilitating sexual offence against child outside WA</w:t>
            </w:r>
          </w:p>
        </w:tc>
      </w:tr>
      <w:tr>
        <w:tc>
          <w:tcPr>
            <w:tcW w:w="709" w:type="dxa"/>
            <w:noWrap/>
          </w:tcPr>
          <w:p>
            <w:pPr>
              <w:pStyle w:val="yTableNAm"/>
            </w:pPr>
            <w:r>
              <w:t>12.</w:t>
            </w:r>
          </w:p>
        </w:tc>
        <w:tc>
          <w:tcPr>
            <w:tcW w:w="1276" w:type="dxa"/>
            <w:noWrap/>
          </w:tcPr>
          <w:p>
            <w:pPr>
              <w:pStyle w:val="yTableNAm"/>
            </w:pPr>
            <w:r>
              <w:t>s. 190</w:t>
            </w:r>
          </w:p>
        </w:tc>
        <w:tc>
          <w:tcPr>
            <w:tcW w:w="4819" w:type="dxa"/>
            <w:noWrap/>
          </w:tcPr>
          <w:p>
            <w:pPr>
              <w:pStyle w:val="yTableNAm"/>
            </w:pPr>
            <w:r>
              <w:t>Being involved with prostitution</w:t>
            </w:r>
          </w:p>
        </w:tc>
      </w:tr>
      <w:tr>
        <w:tc>
          <w:tcPr>
            <w:tcW w:w="709" w:type="dxa"/>
            <w:noWrap/>
          </w:tcPr>
          <w:p>
            <w:pPr>
              <w:pStyle w:val="yTableNAm"/>
            </w:pPr>
            <w:r>
              <w:t>13.</w:t>
            </w:r>
          </w:p>
        </w:tc>
        <w:tc>
          <w:tcPr>
            <w:tcW w:w="1276" w:type="dxa"/>
            <w:noWrap/>
          </w:tcPr>
          <w:p>
            <w:pPr>
              <w:pStyle w:val="yTableNAm"/>
            </w:pPr>
            <w:r>
              <w:t>s. 191</w:t>
            </w:r>
          </w:p>
        </w:tc>
        <w:tc>
          <w:tcPr>
            <w:tcW w:w="4819" w:type="dxa"/>
            <w:noWrap/>
          </w:tcPr>
          <w:p>
            <w:pPr>
              <w:pStyle w:val="yTableNAm"/>
            </w:pPr>
            <w:r>
              <w:t>Procuring person to be prostitute etc.</w:t>
            </w:r>
          </w:p>
        </w:tc>
      </w:tr>
      <w:tr>
        <w:tc>
          <w:tcPr>
            <w:tcW w:w="709" w:type="dxa"/>
            <w:noWrap/>
          </w:tcPr>
          <w:p>
            <w:pPr>
              <w:pStyle w:val="yTableNAm"/>
            </w:pPr>
            <w:r>
              <w:lastRenderedPageBreak/>
              <w:t>14.</w:t>
            </w:r>
          </w:p>
        </w:tc>
        <w:tc>
          <w:tcPr>
            <w:tcW w:w="1276" w:type="dxa"/>
            <w:noWrap/>
          </w:tcPr>
          <w:p>
            <w:pPr>
              <w:pStyle w:val="yTableNAm"/>
            </w:pPr>
            <w:r>
              <w:t>s. 192</w:t>
            </w:r>
          </w:p>
        </w:tc>
        <w:tc>
          <w:tcPr>
            <w:tcW w:w="4819" w:type="dxa"/>
            <w:noWrap/>
          </w:tcPr>
          <w:p>
            <w:pPr>
              <w:pStyle w:val="yTableNAm"/>
            </w:pPr>
            <w:r>
              <w:t>Procuring person to have unlawful carnal knowledge by threat, fraud or administering drug</w:t>
            </w:r>
          </w:p>
        </w:tc>
      </w:tr>
      <w:tr>
        <w:tc>
          <w:tcPr>
            <w:tcW w:w="6804" w:type="dxa"/>
            <w:gridSpan w:val="3"/>
            <w:noWrap/>
          </w:tcPr>
          <w:p>
            <w:pPr>
              <w:pStyle w:val="yEdnoteitem"/>
              <w:tabs>
                <w:tab w:val="clear" w:pos="2765"/>
                <w:tab w:val="right" w:pos="1480"/>
              </w:tabs>
              <w:rPr>
                <w:rStyle w:val="DraftersNotes"/>
                <w:b w:val="0"/>
                <w:i/>
                <w:sz w:val="22"/>
              </w:rPr>
            </w:pPr>
            <w:r>
              <w:t>[15.</w:t>
            </w:r>
            <w:r>
              <w:tab/>
              <w:t>deleted]</w:t>
            </w:r>
          </w:p>
        </w:tc>
      </w:tr>
      <w:tr>
        <w:tc>
          <w:tcPr>
            <w:tcW w:w="709" w:type="dxa"/>
            <w:shd w:val="clear" w:color="auto" w:fill="auto"/>
            <w:noWrap/>
          </w:tcPr>
          <w:p>
            <w:pPr>
              <w:pStyle w:val="yTableNAm"/>
            </w:pPr>
            <w:r>
              <w:t>16.</w:t>
            </w:r>
          </w:p>
        </w:tc>
        <w:tc>
          <w:tcPr>
            <w:tcW w:w="1276" w:type="dxa"/>
            <w:shd w:val="clear" w:color="auto" w:fill="auto"/>
            <w:noWrap/>
          </w:tcPr>
          <w:p>
            <w:pPr>
              <w:pStyle w:val="yTableNAm"/>
            </w:pPr>
            <w:r>
              <w:t>s. 204A</w:t>
            </w:r>
          </w:p>
        </w:tc>
        <w:tc>
          <w:tcPr>
            <w:tcW w:w="4819" w:type="dxa"/>
            <w:shd w:val="clear" w:color="auto" w:fill="auto"/>
            <w:noWrap/>
          </w:tcPr>
          <w:p>
            <w:pPr>
              <w:pStyle w:val="yTableNAm"/>
            </w:pPr>
            <w:r>
              <w:t>Showing offensive material to child under 16</w:t>
            </w:r>
          </w:p>
        </w:tc>
      </w:tr>
      <w:tr>
        <w:tc>
          <w:tcPr>
            <w:tcW w:w="709" w:type="dxa"/>
            <w:shd w:val="clear" w:color="auto" w:fill="auto"/>
            <w:noWrap/>
          </w:tcPr>
          <w:p>
            <w:pPr>
              <w:pStyle w:val="yTableNAm"/>
            </w:pPr>
            <w:r>
              <w:t>17.</w:t>
            </w:r>
          </w:p>
        </w:tc>
        <w:tc>
          <w:tcPr>
            <w:tcW w:w="1276" w:type="dxa"/>
            <w:shd w:val="clear" w:color="auto" w:fill="auto"/>
            <w:noWrap/>
          </w:tcPr>
          <w:p>
            <w:pPr>
              <w:pStyle w:val="yTableNAm"/>
            </w:pPr>
            <w:r>
              <w:t>s. 204B</w:t>
            </w:r>
          </w:p>
        </w:tc>
        <w:tc>
          <w:tcPr>
            <w:tcW w:w="4819" w:type="dxa"/>
            <w:shd w:val="clear" w:color="auto" w:fill="auto"/>
            <w:noWrap/>
          </w:tcPr>
          <w:p>
            <w:pPr>
              <w:pStyle w:val="yTableNAm"/>
            </w:pPr>
            <w:r>
              <w:t>Using electronic communication to procure, or expose to indecent matter, child under 16</w:t>
            </w:r>
          </w:p>
        </w:tc>
      </w:tr>
      <w:tr>
        <w:tc>
          <w:tcPr>
            <w:tcW w:w="709" w:type="dxa"/>
            <w:noWrap/>
          </w:tcPr>
          <w:p>
            <w:pPr>
              <w:pStyle w:val="yTableNAm"/>
            </w:pPr>
            <w:r>
              <w:t>18.</w:t>
            </w:r>
          </w:p>
        </w:tc>
        <w:tc>
          <w:tcPr>
            <w:tcW w:w="1276" w:type="dxa"/>
            <w:noWrap/>
          </w:tcPr>
          <w:p>
            <w:pPr>
              <w:pStyle w:val="yTableNAm"/>
            </w:pPr>
            <w:r>
              <w:t>s. 206</w:t>
            </w:r>
          </w:p>
        </w:tc>
        <w:tc>
          <w:tcPr>
            <w:tcW w:w="4819" w:type="dxa"/>
            <w:noWrap/>
          </w:tcPr>
          <w:p>
            <w:pPr>
              <w:pStyle w:val="yTableNAm"/>
            </w:pPr>
            <w:r>
              <w:t>Supplying intoxicant to person likely to abuse them</w:t>
            </w:r>
          </w:p>
        </w:tc>
      </w:tr>
      <w:tr>
        <w:tc>
          <w:tcPr>
            <w:tcW w:w="709" w:type="dxa"/>
            <w:noWrap/>
          </w:tcPr>
          <w:p>
            <w:pPr>
              <w:pStyle w:val="yTableNAm"/>
            </w:pPr>
            <w:r>
              <w:t>19.</w:t>
            </w:r>
          </w:p>
        </w:tc>
        <w:tc>
          <w:tcPr>
            <w:tcW w:w="1276" w:type="dxa"/>
            <w:noWrap/>
          </w:tcPr>
          <w:p>
            <w:pPr>
              <w:pStyle w:val="yTableNAm"/>
            </w:pPr>
            <w:r>
              <w:t>s. 214</w:t>
            </w:r>
          </w:p>
        </w:tc>
        <w:tc>
          <w:tcPr>
            <w:tcW w:w="4819" w:type="dxa"/>
            <w:noWrap/>
          </w:tcPr>
          <w:p>
            <w:pPr>
              <w:pStyle w:val="yTableNAm"/>
            </w:pPr>
            <w:r>
              <w:t>Misconduct with regard to corpse</w:t>
            </w:r>
          </w:p>
        </w:tc>
      </w:tr>
      <w:tr>
        <w:tc>
          <w:tcPr>
            <w:tcW w:w="709" w:type="dxa"/>
            <w:noWrap/>
          </w:tcPr>
          <w:p>
            <w:pPr>
              <w:pStyle w:val="yTableNAm"/>
            </w:pPr>
            <w:r>
              <w:t>20.</w:t>
            </w:r>
          </w:p>
        </w:tc>
        <w:tc>
          <w:tcPr>
            <w:tcW w:w="1276" w:type="dxa"/>
            <w:noWrap/>
          </w:tcPr>
          <w:p>
            <w:pPr>
              <w:pStyle w:val="yTableNAm"/>
            </w:pPr>
            <w:r>
              <w:t>s. 215</w:t>
            </w:r>
          </w:p>
        </w:tc>
        <w:tc>
          <w:tcPr>
            <w:tcW w:w="4819" w:type="dxa"/>
            <w:noWrap/>
          </w:tcPr>
          <w:p>
            <w:pPr>
              <w:pStyle w:val="yTableNAm"/>
            </w:pPr>
            <w:r>
              <w:t>Interfering with corpse to hinder inquiry</w:t>
            </w:r>
          </w:p>
        </w:tc>
      </w:tr>
      <w:tr>
        <w:tc>
          <w:tcPr>
            <w:tcW w:w="709" w:type="dxa"/>
            <w:noWrap/>
          </w:tcPr>
          <w:p>
            <w:pPr>
              <w:pStyle w:val="yTableNAm"/>
            </w:pPr>
            <w:r>
              <w:t>21.</w:t>
            </w:r>
          </w:p>
        </w:tc>
        <w:tc>
          <w:tcPr>
            <w:tcW w:w="1276" w:type="dxa"/>
            <w:noWrap/>
          </w:tcPr>
          <w:p>
            <w:pPr>
              <w:pStyle w:val="yTableNAm"/>
            </w:pPr>
            <w:r>
              <w:t>s. 217</w:t>
            </w:r>
          </w:p>
        </w:tc>
        <w:tc>
          <w:tcPr>
            <w:tcW w:w="4819" w:type="dxa"/>
            <w:noWrap/>
          </w:tcPr>
          <w:p>
            <w:pPr>
              <w:pStyle w:val="yTableNAm"/>
            </w:pPr>
            <w:r>
              <w:t>Involving child in child exploitation</w:t>
            </w:r>
          </w:p>
        </w:tc>
      </w:tr>
      <w:tr>
        <w:tc>
          <w:tcPr>
            <w:tcW w:w="709" w:type="dxa"/>
            <w:noWrap/>
          </w:tcPr>
          <w:p>
            <w:pPr>
              <w:pStyle w:val="yTableNAm"/>
            </w:pPr>
            <w:r>
              <w:t>22.</w:t>
            </w:r>
          </w:p>
        </w:tc>
        <w:tc>
          <w:tcPr>
            <w:tcW w:w="1276" w:type="dxa"/>
            <w:noWrap/>
          </w:tcPr>
          <w:p>
            <w:pPr>
              <w:pStyle w:val="yTableNAm"/>
            </w:pPr>
            <w:r>
              <w:t>s. 218</w:t>
            </w:r>
          </w:p>
        </w:tc>
        <w:tc>
          <w:tcPr>
            <w:tcW w:w="4819" w:type="dxa"/>
            <w:noWrap/>
          </w:tcPr>
          <w:p>
            <w:pPr>
              <w:pStyle w:val="yTableNAm"/>
            </w:pPr>
            <w:r>
              <w:t>Producing child exploitation material</w:t>
            </w:r>
          </w:p>
        </w:tc>
      </w:tr>
      <w:tr>
        <w:tc>
          <w:tcPr>
            <w:tcW w:w="709" w:type="dxa"/>
            <w:noWrap/>
          </w:tcPr>
          <w:p>
            <w:pPr>
              <w:pStyle w:val="yTableNAm"/>
            </w:pPr>
            <w:r>
              <w:t>23.</w:t>
            </w:r>
          </w:p>
        </w:tc>
        <w:tc>
          <w:tcPr>
            <w:tcW w:w="1276" w:type="dxa"/>
            <w:noWrap/>
          </w:tcPr>
          <w:p>
            <w:pPr>
              <w:pStyle w:val="yTableNAm"/>
            </w:pPr>
            <w:r>
              <w:t>s. 219</w:t>
            </w:r>
          </w:p>
        </w:tc>
        <w:tc>
          <w:tcPr>
            <w:tcW w:w="4819" w:type="dxa"/>
            <w:noWrap/>
          </w:tcPr>
          <w:p>
            <w:pPr>
              <w:pStyle w:val="yTableNAm"/>
            </w:pPr>
            <w:r>
              <w:t>Distributing child exploitation material</w:t>
            </w:r>
          </w:p>
        </w:tc>
      </w:tr>
      <w:tr>
        <w:tc>
          <w:tcPr>
            <w:tcW w:w="709" w:type="dxa"/>
            <w:noWrap/>
          </w:tcPr>
          <w:p>
            <w:pPr>
              <w:pStyle w:val="yTableNAm"/>
            </w:pPr>
            <w:r>
              <w:t>24.</w:t>
            </w:r>
          </w:p>
        </w:tc>
        <w:tc>
          <w:tcPr>
            <w:tcW w:w="1276" w:type="dxa"/>
            <w:noWrap/>
          </w:tcPr>
          <w:p>
            <w:pPr>
              <w:pStyle w:val="yTableNAm"/>
            </w:pPr>
            <w:r>
              <w:t>s. 220</w:t>
            </w:r>
          </w:p>
        </w:tc>
        <w:tc>
          <w:tcPr>
            <w:tcW w:w="4819" w:type="dxa"/>
            <w:noWrap/>
          </w:tcPr>
          <w:p>
            <w:pPr>
              <w:pStyle w:val="yTableNAm"/>
            </w:pPr>
            <w:r>
              <w:t>Possession of child exploitation material</w:t>
            </w:r>
          </w:p>
        </w:tc>
      </w:tr>
      <w:tr>
        <w:tc>
          <w:tcPr>
            <w:tcW w:w="709" w:type="dxa"/>
            <w:noWrap/>
          </w:tcPr>
          <w:p>
            <w:pPr>
              <w:pStyle w:val="yTableNAm"/>
            </w:pPr>
            <w:r>
              <w:t>25.</w:t>
            </w:r>
          </w:p>
        </w:tc>
        <w:tc>
          <w:tcPr>
            <w:tcW w:w="1276" w:type="dxa"/>
            <w:noWrap/>
          </w:tcPr>
          <w:p>
            <w:pPr>
              <w:pStyle w:val="yTableNAm"/>
            </w:pPr>
            <w:r>
              <w:t>s. 221BD</w:t>
            </w:r>
          </w:p>
        </w:tc>
        <w:tc>
          <w:tcPr>
            <w:tcW w:w="4819" w:type="dxa"/>
            <w:noWrap/>
          </w:tcPr>
          <w:p>
            <w:pPr>
              <w:pStyle w:val="yTableNAm"/>
            </w:pPr>
            <w:r>
              <w:t>Distribution of intimate image</w:t>
            </w:r>
          </w:p>
        </w:tc>
      </w:tr>
      <w:tr>
        <w:tc>
          <w:tcPr>
            <w:tcW w:w="709" w:type="dxa"/>
            <w:noWrap/>
          </w:tcPr>
          <w:p>
            <w:pPr>
              <w:pStyle w:val="yTableNAm"/>
            </w:pPr>
            <w:r>
              <w:t>26.</w:t>
            </w:r>
          </w:p>
        </w:tc>
        <w:tc>
          <w:tcPr>
            <w:tcW w:w="1276" w:type="dxa"/>
            <w:noWrap/>
          </w:tcPr>
          <w:p>
            <w:pPr>
              <w:pStyle w:val="yTableNAm"/>
            </w:pPr>
            <w:r>
              <w:t>s. 221E</w:t>
            </w:r>
          </w:p>
        </w:tc>
        <w:tc>
          <w:tcPr>
            <w:tcW w:w="4819" w:type="dxa"/>
            <w:noWrap/>
          </w:tcPr>
          <w:p>
            <w:pPr>
              <w:pStyle w:val="yTableNAm"/>
            </w:pPr>
            <w:r>
              <w:t>Participating in activities of criminal organisation</w:t>
            </w:r>
          </w:p>
        </w:tc>
      </w:tr>
      <w:tr>
        <w:tc>
          <w:tcPr>
            <w:tcW w:w="709" w:type="dxa"/>
            <w:noWrap/>
          </w:tcPr>
          <w:p>
            <w:pPr>
              <w:pStyle w:val="yTableNAm"/>
            </w:pPr>
            <w:r>
              <w:t>27.</w:t>
            </w:r>
          </w:p>
        </w:tc>
        <w:tc>
          <w:tcPr>
            <w:tcW w:w="1276" w:type="dxa"/>
            <w:noWrap/>
          </w:tcPr>
          <w:p>
            <w:pPr>
              <w:pStyle w:val="yTableNAm"/>
            </w:pPr>
            <w:r>
              <w:t>s. 221F</w:t>
            </w:r>
          </w:p>
        </w:tc>
        <w:tc>
          <w:tcPr>
            <w:tcW w:w="4819" w:type="dxa"/>
            <w:noWrap/>
          </w:tcPr>
          <w:p>
            <w:pPr>
              <w:pStyle w:val="yTableNAm"/>
            </w:pPr>
            <w:r>
              <w:t>Instructing commission of offence for benefit of criminal organisation</w:t>
            </w:r>
          </w:p>
        </w:tc>
      </w:tr>
      <w:tr>
        <w:tc>
          <w:tcPr>
            <w:tcW w:w="709" w:type="dxa"/>
            <w:noWrap/>
          </w:tcPr>
          <w:p>
            <w:pPr>
              <w:pStyle w:val="yTableNAm"/>
            </w:pPr>
            <w:r>
              <w:t>28.</w:t>
            </w:r>
          </w:p>
        </w:tc>
        <w:tc>
          <w:tcPr>
            <w:tcW w:w="1276" w:type="dxa"/>
            <w:noWrap/>
          </w:tcPr>
          <w:p>
            <w:pPr>
              <w:pStyle w:val="yTableNAm"/>
            </w:pPr>
            <w:r>
              <w:t>s. 279</w:t>
            </w:r>
          </w:p>
        </w:tc>
        <w:tc>
          <w:tcPr>
            <w:tcW w:w="4819" w:type="dxa"/>
            <w:noWrap/>
          </w:tcPr>
          <w:p>
            <w:pPr>
              <w:pStyle w:val="yTableNAm"/>
            </w:pPr>
            <w:r>
              <w:t>Murder</w:t>
            </w:r>
          </w:p>
        </w:tc>
      </w:tr>
      <w:tr>
        <w:tc>
          <w:tcPr>
            <w:tcW w:w="709" w:type="dxa"/>
            <w:noWrap/>
          </w:tcPr>
          <w:p>
            <w:pPr>
              <w:pStyle w:val="yTableNAm"/>
            </w:pPr>
            <w:r>
              <w:t>29.</w:t>
            </w:r>
          </w:p>
        </w:tc>
        <w:tc>
          <w:tcPr>
            <w:tcW w:w="1276" w:type="dxa"/>
            <w:noWrap/>
          </w:tcPr>
          <w:p>
            <w:pPr>
              <w:pStyle w:val="yTableNAm"/>
            </w:pPr>
            <w:r>
              <w:t>s. 280</w:t>
            </w:r>
          </w:p>
        </w:tc>
        <w:tc>
          <w:tcPr>
            <w:tcW w:w="4819" w:type="dxa"/>
            <w:noWrap/>
          </w:tcPr>
          <w:p>
            <w:pPr>
              <w:pStyle w:val="yTableNAm"/>
            </w:pPr>
            <w:r>
              <w:t>Manslaughter</w:t>
            </w:r>
          </w:p>
        </w:tc>
      </w:tr>
      <w:tr>
        <w:tc>
          <w:tcPr>
            <w:tcW w:w="709" w:type="dxa"/>
            <w:noWrap/>
          </w:tcPr>
          <w:p>
            <w:pPr>
              <w:pStyle w:val="yTableNAm"/>
            </w:pPr>
            <w:r>
              <w:t>30.</w:t>
            </w:r>
          </w:p>
        </w:tc>
        <w:tc>
          <w:tcPr>
            <w:tcW w:w="1276" w:type="dxa"/>
            <w:noWrap/>
          </w:tcPr>
          <w:p>
            <w:pPr>
              <w:pStyle w:val="yTableNAm"/>
            </w:pPr>
            <w:r>
              <w:t>s. 281</w:t>
            </w:r>
          </w:p>
        </w:tc>
        <w:tc>
          <w:tcPr>
            <w:tcW w:w="4819" w:type="dxa"/>
            <w:noWrap/>
          </w:tcPr>
          <w:p>
            <w:pPr>
              <w:pStyle w:val="yTableNAm"/>
            </w:pPr>
            <w:r>
              <w:t>Unlawful assault causing death</w:t>
            </w:r>
          </w:p>
        </w:tc>
      </w:tr>
      <w:tr>
        <w:tc>
          <w:tcPr>
            <w:tcW w:w="709" w:type="dxa"/>
            <w:noWrap/>
          </w:tcPr>
          <w:p>
            <w:pPr>
              <w:pStyle w:val="yTableNAm"/>
            </w:pPr>
            <w:r>
              <w:t>31.</w:t>
            </w:r>
          </w:p>
        </w:tc>
        <w:tc>
          <w:tcPr>
            <w:tcW w:w="1276" w:type="dxa"/>
            <w:noWrap/>
          </w:tcPr>
          <w:p>
            <w:pPr>
              <w:pStyle w:val="yTableNAm"/>
            </w:pPr>
            <w:r>
              <w:t>s. 283</w:t>
            </w:r>
          </w:p>
        </w:tc>
        <w:tc>
          <w:tcPr>
            <w:tcW w:w="4819" w:type="dxa"/>
            <w:noWrap/>
          </w:tcPr>
          <w:p>
            <w:pPr>
              <w:pStyle w:val="yTableNAm"/>
            </w:pPr>
            <w:r>
              <w:t>Attempt to unlawfully kill</w:t>
            </w:r>
          </w:p>
        </w:tc>
      </w:tr>
      <w:tr>
        <w:tc>
          <w:tcPr>
            <w:tcW w:w="709" w:type="dxa"/>
            <w:noWrap/>
          </w:tcPr>
          <w:p>
            <w:pPr>
              <w:pStyle w:val="yTableNAm"/>
            </w:pPr>
            <w:r>
              <w:lastRenderedPageBreak/>
              <w:t>32.</w:t>
            </w:r>
          </w:p>
        </w:tc>
        <w:tc>
          <w:tcPr>
            <w:tcW w:w="1276" w:type="dxa"/>
            <w:noWrap/>
          </w:tcPr>
          <w:p>
            <w:pPr>
              <w:pStyle w:val="yTableNAm"/>
            </w:pPr>
            <w:r>
              <w:t>s. 288</w:t>
            </w:r>
          </w:p>
        </w:tc>
        <w:tc>
          <w:tcPr>
            <w:tcW w:w="4819" w:type="dxa"/>
            <w:noWrap/>
          </w:tcPr>
          <w:p>
            <w:pPr>
              <w:pStyle w:val="yTableNAm"/>
            </w:pPr>
            <w:r>
              <w:t>Procuring etc. suicide</w:t>
            </w:r>
          </w:p>
        </w:tc>
      </w:tr>
      <w:tr>
        <w:tc>
          <w:tcPr>
            <w:tcW w:w="709" w:type="dxa"/>
            <w:noWrap/>
          </w:tcPr>
          <w:p>
            <w:pPr>
              <w:pStyle w:val="yTableNAm"/>
            </w:pPr>
            <w:r>
              <w:t>33.</w:t>
            </w:r>
          </w:p>
        </w:tc>
        <w:tc>
          <w:tcPr>
            <w:tcW w:w="1276" w:type="dxa"/>
            <w:noWrap/>
          </w:tcPr>
          <w:p>
            <w:pPr>
              <w:pStyle w:val="yTableNAm"/>
            </w:pPr>
            <w:r>
              <w:t>s. 290</w:t>
            </w:r>
          </w:p>
        </w:tc>
        <w:tc>
          <w:tcPr>
            <w:tcW w:w="4819" w:type="dxa"/>
            <w:noWrap/>
          </w:tcPr>
          <w:p>
            <w:pPr>
              <w:pStyle w:val="yTableNAm"/>
            </w:pPr>
            <w:r>
              <w:t>Preventing birth of live child</w:t>
            </w:r>
          </w:p>
        </w:tc>
      </w:tr>
      <w:tr>
        <w:tc>
          <w:tcPr>
            <w:tcW w:w="709" w:type="dxa"/>
            <w:noWrap/>
          </w:tcPr>
          <w:p>
            <w:pPr>
              <w:pStyle w:val="yTableNAm"/>
            </w:pPr>
            <w:r>
              <w:t>34.</w:t>
            </w:r>
          </w:p>
        </w:tc>
        <w:tc>
          <w:tcPr>
            <w:tcW w:w="1276" w:type="dxa"/>
            <w:noWrap/>
          </w:tcPr>
          <w:p>
            <w:pPr>
              <w:pStyle w:val="yTableNAm"/>
            </w:pPr>
            <w:r>
              <w:t>s. 291</w:t>
            </w:r>
          </w:p>
        </w:tc>
        <w:tc>
          <w:tcPr>
            <w:tcW w:w="4819" w:type="dxa"/>
            <w:noWrap/>
          </w:tcPr>
          <w:p>
            <w:pPr>
              <w:pStyle w:val="yTableNAm"/>
            </w:pPr>
            <w:r>
              <w:t>Concealing birth of dead child</w:t>
            </w:r>
          </w:p>
        </w:tc>
      </w:tr>
      <w:tr>
        <w:tc>
          <w:tcPr>
            <w:tcW w:w="709" w:type="dxa"/>
            <w:noWrap/>
          </w:tcPr>
          <w:p>
            <w:pPr>
              <w:pStyle w:val="yTableNAm"/>
            </w:pPr>
            <w:r>
              <w:t>35.</w:t>
            </w:r>
          </w:p>
        </w:tc>
        <w:tc>
          <w:tcPr>
            <w:tcW w:w="1276" w:type="dxa"/>
            <w:noWrap/>
          </w:tcPr>
          <w:p>
            <w:pPr>
              <w:pStyle w:val="yTableNAm"/>
            </w:pPr>
            <w:r>
              <w:t>s. 292</w:t>
            </w:r>
          </w:p>
        </w:tc>
        <w:tc>
          <w:tcPr>
            <w:tcW w:w="4819" w:type="dxa"/>
            <w:noWrap/>
          </w:tcPr>
          <w:p>
            <w:pPr>
              <w:pStyle w:val="yTableNAm"/>
            </w:pPr>
            <w:r>
              <w:t>Disabling in order to commit indictable offence etc.</w:t>
            </w:r>
          </w:p>
        </w:tc>
      </w:tr>
      <w:tr>
        <w:tc>
          <w:tcPr>
            <w:tcW w:w="709" w:type="dxa"/>
            <w:noWrap/>
          </w:tcPr>
          <w:p>
            <w:pPr>
              <w:pStyle w:val="yTableNAm"/>
            </w:pPr>
            <w:r>
              <w:t>36.</w:t>
            </w:r>
          </w:p>
        </w:tc>
        <w:tc>
          <w:tcPr>
            <w:tcW w:w="1276" w:type="dxa"/>
            <w:noWrap/>
          </w:tcPr>
          <w:p>
            <w:pPr>
              <w:pStyle w:val="yTableNAm"/>
              <w:rPr>
                <w:b/>
              </w:rPr>
            </w:pPr>
            <w:r>
              <w:t>s. 293</w:t>
            </w:r>
          </w:p>
        </w:tc>
        <w:tc>
          <w:tcPr>
            <w:tcW w:w="4819" w:type="dxa"/>
            <w:noWrap/>
          </w:tcPr>
          <w:p>
            <w:pPr>
              <w:pStyle w:val="yTableNAm"/>
            </w:pPr>
            <w:r>
              <w:t>Stupefying in order to commit indictable offence etc.</w:t>
            </w:r>
          </w:p>
        </w:tc>
      </w:tr>
      <w:tr>
        <w:tc>
          <w:tcPr>
            <w:tcW w:w="709" w:type="dxa"/>
            <w:noWrap/>
          </w:tcPr>
          <w:p>
            <w:pPr>
              <w:pStyle w:val="yTableNAm"/>
            </w:pPr>
            <w:r>
              <w:t>37.</w:t>
            </w:r>
          </w:p>
        </w:tc>
        <w:tc>
          <w:tcPr>
            <w:tcW w:w="1276" w:type="dxa"/>
            <w:noWrap/>
          </w:tcPr>
          <w:p>
            <w:pPr>
              <w:pStyle w:val="yTableNAm"/>
              <w:rPr>
                <w:b/>
              </w:rPr>
            </w:pPr>
            <w:r>
              <w:t>s. 294</w:t>
            </w:r>
          </w:p>
        </w:tc>
        <w:tc>
          <w:tcPr>
            <w:tcW w:w="4819" w:type="dxa"/>
            <w:noWrap/>
          </w:tcPr>
          <w:p>
            <w:pPr>
              <w:pStyle w:val="yTableNAm"/>
            </w:pPr>
            <w:r>
              <w:t>Act intended to cause grievous bodily harm or prevent arrest</w:t>
            </w:r>
          </w:p>
        </w:tc>
      </w:tr>
      <w:tr>
        <w:tc>
          <w:tcPr>
            <w:tcW w:w="709" w:type="dxa"/>
            <w:noWrap/>
          </w:tcPr>
          <w:p>
            <w:pPr>
              <w:pStyle w:val="yTableNAm"/>
            </w:pPr>
            <w:r>
              <w:t>38.</w:t>
            </w:r>
          </w:p>
        </w:tc>
        <w:tc>
          <w:tcPr>
            <w:tcW w:w="1276" w:type="dxa"/>
            <w:noWrap/>
          </w:tcPr>
          <w:p>
            <w:pPr>
              <w:pStyle w:val="yTableNAm"/>
            </w:pPr>
            <w:r>
              <w:t>s. 297</w:t>
            </w:r>
          </w:p>
        </w:tc>
        <w:tc>
          <w:tcPr>
            <w:tcW w:w="4819" w:type="dxa"/>
            <w:noWrap/>
          </w:tcPr>
          <w:p>
            <w:pPr>
              <w:pStyle w:val="yTableNAm"/>
            </w:pPr>
            <w:r>
              <w:t>Grievous bodily harm</w:t>
            </w:r>
          </w:p>
        </w:tc>
      </w:tr>
      <w:tr>
        <w:tc>
          <w:tcPr>
            <w:tcW w:w="709" w:type="dxa"/>
            <w:noWrap/>
          </w:tcPr>
          <w:p>
            <w:pPr>
              <w:pStyle w:val="yTableNAm"/>
            </w:pPr>
            <w:r>
              <w:t>39.</w:t>
            </w:r>
          </w:p>
        </w:tc>
        <w:tc>
          <w:tcPr>
            <w:tcW w:w="1276" w:type="dxa"/>
            <w:noWrap/>
          </w:tcPr>
          <w:p>
            <w:pPr>
              <w:pStyle w:val="yTableNAm"/>
            </w:pPr>
            <w:r>
              <w:t>s. 298</w:t>
            </w:r>
          </w:p>
        </w:tc>
        <w:tc>
          <w:tcPr>
            <w:tcW w:w="4819" w:type="dxa"/>
            <w:noWrap/>
          </w:tcPr>
          <w:p>
            <w:pPr>
              <w:pStyle w:val="yTableNAm"/>
            </w:pPr>
            <w:r>
              <w:t>Suffocation and strangulation</w:t>
            </w:r>
          </w:p>
        </w:tc>
      </w:tr>
      <w:tr>
        <w:tc>
          <w:tcPr>
            <w:tcW w:w="709" w:type="dxa"/>
            <w:noWrap/>
          </w:tcPr>
          <w:p>
            <w:pPr>
              <w:pStyle w:val="yTableNAm"/>
            </w:pPr>
            <w:r>
              <w:t>40.</w:t>
            </w:r>
          </w:p>
        </w:tc>
        <w:tc>
          <w:tcPr>
            <w:tcW w:w="1276" w:type="dxa"/>
            <w:noWrap/>
          </w:tcPr>
          <w:p>
            <w:pPr>
              <w:pStyle w:val="yTableNAm"/>
            </w:pPr>
            <w:r>
              <w:t>s. 300</w:t>
            </w:r>
          </w:p>
        </w:tc>
        <w:tc>
          <w:tcPr>
            <w:tcW w:w="4819" w:type="dxa"/>
            <w:noWrap/>
          </w:tcPr>
          <w:p>
            <w:pPr>
              <w:pStyle w:val="yTableNAm"/>
            </w:pPr>
            <w:r>
              <w:t>Persistent family violence</w:t>
            </w:r>
          </w:p>
        </w:tc>
      </w:tr>
      <w:tr>
        <w:tc>
          <w:tcPr>
            <w:tcW w:w="709" w:type="dxa"/>
            <w:noWrap/>
          </w:tcPr>
          <w:p>
            <w:pPr>
              <w:pStyle w:val="yTableNAm"/>
            </w:pPr>
            <w:r>
              <w:t>41.</w:t>
            </w:r>
          </w:p>
        </w:tc>
        <w:tc>
          <w:tcPr>
            <w:tcW w:w="1276" w:type="dxa"/>
            <w:noWrap/>
          </w:tcPr>
          <w:p>
            <w:pPr>
              <w:pStyle w:val="yTableNAm"/>
            </w:pPr>
            <w:r>
              <w:t>s. 301</w:t>
            </w:r>
          </w:p>
        </w:tc>
        <w:tc>
          <w:tcPr>
            <w:tcW w:w="4819" w:type="dxa"/>
            <w:noWrap/>
          </w:tcPr>
          <w:p>
            <w:pPr>
              <w:pStyle w:val="yTableNAm"/>
            </w:pPr>
            <w:r>
              <w:t>Wounding and similar acts</w:t>
            </w:r>
          </w:p>
        </w:tc>
      </w:tr>
      <w:tr>
        <w:tc>
          <w:tcPr>
            <w:tcW w:w="709" w:type="dxa"/>
            <w:noWrap/>
          </w:tcPr>
          <w:p>
            <w:pPr>
              <w:pStyle w:val="yTableNAm"/>
            </w:pPr>
            <w:r>
              <w:t>42.</w:t>
            </w:r>
          </w:p>
        </w:tc>
        <w:tc>
          <w:tcPr>
            <w:tcW w:w="1276" w:type="dxa"/>
            <w:noWrap/>
          </w:tcPr>
          <w:p>
            <w:pPr>
              <w:pStyle w:val="yTableNAm"/>
            </w:pPr>
            <w:r>
              <w:t>s. 304</w:t>
            </w:r>
          </w:p>
        </w:tc>
        <w:tc>
          <w:tcPr>
            <w:tcW w:w="4819" w:type="dxa"/>
            <w:noWrap/>
          </w:tcPr>
          <w:p>
            <w:pPr>
              <w:pStyle w:val="yTableNAm"/>
            </w:pPr>
            <w:r>
              <w:t>Act or omission causing bodily harm or danger</w:t>
            </w:r>
          </w:p>
        </w:tc>
      </w:tr>
      <w:tr>
        <w:tc>
          <w:tcPr>
            <w:tcW w:w="709" w:type="dxa"/>
            <w:noWrap/>
          </w:tcPr>
          <w:p>
            <w:pPr>
              <w:pStyle w:val="yTableNAm"/>
            </w:pPr>
            <w:r>
              <w:t>43.</w:t>
            </w:r>
          </w:p>
        </w:tc>
        <w:tc>
          <w:tcPr>
            <w:tcW w:w="1276" w:type="dxa"/>
            <w:noWrap/>
          </w:tcPr>
          <w:p>
            <w:pPr>
              <w:pStyle w:val="yTableNAm"/>
            </w:pPr>
            <w:r>
              <w:t>s. 305</w:t>
            </w:r>
          </w:p>
        </w:tc>
        <w:tc>
          <w:tcPr>
            <w:tcW w:w="4819" w:type="dxa"/>
            <w:noWrap/>
          </w:tcPr>
          <w:p>
            <w:pPr>
              <w:pStyle w:val="yTableNAm"/>
            </w:pPr>
            <w:r>
              <w:t>Setting dangerous thing</w:t>
            </w:r>
          </w:p>
        </w:tc>
      </w:tr>
      <w:tr>
        <w:tc>
          <w:tcPr>
            <w:tcW w:w="709" w:type="dxa"/>
            <w:noWrap/>
          </w:tcPr>
          <w:p>
            <w:pPr>
              <w:pStyle w:val="yTableNAm"/>
            </w:pPr>
            <w:r>
              <w:t>44.</w:t>
            </w:r>
          </w:p>
        </w:tc>
        <w:tc>
          <w:tcPr>
            <w:tcW w:w="1276" w:type="dxa"/>
            <w:noWrap/>
          </w:tcPr>
          <w:p>
            <w:pPr>
              <w:pStyle w:val="yTableNAm"/>
            </w:pPr>
            <w:r>
              <w:t>s. 305A</w:t>
            </w:r>
          </w:p>
        </w:tc>
        <w:tc>
          <w:tcPr>
            <w:tcW w:w="4819" w:type="dxa"/>
            <w:noWrap/>
          </w:tcPr>
          <w:p>
            <w:pPr>
              <w:pStyle w:val="yTableNAm"/>
            </w:pPr>
            <w:r>
              <w:t>Intoxication by deception</w:t>
            </w:r>
          </w:p>
        </w:tc>
      </w:tr>
      <w:tr>
        <w:tc>
          <w:tcPr>
            <w:tcW w:w="709" w:type="dxa"/>
            <w:noWrap/>
          </w:tcPr>
          <w:p>
            <w:pPr>
              <w:pStyle w:val="yTableNAm"/>
            </w:pPr>
            <w:r>
              <w:t>45.</w:t>
            </w:r>
          </w:p>
        </w:tc>
        <w:tc>
          <w:tcPr>
            <w:tcW w:w="1276" w:type="dxa"/>
            <w:noWrap/>
          </w:tcPr>
          <w:p>
            <w:pPr>
              <w:pStyle w:val="yTableNAm"/>
            </w:pPr>
            <w:r>
              <w:t>s. 306</w:t>
            </w:r>
          </w:p>
        </w:tc>
        <w:tc>
          <w:tcPr>
            <w:tcW w:w="4819" w:type="dxa"/>
            <w:noWrap/>
          </w:tcPr>
          <w:p>
            <w:pPr>
              <w:pStyle w:val="yTableNAm"/>
            </w:pPr>
            <w:r>
              <w:t>Female genital mutilation</w:t>
            </w:r>
          </w:p>
        </w:tc>
      </w:tr>
      <w:tr>
        <w:tc>
          <w:tcPr>
            <w:tcW w:w="709" w:type="dxa"/>
            <w:noWrap/>
          </w:tcPr>
          <w:p>
            <w:pPr>
              <w:pStyle w:val="yTableNAm"/>
            </w:pPr>
            <w:r>
              <w:t>46.</w:t>
            </w:r>
          </w:p>
        </w:tc>
        <w:tc>
          <w:tcPr>
            <w:tcW w:w="1276" w:type="dxa"/>
            <w:noWrap/>
          </w:tcPr>
          <w:p>
            <w:pPr>
              <w:pStyle w:val="yTableNAm"/>
            </w:pPr>
            <w:r>
              <w:t>s. 313</w:t>
            </w:r>
          </w:p>
        </w:tc>
        <w:tc>
          <w:tcPr>
            <w:tcW w:w="4819" w:type="dxa"/>
            <w:noWrap/>
          </w:tcPr>
          <w:p>
            <w:pPr>
              <w:pStyle w:val="yTableNAm"/>
            </w:pPr>
            <w:r>
              <w:t>Common assault</w:t>
            </w:r>
          </w:p>
        </w:tc>
      </w:tr>
      <w:tr>
        <w:tc>
          <w:tcPr>
            <w:tcW w:w="709" w:type="dxa"/>
            <w:noWrap/>
          </w:tcPr>
          <w:p>
            <w:pPr>
              <w:pStyle w:val="yTableNAm"/>
            </w:pPr>
            <w:r>
              <w:t>47.</w:t>
            </w:r>
          </w:p>
        </w:tc>
        <w:tc>
          <w:tcPr>
            <w:tcW w:w="1276" w:type="dxa"/>
            <w:noWrap/>
          </w:tcPr>
          <w:p>
            <w:pPr>
              <w:pStyle w:val="yTableNAm"/>
            </w:pPr>
            <w:r>
              <w:t>s. 317</w:t>
            </w:r>
          </w:p>
        </w:tc>
        <w:tc>
          <w:tcPr>
            <w:tcW w:w="4819" w:type="dxa"/>
            <w:noWrap/>
          </w:tcPr>
          <w:p>
            <w:pPr>
              <w:pStyle w:val="yTableNAm"/>
            </w:pPr>
            <w:r>
              <w:t>Assault causing bodily harm</w:t>
            </w:r>
          </w:p>
        </w:tc>
      </w:tr>
      <w:tr>
        <w:tc>
          <w:tcPr>
            <w:tcW w:w="709" w:type="dxa"/>
            <w:noWrap/>
          </w:tcPr>
          <w:p>
            <w:pPr>
              <w:pStyle w:val="yTableNAm"/>
            </w:pPr>
            <w:r>
              <w:t>48.</w:t>
            </w:r>
          </w:p>
        </w:tc>
        <w:tc>
          <w:tcPr>
            <w:tcW w:w="1276" w:type="dxa"/>
            <w:noWrap/>
          </w:tcPr>
          <w:p>
            <w:pPr>
              <w:pStyle w:val="yTableNAm"/>
            </w:pPr>
            <w:r>
              <w:t>s. 317A</w:t>
            </w:r>
          </w:p>
        </w:tc>
        <w:tc>
          <w:tcPr>
            <w:tcW w:w="4819" w:type="dxa"/>
            <w:noWrap/>
          </w:tcPr>
          <w:p>
            <w:pPr>
              <w:pStyle w:val="yTableNAm"/>
            </w:pPr>
            <w:r>
              <w:t>Assault with intent</w:t>
            </w:r>
          </w:p>
        </w:tc>
      </w:tr>
      <w:tr>
        <w:tc>
          <w:tcPr>
            <w:tcW w:w="709" w:type="dxa"/>
            <w:noWrap/>
          </w:tcPr>
          <w:p>
            <w:pPr>
              <w:pStyle w:val="yTableNAm"/>
            </w:pPr>
            <w:r>
              <w:t>49.</w:t>
            </w:r>
          </w:p>
        </w:tc>
        <w:tc>
          <w:tcPr>
            <w:tcW w:w="1276" w:type="dxa"/>
            <w:noWrap/>
          </w:tcPr>
          <w:p>
            <w:pPr>
              <w:pStyle w:val="yTableNAm"/>
            </w:pPr>
            <w:r>
              <w:t>s. 318</w:t>
            </w:r>
          </w:p>
        </w:tc>
        <w:tc>
          <w:tcPr>
            <w:tcW w:w="4819" w:type="dxa"/>
            <w:noWrap/>
          </w:tcPr>
          <w:p>
            <w:pPr>
              <w:pStyle w:val="yTableNAm"/>
            </w:pPr>
            <w:r>
              <w:t>Serious assault</w:t>
            </w:r>
          </w:p>
        </w:tc>
      </w:tr>
      <w:tr>
        <w:tc>
          <w:tcPr>
            <w:tcW w:w="709" w:type="dxa"/>
            <w:noWrap/>
          </w:tcPr>
          <w:p>
            <w:pPr>
              <w:pStyle w:val="yTableNAm"/>
            </w:pPr>
            <w:r>
              <w:lastRenderedPageBreak/>
              <w:t>50.</w:t>
            </w:r>
          </w:p>
        </w:tc>
        <w:tc>
          <w:tcPr>
            <w:tcW w:w="1276" w:type="dxa"/>
            <w:noWrap/>
          </w:tcPr>
          <w:p>
            <w:pPr>
              <w:pStyle w:val="yTableNAm"/>
            </w:pPr>
            <w:r>
              <w:t>s. 318A</w:t>
            </w:r>
          </w:p>
        </w:tc>
        <w:tc>
          <w:tcPr>
            <w:tcW w:w="4819" w:type="dxa"/>
            <w:noWrap/>
          </w:tcPr>
          <w:p>
            <w:pPr>
              <w:pStyle w:val="yTableNAm"/>
            </w:pPr>
            <w:r>
              <w:t>Assault on aircraft’s crew</w:t>
            </w:r>
          </w:p>
        </w:tc>
      </w:tr>
      <w:tr>
        <w:tc>
          <w:tcPr>
            <w:tcW w:w="709" w:type="dxa"/>
            <w:noWrap/>
          </w:tcPr>
          <w:p>
            <w:pPr>
              <w:pStyle w:val="yTableNAm"/>
            </w:pPr>
            <w:r>
              <w:t>51.</w:t>
            </w:r>
          </w:p>
        </w:tc>
        <w:tc>
          <w:tcPr>
            <w:tcW w:w="1276" w:type="dxa"/>
            <w:noWrap/>
          </w:tcPr>
          <w:p>
            <w:pPr>
              <w:pStyle w:val="yTableNAm"/>
            </w:pPr>
            <w:r>
              <w:t>s. 320</w:t>
            </w:r>
          </w:p>
        </w:tc>
        <w:tc>
          <w:tcPr>
            <w:tcW w:w="4819" w:type="dxa"/>
            <w:noWrap/>
          </w:tcPr>
          <w:p>
            <w:pPr>
              <w:pStyle w:val="yTableNAm"/>
            </w:pPr>
            <w:r>
              <w:t>Sexual offence against child under 13</w:t>
            </w:r>
          </w:p>
        </w:tc>
      </w:tr>
      <w:tr>
        <w:tc>
          <w:tcPr>
            <w:tcW w:w="709" w:type="dxa"/>
            <w:noWrap/>
          </w:tcPr>
          <w:p>
            <w:pPr>
              <w:pStyle w:val="yTableNAm"/>
            </w:pPr>
            <w:r>
              <w:t>52.</w:t>
            </w:r>
          </w:p>
        </w:tc>
        <w:tc>
          <w:tcPr>
            <w:tcW w:w="1276" w:type="dxa"/>
            <w:noWrap/>
          </w:tcPr>
          <w:p>
            <w:pPr>
              <w:pStyle w:val="yTableNAm"/>
            </w:pPr>
            <w:r>
              <w:t>s. 321</w:t>
            </w:r>
          </w:p>
        </w:tc>
        <w:tc>
          <w:tcPr>
            <w:tcW w:w="4819" w:type="dxa"/>
            <w:noWrap/>
          </w:tcPr>
          <w:p>
            <w:pPr>
              <w:pStyle w:val="yTableNAm"/>
            </w:pPr>
            <w:r>
              <w:t>Sexual offence against child of or over 13 and under 16</w:t>
            </w:r>
          </w:p>
        </w:tc>
      </w:tr>
      <w:tr>
        <w:tc>
          <w:tcPr>
            <w:tcW w:w="709" w:type="dxa"/>
            <w:noWrap/>
          </w:tcPr>
          <w:p>
            <w:pPr>
              <w:pStyle w:val="yTableNAm"/>
            </w:pPr>
            <w:r>
              <w:t>53.</w:t>
            </w:r>
          </w:p>
        </w:tc>
        <w:tc>
          <w:tcPr>
            <w:tcW w:w="1276" w:type="dxa"/>
            <w:noWrap/>
          </w:tcPr>
          <w:p>
            <w:pPr>
              <w:pStyle w:val="yTableNAm"/>
            </w:pPr>
            <w:r>
              <w:t>s. 321A</w:t>
            </w:r>
          </w:p>
        </w:tc>
        <w:tc>
          <w:tcPr>
            <w:tcW w:w="4819" w:type="dxa"/>
            <w:noWrap/>
          </w:tcPr>
          <w:p>
            <w:pPr>
              <w:pStyle w:val="yTableNAm"/>
            </w:pPr>
            <w:r>
              <w:t>Persistent sexual conduct with child under 16</w:t>
            </w:r>
          </w:p>
        </w:tc>
      </w:tr>
      <w:tr>
        <w:tc>
          <w:tcPr>
            <w:tcW w:w="709" w:type="dxa"/>
            <w:noWrap/>
          </w:tcPr>
          <w:p>
            <w:pPr>
              <w:pStyle w:val="yTableNAm"/>
            </w:pPr>
            <w:r>
              <w:t>54.</w:t>
            </w:r>
          </w:p>
        </w:tc>
        <w:tc>
          <w:tcPr>
            <w:tcW w:w="1276" w:type="dxa"/>
            <w:noWrap/>
          </w:tcPr>
          <w:p>
            <w:pPr>
              <w:pStyle w:val="yTableNAm"/>
            </w:pPr>
            <w:r>
              <w:t>s. 322</w:t>
            </w:r>
          </w:p>
        </w:tc>
        <w:tc>
          <w:tcPr>
            <w:tcW w:w="4819" w:type="dxa"/>
            <w:noWrap/>
          </w:tcPr>
          <w:p>
            <w:pPr>
              <w:pStyle w:val="yTableNAm"/>
            </w:pPr>
            <w:r>
              <w:t>Sexual offence against child of or over 16 by person in authority</w:t>
            </w:r>
          </w:p>
        </w:tc>
      </w:tr>
      <w:tr>
        <w:tc>
          <w:tcPr>
            <w:tcW w:w="709" w:type="dxa"/>
            <w:noWrap/>
          </w:tcPr>
          <w:p>
            <w:pPr>
              <w:pStyle w:val="yTableNAm"/>
            </w:pPr>
            <w:r>
              <w:t>55.</w:t>
            </w:r>
          </w:p>
        </w:tc>
        <w:tc>
          <w:tcPr>
            <w:tcW w:w="1276" w:type="dxa"/>
            <w:noWrap/>
          </w:tcPr>
          <w:p>
            <w:pPr>
              <w:pStyle w:val="yTableNAm"/>
            </w:pPr>
            <w:r>
              <w:t>s. 323</w:t>
            </w:r>
          </w:p>
        </w:tc>
        <w:tc>
          <w:tcPr>
            <w:tcW w:w="4819" w:type="dxa"/>
            <w:noWrap/>
          </w:tcPr>
          <w:p>
            <w:pPr>
              <w:pStyle w:val="yTableNAm"/>
            </w:pPr>
            <w:r>
              <w:t>Indecent assault</w:t>
            </w:r>
          </w:p>
        </w:tc>
      </w:tr>
      <w:tr>
        <w:tc>
          <w:tcPr>
            <w:tcW w:w="709" w:type="dxa"/>
            <w:noWrap/>
          </w:tcPr>
          <w:p>
            <w:pPr>
              <w:pStyle w:val="yTableNAm"/>
            </w:pPr>
            <w:r>
              <w:t>56.</w:t>
            </w:r>
          </w:p>
        </w:tc>
        <w:tc>
          <w:tcPr>
            <w:tcW w:w="1276" w:type="dxa"/>
            <w:noWrap/>
          </w:tcPr>
          <w:p>
            <w:pPr>
              <w:pStyle w:val="yTableNAm"/>
            </w:pPr>
            <w:r>
              <w:t>s. 324</w:t>
            </w:r>
          </w:p>
        </w:tc>
        <w:tc>
          <w:tcPr>
            <w:tcW w:w="4819" w:type="dxa"/>
            <w:noWrap/>
          </w:tcPr>
          <w:p>
            <w:pPr>
              <w:pStyle w:val="yTableNAm"/>
            </w:pPr>
            <w:r>
              <w:t>Aggravated indecent assault</w:t>
            </w:r>
          </w:p>
        </w:tc>
      </w:tr>
      <w:tr>
        <w:tc>
          <w:tcPr>
            <w:tcW w:w="709" w:type="dxa"/>
            <w:noWrap/>
          </w:tcPr>
          <w:p>
            <w:pPr>
              <w:pStyle w:val="yTableNAm"/>
            </w:pPr>
            <w:r>
              <w:t>57.</w:t>
            </w:r>
          </w:p>
        </w:tc>
        <w:tc>
          <w:tcPr>
            <w:tcW w:w="1276" w:type="dxa"/>
            <w:noWrap/>
          </w:tcPr>
          <w:p>
            <w:pPr>
              <w:pStyle w:val="yTableNAm"/>
            </w:pPr>
            <w:r>
              <w:t>s. 325</w:t>
            </w:r>
          </w:p>
        </w:tc>
        <w:tc>
          <w:tcPr>
            <w:tcW w:w="4819" w:type="dxa"/>
            <w:noWrap/>
          </w:tcPr>
          <w:p>
            <w:pPr>
              <w:pStyle w:val="yTableNAm"/>
            </w:pPr>
            <w:r>
              <w:t>Sexual penetration without consent</w:t>
            </w:r>
          </w:p>
        </w:tc>
      </w:tr>
      <w:tr>
        <w:tc>
          <w:tcPr>
            <w:tcW w:w="709" w:type="dxa"/>
            <w:noWrap/>
          </w:tcPr>
          <w:p>
            <w:pPr>
              <w:pStyle w:val="yTableNAm"/>
            </w:pPr>
            <w:r>
              <w:t>58.</w:t>
            </w:r>
          </w:p>
        </w:tc>
        <w:tc>
          <w:tcPr>
            <w:tcW w:w="1276" w:type="dxa"/>
            <w:noWrap/>
          </w:tcPr>
          <w:p>
            <w:pPr>
              <w:pStyle w:val="yTableNAm"/>
            </w:pPr>
            <w:r>
              <w:t>s. 326</w:t>
            </w:r>
          </w:p>
        </w:tc>
        <w:tc>
          <w:tcPr>
            <w:tcW w:w="4819" w:type="dxa"/>
            <w:noWrap/>
          </w:tcPr>
          <w:p>
            <w:pPr>
              <w:pStyle w:val="yTableNAm"/>
            </w:pPr>
            <w:r>
              <w:t>Aggravated sexual penetration without consent</w:t>
            </w:r>
          </w:p>
        </w:tc>
      </w:tr>
      <w:tr>
        <w:tc>
          <w:tcPr>
            <w:tcW w:w="709" w:type="dxa"/>
            <w:noWrap/>
          </w:tcPr>
          <w:p>
            <w:pPr>
              <w:pStyle w:val="yTableNAm"/>
            </w:pPr>
            <w:r>
              <w:t>59.</w:t>
            </w:r>
          </w:p>
        </w:tc>
        <w:tc>
          <w:tcPr>
            <w:tcW w:w="1276" w:type="dxa"/>
            <w:noWrap/>
          </w:tcPr>
          <w:p>
            <w:pPr>
              <w:pStyle w:val="yTableNAm"/>
            </w:pPr>
            <w:r>
              <w:t>s. 327</w:t>
            </w:r>
          </w:p>
        </w:tc>
        <w:tc>
          <w:tcPr>
            <w:tcW w:w="4819" w:type="dxa"/>
            <w:noWrap/>
          </w:tcPr>
          <w:p>
            <w:pPr>
              <w:pStyle w:val="yTableNAm"/>
            </w:pPr>
            <w:r>
              <w:t>Sexual coercion</w:t>
            </w:r>
          </w:p>
        </w:tc>
      </w:tr>
      <w:tr>
        <w:tc>
          <w:tcPr>
            <w:tcW w:w="709" w:type="dxa"/>
            <w:noWrap/>
          </w:tcPr>
          <w:p>
            <w:pPr>
              <w:pStyle w:val="yTableNAm"/>
            </w:pPr>
            <w:r>
              <w:t>60.</w:t>
            </w:r>
          </w:p>
        </w:tc>
        <w:tc>
          <w:tcPr>
            <w:tcW w:w="1276" w:type="dxa"/>
            <w:noWrap/>
          </w:tcPr>
          <w:p>
            <w:pPr>
              <w:pStyle w:val="yTableNAm"/>
            </w:pPr>
            <w:r>
              <w:t>s. 328</w:t>
            </w:r>
          </w:p>
        </w:tc>
        <w:tc>
          <w:tcPr>
            <w:tcW w:w="4819" w:type="dxa"/>
            <w:noWrap/>
          </w:tcPr>
          <w:p>
            <w:pPr>
              <w:pStyle w:val="yTableNAm"/>
            </w:pPr>
            <w:r>
              <w:t>Aggravated sexual coercion</w:t>
            </w:r>
          </w:p>
        </w:tc>
      </w:tr>
      <w:tr>
        <w:tc>
          <w:tcPr>
            <w:tcW w:w="709" w:type="dxa"/>
            <w:noWrap/>
          </w:tcPr>
          <w:p>
            <w:pPr>
              <w:pStyle w:val="yTableNAm"/>
            </w:pPr>
            <w:r>
              <w:t>61.</w:t>
            </w:r>
          </w:p>
        </w:tc>
        <w:tc>
          <w:tcPr>
            <w:tcW w:w="1276" w:type="dxa"/>
            <w:noWrap/>
          </w:tcPr>
          <w:p>
            <w:pPr>
              <w:pStyle w:val="yTableNAm"/>
            </w:pPr>
            <w:r>
              <w:t>s. 329</w:t>
            </w:r>
          </w:p>
        </w:tc>
        <w:tc>
          <w:tcPr>
            <w:tcW w:w="4819" w:type="dxa"/>
            <w:noWrap/>
          </w:tcPr>
          <w:p>
            <w:pPr>
              <w:pStyle w:val="yTableNAm"/>
            </w:pPr>
            <w:r>
              <w:t>Sexual offence by relative or the like</w:t>
            </w:r>
          </w:p>
        </w:tc>
      </w:tr>
      <w:tr>
        <w:tc>
          <w:tcPr>
            <w:tcW w:w="709" w:type="dxa"/>
            <w:noWrap/>
          </w:tcPr>
          <w:p>
            <w:pPr>
              <w:pStyle w:val="yTableNAm"/>
            </w:pPr>
            <w:r>
              <w:t>62.</w:t>
            </w:r>
          </w:p>
        </w:tc>
        <w:tc>
          <w:tcPr>
            <w:tcW w:w="1276" w:type="dxa"/>
            <w:noWrap/>
          </w:tcPr>
          <w:p>
            <w:pPr>
              <w:pStyle w:val="yTableNAm"/>
            </w:pPr>
            <w:r>
              <w:t>s. 330</w:t>
            </w:r>
          </w:p>
        </w:tc>
        <w:tc>
          <w:tcPr>
            <w:tcW w:w="4819" w:type="dxa"/>
            <w:noWrap/>
          </w:tcPr>
          <w:p>
            <w:pPr>
              <w:pStyle w:val="yTableNAm"/>
            </w:pPr>
            <w:r>
              <w:t>Sexual offence against incapable person</w:t>
            </w:r>
          </w:p>
        </w:tc>
      </w:tr>
      <w:tr>
        <w:tc>
          <w:tcPr>
            <w:tcW w:w="709" w:type="dxa"/>
            <w:noWrap/>
          </w:tcPr>
          <w:p>
            <w:pPr>
              <w:pStyle w:val="yTableNAm"/>
            </w:pPr>
            <w:r>
              <w:t>63.</w:t>
            </w:r>
          </w:p>
        </w:tc>
        <w:tc>
          <w:tcPr>
            <w:tcW w:w="1276" w:type="dxa"/>
            <w:noWrap/>
          </w:tcPr>
          <w:p>
            <w:pPr>
              <w:pStyle w:val="yTableNAm"/>
            </w:pPr>
            <w:r>
              <w:t>s. 331B</w:t>
            </w:r>
          </w:p>
        </w:tc>
        <w:tc>
          <w:tcPr>
            <w:tcW w:w="4819" w:type="dxa"/>
            <w:noWrap/>
          </w:tcPr>
          <w:p>
            <w:pPr>
              <w:pStyle w:val="yTableNAm"/>
            </w:pPr>
            <w:r>
              <w:t>Sexual servitude</w:t>
            </w:r>
          </w:p>
        </w:tc>
      </w:tr>
      <w:tr>
        <w:tc>
          <w:tcPr>
            <w:tcW w:w="709" w:type="dxa"/>
            <w:noWrap/>
          </w:tcPr>
          <w:p>
            <w:pPr>
              <w:pStyle w:val="yTableNAm"/>
            </w:pPr>
            <w:r>
              <w:t>64.</w:t>
            </w:r>
          </w:p>
        </w:tc>
        <w:tc>
          <w:tcPr>
            <w:tcW w:w="1276" w:type="dxa"/>
            <w:noWrap/>
          </w:tcPr>
          <w:p>
            <w:pPr>
              <w:pStyle w:val="yTableNAm"/>
            </w:pPr>
            <w:r>
              <w:t>s. 331C</w:t>
            </w:r>
          </w:p>
        </w:tc>
        <w:tc>
          <w:tcPr>
            <w:tcW w:w="4819" w:type="dxa"/>
            <w:noWrap/>
          </w:tcPr>
          <w:p>
            <w:pPr>
              <w:pStyle w:val="yTableNAm"/>
            </w:pPr>
            <w:r>
              <w:t>Conducting business involving sexual servitude</w:t>
            </w:r>
          </w:p>
        </w:tc>
      </w:tr>
      <w:tr>
        <w:tc>
          <w:tcPr>
            <w:tcW w:w="709" w:type="dxa"/>
            <w:noWrap/>
          </w:tcPr>
          <w:p>
            <w:pPr>
              <w:pStyle w:val="yTableNAm"/>
            </w:pPr>
            <w:r>
              <w:t>65.</w:t>
            </w:r>
          </w:p>
        </w:tc>
        <w:tc>
          <w:tcPr>
            <w:tcW w:w="1276" w:type="dxa"/>
            <w:noWrap/>
          </w:tcPr>
          <w:p>
            <w:pPr>
              <w:pStyle w:val="yTableNAm"/>
            </w:pPr>
            <w:r>
              <w:t>s. 331D</w:t>
            </w:r>
          </w:p>
        </w:tc>
        <w:tc>
          <w:tcPr>
            <w:tcW w:w="4819" w:type="dxa"/>
            <w:noWrap/>
          </w:tcPr>
          <w:p>
            <w:pPr>
              <w:pStyle w:val="yTableNAm"/>
            </w:pPr>
            <w:r>
              <w:t>Deceptive recruiting for commercial sexual service</w:t>
            </w:r>
          </w:p>
        </w:tc>
      </w:tr>
      <w:tr>
        <w:tc>
          <w:tcPr>
            <w:tcW w:w="709" w:type="dxa"/>
            <w:noWrap/>
          </w:tcPr>
          <w:p>
            <w:pPr>
              <w:pStyle w:val="yTableNAm"/>
            </w:pPr>
            <w:r>
              <w:t>66.</w:t>
            </w:r>
          </w:p>
        </w:tc>
        <w:tc>
          <w:tcPr>
            <w:tcW w:w="1276" w:type="dxa"/>
            <w:noWrap/>
          </w:tcPr>
          <w:p>
            <w:pPr>
              <w:pStyle w:val="yTableNAm"/>
            </w:pPr>
            <w:r>
              <w:t>s. 332</w:t>
            </w:r>
          </w:p>
        </w:tc>
        <w:tc>
          <w:tcPr>
            <w:tcW w:w="4819" w:type="dxa"/>
            <w:noWrap/>
          </w:tcPr>
          <w:p>
            <w:pPr>
              <w:pStyle w:val="yTableNAm"/>
            </w:pPr>
            <w:r>
              <w:t>Kidnapping</w:t>
            </w:r>
          </w:p>
        </w:tc>
      </w:tr>
      <w:tr>
        <w:tc>
          <w:tcPr>
            <w:tcW w:w="709" w:type="dxa"/>
            <w:noWrap/>
          </w:tcPr>
          <w:p>
            <w:pPr>
              <w:pStyle w:val="yTableNAm"/>
            </w:pPr>
            <w:r>
              <w:t>67.</w:t>
            </w:r>
          </w:p>
        </w:tc>
        <w:tc>
          <w:tcPr>
            <w:tcW w:w="1276" w:type="dxa"/>
            <w:noWrap/>
          </w:tcPr>
          <w:p>
            <w:pPr>
              <w:pStyle w:val="yTableNAm"/>
            </w:pPr>
            <w:r>
              <w:t>s. 333</w:t>
            </w:r>
          </w:p>
        </w:tc>
        <w:tc>
          <w:tcPr>
            <w:tcW w:w="4819" w:type="dxa"/>
            <w:noWrap/>
          </w:tcPr>
          <w:p>
            <w:pPr>
              <w:pStyle w:val="yTableNAm"/>
            </w:pPr>
            <w:r>
              <w:t>Deprivation of liberty</w:t>
            </w:r>
          </w:p>
        </w:tc>
      </w:tr>
      <w:tr>
        <w:tc>
          <w:tcPr>
            <w:tcW w:w="709" w:type="dxa"/>
            <w:noWrap/>
          </w:tcPr>
          <w:p>
            <w:pPr>
              <w:pStyle w:val="yTableNAm"/>
            </w:pPr>
            <w:r>
              <w:lastRenderedPageBreak/>
              <w:t>68.</w:t>
            </w:r>
          </w:p>
        </w:tc>
        <w:tc>
          <w:tcPr>
            <w:tcW w:w="1276" w:type="dxa"/>
            <w:noWrap/>
          </w:tcPr>
          <w:p>
            <w:pPr>
              <w:pStyle w:val="yTableNAm"/>
            </w:pPr>
            <w:r>
              <w:t>s. 336</w:t>
            </w:r>
          </w:p>
        </w:tc>
        <w:tc>
          <w:tcPr>
            <w:tcW w:w="4819" w:type="dxa"/>
            <w:noWrap/>
          </w:tcPr>
          <w:p>
            <w:pPr>
              <w:pStyle w:val="yTableNAm"/>
            </w:pPr>
            <w:r>
              <w:t>Procuring apprehension or detention of person not suffering from mental illness or impairment</w:t>
            </w:r>
          </w:p>
        </w:tc>
      </w:tr>
      <w:tr>
        <w:tc>
          <w:tcPr>
            <w:tcW w:w="709" w:type="dxa"/>
            <w:noWrap/>
          </w:tcPr>
          <w:p>
            <w:pPr>
              <w:pStyle w:val="yTableNAm"/>
            </w:pPr>
            <w:r>
              <w:t>69.</w:t>
            </w:r>
          </w:p>
        </w:tc>
        <w:tc>
          <w:tcPr>
            <w:tcW w:w="1276" w:type="dxa"/>
            <w:noWrap/>
          </w:tcPr>
          <w:p>
            <w:pPr>
              <w:pStyle w:val="yTableNAm"/>
            </w:pPr>
            <w:r>
              <w:t>s. 337</w:t>
            </w:r>
          </w:p>
        </w:tc>
        <w:tc>
          <w:tcPr>
            <w:tcW w:w="4819" w:type="dxa"/>
            <w:noWrap/>
          </w:tcPr>
          <w:p>
            <w:pPr>
              <w:pStyle w:val="yTableNAm"/>
            </w:pPr>
            <w:r>
              <w:t>Unlawful detention or custody of person who is mentally ill or impaired</w:t>
            </w:r>
          </w:p>
        </w:tc>
      </w:tr>
      <w:tr>
        <w:tc>
          <w:tcPr>
            <w:tcW w:w="709" w:type="dxa"/>
            <w:noWrap/>
          </w:tcPr>
          <w:p>
            <w:pPr>
              <w:pStyle w:val="yTableNAm"/>
            </w:pPr>
            <w:r>
              <w:t>70.</w:t>
            </w:r>
          </w:p>
        </w:tc>
        <w:tc>
          <w:tcPr>
            <w:tcW w:w="1276" w:type="dxa"/>
            <w:noWrap/>
          </w:tcPr>
          <w:p>
            <w:pPr>
              <w:pStyle w:val="yTableNAm"/>
            </w:pPr>
            <w:r>
              <w:t>s. 338A</w:t>
            </w:r>
          </w:p>
        </w:tc>
        <w:tc>
          <w:tcPr>
            <w:tcW w:w="4819" w:type="dxa"/>
            <w:noWrap/>
          </w:tcPr>
          <w:p>
            <w:pPr>
              <w:pStyle w:val="yTableNAm"/>
            </w:pPr>
            <w:r>
              <w:t>Threat with intent to gain etc.</w:t>
            </w:r>
          </w:p>
        </w:tc>
      </w:tr>
      <w:tr>
        <w:tc>
          <w:tcPr>
            <w:tcW w:w="709" w:type="dxa"/>
            <w:noWrap/>
          </w:tcPr>
          <w:p>
            <w:pPr>
              <w:pStyle w:val="yTableNAm"/>
            </w:pPr>
            <w:r>
              <w:t>71.</w:t>
            </w:r>
          </w:p>
        </w:tc>
        <w:tc>
          <w:tcPr>
            <w:tcW w:w="1276" w:type="dxa"/>
            <w:noWrap/>
          </w:tcPr>
          <w:p>
            <w:pPr>
              <w:pStyle w:val="yTableNAm"/>
            </w:pPr>
            <w:r>
              <w:t>s. 338B</w:t>
            </w:r>
          </w:p>
        </w:tc>
        <w:tc>
          <w:tcPr>
            <w:tcW w:w="4819" w:type="dxa"/>
            <w:noWrap/>
          </w:tcPr>
          <w:p>
            <w:pPr>
              <w:pStyle w:val="yTableNAm"/>
            </w:pPr>
            <w:r>
              <w:t>Threats</w:t>
            </w:r>
          </w:p>
        </w:tc>
      </w:tr>
      <w:tr>
        <w:tc>
          <w:tcPr>
            <w:tcW w:w="709" w:type="dxa"/>
            <w:noWrap/>
          </w:tcPr>
          <w:p>
            <w:pPr>
              <w:pStyle w:val="yTableNAm"/>
            </w:pPr>
            <w:r>
              <w:t>72.</w:t>
            </w:r>
          </w:p>
        </w:tc>
        <w:tc>
          <w:tcPr>
            <w:tcW w:w="1276" w:type="dxa"/>
            <w:noWrap/>
          </w:tcPr>
          <w:p>
            <w:pPr>
              <w:pStyle w:val="yTableNAm"/>
            </w:pPr>
            <w:r>
              <w:t>s. 338C</w:t>
            </w:r>
          </w:p>
        </w:tc>
        <w:tc>
          <w:tcPr>
            <w:tcW w:w="4819" w:type="dxa"/>
            <w:noWrap/>
          </w:tcPr>
          <w:p>
            <w:pPr>
              <w:pStyle w:val="yTableNAm"/>
            </w:pPr>
            <w:r>
              <w:t>Statement or act creating false apprehension as to existence of threat or danger</w:t>
            </w:r>
          </w:p>
        </w:tc>
      </w:tr>
      <w:tr>
        <w:tc>
          <w:tcPr>
            <w:tcW w:w="709" w:type="dxa"/>
            <w:noWrap/>
          </w:tcPr>
          <w:p>
            <w:pPr>
              <w:pStyle w:val="yTableNAm"/>
            </w:pPr>
            <w:r>
              <w:t>73.</w:t>
            </w:r>
          </w:p>
        </w:tc>
        <w:tc>
          <w:tcPr>
            <w:tcW w:w="1276" w:type="dxa"/>
            <w:noWrap/>
          </w:tcPr>
          <w:p>
            <w:pPr>
              <w:pStyle w:val="yTableNAm"/>
            </w:pPr>
            <w:r>
              <w:t>s. 338E</w:t>
            </w:r>
          </w:p>
        </w:tc>
        <w:tc>
          <w:tcPr>
            <w:tcW w:w="4819" w:type="dxa"/>
            <w:noWrap/>
          </w:tcPr>
          <w:p>
            <w:pPr>
              <w:pStyle w:val="yTableNAm"/>
            </w:pPr>
            <w:r>
              <w:t>Stalking</w:t>
            </w:r>
          </w:p>
        </w:tc>
      </w:tr>
      <w:tr>
        <w:tc>
          <w:tcPr>
            <w:tcW w:w="709" w:type="dxa"/>
            <w:noWrap/>
          </w:tcPr>
          <w:p>
            <w:pPr>
              <w:pStyle w:val="yTableNAm"/>
            </w:pPr>
            <w:r>
              <w:t>74.</w:t>
            </w:r>
          </w:p>
        </w:tc>
        <w:tc>
          <w:tcPr>
            <w:tcW w:w="1276" w:type="dxa"/>
            <w:noWrap/>
          </w:tcPr>
          <w:p>
            <w:pPr>
              <w:pStyle w:val="yTableNAm"/>
            </w:pPr>
            <w:r>
              <w:t>s. 343</w:t>
            </w:r>
          </w:p>
        </w:tc>
        <w:tc>
          <w:tcPr>
            <w:tcW w:w="4819" w:type="dxa"/>
            <w:noWrap/>
          </w:tcPr>
          <w:p>
            <w:pPr>
              <w:pStyle w:val="yTableNAm"/>
            </w:pPr>
            <w:r>
              <w:t>Child stealing</w:t>
            </w:r>
          </w:p>
        </w:tc>
      </w:tr>
      <w:tr>
        <w:tc>
          <w:tcPr>
            <w:tcW w:w="709" w:type="dxa"/>
            <w:noWrap/>
          </w:tcPr>
          <w:p>
            <w:pPr>
              <w:pStyle w:val="yTableNAm"/>
            </w:pPr>
            <w:r>
              <w:t>75.</w:t>
            </w:r>
          </w:p>
        </w:tc>
        <w:tc>
          <w:tcPr>
            <w:tcW w:w="1276" w:type="dxa"/>
            <w:noWrap/>
          </w:tcPr>
          <w:p>
            <w:pPr>
              <w:pStyle w:val="yTableNAm"/>
            </w:pPr>
            <w:r>
              <w:t>s. 378</w:t>
            </w:r>
          </w:p>
        </w:tc>
        <w:tc>
          <w:tcPr>
            <w:tcW w:w="4819" w:type="dxa"/>
            <w:noWrap/>
          </w:tcPr>
          <w:p>
            <w:pPr>
              <w:pStyle w:val="yTableNAm"/>
            </w:pPr>
            <w:r>
              <w:t>Stealing</w:t>
            </w:r>
          </w:p>
        </w:tc>
      </w:tr>
      <w:tr>
        <w:tc>
          <w:tcPr>
            <w:tcW w:w="709" w:type="dxa"/>
            <w:noWrap/>
          </w:tcPr>
          <w:p>
            <w:pPr>
              <w:pStyle w:val="yTableNAm"/>
            </w:pPr>
            <w:r>
              <w:t>76.</w:t>
            </w:r>
          </w:p>
        </w:tc>
        <w:tc>
          <w:tcPr>
            <w:tcW w:w="1276" w:type="dxa"/>
            <w:noWrap/>
          </w:tcPr>
          <w:p>
            <w:pPr>
              <w:pStyle w:val="yTableNAm"/>
            </w:pPr>
            <w:r>
              <w:t>s. 392</w:t>
            </w:r>
          </w:p>
        </w:tc>
        <w:tc>
          <w:tcPr>
            <w:tcW w:w="4819" w:type="dxa"/>
            <w:noWrap/>
          </w:tcPr>
          <w:p>
            <w:pPr>
              <w:pStyle w:val="yTableNAm"/>
            </w:pPr>
            <w:r>
              <w:t>Robbery</w:t>
            </w:r>
          </w:p>
        </w:tc>
      </w:tr>
      <w:tr>
        <w:tc>
          <w:tcPr>
            <w:tcW w:w="709" w:type="dxa"/>
            <w:noWrap/>
          </w:tcPr>
          <w:p>
            <w:pPr>
              <w:pStyle w:val="yTableNAm"/>
            </w:pPr>
            <w:r>
              <w:t>77.</w:t>
            </w:r>
          </w:p>
        </w:tc>
        <w:tc>
          <w:tcPr>
            <w:tcW w:w="1276" w:type="dxa"/>
            <w:noWrap/>
          </w:tcPr>
          <w:p>
            <w:pPr>
              <w:pStyle w:val="yTableNAm"/>
            </w:pPr>
            <w:r>
              <w:t>s. 393</w:t>
            </w:r>
          </w:p>
        </w:tc>
        <w:tc>
          <w:tcPr>
            <w:tcW w:w="4819" w:type="dxa"/>
            <w:noWrap/>
          </w:tcPr>
          <w:p>
            <w:pPr>
              <w:pStyle w:val="yTableNAm"/>
            </w:pPr>
            <w:r>
              <w:t>Assault with intent to rob</w:t>
            </w:r>
          </w:p>
        </w:tc>
      </w:tr>
      <w:tr>
        <w:tc>
          <w:tcPr>
            <w:tcW w:w="709" w:type="dxa"/>
            <w:noWrap/>
          </w:tcPr>
          <w:p>
            <w:pPr>
              <w:pStyle w:val="yTableNAm"/>
            </w:pPr>
            <w:r>
              <w:t>78.</w:t>
            </w:r>
          </w:p>
        </w:tc>
        <w:tc>
          <w:tcPr>
            <w:tcW w:w="1276" w:type="dxa"/>
            <w:noWrap/>
          </w:tcPr>
          <w:p>
            <w:pPr>
              <w:pStyle w:val="yTableNAm"/>
            </w:pPr>
            <w:r>
              <w:t>s. 396</w:t>
            </w:r>
          </w:p>
        </w:tc>
        <w:tc>
          <w:tcPr>
            <w:tcW w:w="4819" w:type="dxa"/>
            <w:noWrap/>
          </w:tcPr>
          <w:p>
            <w:pPr>
              <w:pStyle w:val="yTableNAm"/>
            </w:pPr>
            <w:r>
              <w:t>Demanding property with threats with intent to steal</w:t>
            </w:r>
          </w:p>
        </w:tc>
      </w:tr>
      <w:tr>
        <w:tc>
          <w:tcPr>
            <w:tcW w:w="709" w:type="dxa"/>
            <w:noWrap/>
          </w:tcPr>
          <w:p>
            <w:pPr>
              <w:pStyle w:val="yTableNAm"/>
            </w:pPr>
            <w:r>
              <w:t>79.</w:t>
            </w:r>
          </w:p>
        </w:tc>
        <w:tc>
          <w:tcPr>
            <w:tcW w:w="1276" w:type="dxa"/>
            <w:noWrap/>
          </w:tcPr>
          <w:p>
            <w:pPr>
              <w:pStyle w:val="yTableNAm"/>
            </w:pPr>
            <w:r>
              <w:t>s. 397</w:t>
            </w:r>
          </w:p>
        </w:tc>
        <w:tc>
          <w:tcPr>
            <w:tcW w:w="4819" w:type="dxa"/>
            <w:noWrap/>
          </w:tcPr>
          <w:p>
            <w:pPr>
              <w:pStyle w:val="yTableNAm"/>
            </w:pPr>
            <w:r>
              <w:t>Demanding property with threats with intent to extort or gain</w:t>
            </w:r>
          </w:p>
        </w:tc>
      </w:tr>
      <w:tr>
        <w:tc>
          <w:tcPr>
            <w:tcW w:w="709" w:type="dxa"/>
            <w:noWrap/>
          </w:tcPr>
          <w:p>
            <w:pPr>
              <w:pStyle w:val="yTableNAm"/>
            </w:pPr>
            <w:r>
              <w:t>80.</w:t>
            </w:r>
          </w:p>
        </w:tc>
        <w:tc>
          <w:tcPr>
            <w:tcW w:w="1276" w:type="dxa"/>
            <w:noWrap/>
          </w:tcPr>
          <w:p>
            <w:pPr>
              <w:pStyle w:val="yTableNAm"/>
            </w:pPr>
            <w:r>
              <w:t>s. 398</w:t>
            </w:r>
          </w:p>
        </w:tc>
        <w:tc>
          <w:tcPr>
            <w:tcW w:w="4819" w:type="dxa"/>
            <w:noWrap/>
          </w:tcPr>
          <w:p>
            <w:pPr>
              <w:pStyle w:val="yTableNAm"/>
            </w:pPr>
            <w:r>
              <w:t>Threats etc. with intent to extort etc.</w:t>
            </w:r>
          </w:p>
        </w:tc>
      </w:tr>
      <w:tr>
        <w:tc>
          <w:tcPr>
            <w:tcW w:w="709" w:type="dxa"/>
            <w:noWrap/>
          </w:tcPr>
          <w:p>
            <w:pPr>
              <w:pStyle w:val="yTableNAm"/>
            </w:pPr>
            <w:r>
              <w:t>81.</w:t>
            </w:r>
          </w:p>
        </w:tc>
        <w:tc>
          <w:tcPr>
            <w:tcW w:w="1276" w:type="dxa"/>
            <w:noWrap/>
          </w:tcPr>
          <w:p>
            <w:pPr>
              <w:pStyle w:val="yTableNAm"/>
            </w:pPr>
            <w:r>
              <w:t>s. 399</w:t>
            </w:r>
          </w:p>
        </w:tc>
        <w:tc>
          <w:tcPr>
            <w:tcW w:w="4819" w:type="dxa"/>
            <w:noWrap/>
          </w:tcPr>
          <w:p>
            <w:pPr>
              <w:pStyle w:val="yTableNAm"/>
            </w:pPr>
            <w:r>
              <w:t>Procuring execution of deed etc. by threat etc. with intent to defraud</w:t>
            </w:r>
          </w:p>
        </w:tc>
      </w:tr>
      <w:tr>
        <w:tc>
          <w:tcPr>
            <w:tcW w:w="709" w:type="dxa"/>
            <w:noWrap/>
          </w:tcPr>
          <w:p>
            <w:pPr>
              <w:pStyle w:val="yTableNAm"/>
            </w:pPr>
            <w:r>
              <w:t>82.</w:t>
            </w:r>
          </w:p>
        </w:tc>
        <w:tc>
          <w:tcPr>
            <w:tcW w:w="1276" w:type="dxa"/>
            <w:noWrap/>
          </w:tcPr>
          <w:p>
            <w:pPr>
              <w:pStyle w:val="yTableNAm"/>
            </w:pPr>
            <w:r>
              <w:t>s. 401</w:t>
            </w:r>
          </w:p>
        </w:tc>
        <w:tc>
          <w:tcPr>
            <w:tcW w:w="4819" w:type="dxa"/>
            <w:noWrap/>
          </w:tcPr>
          <w:p>
            <w:pPr>
              <w:pStyle w:val="yTableNAm"/>
            </w:pPr>
            <w:r>
              <w:t>Burglary</w:t>
            </w:r>
          </w:p>
        </w:tc>
      </w:tr>
      <w:tr>
        <w:tc>
          <w:tcPr>
            <w:tcW w:w="709" w:type="dxa"/>
            <w:noWrap/>
          </w:tcPr>
          <w:p>
            <w:pPr>
              <w:pStyle w:val="yTableNAm"/>
            </w:pPr>
            <w:r>
              <w:t>83.</w:t>
            </w:r>
          </w:p>
        </w:tc>
        <w:tc>
          <w:tcPr>
            <w:tcW w:w="1276" w:type="dxa"/>
            <w:noWrap/>
          </w:tcPr>
          <w:p>
            <w:pPr>
              <w:pStyle w:val="yTableNAm"/>
            </w:pPr>
            <w:r>
              <w:t>s. 407</w:t>
            </w:r>
          </w:p>
        </w:tc>
        <w:tc>
          <w:tcPr>
            <w:tcW w:w="4819" w:type="dxa"/>
            <w:noWrap/>
          </w:tcPr>
          <w:p>
            <w:pPr>
              <w:pStyle w:val="yTableNAm"/>
            </w:pPr>
            <w:r>
              <w:t>Person found armed etc. with intent to commit crime</w:t>
            </w:r>
          </w:p>
        </w:tc>
      </w:tr>
      <w:tr>
        <w:tc>
          <w:tcPr>
            <w:tcW w:w="709" w:type="dxa"/>
            <w:noWrap/>
          </w:tcPr>
          <w:p>
            <w:pPr>
              <w:pStyle w:val="yTableNAm"/>
            </w:pPr>
            <w:r>
              <w:lastRenderedPageBreak/>
              <w:t>84.</w:t>
            </w:r>
          </w:p>
        </w:tc>
        <w:tc>
          <w:tcPr>
            <w:tcW w:w="1276" w:type="dxa"/>
            <w:noWrap/>
          </w:tcPr>
          <w:p>
            <w:pPr>
              <w:pStyle w:val="yTableNAm"/>
            </w:pPr>
            <w:r>
              <w:t>s. 409</w:t>
            </w:r>
          </w:p>
        </w:tc>
        <w:tc>
          <w:tcPr>
            <w:tcW w:w="4819" w:type="dxa"/>
            <w:noWrap/>
          </w:tcPr>
          <w:p>
            <w:pPr>
              <w:pStyle w:val="yTableNAm"/>
            </w:pPr>
            <w:r>
              <w:t>Fraud</w:t>
            </w:r>
          </w:p>
        </w:tc>
      </w:tr>
    </w:tbl>
    <w:p>
      <w:pPr>
        <w:pStyle w:val="yFootnotesection"/>
      </w:pPr>
      <w:r>
        <w:tab/>
        <w:t>[Division 3 inserted: SL 2023/115 r. 7; amended: SL 2024/20 r. 4.]</w:t>
      </w:r>
    </w:p>
    <w:p>
      <w:pPr>
        <w:pStyle w:val="yHeading3"/>
        <w:rPr>
          <w:i/>
        </w:rPr>
      </w:pPr>
      <w:bookmarkStart w:id="26" w:name="_Toc165302153"/>
      <w:bookmarkStart w:id="27" w:name="_Toc165363060"/>
      <w:bookmarkStart w:id="28" w:name="_Toc165443674"/>
      <w:r>
        <w:rPr>
          <w:rStyle w:val="CharSDivNo"/>
        </w:rPr>
        <w:t>Division 4</w:t>
      </w:r>
      <w:r>
        <w:t> — </w:t>
      </w:r>
      <w:r>
        <w:rPr>
          <w:rStyle w:val="CharSDivText"/>
        </w:rPr>
        <w:t xml:space="preserve">Offences under </w:t>
      </w:r>
      <w:r>
        <w:rPr>
          <w:rStyle w:val="CharSDivText"/>
          <w:i/>
        </w:rPr>
        <w:t>Human Reproductive Technology Act 1991</w:t>
      </w:r>
      <w:bookmarkEnd w:id="26"/>
      <w:bookmarkEnd w:id="27"/>
      <w:bookmarkEnd w:id="28"/>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6</w:t>
            </w:r>
          </w:p>
        </w:tc>
        <w:tc>
          <w:tcPr>
            <w:tcW w:w="4819" w:type="dxa"/>
            <w:noWrap/>
          </w:tcPr>
          <w:p>
            <w:pPr>
              <w:pStyle w:val="yTableNAm"/>
            </w:pPr>
            <w:r>
              <w:t>Unlicensed practices</w:t>
            </w:r>
          </w:p>
        </w:tc>
      </w:tr>
      <w:tr>
        <w:trPr>
          <w:cantSplit/>
        </w:trPr>
        <w:tc>
          <w:tcPr>
            <w:tcW w:w="709" w:type="dxa"/>
            <w:noWrap/>
          </w:tcPr>
          <w:p>
            <w:pPr>
              <w:pStyle w:val="yTableNAm"/>
            </w:pPr>
            <w:r>
              <w:t>2.</w:t>
            </w:r>
          </w:p>
        </w:tc>
        <w:tc>
          <w:tcPr>
            <w:tcW w:w="1276" w:type="dxa"/>
            <w:noWrap/>
          </w:tcPr>
          <w:p>
            <w:pPr>
              <w:pStyle w:val="yTableNAm"/>
            </w:pPr>
            <w:r>
              <w:t>s. 7</w:t>
            </w:r>
          </w:p>
        </w:tc>
        <w:tc>
          <w:tcPr>
            <w:tcW w:w="4819" w:type="dxa"/>
            <w:noWrap/>
          </w:tcPr>
          <w:p>
            <w:pPr>
              <w:pStyle w:val="yTableNAm"/>
            </w:pPr>
            <w:r>
              <w:t>Offences relating to reproductive technology</w:t>
            </w:r>
          </w:p>
        </w:tc>
      </w:tr>
    </w:tbl>
    <w:p>
      <w:pPr>
        <w:pStyle w:val="yFootnotesection"/>
      </w:pPr>
      <w:r>
        <w:tab/>
        <w:t>[Division 4 inserted: SL 2023/115 r. 7.]</w:t>
      </w:r>
    </w:p>
    <w:p>
      <w:pPr>
        <w:pStyle w:val="yHeading3"/>
        <w:rPr>
          <w:i/>
        </w:rPr>
      </w:pPr>
      <w:bookmarkStart w:id="29" w:name="_Toc165302154"/>
      <w:bookmarkStart w:id="30" w:name="_Toc165363061"/>
      <w:bookmarkStart w:id="31" w:name="_Toc165443675"/>
      <w:r>
        <w:rPr>
          <w:rStyle w:val="CharSDivNo"/>
        </w:rPr>
        <w:t>Division 5</w:t>
      </w:r>
      <w:r>
        <w:t> — </w:t>
      </w:r>
      <w:r>
        <w:rPr>
          <w:rStyle w:val="CharSDivText"/>
        </w:rPr>
        <w:t xml:space="preserve">Offences under </w:t>
      </w:r>
      <w:r>
        <w:rPr>
          <w:rStyle w:val="CharSDivText"/>
          <w:i/>
        </w:rPr>
        <w:t>Misuse of Drugs Act 1981</w:t>
      </w:r>
      <w:bookmarkEnd w:id="29"/>
      <w:bookmarkEnd w:id="30"/>
      <w:bookmarkEnd w:id="31"/>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6(1)</w:t>
            </w:r>
          </w:p>
        </w:tc>
        <w:tc>
          <w:tcPr>
            <w:tcW w:w="4819" w:type="dxa"/>
            <w:noWrap/>
          </w:tcPr>
          <w:p>
            <w:pPr>
              <w:pStyle w:val="yTableNAm"/>
            </w:pPr>
            <w:r>
              <w:t>Crime concerned with prohibited drugs generally</w:t>
            </w:r>
          </w:p>
        </w:tc>
      </w:tr>
      <w:tr>
        <w:trPr>
          <w:cantSplit/>
        </w:trPr>
        <w:tc>
          <w:tcPr>
            <w:tcW w:w="709" w:type="dxa"/>
            <w:noWrap/>
          </w:tcPr>
          <w:p>
            <w:pPr>
              <w:pStyle w:val="yTableNAm"/>
            </w:pPr>
            <w:r>
              <w:t>2.</w:t>
            </w:r>
          </w:p>
        </w:tc>
        <w:tc>
          <w:tcPr>
            <w:tcW w:w="1276" w:type="dxa"/>
            <w:noWrap/>
          </w:tcPr>
          <w:p>
            <w:pPr>
              <w:pStyle w:val="yTableNAm"/>
            </w:pPr>
            <w:r>
              <w:t>s. 7(1)</w:t>
            </w:r>
          </w:p>
        </w:tc>
        <w:tc>
          <w:tcPr>
            <w:tcW w:w="4819" w:type="dxa"/>
            <w:noWrap/>
          </w:tcPr>
          <w:p>
            <w:pPr>
              <w:pStyle w:val="yTableNAm"/>
            </w:pPr>
            <w:r>
              <w:t>Crime concerned with prohibited plants generally</w:t>
            </w:r>
          </w:p>
        </w:tc>
      </w:tr>
      <w:tr>
        <w:trPr>
          <w:cantSplit/>
        </w:trPr>
        <w:tc>
          <w:tcPr>
            <w:tcW w:w="709" w:type="dxa"/>
            <w:noWrap/>
          </w:tcPr>
          <w:p>
            <w:pPr>
              <w:pStyle w:val="yTableNAm"/>
            </w:pPr>
            <w:r>
              <w:t>3.</w:t>
            </w:r>
          </w:p>
        </w:tc>
        <w:tc>
          <w:tcPr>
            <w:tcW w:w="1276" w:type="dxa"/>
            <w:noWrap/>
          </w:tcPr>
          <w:p>
            <w:pPr>
              <w:pStyle w:val="yTableNAm"/>
            </w:pPr>
            <w:r>
              <w:t>s. 7B(4)</w:t>
            </w:r>
          </w:p>
        </w:tc>
        <w:tc>
          <w:tcPr>
            <w:tcW w:w="4819" w:type="dxa"/>
            <w:noWrap/>
          </w:tcPr>
          <w:p>
            <w:pPr>
              <w:pStyle w:val="yTableNAm"/>
            </w:pPr>
            <w:r>
              <w:t>Selling drug paraphernalia to child</w:t>
            </w:r>
          </w:p>
        </w:tc>
      </w:tr>
      <w:tr>
        <w:trPr>
          <w:cantSplit/>
        </w:trPr>
        <w:tc>
          <w:tcPr>
            <w:tcW w:w="709" w:type="dxa"/>
            <w:noWrap/>
          </w:tcPr>
          <w:p>
            <w:pPr>
              <w:pStyle w:val="yTableNAm"/>
            </w:pPr>
            <w:r>
              <w:t>4.</w:t>
            </w:r>
          </w:p>
        </w:tc>
        <w:tc>
          <w:tcPr>
            <w:tcW w:w="1276" w:type="dxa"/>
            <w:noWrap/>
          </w:tcPr>
          <w:p>
            <w:pPr>
              <w:pStyle w:val="yTableNAm"/>
            </w:pPr>
            <w:r>
              <w:t>s. 8Q</w:t>
            </w:r>
          </w:p>
        </w:tc>
        <w:tc>
          <w:tcPr>
            <w:tcW w:w="4819" w:type="dxa"/>
            <w:noWrap/>
          </w:tcPr>
          <w:p>
            <w:pPr>
              <w:pStyle w:val="yTableNAm"/>
              <w:rPr>
                <w:rStyle w:val="DraftersNotes"/>
                <w:b w:val="0"/>
                <w:i w:val="0"/>
                <w:sz w:val="22"/>
              </w:rPr>
            </w:pPr>
            <w:r>
              <w:t>Manufacture, sale or supply of psychoactive substances</w:t>
            </w:r>
          </w:p>
        </w:tc>
      </w:tr>
      <w:tr>
        <w:trPr>
          <w:cantSplit/>
        </w:trPr>
        <w:tc>
          <w:tcPr>
            <w:tcW w:w="709" w:type="dxa"/>
            <w:noWrap/>
          </w:tcPr>
          <w:p>
            <w:pPr>
              <w:pStyle w:val="yTableNAm"/>
            </w:pPr>
            <w:r>
              <w:t>5.</w:t>
            </w:r>
          </w:p>
        </w:tc>
        <w:tc>
          <w:tcPr>
            <w:tcW w:w="1276" w:type="dxa"/>
            <w:noWrap/>
          </w:tcPr>
          <w:p>
            <w:pPr>
              <w:pStyle w:val="yTableNAm"/>
            </w:pPr>
            <w:r>
              <w:t>s. 8R</w:t>
            </w:r>
          </w:p>
        </w:tc>
        <w:tc>
          <w:tcPr>
            <w:tcW w:w="4819" w:type="dxa"/>
            <w:noWrap/>
          </w:tcPr>
          <w:p>
            <w:pPr>
              <w:pStyle w:val="yTableNAm"/>
            </w:pPr>
            <w:r>
              <w:t>Promoting psychoactive substances</w:t>
            </w:r>
          </w:p>
        </w:tc>
      </w:tr>
      <w:tr>
        <w:trPr>
          <w:cantSplit/>
        </w:trPr>
        <w:tc>
          <w:tcPr>
            <w:tcW w:w="709" w:type="dxa"/>
            <w:noWrap/>
          </w:tcPr>
          <w:p>
            <w:pPr>
              <w:pStyle w:val="yTableNAm"/>
            </w:pPr>
            <w:r>
              <w:t>6.</w:t>
            </w:r>
          </w:p>
        </w:tc>
        <w:tc>
          <w:tcPr>
            <w:tcW w:w="1276" w:type="dxa"/>
            <w:noWrap/>
          </w:tcPr>
          <w:p>
            <w:pPr>
              <w:pStyle w:val="yTableNAm"/>
            </w:pPr>
            <w:r>
              <w:t>s. 14(1)</w:t>
            </w:r>
          </w:p>
        </w:tc>
        <w:tc>
          <w:tcPr>
            <w:tcW w:w="4819" w:type="dxa"/>
            <w:noWrap/>
          </w:tcPr>
          <w:p>
            <w:pPr>
              <w:pStyle w:val="yTableNAm"/>
            </w:pPr>
            <w:r>
              <w:t>Possessing more than prescribed quantity of certain substances or things</w:t>
            </w:r>
          </w:p>
        </w:tc>
      </w:tr>
    </w:tbl>
    <w:p>
      <w:pPr>
        <w:pStyle w:val="yFootnotesection"/>
      </w:pPr>
      <w:r>
        <w:tab/>
        <w:t>[Division 5 inserted: SL 2023/115 r. 7.]</w:t>
      </w:r>
    </w:p>
    <w:p>
      <w:pPr>
        <w:pStyle w:val="yHeading3"/>
        <w:rPr>
          <w:i/>
        </w:rPr>
      </w:pPr>
      <w:bookmarkStart w:id="32" w:name="_Toc165302155"/>
      <w:bookmarkStart w:id="33" w:name="_Toc165363062"/>
      <w:bookmarkStart w:id="34" w:name="_Toc165443676"/>
      <w:r>
        <w:rPr>
          <w:rStyle w:val="CharSDivNo"/>
        </w:rPr>
        <w:lastRenderedPageBreak/>
        <w:t>Division 6</w:t>
      </w:r>
      <w:r>
        <w:t> — </w:t>
      </w:r>
      <w:r>
        <w:rPr>
          <w:rStyle w:val="CharSDivText"/>
        </w:rPr>
        <w:t xml:space="preserve">Offence under </w:t>
      </w:r>
      <w:r>
        <w:rPr>
          <w:rStyle w:val="CharSDivText"/>
          <w:i/>
        </w:rPr>
        <w:t>Prohibited Behaviour Orders Act 2010</w:t>
      </w:r>
      <w:bookmarkEnd w:id="32"/>
      <w:bookmarkEnd w:id="33"/>
      <w:bookmarkEnd w:id="34"/>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35</w:t>
            </w:r>
          </w:p>
        </w:tc>
        <w:tc>
          <w:tcPr>
            <w:tcW w:w="4819" w:type="dxa"/>
            <w:noWrap/>
          </w:tcPr>
          <w:p>
            <w:pPr>
              <w:pStyle w:val="yTableNAm"/>
            </w:pPr>
            <w:r>
              <w:t>Breach of prohibited behaviour order</w:t>
            </w:r>
          </w:p>
        </w:tc>
      </w:tr>
    </w:tbl>
    <w:p>
      <w:pPr>
        <w:pStyle w:val="yFootnotesection"/>
      </w:pPr>
      <w:r>
        <w:tab/>
        <w:t>[Division 6 inserted: SL 2023/115 r. 7.]</w:t>
      </w:r>
    </w:p>
    <w:p>
      <w:pPr>
        <w:pStyle w:val="yHeading3"/>
        <w:rPr>
          <w:i/>
        </w:rPr>
      </w:pPr>
      <w:bookmarkStart w:id="35" w:name="_Toc165302156"/>
      <w:bookmarkStart w:id="36" w:name="_Toc165363063"/>
      <w:bookmarkStart w:id="37" w:name="_Toc165443677"/>
      <w:r>
        <w:rPr>
          <w:rStyle w:val="CharSDivNo"/>
        </w:rPr>
        <w:t>Division 7</w:t>
      </w:r>
      <w:r>
        <w:t> — </w:t>
      </w:r>
      <w:r>
        <w:rPr>
          <w:rStyle w:val="CharSDivText"/>
        </w:rPr>
        <w:t xml:space="preserve">Offences under </w:t>
      </w:r>
      <w:r>
        <w:rPr>
          <w:rStyle w:val="CharSDivText"/>
          <w:i/>
        </w:rPr>
        <w:t>Prostitution Act 2000</w:t>
      </w:r>
      <w:bookmarkEnd w:id="35"/>
      <w:bookmarkEnd w:id="36"/>
      <w:bookmarkEnd w:id="37"/>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7</w:t>
            </w:r>
          </w:p>
        </w:tc>
        <w:tc>
          <w:tcPr>
            <w:tcW w:w="4819" w:type="dxa"/>
            <w:noWrap/>
          </w:tcPr>
          <w:p>
            <w:pPr>
              <w:pStyle w:val="yTableNAm"/>
            </w:pPr>
            <w:r>
              <w:t>Seeking to induce person to act as prostitute</w:t>
            </w:r>
          </w:p>
        </w:tc>
      </w:tr>
      <w:tr>
        <w:trPr>
          <w:cantSplit/>
        </w:trPr>
        <w:tc>
          <w:tcPr>
            <w:tcW w:w="709" w:type="dxa"/>
            <w:noWrap/>
          </w:tcPr>
          <w:p>
            <w:pPr>
              <w:pStyle w:val="yTableNAm"/>
            </w:pPr>
            <w:r>
              <w:t>2.</w:t>
            </w:r>
          </w:p>
        </w:tc>
        <w:tc>
          <w:tcPr>
            <w:tcW w:w="1276" w:type="dxa"/>
            <w:noWrap/>
          </w:tcPr>
          <w:p>
            <w:pPr>
              <w:pStyle w:val="yTableNAm"/>
            </w:pPr>
            <w:r>
              <w:t>s. 16</w:t>
            </w:r>
          </w:p>
        </w:tc>
        <w:tc>
          <w:tcPr>
            <w:tcW w:w="4819" w:type="dxa"/>
            <w:noWrap/>
          </w:tcPr>
          <w:p>
            <w:pPr>
              <w:pStyle w:val="yTableNAm"/>
            </w:pPr>
            <w:r>
              <w:t>Causing, permitting, or seeking to induce child to act as prostitute</w:t>
            </w:r>
          </w:p>
        </w:tc>
      </w:tr>
      <w:tr>
        <w:trPr>
          <w:cantSplit/>
        </w:trPr>
        <w:tc>
          <w:tcPr>
            <w:tcW w:w="709" w:type="dxa"/>
            <w:noWrap/>
          </w:tcPr>
          <w:p>
            <w:pPr>
              <w:pStyle w:val="yTableNAm"/>
            </w:pPr>
            <w:r>
              <w:t>3.</w:t>
            </w:r>
          </w:p>
        </w:tc>
        <w:tc>
          <w:tcPr>
            <w:tcW w:w="1276" w:type="dxa"/>
            <w:noWrap/>
          </w:tcPr>
          <w:p>
            <w:pPr>
              <w:pStyle w:val="yTableNAm"/>
            </w:pPr>
            <w:r>
              <w:t>s. 17</w:t>
            </w:r>
          </w:p>
        </w:tc>
        <w:tc>
          <w:tcPr>
            <w:tcW w:w="4819" w:type="dxa"/>
            <w:noWrap/>
          </w:tcPr>
          <w:p>
            <w:pPr>
              <w:pStyle w:val="yTableNAm"/>
            </w:pPr>
            <w:r>
              <w:t>Obtaining payment for prostitution by child</w:t>
            </w:r>
          </w:p>
        </w:tc>
      </w:tr>
      <w:tr>
        <w:trPr>
          <w:cantSplit/>
        </w:trPr>
        <w:tc>
          <w:tcPr>
            <w:tcW w:w="709" w:type="dxa"/>
            <w:noWrap/>
          </w:tcPr>
          <w:p>
            <w:pPr>
              <w:pStyle w:val="yTableNAm"/>
            </w:pPr>
            <w:r>
              <w:t>4.</w:t>
            </w:r>
          </w:p>
        </w:tc>
        <w:tc>
          <w:tcPr>
            <w:tcW w:w="1276" w:type="dxa"/>
            <w:noWrap/>
          </w:tcPr>
          <w:p>
            <w:pPr>
              <w:pStyle w:val="yTableNAm"/>
            </w:pPr>
            <w:r>
              <w:t>s. 18</w:t>
            </w:r>
          </w:p>
        </w:tc>
        <w:tc>
          <w:tcPr>
            <w:tcW w:w="4819" w:type="dxa"/>
            <w:noWrap/>
          </w:tcPr>
          <w:p>
            <w:pPr>
              <w:pStyle w:val="yTableNAm"/>
            </w:pPr>
            <w:r>
              <w:t>Agreement for prostitution by child</w:t>
            </w:r>
          </w:p>
        </w:tc>
      </w:tr>
    </w:tbl>
    <w:p>
      <w:pPr>
        <w:pStyle w:val="yFootnotesection"/>
      </w:pPr>
      <w:r>
        <w:tab/>
        <w:t>[Division 7 inserted: SL 2023/115 r. 7.]</w:t>
      </w:r>
    </w:p>
    <w:p>
      <w:pPr>
        <w:pStyle w:val="yHeading3"/>
      </w:pPr>
      <w:bookmarkStart w:id="38" w:name="_Toc165302157"/>
      <w:bookmarkStart w:id="39" w:name="_Toc165363064"/>
      <w:bookmarkStart w:id="40" w:name="_Toc165443678"/>
      <w:r>
        <w:rPr>
          <w:rStyle w:val="CharSDivNo"/>
        </w:rPr>
        <w:t>Division 7A</w:t>
      </w:r>
      <w:r>
        <w:t> — </w:t>
      </w:r>
      <w:r>
        <w:rPr>
          <w:rStyle w:val="CharSDivText"/>
        </w:rPr>
        <w:t>Offences under Public Health Act 2016</w:t>
      </w:r>
      <w:bookmarkEnd w:id="38"/>
      <w:bookmarkEnd w:id="39"/>
      <w:bookmarkEnd w:id="40"/>
    </w:p>
    <w:p>
      <w:pPr>
        <w:pStyle w:val="yFootnoteheading"/>
        <w:spacing w:after="60"/>
      </w:pPr>
      <w:r>
        <w:tab/>
        <w:t>[Heading inserted: SL 2024/20 r. 5.]</w:t>
      </w:r>
    </w:p>
    <w:tbl>
      <w:tblPr>
        <w:tblW w:w="68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1"/>
        <w:gridCol w:w="1274"/>
        <w:gridCol w:w="4815"/>
      </w:tblGrid>
      <w:tr>
        <w:trPr>
          <w:tblHeader/>
        </w:trPr>
        <w:tc>
          <w:tcPr>
            <w:tcW w:w="711" w:type="dxa"/>
          </w:tcPr>
          <w:p>
            <w:pPr>
              <w:pStyle w:val="yTableNAm"/>
              <w:jc w:val="center"/>
              <w:rPr>
                <w:b/>
                <w:bCs/>
              </w:rPr>
            </w:pPr>
            <w:r>
              <w:rPr>
                <w:b/>
                <w:bCs/>
              </w:rPr>
              <w:t>Item</w:t>
            </w:r>
          </w:p>
        </w:tc>
        <w:tc>
          <w:tcPr>
            <w:tcW w:w="1274" w:type="dxa"/>
          </w:tcPr>
          <w:p>
            <w:pPr>
              <w:pStyle w:val="yTableNAm"/>
              <w:jc w:val="center"/>
              <w:rPr>
                <w:b/>
                <w:bCs/>
              </w:rPr>
            </w:pPr>
            <w:r>
              <w:rPr>
                <w:b/>
                <w:bCs/>
              </w:rPr>
              <w:t>Provision</w:t>
            </w:r>
          </w:p>
        </w:tc>
        <w:tc>
          <w:tcPr>
            <w:tcW w:w="4815" w:type="dxa"/>
          </w:tcPr>
          <w:p>
            <w:pPr>
              <w:pStyle w:val="yTableNAm"/>
              <w:jc w:val="center"/>
              <w:rPr>
                <w:b/>
                <w:bCs/>
              </w:rPr>
            </w:pPr>
            <w:r>
              <w:rPr>
                <w:b/>
                <w:bCs/>
              </w:rPr>
              <w:t>Description of offence</w:t>
            </w:r>
          </w:p>
        </w:tc>
      </w:tr>
      <w:tr>
        <w:tc>
          <w:tcPr>
            <w:tcW w:w="711" w:type="dxa"/>
          </w:tcPr>
          <w:p>
            <w:pPr>
              <w:pStyle w:val="yTableNAm"/>
            </w:pPr>
            <w:r>
              <w:t>1.</w:t>
            </w:r>
          </w:p>
        </w:tc>
        <w:tc>
          <w:tcPr>
            <w:tcW w:w="1274" w:type="dxa"/>
          </w:tcPr>
          <w:p>
            <w:pPr>
              <w:pStyle w:val="yTableNAm"/>
            </w:pPr>
            <w:r>
              <w:t>s. 202MN</w:t>
            </w:r>
          </w:p>
        </w:tc>
        <w:tc>
          <w:tcPr>
            <w:tcW w:w="4815" w:type="dxa"/>
          </w:tcPr>
          <w:p>
            <w:pPr>
              <w:pStyle w:val="yTableNAm"/>
            </w:pPr>
            <w:r>
              <w:t>Performance of abortion by unqualified person</w:t>
            </w:r>
          </w:p>
        </w:tc>
      </w:tr>
    </w:tbl>
    <w:p>
      <w:pPr>
        <w:pStyle w:val="yFootnotesection"/>
      </w:pPr>
      <w:r>
        <w:tab/>
        <w:t>[Division 7A inserted: SL 2024/20 r. 5.]</w:t>
      </w:r>
    </w:p>
    <w:p>
      <w:pPr>
        <w:pStyle w:val="yHeading3"/>
        <w:rPr>
          <w:i/>
        </w:rPr>
      </w:pPr>
      <w:bookmarkStart w:id="41" w:name="_Toc165302158"/>
      <w:bookmarkStart w:id="42" w:name="_Toc165363065"/>
      <w:bookmarkStart w:id="43" w:name="_Toc165443679"/>
      <w:r>
        <w:rPr>
          <w:rStyle w:val="CharSDivNo"/>
        </w:rPr>
        <w:lastRenderedPageBreak/>
        <w:t>Division 8</w:t>
      </w:r>
      <w:r>
        <w:t> — </w:t>
      </w:r>
      <w:r>
        <w:rPr>
          <w:rStyle w:val="CharSDivText"/>
        </w:rPr>
        <w:t xml:space="preserve">Offences under </w:t>
      </w:r>
      <w:r>
        <w:rPr>
          <w:rStyle w:val="CharSDivText"/>
          <w:i/>
        </w:rPr>
        <w:t>Restraining Orders Act 1997</w:t>
      </w:r>
      <w:bookmarkEnd w:id="41"/>
      <w:bookmarkEnd w:id="42"/>
      <w:bookmarkEnd w:id="43"/>
    </w:p>
    <w:p>
      <w:pPr>
        <w:pStyle w:val="yFootnoteheading"/>
        <w:keepNext/>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61(1)</w:t>
            </w:r>
          </w:p>
        </w:tc>
        <w:tc>
          <w:tcPr>
            <w:tcW w:w="4819" w:type="dxa"/>
            <w:noWrap/>
          </w:tcPr>
          <w:p>
            <w:pPr>
              <w:pStyle w:val="yTableNAm"/>
            </w:pPr>
            <w:r>
              <w:t>Breach of family violence restraining order</w:t>
            </w:r>
          </w:p>
        </w:tc>
      </w:tr>
      <w:tr>
        <w:trPr>
          <w:cantSplit/>
        </w:trPr>
        <w:tc>
          <w:tcPr>
            <w:tcW w:w="709" w:type="dxa"/>
            <w:noWrap/>
          </w:tcPr>
          <w:p>
            <w:pPr>
              <w:pStyle w:val="yTableNAm"/>
            </w:pPr>
            <w:r>
              <w:t>2.</w:t>
            </w:r>
          </w:p>
        </w:tc>
        <w:tc>
          <w:tcPr>
            <w:tcW w:w="1276" w:type="dxa"/>
            <w:noWrap/>
          </w:tcPr>
          <w:p>
            <w:pPr>
              <w:pStyle w:val="yTableNAm"/>
            </w:pPr>
            <w:r>
              <w:t>s. 61(1A)</w:t>
            </w:r>
          </w:p>
        </w:tc>
        <w:tc>
          <w:tcPr>
            <w:tcW w:w="4819" w:type="dxa"/>
            <w:noWrap/>
          </w:tcPr>
          <w:p>
            <w:pPr>
              <w:pStyle w:val="yTableNAm"/>
            </w:pPr>
            <w:r>
              <w:t>Breach of violence restraining order</w:t>
            </w:r>
          </w:p>
        </w:tc>
      </w:tr>
      <w:tr>
        <w:trPr>
          <w:cantSplit/>
        </w:trPr>
        <w:tc>
          <w:tcPr>
            <w:tcW w:w="709" w:type="dxa"/>
            <w:noWrap/>
          </w:tcPr>
          <w:p>
            <w:pPr>
              <w:pStyle w:val="yTableNAm"/>
            </w:pPr>
            <w:r>
              <w:t>3.</w:t>
            </w:r>
          </w:p>
        </w:tc>
        <w:tc>
          <w:tcPr>
            <w:tcW w:w="1276" w:type="dxa"/>
            <w:noWrap/>
          </w:tcPr>
          <w:p>
            <w:pPr>
              <w:pStyle w:val="yTableNAm"/>
            </w:pPr>
            <w:r>
              <w:t>s. 61(2a)</w:t>
            </w:r>
          </w:p>
        </w:tc>
        <w:tc>
          <w:tcPr>
            <w:tcW w:w="4819" w:type="dxa"/>
            <w:noWrap/>
          </w:tcPr>
          <w:p>
            <w:pPr>
              <w:pStyle w:val="yTableNAm"/>
            </w:pPr>
            <w:r>
              <w:t>Breach of police order</w:t>
            </w:r>
          </w:p>
        </w:tc>
      </w:tr>
    </w:tbl>
    <w:p>
      <w:pPr>
        <w:pStyle w:val="yFootnotesection"/>
      </w:pPr>
      <w:r>
        <w:tab/>
        <w:t>[Division 8 inserted: SL 2023/115 r. 7.]</w:t>
      </w:r>
    </w:p>
    <w:p>
      <w:pPr>
        <w:pStyle w:val="yHeading3"/>
        <w:rPr>
          <w:i/>
        </w:rPr>
      </w:pPr>
      <w:bookmarkStart w:id="44" w:name="_Toc165302159"/>
      <w:bookmarkStart w:id="45" w:name="_Toc165363066"/>
      <w:bookmarkStart w:id="46" w:name="_Toc165443680"/>
      <w:r>
        <w:rPr>
          <w:rStyle w:val="CharSDivNo"/>
        </w:rPr>
        <w:t>Division 9</w:t>
      </w:r>
      <w:r>
        <w:t> — </w:t>
      </w:r>
      <w:r>
        <w:rPr>
          <w:rStyle w:val="CharSDivText"/>
        </w:rPr>
        <w:t xml:space="preserve">Offences under </w:t>
      </w:r>
      <w:r>
        <w:rPr>
          <w:rStyle w:val="CharSDivText"/>
          <w:i/>
        </w:rPr>
        <w:t>Voluntary Assisted Dying Act 2019</w:t>
      </w:r>
      <w:bookmarkEnd w:id="44"/>
      <w:bookmarkEnd w:id="45"/>
      <w:bookmarkEnd w:id="46"/>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99</w:t>
            </w:r>
          </w:p>
        </w:tc>
        <w:tc>
          <w:tcPr>
            <w:tcW w:w="4819" w:type="dxa"/>
            <w:noWrap/>
          </w:tcPr>
          <w:p>
            <w:pPr>
              <w:pStyle w:val="yTableNAm"/>
            </w:pPr>
            <w:r>
              <w:t>Unauthorised administration of prescribed substance</w:t>
            </w:r>
          </w:p>
        </w:tc>
      </w:tr>
      <w:tr>
        <w:trPr>
          <w:cantSplit/>
        </w:trPr>
        <w:tc>
          <w:tcPr>
            <w:tcW w:w="709" w:type="dxa"/>
            <w:noWrap/>
          </w:tcPr>
          <w:p>
            <w:pPr>
              <w:pStyle w:val="yTableNAm"/>
            </w:pPr>
            <w:r>
              <w:t>2.</w:t>
            </w:r>
          </w:p>
        </w:tc>
        <w:tc>
          <w:tcPr>
            <w:tcW w:w="1276" w:type="dxa"/>
            <w:noWrap/>
          </w:tcPr>
          <w:p>
            <w:pPr>
              <w:pStyle w:val="yTableNAm"/>
            </w:pPr>
            <w:r>
              <w:t>s. 100</w:t>
            </w:r>
          </w:p>
        </w:tc>
        <w:tc>
          <w:tcPr>
            <w:tcW w:w="4819" w:type="dxa"/>
            <w:noWrap/>
          </w:tcPr>
          <w:p>
            <w:pPr>
              <w:pStyle w:val="yTableNAm"/>
            </w:pPr>
            <w:r>
              <w:t>Inducing another person to request or access voluntary assisted dying</w:t>
            </w:r>
          </w:p>
        </w:tc>
      </w:tr>
      <w:tr>
        <w:trPr>
          <w:cantSplit/>
        </w:trPr>
        <w:tc>
          <w:tcPr>
            <w:tcW w:w="709" w:type="dxa"/>
            <w:noWrap/>
          </w:tcPr>
          <w:p>
            <w:pPr>
              <w:pStyle w:val="yTableNAm"/>
            </w:pPr>
            <w:r>
              <w:t>3.</w:t>
            </w:r>
          </w:p>
        </w:tc>
        <w:tc>
          <w:tcPr>
            <w:tcW w:w="1276" w:type="dxa"/>
            <w:noWrap/>
          </w:tcPr>
          <w:p>
            <w:pPr>
              <w:pStyle w:val="yTableNAm"/>
            </w:pPr>
            <w:r>
              <w:t>s. 101</w:t>
            </w:r>
          </w:p>
        </w:tc>
        <w:tc>
          <w:tcPr>
            <w:tcW w:w="4819" w:type="dxa"/>
            <w:noWrap/>
          </w:tcPr>
          <w:p>
            <w:pPr>
              <w:pStyle w:val="yTableNAm"/>
            </w:pPr>
            <w:r>
              <w:t>Inducing self</w:t>
            </w:r>
            <w:r>
              <w:noBreakHyphen/>
              <w:t>administration of prescribed substance</w:t>
            </w:r>
          </w:p>
        </w:tc>
      </w:tr>
      <w:tr>
        <w:trPr>
          <w:cantSplit/>
        </w:trPr>
        <w:tc>
          <w:tcPr>
            <w:tcW w:w="709" w:type="dxa"/>
            <w:noWrap/>
          </w:tcPr>
          <w:p>
            <w:pPr>
              <w:pStyle w:val="yTableNAm"/>
            </w:pPr>
            <w:r>
              <w:t>4.</w:t>
            </w:r>
          </w:p>
        </w:tc>
        <w:tc>
          <w:tcPr>
            <w:tcW w:w="1276" w:type="dxa"/>
            <w:noWrap/>
          </w:tcPr>
          <w:p>
            <w:pPr>
              <w:pStyle w:val="yTableNAm"/>
            </w:pPr>
            <w:r>
              <w:t>s. 102</w:t>
            </w:r>
          </w:p>
        </w:tc>
        <w:tc>
          <w:tcPr>
            <w:tcW w:w="4819" w:type="dxa"/>
            <w:noWrap/>
          </w:tcPr>
          <w:p>
            <w:pPr>
              <w:pStyle w:val="yTableNAm"/>
            </w:pPr>
            <w:r>
              <w:t>False or misleading information</w:t>
            </w:r>
          </w:p>
        </w:tc>
      </w:tr>
    </w:tbl>
    <w:p>
      <w:pPr>
        <w:pStyle w:val="yFootnotesection"/>
      </w:pPr>
      <w:r>
        <w:tab/>
        <w:t>[Division 9 inserted: SL 2023/115 r. 7.]</w:t>
      </w:r>
    </w:p>
    <w:p>
      <w:pPr>
        <w:pStyle w:val="yScheduleHeading"/>
      </w:pPr>
      <w:bookmarkStart w:id="47" w:name="_Toc165302160"/>
      <w:bookmarkStart w:id="48" w:name="_Toc165363067"/>
      <w:bookmarkStart w:id="49" w:name="_Toc165443681"/>
      <w:r>
        <w:rPr>
          <w:rStyle w:val="CharSchNo"/>
        </w:rPr>
        <w:lastRenderedPageBreak/>
        <w:t>Schedule 2</w:t>
      </w:r>
      <w:r>
        <w:rPr>
          <w:rStyle w:val="CharSDivNo"/>
        </w:rPr>
        <w:t> </w:t>
      </w:r>
      <w:r>
        <w:t>—</w:t>
      </w:r>
      <w:r>
        <w:rPr>
          <w:rStyle w:val="CharSDivText"/>
        </w:rPr>
        <w:t> </w:t>
      </w:r>
      <w:r>
        <w:rPr>
          <w:rStyle w:val="CharSchText"/>
        </w:rPr>
        <w:t>Form</w:t>
      </w:r>
      <w:bookmarkEnd w:id="47"/>
      <w:bookmarkEnd w:id="48"/>
      <w:bookmarkEnd w:id="49"/>
    </w:p>
    <w:p>
      <w:pPr>
        <w:pStyle w:val="yShoulderClause"/>
        <w:spacing w:after="120"/>
      </w:pPr>
      <w:r>
        <w:t>[r. 5]</w:t>
      </w:r>
    </w:p>
    <w:p>
      <w:pPr>
        <w:pStyle w:val="yHeading5"/>
        <w:spacing w:after="120"/>
      </w:pPr>
      <w:bookmarkStart w:id="50" w:name="_Toc165443682"/>
      <w:r>
        <w:rPr>
          <w:rStyle w:val="CharSClsNo"/>
        </w:rPr>
        <w:t>1</w:t>
      </w:r>
      <w:r>
        <w:t>.</w:t>
      </w:r>
      <w:r>
        <w:tab/>
        <w:t>Annual return of complaints information</w:t>
      </w:r>
      <w:bookmarkEnd w:id="50"/>
    </w:p>
    <w:tbl>
      <w:tblPr>
        <w:tblW w:w="7087"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709"/>
        <w:gridCol w:w="3119"/>
        <w:gridCol w:w="991"/>
      </w:tblGrid>
      <w:tr>
        <w:tc>
          <w:tcPr>
            <w:tcW w:w="7087" w:type="dxa"/>
            <w:gridSpan w:val="4"/>
            <w:tcBorders>
              <w:bottom w:val="nil"/>
            </w:tcBorders>
          </w:tcPr>
          <w:p>
            <w:pPr>
              <w:pStyle w:val="yTableNAm"/>
              <w:spacing w:before="60" w:after="60"/>
            </w:pPr>
            <w:r>
              <w:rPr>
                <w:i/>
                <w:szCs w:val="22"/>
              </w:rPr>
              <w:t>Health and Disability Services (Complaints) Act 1995</w:t>
            </w:r>
            <w:r>
              <w:rPr>
                <w:szCs w:val="22"/>
              </w:rPr>
              <w:t xml:space="preserve"> </w:t>
            </w:r>
            <w:r>
              <w:t>s. 75</w:t>
            </w:r>
          </w:p>
          <w:p>
            <w:pPr>
              <w:pStyle w:val="yTableNAm"/>
              <w:spacing w:before="0" w:after="60"/>
              <w:rPr>
                <w:b/>
                <w:bCs/>
              </w:rPr>
            </w:pPr>
            <w:r>
              <w:rPr>
                <w:b/>
                <w:bCs/>
              </w:rPr>
              <w:t>Annual return of complaints information</w:t>
            </w:r>
          </w:p>
        </w:tc>
      </w:tr>
      <w:tr>
        <w:trPr>
          <w:cantSplit/>
        </w:trPr>
        <w:tc>
          <w:tcPr>
            <w:tcW w:w="7087" w:type="dxa"/>
            <w:gridSpan w:val="4"/>
          </w:tcPr>
          <w:p>
            <w:pPr>
              <w:pStyle w:val="yTableNAm"/>
              <w:spacing w:before="60" w:after="60"/>
            </w:pPr>
            <w:r>
              <w:t>The information in this return must relate to complaints received by the provider in the year ending on the previous 30 June (whether or not the complaints were resolved in that year).</w:t>
            </w:r>
          </w:p>
        </w:tc>
      </w:tr>
      <w:tr>
        <w:trPr>
          <w:cantSplit/>
        </w:trPr>
        <w:tc>
          <w:tcPr>
            <w:tcW w:w="7087" w:type="dxa"/>
            <w:gridSpan w:val="4"/>
          </w:tcPr>
          <w:p>
            <w:pPr>
              <w:pStyle w:val="yTableNAm"/>
              <w:spacing w:before="60" w:after="60"/>
            </w:pPr>
            <w:r>
              <w:t xml:space="preserve">This return must be given to the Director of the </w:t>
            </w:r>
            <w:r>
              <w:rPr>
                <w:szCs w:val="22"/>
              </w:rPr>
              <w:t>Health and Disability Services Complaints Office</w:t>
            </w:r>
            <w:r>
              <w:t xml:space="preserve"> by 31 July each year.</w:t>
            </w:r>
          </w:p>
        </w:tc>
      </w:tr>
      <w:tr>
        <w:trPr>
          <w:cantSplit/>
        </w:trPr>
        <w:tc>
          <w:tcPr>
            <w:tcW w:w="2977" w:type="dxa"/>
            <w:gridSpan w:val="2"/>
          </w:tcPr>
          <w:p>
            <w:pPr>
              <w:pStyle w:val="yTableNAm"/>
              <w:spacing w:before="60" w:after="60"/>
              <w:rPr>
                <w:b/>
                <w:bCs/>
              </w:rPr>
            </w:pPr>
            <w:r>
              <w:rPr>
                <w:b/>
                <w:bCs/>
              </w:rPr>
              <w:t>Name of provider</w:t>
            </w:r>
          </w:p>
        </w:tc>
        <w:tc>
          <w:tcPr>
            <w:tcW w:w="4110" w:type="dxa"/>
            <w:gridSpan w:val="2"/>
          </w:tcPr>
          <w:p>
            <w:pPr>
              <w:pStyle w:val="yTableNAm"/>
              <w:spacing w:before="60" w:after="60"/>
              <w:rPr>
                <w:i/>
                <w:iCs/>
              </w:rPr>
            </w:pPr>
            <w:r>
              <w:rPr>
                <w:i/>
                <w:iCs/>
              </w:rPr>
              <w:t>[name]</w:t>
            </w:r>
          </w:p>
        </w:tc>
      </w:tr>
      <w:tr>
        <w:trPr>
          <w:cantSplit/>
        </w:trPr>
        <w:tc>
          <w:tcPr>
            <w:tcW w:w="2977" w:type="dxa"/>
            <w:gridSpan w:val="2"/>
          </w:tcPr>
          <w:p>
            <w:pPr>
              <w:pStyle w:val="yTableNAm"/>
              <w:spacing w:before="60" w:after="60"/>
              <w:rPr>
                <w:b/>
                <w:bCs/>
              </w:rPr>
            </w:pPr>
            <w:r>
              <w:rPr>
                <w:b/>
                <w:bCs/>
              </w:rPr>
              <w:t>Return year (e.g. 2009/2010)</w:t>
            </w:r>
          </w:p>
        </w:tc>
        <w:tc>
          <w:tcPr>
            <w:tcW w:w="4110" w:type="dxa"/>
            <w:gridSpan w:val="2"/>
          </w:tcPr>
          <w:p>
            <w:pPr>
              <w:pStyle w:val="yTableNAm"/>
              <w:spacing w:before="60" w:after="60"/>
              <w:rPr>
                <w:i/>
                <w:iCs/>
              </w:rPr>
            </w:pPr>
            <w:r>
              <w:rPr>
                <w:i/>
                <w:iCs/>
              </w:rPr>
              <w:t>[year]</w:t>
            </w:r>
          </w:p>
        </w:tc>
      </w:tr>
      <w:tr>
        <w:trPr>
          <w:cantSplit/>
        </w:trPr>
        <w:tc>
          <w:tcPr>
            <w:tcW w:w="7087" w:type="dxa"/>
            <w:gridSpan w:val="4"/>
          </w:tcPr>
          <w:p>
            <w:pPr>
              <w:pStyle w:val="yTableNAm"/>
              <w:spacing w:before="60" w:after="60"/>
              <w:rPr>
                <w:b/>
                <w:bCs/>
              </w:rPr>
            </w:pPr>
            <w:r>
              <w:rPr>
                <w:b/>
                <w:bCs/>
              </w:rPr>
              <w:t>General information about complaints</w:t>
            </w:r>
          </w:p>
        </w:tc>
      </w:tr>
      <w:tr>
        <w:trPr>
          <w:cantSplit/>
          <w:trHeight w:val="221"/>
        </w:trPr>
        <w:tc>
          <w:tcPr>
            <w:tcW w:w="6096" w:type="dxa"/>
            <w:gridSpan w:val="3"/>
          </w:tcPr>
          <w:p>
            <w:pPr>
              <w:pStyle w:val="yTableNAm"/>
              <w:spacing w:before="60" w:after="60"/>
            </w:pPr>
            <w:r>
              <w:t>Total number of complaints received</w:t>
            </w:r>
          </w:p>
        </w:tc>
        <w:tc>
          <w:tcPr>
            <w:tcW w:w="991" w:type="dxa"/>
          </w:tcPr>
          <w:p>
            <w:pPr>
              <w:pStyle w:val="yTableNAm"/>
              <w:spacing w:before="60" w:after="60"/>
              <w:rPr>
                <w:i/>
                <w:iCs/>
              </w:rPr>
            </w:pPr>
            <w:r>
              <w:rPr>
                <w:i/>
                <w:iCs/>
              </w:rPr>
              <w:t>[number]</w:t>
            </w:r>
          </w:p>
        </w:tc>
      </w:tr>
      <w:tr>
        <w:trPr>
          <w:cantSplit/>
        </w:trPr>
        <w:tc>
          <w:tcPr>
            <w:tcW w:w="6096" w:type="dxa"/>
            <w:gridSpan w:val="3"/>
          </w:tcPr>
          <w:p>
            <w:pPr>
              <w:pStyle w:val="yTableNAm"/>
              <w:spacing w:before="60" w:after="60"/>
              <w:rPr>
                <w:sz w:val="18"/>
              </w:rPr>
            </w:pPr>
            <w:r>
              <w:t>Total number of complaints referred to another organisation</w:t>
            </w:r>
          </w:p>
        </w:tc>
        <w:tc>
          <w:tcPr>
            <w:tcW w:w="991" w:type="dxa"/>
          </w:tcPr>
          <w:p>
            <w:pPr>
              <w:pStyle w:val="yTableNAm"/>
              <w:spacing w:before="60" w:after="60"/>
              <w:rPr>
                <w:i/>
                <w:iCs/>
              </w:rPr>
            </w:pPr>
            <w:r>
              <w:rPr>
                <w:i/>
                <w:iCs/>
              </w:rPr>
              <w:t>[number]</w:t>
            </w:r>
          </w:p>
        </w:tc>
      </w:tr>
      <w:tr>
        <w:trPr>
          <w:cantSplit/>
          <w:trHeight w:val="314"/>
        </w:trPr>
        <w:tc>
          <w:tcPr>
            <w:tcW w:w="2268" w:type="dxa"/>
            <w:vMerge w:val="restart"/>
          </w:tcPr>
          <w:p>
            <w:pPr>
              <w:pStyle w:val="yTableNAm"/>
              <w:spacing w:before="60" w:after="60"/>
            </w:pPr>
            <w:r>
              <w:t>Who made the complaints (the complainants)</w:t>
            </w:r>
          </w:p>
        </w:tc>
        <w:tc>
          <w:tcPr>
            <w:tcW w:w="3828" w:type="dxa"/>
            <w:gridSpan w:val="2"/>
          </w:tcPr>
          <w:p>
            <w:pPr>
              <w:pStyle w:val="yTableNAm"/>
              <w:spacing w:before="60" w:after="60"/>
            </w:pPr>
            <w:r>
              <w:t>People who were users</w:t>
            </w:r>
          </w:p>
        </w:tc>
        <w:tc>
          <w:tcPr>
            <w:tcW w:w="991" w:type="dxa"/>
          </w:tcPr>
          <w:p>
            <w:pPr>
              <w:pStyle w:val="yTableNAm"/>
              <w:spacing w:before="60" w:after="60"/>
              <w:rPr>
                <w:i/>
                <w:iCs/>
              </w:rPr>
            </w:pPr>
            <w:r>
              <w:rPr>
                <w:i/>
                <w:iCs/>
              </w:rPr>
              <w:t>[number]</w:t>
            </w:r>
          </w:p>
        </w:tc>
      </w:tr>
      <w:tr>
        <w:trPr>
          <w:cantSplit/>
          <w:trHeight w:val="312"/>
        </w:trPr>
        <w:tc>
          <w:tcPr>
            <w:tcW w:w="2268" w:type="dxa"/>
            <w:vMerge/>
          </w:tcPr>
          <w:p>
            <w:pPr>
              <w:pStyle w:val="yTableNAm"/>
              <w:spacing w:before="60" w:after="60"/>
            </w:pPr>
          </w:p>
        </w:tc>
        <w:tc>
          <w:tcPr>
            <w:tcW w:w="3828" w:type="dxa"/>
            <w:gridSpan w:val="2"/>
          </w:tcPr>
          <w:p>
            <w:pPr>
              <w:pStyle w:val="yTableNAm"/>
              <w:spacing w:before="60" w:after="60"/>
            </w:pPr>
            <w:r>
              <w:t>People who were acting on behalf of users</w:t>
            </w:r>
          </w:p>
        </w:tc>
        <w:tc>
          <w:tcPr>
            <w:tcW w:w="991" w:type="dxa"/>
          </w:tcPr>
          <w:p>
            <w:pPr>
              <w:pStyle w:val="yTableNAm"/>
              <w:spacing w:before="60" w:after="60"/>
              <w:rPr>
                <w:i/>
                <w:iCs/>
              </w:rPr>
            </w:pPr>
            <w:r>
              <w:rPr>
                <w:i/>
                <w:iCs/>
              </w:rPr>
              <w:t>[number]</w:t>
            </w:r>
          </w:p>
        </w:tc>
      </w:tr>
      <w:tr>
        <w:trPr>
          <w:cantSplit/>
          <w:trHeight w:val="312"/>
        </w:trPr>
        <w:tc>
          <w:tcPr>
            <w:tcW w:w="2268" w:type="dxa"/>
            <w:vMerge/>
          </w:tcPr>
          <w:p>
            <w:pPr>
              <w:pStyle w:val="yTableNAm"/>
              <w:spacing w:before="60" w:after="60"/>
            </w:pPr>
          </w:p>
        </w:tc>
        <w:tc>
          <w:tcPr>
            <w:tcW w:w="3828" w:type="dxa"/>
            <w:gridSpan w:val="2"/>
          </w:tcPr>
          <w:p>
            <w:pPr>
              <w:pStyle w:val="yTableNAm"/>
              <w:spacing w:before="60" w:after="60"/>
            </w:pPr>
            <w:r>
              <w:t>Unknown</w:t>
            </w:r>
          </w:p>
        </w:tc>
        <w:tc>
          <w:tcPr>
            <w:tcW w:w="991" w:type="dxa"/>
          </w:tcPr>
          <w:p>
            <w:pPr>
              <w:pStyle w:val="yTableNAm"/>
              <w:spacing w:before="60" w:after="60"/>
              <w:rPr>
                <w:i/>
                <w:iCs/>
              </w:rPr>
            </w:pPr>
            <w:r>
              <w:rPr>
                <w:i/>
                <w:iCs/>
              </w:rPr>
              <w:t>[number]</w:t>
            </w:r>
          </w:p>
        </w:tc>
      </w:tr>
      <w:tr>
        <w:trPr>
          <w:cantSplit/>
          <w:trHeight w:val="312"/>
        </w:trPr>
        <w:tc>
          <w:tcPr>
            <w:tcW w:w="7087" w:type="dxa"/>
            <w:gridSpan w:val="4"/>
          </w:tcPr>
          <w:p>
            <w:pPr>
              <w:pStyle w:val="yTableNAm"/>
              <w:spacing w:before="60" w:after="60"/>
              <w:rPr>
                <w:b/>
                <w:bCs/>
              </w:rPr>
            </w:pPr>
            <w:r>
              <w:rPr>
                <w:b/>
                <w:bCs/>
              </w:rPr>
              <w:t>Information about users who were complainants or on whose behalf complaints were made</w:t>
            </w:r>
          </w:p>
        </w:tc>
      </w:tr>
      <w:tr>
        <w:trPr>
          <w:cantSplit/>
          <w:trHeight w:val="154"/>
        </w:trPr>
        <w:tc>
          <w:tcPr>
            <w:tcW w:w="2268" w:type="dxa"/>
            <w:vMerge w:val="restart"/>
          </w:tcPr>
          <w:p>
            <w:pPr>
              <w:pStyle w:val="yTableNAm"/>
              <w:spacing w:before="60" w:after="60"/>
            </w:pPr>
            <w:r>
              <w:t>Gender</w:t>
            </w:r>
          </w:p>
        </w:tc>
        <w:tc>
          <w:tcPr>
            <w:tcW w:w="3828" w:type="dxa"/>
            <w:gridSpan w:val="2"/>
          </w:tcPr>
          <w:p>
            <w:pPr>
              <w:pStyle w:val="yTableNAm"/>
              <w:spacing w:before="60" w:after="60"/>
            </w:pPr>
            <w:r>
              <w:t>Male</w:t>
            </w:r>
          </w:p>
        </w:tc>
        <w:tc>
          <w:tcPr>
            <w:tcW w:w="991" w:type="dxa"/>
          </w:tcPr>
          <w:p>
            <w:pPr>
              <w:pStyle w:val="yTableNAm"/>
              <w:spacing w:before="60" w:after="60"/>
              <w:rPr>
                <w:i/>
                <w:iCs/>
              </w:rPr>
            </w:pPr>
            <w:r>
              <w:rPr>
                <w:i/>
                <w:iCs/>
              </w:rPr>
              <w:t>[number]</w:t>
            </w:r>
          </w:p>
        </w:tc>
      </w:tr>
      <w:tr>
        <w:trPr>
          <w:cantSplit/>
          <w:trHeight w:val="153"/>
        </w:trPr>
        <w:tc>
          <w:tcPr>
            <w:tcW w:w="2268" w:type="dxa"/>
            <w:vMerge/>
          </w:tcPr>
          <w:p>
            <w:pPr>
              <w:pStyle w:val="yTableNAm"/>
              <w:spacing w:before="60" w:after="60"/>
            </w:pPr>
          </w:p>
        </w:tc>
        <w:tc>
          <w:tcPr>
            <w:tcW w:w="3828" w:type="dxa"/>
            <w:gridSpan w:val="2"/>
          </w:tcPr>
          <w:p>
            <w:pPr>
              <w:pStyle w:val="yTableNAm"/>
              <w:spacing w:before="60" w:after="60"/>
            </w:pPr>
            <w:r>
              <w:t>Female</w:t>
            </w:r>
          </w:p>
        </w:tc>
        <w:tc>
          <w:tcPr>
            <w:tcW w:w="991" w:type="dxa"/>
          </w:tcPr>
          <w:p>
            <w:pPr>
              <w:pStyle w:val="yTableNAm"/>
              <w:spacing w:before="60" w:after="60"/>
              <w:rPr>
                <w:i/>
                <w:iCs/>
              </w:rPr>
            </w:pPr>
            <w:r>
              <w:rPr>
                <w:i/>
                <w:iCs/>
              </w:rPr>
              <w:t>[number]</w:t>
            </w:r>
          </w:p>
        </w:tc>
      </w:tr>
      <w:tr>
        <w:trPr>
          <w:cantSplit/>
          <w:trHeight w:val="153"/>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left w:val="single" w:sz="4" w:space="0" w:color="auto"/>
              <w:bottom w:val="single" w:sz="4" w:space="0" w:color="auto"/>
            </w:tcBorders>
          </w:tcPr>
          <w:p>
            <w:pPr>
              <w:pStyle w:val="yTableNAm"/>
              <w:spacing w:before="60" w:after="60"/>
            </w:pPr>
            <w:r>
              <w:t>English</w:t>
            </w:r>
          </w:p>
        </w:tc>
        <w:tc>
          <w:tcPr>
            <w:tcW w:w="3828" w:type="dxa"/>
            <w:gridSpan w:val="2"/>
            <w:tcBorders>
              <w:top w:val="single" w:sz="4" w:space="0" w:color="auto"/>
              <w:bottom w:val="single" w:sz="4" w:space="0" w:color="auto"/>
            </w:tcBorders>
          </w:tcPr>
          <w:p>
            <w:pPr>
              <w:pStyle w:val="yTableNAm"/>
              <w:spacing w:before="60" w:after="60"/>
            </w:pPr>
            <w:r>
              <w:t>First language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Not first language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tcBorders>
          </w:tcPr>
          <w:p>
            <w:pPr>
              <w:pStyle w:val="yTableNAm"/>
              <w:keepNext/>
              <w:spacing w:before="60" w:after="60"/>
            </w:pPr>
            <w:r>
              <w:lastRenderedPageBreak/>
              <w:t>Aboriginal or Torres Strait Islander</w:t>
            </w:r>
          </w:p>
        </w:tc>
        <w:tc>
          <w:tcPr>
            <w:tcW w:w="3828" w:type="dxa"/>
            <w:gridSpan w:val="2"/>
            <w:tcBorders>
              <w:top w:val="single" w:sz="4" w:space="0" w:color="auto"/>
            </w:tcBorders>
          </w:tcPr>
          <w:p>
            <w:pPr>
              <w:pStyle w:val="yTableNAm"/>
              <w:keepNext/>
              <w:spacing w:before="60" w:after="60"/>
            </w:pPr>
            <w:r>
              <w:t>Yes</w:t>
            </w:r>
          </w:p>
        </w:tc>
        <w:tc>
          <w:tcPr>
            <w:tcW w:w="991" w:type="dxa"/>
            <w:tcBorders>
              <w:top w:val="single" w:sz="4" w:space="0" w:color="auto"/>
            </w:tcBorders>
          </w:tcPr>
          <w:p>
            <w:pPr>
              <w:pStyle w:val="yTableNAm"/>
              <w:keepNext/>
              <w:spacing w:before="60" w:after="60"/>
              <w:rPr>
                <w:i/>
                <w:iCs/>
              </w:rPr>
            </w:pPr>
            <w:r>
              <w:rPr>
                <w:i/>
                <w:iCs/>
              </w:rPr>
              <w:t>[number]</w:t>
            </w:r>
          </w:p>
        </w:tc>
      </w:tr>
      <w:tr>
        <w:trPr>
          <w:cantSplit/>
          <w:trHeight w:val="146"/>
        </w:trPr>
        <w:tc>
          <w:tcPr>
            <w:tcW w:w="2268" w:type="dxa"/>
            <w:vMerge/>
          </w:tcPr>
          <w:p>
            <w:pPr>
              <w:pStyle w:val="yTableNAm"/>
              <w:spacing w:before="60" w:after="60"/>
            </w:pPr>
          </w:p>
        </w:tc>
        <w:tc>
          <w:tcPr>
            <w:tcW w:w="3828" w:type="dxa"/>
            <w:gridSpan w:val="2"/>
          </w:tcPr>
          <w:p>
            <w:pPr>
              <w:pStyle w:val="yTableNAm"/>
              <w:spacing w:before="60" w:after="60"/>
            </w:pPr>
            <w:r>
              <w:t>No</w:t>
            </w:r>
          </w:p>
        </w:tc>
        <w:tc>
          <w:tcPr>
            <w:tcW w:w="991" w:type="dxa"/>
          </w:tcPr>
          <w:p>
            <w:pPr>
              <w:pStyle w:val="yTableNAm"/>
              <w:spacing w:before="60" w:after="60"/>
              <w:rPr>
                <w:i/>
                <w:iCs/>
              </w:rPr>
            </w:pPr>
            <w:r>
              <w:rPr>
                <w:i/>
                <w:iCs/>
              </w:rPr>
              <w:t>[number]</w:t>
            </w:r>
          </w:p>
        </w:tc>
      </w:tr>
      <w:tr>
        <w:trPr>
          <w:cantSplit/>
          <w:trHeight w:val="146"/>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30"/>
        </w:trPr>
        <w:tc>
          <w:tcPr>
            <w:tcW w:w="2268" w:type="dxa"/>
            <w:vMerge w:val="restart"/>
            <w:tcBorders>
              <w:top w:val="single" w:sz="4" w:space="0" w:color="auto"/>
              <w:left w:val="single" w:sz="4" w:space="0" w:color="auto"/>
            </w:tcBorders>
          </w:tcPr>
          <w:p>
            <w:pPr>
              <w:pStyle w:val="yTableNAm"/>
              <w:spacing w:before="60" w:after="60"/>
            </w:pPr>
            <w:r>
              <w:t>Age (years)</w:t>
            </w:r>
          </w:p>
        </w:tc>
        <w:tc>
          <w:tcPr>
            <w:tcW w:w="3828" w:type="dxa"/>
            <w:gridSpan w:val="2"/>
            <w:tcBorders>
              <w:top w:val="single" w:sz="4" w:space="0" w:color="auto"/>
              <w:bottom w:val="single" w:sz="4" w:space="0" w:color="auto"/>
            </w:tcBorders>
          </w:tcPr>
          <w:p>
            <w:pPr>
              <w:pStyle w:val="yTableNAm"/>
              <w:spacing w:before="60" w:after="60"/>
            </w:pPr>
            <w:r>
              <w:t>0</w:t>
            </w:r>
            <w:r>
              <w:noBreakHyphen/>
              <w:t>9</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10</w:t>
            </w:r>
            <w:r>
              <w:noBreakHyphen/>
              <w:t>19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20</w:t>
            </w:r>
            <w:r>
              <w:noBreakHyphen/>
              <w:t>29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30</w:t>
            </w:r>
            <w:r>
              <w:noBreakHyphen/>
              <w:t>39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40</w:t>
            </w:r>
            <w:r>
              <w:noBreakHyphen/>
              <w:t>49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50</w:t>
            </w:r>
            <w:r>
              <w:noBreakHyphen/>
              <w:t>59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60</w:t>
            </w:r>
            <w:r>
              <w:noBreakHyphen/>
              <w:t>69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70</w:t>
            </w:r>
            <w:r>
              <w:noBreakHyphen/>
              <w:t>79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80</w:t>
            </w:r>
            <w:r>
              <w:noBreakHyphen/>
              <w:t>89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90+</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tcBorders>
          </w:tcPr>
          <w:p>
            <w:pPr>
              <w:pStyle w:val="yTableNAm"/>
              <w:spacing w:before="60" w:after="60"/>
            </w:pPr>
            <w:r>
              <w:t>Residential postcode</w:t>
            </w:r>
          </w:p>
        </w:tc>
        <w:tc>
          <w:tcPr>
            <w:tcW w:w="3828" w:type="dxa"/>
            <w:gridSpan w:val="2"/>
            <w:tcBorders>
              <w:top w:val="single" w:sz="4" w:space="0" w:color="auto"/>
            </w:tcBorders>
          </w:tcPr>
          <w:p>
            <w:pPr>
              <w:pStyle w:val="yTableNAm"/>
              <w:spacing w:before="60" w:after="60"/>
            </w:pPr>
            <w:r>
              <w:t>6000</w:t>
            </w:r>
            <w:r>
              <w:noBreakHyphen/>
              <w:t>6199</w:t>
            </w:r>
          </w:p>
        </w:tc>
        <w:tc>
          <w:tcPr>
            <w:tcW w:w="991" w:type="dxa"/>
            <w:tcBorders>
              <w:top w:val="single" w:sz="4" w:space="0" w:color="auto"/>
            </w:tcBorders>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6200</w:t>
            </w:r>
            <w:r>
              <w:noBreakHyphen/>
              <w:t>6299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6300</w:t>
            </w:r>
            <w:r>
              <w:noBreakHyphen/>
              <w:t>6399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6400</w:t>
            </w:r>
            <w:r>
              <w:noBreakHyphen/>
              <w:t>6499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6500</w:t>
            </w:r>
            <w:r>
              <w:noBreakHyphen/>
              <w:t>6599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6600</w:t>
            </w:r>
            <w:r>
              <w:noBreakHyphen/>
              <w:t>6699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6700</w:t>
            </w:r>
            <w:r>
              <w:noBreakHyphen/>
              <w:t>6799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Other or unknown</w:t>
            </w:r>
          </w:p>
        </w:tc>
        <w:tc>
          <w:tcPr>
            <w:tcW w:w="991" w:type="dxa"/>
          </w:tcPr>
          <w:p>
            <w:pPr>
              <w:pStyle w:val="yTableNAm"/>
              <w:spacing w:before="60" w:after="60"/>
              <w:rPr>
                <w:i/>
                <w:iCs/>
              </w:rPr>
            </w:pPr>
            <w:r>
              <w:rPr>
                <w:i/>
                <w:iCs/>
              </w:rPr>
              <w:t>[number]</w:t>
            </w:r>
          </w:p>
        </w:tc>
      </w:tr>
      <w:tr>
        <w:trPr>
          <w:cantSplit/>
          <w:trHeight w:val="38"/>
        </w:trPr>
        <w:tc>
          <w:tcPr>
            <w:tcW w:w="7087" w:type="dxa"/>
            <w:gridSpan w:val="4"/>
            <w:tcBorders>
              <w:bottom w:val="single" w:sz="4" w:space="0" w:color="auto"/>
            </w:tcBorders>
          </w:tcPr>
          <w:p>
            <w:pPr>
              <w:pStyle w:val="yTableNAm"/>
              <w:spacing w:before="60" w:after="60"/>
              <w:rPr>
                <w:b/>
                <w:bCs/>
              </w:rPr>
            </w:pPr>
            <w:r>
              <w:rPr>
                <w:b/>
                <w:bCs/>
              </w:rPr>
              <w:t>Information about complainants who were acting on behalf of users</w:t>
            </w:r>
          </w:p>
        </w:tc>
      </w:tr>
      <w:tr>
        <w:trPr>
          <w:cantSplit/>
          <w:trHeight w:val="154"/>
        </w:trPr>
        <w:tc>
          <w:tcPr>
            <w:tcW w:w="2268" w:type="dxa"/>
            <w:vMerge w:val="restart"/>
            <w:tcBorders>
              <w:top w:val="single" w:sz="4" w:space="0" w:color="auto"/>
              <w:left w:val="single" w:sz="4" w:space="0" w:color="auto"/>
              <w:bottom w:val="single" w:sz="4" w:space="0" w:color="auto"/>
            </w:tcBorders>
          </w:tcPr>
          <w:p>
            <w:pPr>
              <w:pStyle w:val="yTableNAm"/>
              <w:spacing w:before="60" w:after="60"/>
            </w:pPr>
            <w:r>
              <w:t>Gender</w:t>
            </w:r>
          </w:p>
        </w:tc>
        <w:tc>
          <w:tcPr>
            <w:tcW w:w="3828" w:type="dxa"/>
            <w:gridSpan w:val="2"/>
            <w:tcBorders>
              <w:top w:val="single" w:sz="4" w:space="0" w:color="auto"/>
              <w:bottom w:val="single" w:sz="4" w:space="0" w:color="auto"/>
            </w:tcBorders>
          </w:tcPr>
          <w:p>
            <w:pPr>
              <w:pStyle w:val="yTableNAm"/>
              <w:spacing w:before="60" w:after="60"/>
            </w:pPr>
            <w:r>
              <w:t>Male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53"/>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Female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53"/>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tcBorders>
          </w:tcPr>
          <w:p>
            <w:pPr>
              <w:pStyle w:val="yTableNAm"/>
              <w:keepNext/>
              <w:spacing w:before="60" w:after="60"/>
            </w:pPr>
            <w:r>
              <w:lastRenderedPageBreak/>
              <w:t>English</w:t>
            </w:r>
          </w:p>
        </w:tc>
        <w:tc>
          <w:tcPr>
            <w:tcW w:w="3828" w:type="dxa"/>
            <w:gridSpan w:val="2"/>
            <w:tcBorders>
              <w:top w:val="single" w:sz="4" w:space="0" w:color="auto"/>
            </w:tcBorders>
          </w:tcPr>
          <w:p>
            <w:pPr>
              <w:pStyle w:val="yTableNAm"/>
              <w:keepNext/>
              <w:spacing w:before="60" w:after="60"/>
            </w:pPr>
            <w:r>
              <w:t>First language</w:t>
            </w:r>
          </w:p>
        </w:tc>
        <w:tc>
          <w:tcPr>
            <w:tcW w:w="991" w:type="dxa"/>
            <w:tcBorders>
              <w:top w:val="single" w:sz="4" w:space="0" w:color="auto"/>
            </w:tcBorders>
          </w:tcPr>
          <w:p>
            <w:pPr>
              <w:pStyle w:val="yTableNAm"/>
              <w:keepNext/>
              <w:spacing w:before="60" w:after="60"/>
              <w:rPr>
                <w:i/>
                <w:iCs/>
              </w:rPr>
            </w:pPr>
            <w:r>
              <w:rPr>
                <w:i/>
                <w:iCs/>
              </w:rPr>
              <w:t>[number]</w:t>
            </w:r>
          </w:p>
        </w:tc>
      </w:tr>
      <w:tr>
        <w:trPr>
          <w:cantSplit/>
          <w:trHeight w:val="146"/>
        </w:trPr>
        <w:tc>
          <w:tcPr>
            <w:tcW w:w="2268" w:type="dxa"/>
            <w:vMerge/>
          </w:tcPr>
          <w:p>
            <w:pPr>
              <w:pStyle w:val="yTableNAm"/>
              <w:spacing w:before="60" w:after="60"/>
            </w:pPr>
          </w:p>
        </w:tc>
        <w:tc>
          <w:tcPr>
            <w:tcW w:w="3828" w:type="dxa"/>
            <w:gridSpan w:val="2"/>
          </w:tcPr>
          <w:p>
            <w:pPr>
              <w:pStyle w:val="yTableNAm"/>
              <w:spacing w:before="60" w:after="60"/>
            </w:pPr>
            <w:r>
              <w:t>Not first language</w:t>
            </w:r>
          </w:p>
        </w:tc>
        <w:tc>
          <w:tcPr>
            <w:tcW w:w="991" w:type="dxa"/>
          </w:tcPr>
          <w:p>
            <w:pPr>
              <w:pStyle w:val="yTableNAm"/>
              <w:spacing w:before="60" w:after="60"/>
              <w:rPr>
                <w:i/>
                <w:iCs/>
              </w:rPr>
            </w:pPr>
            <w:r>
              <w:rPr>
                <w:i/>
                <w:iCs/>
              </w:rPr>
              <w:t>[number]</w:t>
            </w:r>
          </w:p>
        </w:tc>
      </w:tr>
      <w:tr>
        <w:trPr>
          <w:cantSplit/>
          <w:trHeight w:val="146"/>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left w:val="single" w:sz="4" w:space="0" w:color="auto"/>
            </w:tcBorders>
          </w:tcPr>
          <w:p>
            <w:pPr>
              <w:pStyle w:val="yTableNAm"/>
              <w:spacing w:before="60" w:after="60"/>
            </w:pPr>
            <w:r>
              <w:t>Aboriginal or Torres Strait Islander</w:t>
            </w:r>
          </w:p>
        </w:tc>
        <w:tc>
          <w:tcPr>
            <w:tcW w:w="3828" w:type="dxa"/>
            <w:gridSpan w:val="2"/>
            <w:tcBorders>
              <w:top w:val="single" w:sz="4" w:space="0" w:color="auto"/>
              <w:bottom w:val="single" w:sz="4" w:space="0" w:color="auto"/>
            </w:tcBorders>
          </w:tcPr>
          <w:p>
            <w:pPr>
              <w:pStyle w:val="yTableNAm"/>
              <w:spacing w:before="60" w:after="60"/>
            </w:pPr>
            <w:r>
              <w:t>Yes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No</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0"/>
        </w:trPr>
        <w:tc>
          <w:tcPr>
            <w:tcW w:w="2268" w:type="dxa"/>
            <w:vMerge w:val="restart"/>
            <w:tcBorders>
              <w:top w:val="single" w:sz="4" w:space="0" w:color="auto"/>
            </w:tcBorders>
          </w:tcPr>
          <w:p>
            <w:pPr>
              <w:pStyle w:val="yTableNAm"/>
              <w:spacing w:before="60" w:after="60"/>
            </w:pPr>
            <w:r>
              <w:t>Age (years)</w:t>
            </w:r>
          </w:p>
        </w:tc>
        <w:tc>
          <w:tcPr>
            <w:tcW w:w="3828" w:type="dxa"/>
            <w:gridSpan w:val="2"/>
            <w:tcBorders>
              <w:top w:val="single" w:sz="4" w:space="0" w:color="auto"/>
            </w:tcBorders>
          </w:tcPr>
          <w:p>
            <w:pPr>
              <w:pStyle w:val="yTableNAm"/>
              <w:spacing w:before="60" w:after="60"/>
            </w:pPr>
            <w:r>
              <w:t>18</w:t>
            </w:r>
            <w:r>
              <w:noBreakHyphen/>
              <w:t>29</w:t>
            </w:r>
          </w:p>
        </w:tc>
        <w:tc>
          <w:tcPr>
            <w:tcW w:w="991" w:type="dxa"/>
            <w:tcBorders>
              <w:top w:val="single" w:sz="4" w:space="0" w:color="auto"/>
            </w:tcBorders>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30</w:t>
            </w:r>
            <w:r>
              <w:noBreakHyphen/>
              <w:t>39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40</w:t>
            </w:r>
            <w:r>
              <w:noBreakHyphen/>
              <w:t>49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50</w:t>
            </w:r>
            <w:r>
              <w:noBreakHyphen/>
              <w:t>59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60</w:t>
            </w:r>
            <w:r>
              <w:noBreakHyphen/>
              <w:t>69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70</w:t>
            </w:r>
            <w:r>
              <w:noBreakHyphen/>
              <w:t>79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80</w:t>
            </w:r>
            <w:r>
              <w:noBreakHyphen/>
              <w:t>89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90+</w:t>
            </w:r>
          </w:p>
        </w:tc>
        <w:tc>
          <w:tcPr>
            <w:tcW w:w="991" w:type="dxa"/>
          </w:tcPr>
          <w:p>
            <w:pPr>
              <w:pStyle w:val="yTableNAm"/>
              <w:spacing w:before="60" w:after="60"/>
              <w:rPr>
                <w:i/>
                <w:iCs/>
              </w:rPr>
            </w:pPr>
            <w:r>
              <w:rPr>
                <w:i/>
                <w:iCs/>
              </w:rPr>
              <w:t>[number]</w:t>
            </w:r>
          </w:p>
        </w:tc>
      </w:tr>
      <w:tr>
        <w:trPr>
          <w:cantSplit/>
          <w:trHeight w:val="28"/>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spacing w:before="60" w:after="60"/>
            </w:pPr>
            <w:r>
              <w:t>Residential postcode</w:t>
            </w:r>
          </w:p>
        </w:tc>
        <w:tc>
          <w:tcPr>
            <w:tcW w:w="3828" w:type="dxa"/>
            <w:gridSpan w:val="2"/>
            <w:tcBorders>
              <w:top w:val="single" w:sz="4" w:space="0" w:color="auto"/>
              <w:bottom w:val="single" w:sz="4" w:space="0" w:color="auto"/>
            </w:tcBorders>
          </w:tcPr>
          <w:p>
            <w:pPr>
              <w:pStyle w:val="yTableNAm"/>
              <w:spacing w:before="60" w:after="60"/>
            </w:pPr>
            <w:r>
              <w:t>6000</w:t>
            </w:r>
            <w:r>
              <w:noBreakHyphen/>
              <w:t>6199</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6200</w:t>
            </w:r>
            <w:r>
              <w:noBreakHyphen/>
              <w:t>6299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6300</w:t>
            </w:r>
            <w:r>
              <w:noBreakHyphen/>
              <w:t>6399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6400</w:t>
            </w:r>
            <w:r>
              <w:noBreakHyphen/>
              <w:t>6499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6500</w:t>
            </w:r>
            <w:r>
              <w:noBreakHyphen/>
              <w:t>6599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6600</w:t>
            </w:r>
            <w:r>
              <w:noBreakHyphen/>
              <w:t>6699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6700</w:t>
            </w:r>
            <w:r>
              <w:noBreakHyphen/>
              <w:t>6799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Other or 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7087" w:type="dxa"/>
            <w:gridSpan w:val="4"/>
            <w:tcBorders>
              <w:left w:val="single" w:sz="4" w:space="0" w:color="auto"/>
              <w:bottom w:val="single" w:sz="4" w:space="0" w:color="auto"/>
              <w:right w:val="single" w:sz="4" w:space="0" w:color="auto"/>
            </w:tcBorders>
          </w:tcPr>
          <w:p>
            <w:pPr>
              <w:pStyle w:val="yTableNAm"/>
              <w:keepNext/>
              <w:keepLines/>
              <w:spacing w:before="60" w:after="60"/>
              <w:rPr>
                <w:b/>
                <w:bCs/>
              </w:rPr>
            </w:pPr>
            <w:r>
              <w:rPr>
                <w:b/>
                <w:bCs/>
              </w:rPr>
              <w:lastRenderedPageBreak/>
              <w:t>Categories of complaint</w:t>
            </w:r>
          </w:p>
        </w:tc>
      </w:tr>
      <w:tr>
        <w:trPr>
          <w:cantSplit/>
          <w:trHeight w:val="34"/>
        </w:trPr>
        <w:tc>
          <w:tcPr>
            <w:tcW w:w="2268" w:type="dxa"/>
            <w:vMerge w:val="restart"/>
            <w:tcBorders>
              <w:top w:val="single" w:sz="4" w:space="0" w:color="auto"/>
              <w:left w:val="single" w:sz="4" w:space="0" w:color="auto"/>
            </w:tcBorders>
          </w:tcPr>
          <w:p>
            <w:pPr>
              <w:pStyle w:val="yTableNAm"/>
              <w:keepNext/>
              <w:keepLines/>
              <w:spacing w:before="60" w:after="60"/>
            </w:pPr>
            <w:r>
              <w:t>Access</w:t>
            </w:r>
          </w:p>
        </w:tc>
        <w:tc>
          <w:tcPr>
            <w:tcW w:w="3828" w:type="dxa"/>
            <w:gridSpan w:val="2"/>
            <w:tcBorders>
              <w:top w:val="single" w:sz="4" w:space="0" w:color="auto"/>
              <w:bottom w:val="single" w:sz="4" w:space="0" w:color="auto"/>
            </w:tcBorders>
          </w:tcPr>
          <w:p>
            <w:pPr>
              <w:pStyle w:val="yTableNAm"/>
              <w:keepNext/>
              <w:keepLines/>
              <w:spacing w:before="60" w:after="60"/>
            </w:pPr>
            <w:r>
              <w:t>Delay in admission or treatment</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Waiting list delay</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Staff member or contractor unavailable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resources/lack of service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Refusal to provide services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provide advice about transport options</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tcBorders>
          </w:tcPr>
          <w:p>
            <w:pPr>
              <w:pStyle w:val="yTableNAm"/>
              <w:spacing w:before="60" w:after="60"/>
            </w:pPr>
            <w:r>
              <w:t>Physical access/entry</w:t>
            </w:r>
          </w:p>
        </w:tc>
        <w:tc>
          <w:tcPr>
            <w:tcW w:w="991" w:type="dxa"/>
            <w:tcBorders>
              <w:top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Parking</w:t>
            </w:r>
          </w:p>
        </w:tc>
        <w:tc>
          <w:tcPr>
            <w:tcW w:w="991" w:type="dxa"/>
          </w:tcPr>
          <w:p>
            <w:pPr>
              <w:pStyle w:val="yTableNAm"/>
              <w:spacing w:before="60" w:after="60"/>
              <w:rPr>
                <w:i/>
                <w:iCs/>
              </w:rPr>
            </w:pPr>
            <w:r>
              <w:rPr>
                <w:i/>
                <w:iCs/>
              </w:rPr>
              <w:t>[number]</w:t>
            </w:r>
          </w:p>
        </w:tc>
      </w:tr>
      <w:tr>
        <w:trPr>
          <w:cantSplit/>
          <w:trHeight w:val="2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tcBorders>
          </w:tcPr>
          <w:p>
            <w:pPr>
              <w:pStyle w:val="yTableNAm"/>
              <w:spacing w:before="60" w:after="60"/>
              <w:rPr>
                <w:i/>
                <w:iCs/>
              </w:rPr>
            </w:pPr>
            <w:r>
              <w:rPr>
                <w:i/>
                <w:iCs/>
              </w:rPr>
              <w:t>[number]</w:t>
            </w:r>
          </w:p>
        </w:tc>
      </w:tr>
      <w:tr>
        <w:trPr>
          <w:cantSplit/>
          <w:trHeight w:val="38"/>
        </w:trPr>
        <w:tc>
          <w:tcPr>
            <w:tcW w:w="2268" w:type="dxa"/>
            <w:vMerge w:val="restart"/>
            <w:tcBorders>
              <w:top w:val="single" w:sz="4" w:space="0" w:color="auto"/>
              <w:left w:val="single" w:sz="4" w:space="0" w:color="auto"/>
              <w:bottom w:val="single" w:sz="4" w:space="0" w:color="auto"/>
            </w:tcBorders>
          </w:tcPr>
          <w:p>
            <w:pPr>
              <w:pStyle w:val="yTableNAm"/>
              <w:spacing w:before="60" w:after="60"/>
            </w:pPr>
            <w:r>
              <w:t>Communication</w:t>
            </w:r>
          </w:p>
        </w:tc>
        <w:tc>
          <w:tcPr>
            <w:tcW w:w="3828" w:type="dxa"/>
            <w:gridSpan w:val="2"/>
            <w:tcBorders>
              <w:top w:val="single" w:sz="4" w:space="0" w:color="auto"/>
              <w:bottom w:val="single" w:sz="4" w:space="0" w:color="auto"/>
            </w:tcBorders>
          </w:tcPr>
          <w:p>
            <w:pPr>
              <w:pStyle w:val="yTableNAm"/>
              <w:spacing w:before="60" w:after="60"/>
            </w:pPr>
            <w:r>
              <w:t>Inadequate information about diagnostic testing, treatment procedures and risks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information about services available</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 xml:space="preserve">Misinformation or failure in communication (but not failure to consult) </w:t>
            </w:r>
          </w:p>
        </w:tc>
        <w:tc>
          <w:tcPr>
            <w:tcW w:w="991" w:type="dxa"/>
            <w:tcBorders>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or inaccurate records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communication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Inappropriate verbal/nonverbal communication</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listen to patient/client/carer/family</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tcBorders>
          </w:tcPr>
          <w:p>
            <w:pPr>
              <w:pStyle w:val="yTableNAm"/>
              <w:keepNext/>
              <w:keepLines/>
              <w:spacing w:before="60" w:after="60"/>
            </w:pPr>
            <w:r>
              <w:lastRenderedPageBreak/>
              <w:t>Decision making</w:t>
            </w:r>
          </w:p>
        </w:tc>
        <w:tc>
          <w:tcPr>
            <w:tcW w:w="3828" w:type="dxa"/>
            <w:gridSpan w:val="2"/>
            <w:tcBorders>
              <w:top w:val="single" w:sz="4" w:space="0" w:color="auto"/>
            </w:tcBorders>
          </w:tcPr>
          <w:p>
            <w:pPr>
              <w:pStyle w:val="yTableNAm"/>
              <w:keepNext/>
              <w:keepLines/>
              <w:spacing w:before="60" w:after="60"/>
            </w:pPr>
            <w:r>
              <w:t>Failure to consult patient/client</w:t>
            </w:r>
          </w:p>
        </w:tc>
        <w:tc>
          <w:tcPr>
            <w:tcW w:w="991" w:type="dxa"/>
            <w:tcBorders>
              <w:top w:val="single" w:sz="4" w:space="0" w:color="auto"/>
            </w:tcBorders>
          </w:tcPr>
          <w:p>
            <w:pPr>
              <w:pStyle w:val="yTableNAm"/>
              <w:keepNext/>
              <w:keepLines/>
              <w:spacing w:before="60" w:after="60"/>
              <w:rPr>
                <w:i/>
                <w:iCs/>
              </w:rPr>
            </w:pPr>
            <w:r>
              <w:rPr>
                <w:i/>
                <w:iCs/>
              </w:rPr>
              <w:t>[number]</w:t>
            </w:r>
          </w:p>
        </w:tc>
      </w:tr>
      <w:tr>
        <w:trPr>
          <w:cantSplit/>
          <w:trHeight w:val="44"/>
        </w:trPr>
        <w:tc>
          <w:tcPr>
            <w:tcW w:w="2268" w:type="dxa"/>
            <w:vMerge/>
          </w:tcPr>
          <w:p>
            <w:pPr>
              <w:pStyle w:val="yTableNAm"/>
              <w:keepNext/>
              <w:keepLines/>
              <w:spacing w:before="60" w:after="60"/>
            </w:pPr>
          </w:p>
        </w:tc>
        <w:tc>
          <w:tcPr>
            <w:tcW w:w="3828" w:type="dxa"/>
            <w:gridSpan w:val="2"/>
          </w:tcPr>
          <w:p>
            <w:pPr>
              <w:pStyle w:val="yTableNAm"/>
              <w:keepNext/>
              <w:keepLines/>
              <w:spacing w:before="60" w:after="60"/>
            </w:pPr>
            <w:r>
              <w:t>Choice regarding admission as public or private patient</w:t>
            </w:r>
          </w:p>
        </w:tc>
        <w:tc>
          <w:tcPr>
            <w:tcW w:w="991" w:type="dxa"/>
          </w:tcPr>
          <w:p>
            <w:pPr>
              <w:pStyle w:val="yTableNAm"/>
              <w:keepNext/>
              <w:keepLines/>
              <w:spacing w:before="60" w:after="60"/>
              <w:rPr>
                <w:i/>
                <w:iCs/>
              </w:rPr>
            </w:pPr>
            <w:r>
              <w:rPr>
                <w:i/>
                <w:iCs/>
              </w:rPr>
              <w:t>[number]</w:t>
            </w:r>
          </w:p>
        </w:tc>
      </w:tr>
      <w:tr>
        <w:trPr>
          <w:cantSplit/>
          <w:trHeight w:val="44"/>
        </w:trPr>
        <w:tc>
          <w:tcPr>
            <w:tcW w:w="2268" w:type="dxa"/>
            <w:vMerge/>
          </w:tcPr>
          <w:p>
            <w:pPr>
              <w:pStyle w:val="yTableNAm"/>
              <w:keepNext/>
              <w:keepLines/>
              <w:spacing w:before="60" w:after="60"/>
            </w:pPr>
          </w:p>
        </w:tc>
        <w:tc>
          <w:tcPr>
            <w:tcW w:w="3828" w:type="dxa"/>
            <w:gridSpan w:val="2"/>
          </w:tcPr>
          <w:p>
            <w:pPr>
              <w:pStyle w:val="yTableNAm"/>
              <w:keepNext/>
              <w:keepLines/>
              <w:spacing w:before="60" w:after="60"/>
            </w:pPr>
            <w:r>
              <w:t>Consent not informed</w:t>
            </w:r>
          </w:p>
        </w:tc>
        <w:tc>
          <w:tcPr>
            <w:tcW w:w="991" w:type="dxa"/>
          </w:tcPr>
          <w:p>
            <w:pPr>
              <w:pStyle w:val="yTableNAm"/>
              <w:keepNext/>
              <w:keepLines/>
              <w:spacing w:before="60" w:after="60"/>
              <w:rPr>
                <w:i/>
                <w:iCs/>
              </w:rPr>
            </w:pPr>
            <w:r>
              <w:rPr>
                <w:i/>
                <w:iCs/>
              </w:rPr>
              <w:t>[number]</w:t>
            </w:r>
          </w:p>
        </w:tc>
      </w:tr>
      <w:tr>
        <w:trPr>
          <w:cantSplit/>
          <w:trHeight w:val="44"/>
        </w:trPr>
        <w:tc>
          <w:tcPr>
            <w:tcW w:w="2268" w:type="dxa"/>
            <w:vMerge/>
          </w:tcPr>
          <w:p>
            <w:pPr>
              <w:pStyle w:val="yTableNAm"/>
              <w:spacing w:before="60" w:after="60"/>
            </w:pPr>
          </w:p>
        </w:tc>
        <w:tc>
          <w:tcPr>
            <w:tcW w:w="3828" w:type="dxa"/>
            <w:gridSpan w:val="2"/>
          </w:tcPr>
          <w:p>
            <w:pPr>
              <w:pStyle w:val="yTableNAm"/>
              <w:spacing w:before="60" w:after="60"/>
            </w:pPr>
            <w:r>
              <w:t>Consent not obtained</w:t>
            </w:r>
          </w:p>
        </w:tc>
        <w:tc>
          <w:tcPr>
            <w:tcW w:w="991" w:type="dxa"/>
          </w:tcPr>
          <w:p>
            <w:pPr>
              <w:pStyle w:val="yTableNAm"/>
              <w:spacing w:before="60" w:after="60"/>
              <w:rPr>
                <w:i/>
                <w:iCs/>
              </w:rPr>
            </w:pPr>
            <w:r>
              <w:rPr>
                <w:i/>
                <w:iCs/>
              </w:rPr>
              <w:t>[number]</w:t>
            </w:r>
          </w:p>
        </w:tc>
      </w:tr>
      <w:tr>
        <w:trPr>
          <w:cantSplit/>
          <w:trHeight w:val="44"/>
        </w:trPr>
        <w:tc>
          <w:tcPr>
            <w:tcW w:w="2268" w:type="dxa"/>
            <w:vMerge/>
          </w:tcPr>
          <w:p>
            <w:pPr>
              <w:pStyle w:val="yTableNAm"/>
              <w:spacing w:before="60" w:after="60"/>
            </w:pPr>
          </w:p>
        </w:tc>
        <w:tc>
          <w:tcPr>
            <w:tcW w:w="3828" w:type="dxa"/>
            <w:gridSpan w:val="2"/>
            <w:tcBorders>
              <w:bottom w:val="single" w:sz="4" w:space="0" w:color="auto"/>
            </w:tcBorders>
          </w:tcPr>
          <w:p>
            <w:pPr>
              <w:pStyle w:val="yTableNAm"/>
              <w:spacing w:before="60" w:after="60"/>
            </w:pPr>
            <w:r>
              <w:t>Consent invalid</w:t>
            </w:r>
          </w:p>
        </w:tc>
        <w:tc>
          <w:tcPr>
            <w:tcW w:w="991" w:type="dxa"/>
            <w:tcBorders>
              <w:bottom w:val="single" w:sz="4" w:space="0" w:color="auto"/>
            </w:tcBorders>
          </w:tcPr>
          <w:p>
            <w:pPr>
              <w:pStyle w:val="yTableNAm"/>
              <w:spacing w:before="60" w:after="60"/>
              <w:rPr>
                <w:i/>
                <w:iCs/>
              </w:rPr>
            </w:pPr>
            <w:r>
              <w:rPr>
                <w:i/>
                <w:iCs/>
              </w:rPr>
              <w:t>[number]</w:t>
            </w:r>
          </w:p>
        </w:tc>
      </w:tr>
      <w:tr>
        <w:trPr>
          <w:cantSplit/>
          <w:trHeight w:val="44"/>
        </w:trPr>
        <w:tc>
          <w:tcPr>
            <w:tcW w:w="2268" w:type="dxa"/>
            <w:vMerge/>
            <w:tcBorders>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keepNext/>
              <w:spacing w:before="60" w:after="60"/>
            </w:pPr>
            <w:r>
              <w:t>Quality of clinical care</w:t>
            </w:r>
          </w:p>
        </w:tc>
        <w:tc>
          <w:tcPr>
            <w:tcW w:w="3828" w:type="dxa"/>
            <w:gridSpan w:val="2"/>
            <w:tcBorders>
              <w:top w:val="single" w:sz="4" w:space="0" w:color="auto"/>
              <w:bottom w:val="single" w:sz="4" w:space="0" w:color="auto"/>
            </w:tcBorders>
          </w:tcPr>
          <w:p>
            <w:pPr>
              <w:pStyle w:val="yTableNAm"/>
              <w:keepNext/>
              <w:spacing w:before="60" w:after="60"/>
            </w:pPr>
            <w:r>
              <w:t>Inadequate assessment</w:t>
            </w:r>
          </w:p>
        </w:tc>
        <w:tc>
          <w:tcPr>
            <w:tcW w:w="991" w:type="dxa"/>
            <w:tcBorders>
              <w:top w:val="single" w:sz="4" w:space="0" w:color="auto"/>
              <w:bottom w:val="single" w:sz="4" w:space="0" w:color="auto"/>
              <w:right w:val="single" w:sz="4" w:space="0" w:color="auto"/>
            </w:tcBorders>
          </w:tcPr>
          <w:p>
            <w:pPr>
              <w:pStyle w:val="yTableNAm"/>
              <w:keepNext/>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treatment/therapy</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Poor coordination of treatment</w:t>
            </w:r>
          </w:p>
        </w:tc>
        <w:tc>
          <w:tcPr>
            <w:tcW w:w="991" w:type="dxa"/>
            <w:tcBorders>
              <w:top w:val="single" w:sz="4" w:space="0" w:color="auto"/>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provide safe environment</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Pain</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Medication</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Complications after surgical procedure</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Complications after non-surgical procedure</w:t>
            </w:r>
          </w:p>
        </w:tc>
        <w:tc>
          <w:tcPr>
            <w:tcW w:w="991" w:type="dxa"/>
            <w:tcBorders>
              <w:bottom w:val="single" w:sz="4" w:space="0" w:color="auto"/>
            </w:tcBorders>
          </w:tcPr>
          <w:p>
            <w:pPr>
              <w:pStyle w:val="yTableNAm"/>
              <w:spacing w:before="60" w:after="60"/>
              <w:rPr>
                <w:i/>
                <w:iCs/>
              </w:rPr>
            </w:pPr>
            <w:r>
              <w:rPr>
                <w:i/>
                <w:iCs/>
              </w:rPr>
              <w:b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infection control</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Patient’s test results not followed up</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Discharge or transfer arrangements</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Refusal to refer for or assist to obtain a second opinion</w:t>
            </w:r>
          </w:p>
        </w:tc>
        <w:tc>
          <w:tcPr>
            <w:tcW w:w="991" w:type="dxa"/>
            <w:tcBorders>
              <w:bottom w:val="single" w:sz="4" w:space="0" w:color="auto"/>
            </w:tcBorders>
          </w:tcPr>
          <w:p>
            <w:pPr>
              <w:pStyle w:val="yTableNAm"/>
              <w:spacing w:before="60" w:after="60"/>
              <w:rPr>
                <w:i/>
                <w:iCs/>
              </w:rPr>
            </w:pPr>
            <w:r>
              <w:rPr>
                <w:i/>
                <w:iCs/>
              </w:rPr>
              <w:br/>
              <w:t>[number]</w:t>
            </w:r>
          </w:p>
        </w:tc>
      </w:tr>
      <w:tr>
        <w:trPr>
          <w:cantSplit/>
          <w:trHeight w:val="3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tcBorders>
          </w:tcPr>
          <w:p>
            <w:pPr>
              <w:pStyle w:val="yTableNAm"/>
              <w:spacing w:before="60" w:after="60"/>
              <w:rPr>
                <w:i/>
                <w:iCs/>
              </w:rPr>
            </w:pPr>
            <w:r>
              <w:rPr>
                <w:i/>
                <w:iCs/>
              </w:rPr>
              <w:t>[number]</w:t>
            </w:r>
          </w:p>
        </w:tc>
      </w:tr>
      <w:tr>
        <w:trPr>
          <w:cantSplit/>
          <w:trHeight w:val="34"/>
        </w:trPr>
        <w:tc>
          <w:tcPr>
            <w:tcW w:w="2268" w:type="dxa"/>
            <w:vMerge w:val="restart"/>
            <w:tcBorders>
              <w:top w:val="single" w:sz="4" w:space="0" w:color="auto"/>
              <w:left w:val="single" w:sz="4" w:space="0" w:color="auto"/>
              <w:bottom w:val="single" w:sz="4" w:space="0" w:color="auto"/>
            </w:tcBorders>
          </w:tcPr>
          <w:p>
            <w:pPr>
              <w:pStyle w:val="yTableNAm"/>
              <w:keepNext/>
              <w:keepLines/>
              <w:spacing w:before="60" w:after="60"/>
            </w:pPr>
            <w:r>
              <w:lastRenderedPageBreak/>
              <w:t>Costs</w:t>
            </w:r>
          </w:p>
        </w:tc>
        <w:tc>
          <w:tcPr>
            <w:tcW w:w="3828" w:type="dxa"/>
            <w:gridSpan w:val="2"/>
            <w:tcBorders>
              <w:top w:val="single" w:sz="4" w:space="0" w:color="auto"/>
              <w:bottom w:val="single" w:sz="4" w:space="0" w:color="auto"/>
            </w:tcBorders>
          </w:tcPr>
          <w:p>
            <w:pPr>
              <w:pStyle w:val="yTableNAm"/>
              <w:keepNext/>
              <w:keepLines/>
              <w:spacing w:before="60" w:after="60"/>
            </w:pPr>
            <w:r>
              <w:t>Inadequate information about costs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Unsatisfactory billing practice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Amount charged</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Over</w:t>
            </w:r>
            <w:r>
              <w:noBreakHyphen/>
              <w:t>servicing</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Private health insurance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 xml:space="preserve">Lost property </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Responsibility for costs and resourcing</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1"/>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keepNext/>
              <w:keepLines/>
              <w:spacing w:before="60" w:after="60"/>
            </w:pPr>
            <w:r>
              <w:t>Rights, respect and dignity</w:t>
            </w:r>
          </w:p>
        </w:tc>
        <w:tc>
          <w:tcPr>
            <w:tcW w:w="3828" w:type="dxa"/>
            <w:gridSpan w:val="2"/>
            <w:tcBorders>
              <w:top w:val="single" w:sz="4" w:space="0" w:color="auto"/>
              <w:bottom w:val="single" w:sz="4" w:space="0" w:color="auto"/>
            </w:tcBorders>
          </w:tcPr>
          <w:p>
            <w:pPr>
              <w:pStyle w:val="yTableNAm"/>
              <w:keepNext/>
              <w:keepLines/>
              <w:spacing w:before="60" w:after="60"/>
            </w:pPr>
            <w:r>
              <w:t>Patient rights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tcBorders>
          </w:tcPr>
          <w:p>
            <w:pPr>
              <w:pStyle w:val="yTableNAm"/>
              <w:keepNext/>
              <w:keepLines/>
              <w:spacing w:before="60" w:after="60"/>
            </w:pPr>
            <w:r>
              <w:t>Inconsiderate service/lack of courtesy</w:t>
            </w:r>
          </w:p>
        </w:tc>
        <w:tc>
          <w:tcPr>
            <w:tcW w:w="991" w:type="dxa"/>
            <w:tcBorders>
              <w:top w:val="single" w:sz="4" w:space="0" w:color="auto"/>
            </w:tcBorders>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Pr>
          <w:p>
            <w:pPr>
              <w:pStyle w:val="yTableNAm"/>
              <w:keepNext/>
              <w:keepLines/>
              <w:spacing w:before="60" w:after="60"/>
            </w:pPr>
            <w:r>
              <w:t>Absence of caring</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Pr>
          <w:p>
            <w:pPr>
              <w:pStyle w:val="yTableNAm"/>
              <w:keepNext/>
              <w:keepLines/>
              <w:spacing w:before="60" w:after="60"/>
            </w:pPr>
            <w:r>
              <w:t>Failure to ensure privacy</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Breach of confidentiality</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Discrimination</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 xml:space="preserve">Failure to comply with the requirements of the </w:t>
            </w:r>
            <w:r>
              <w:rPr>
                <w:i/>
              </w:rPr>
              <w:t>Mental Health Act 2014</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Translating and interpreting service problems</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Certificate or report problems</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Denying or restricting access to personal health records</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rPr>
                <w:b/>
                <w:bCs/>
              </w:rPr>
            </w:pPr>
            <w:r>
              <w:rPr>
                <w:b/>
                <w:bCs/>
              </w:rPr>
              <w:t>Total</w:t>
            </w:r>
          </w:p>
        </w:tc>
        <w:tc>
          <w:tcPr>
            <w:tcW w:w="991" w:type="dxa"/>
          </w:tcPr>
          <w:p>
            <w:pPr>
              <w:pStyle w:val="yTableNAm"/>
              <w:spacing w:before="60" w:after="60"/>
              <w:rPr>
                <w:i/>
                <w:iCs/>
              </w:rPr>
            </w:pPr>
            <w:r>
              <w:rPr>
                <w:i/>
                <w:iCs/>
              </w:rPr>
              <w:t>[number]</w:t>
            </w:r>
          </w:p>
        </w:tc>
      </w:tr>
      <w:tr>
        <w:trPr>
          <w:cantSplit/>
          <w:trHeight w:val="110"/>
        </w:trPr>
        <w:tc>
          <w:tcPr>
            <w:tcW w:w="2268" w:type="dxa"/>
            <w:vMerge w:val="restart"/>
          </w:tcPr>
          <w:p>
            <w:pPr>
              <w:pStyle w:val="yTableNAm"/>
              <w:spacing w:before="60" w:after="60"/>
            </w:pPr>
            <w:r>
              <w:t>Grievances</w:t>
            </w:r>
          </w:p>
        </w:tc>
        <w:tc>
          <w:tcPr>
            <w:tcW w:w="3828" w:type="dxa"/>
            <w:gridSpan w:val="2"/>
          </w:tcPr>
          <w:p>
            <w:pPr>
              <w:pStyle w:val="yTableNAm"/>
              <w:spacing w:before="60" w:after="60"/>
            </w:pPr>
            <w:r>
              <w:t>Response to a complaint</w:t>
            </w:r>
          </w:p>
        </w:tc>
        <w:tc>
          <w:tcPr>
            <w:tcW w:w="991" w:type="dxa"/>
          </w:tcPr>
          <w:p>
            <w:pPr>
              <w:pStyle w:val="yTableNAm"/>
              <w:spacing w:before="60" w:after="60"/>
              <w:rPr>
                <w:i/>
                <w:iCs/>
              </w:rPr>
            </w:pPr>
            <w:r>
              <w:rPr>
                <w:i/>
                <w:iCs/>
              </w:rPr>
              <w:t>[number]</w:t>
            </w:r>
          </w:p>
        </w:tc>
      </w:tr>
      <w:tr>
        <w:trPr>
          <w:cantSplit/>
          <w:trHeight w:val="110"/>
        </w:trPr>
        <w:tc>
          <w:tcPr>
            <w:tcW w:w="2268" w:type="dxa"/>
            <w:vMerge/>
          </w:tcPr>
          <w:p>
            <w:pPr>
              <w:pStyle w:val="yTableNAm"/>
              <w:spacing w:before="60" w:after="60"/>
            </w:pPr>
          </w:p>
        </w:tc>
        <w:tc>
          <w:tcPr>
            <w:tcW w:w="3828" w:type="dxa"/>
            <w:gridSpan w:val="2"/>
          </w:tcPr>
          <w:p>
            <w:pPr>
              <w:pStyle w:val="yTableNAm"/>
              <w:spacing w:before="60" w:after="60"/>
            </w:pPr>
            <w:r>
              <w:t>Reprisal following a complaint</w:t>
            </w:r>
          </w:p>
        </w:tc>
        <w:tc>
          <w:tcPr>
            <w:tcW w:w="991" w:type="dxa"/>
          </w:tcPr>
          <w:p>
            <w:pPr>
              <w:pStyle w:val="yTableNAm"/>
              <w:spacing w:before="60" w:after="60"/>
              <w:rPr>
                <w:i/>
                <w:iCs/>
              </w:rPr>
            </w:pPr>
            <w:r>
              <w:rPr>
                <w:i/>
                <w:iCs/>
              </w:rPr>
              <w:t>[number]</w:t>
            </w:r>
          </w:p>
        </w:tc>
      </w:tr>
      <w:tr>
        <w:trPr>
          <w:cantSplit/>
          <w:trHeight w:val="110"/>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tcBorders>
          </w:tcPr>
          <w:p>
            <w:pPr>
              <w:pStyle w:val="yTableNAm"/>
              <w:spacing w:before="60" w:after="60"/>
              <w:rPr>
                <w:i/>
                <w:iCs/>
              </w:rPr>
            </w:pPr>
            <w:r>
              <w:rPr>
                <w:i/>
                <w:iCs/>
              </w:rPr>
              <w:t>[number]</w:t>
            </w:r>
          </w:p>
        </w:tc>
      </w:tr>
      <w:tr>
        <w:trPr>
          <w:cantSplit/>
          <w:trHeight w:val="40"/>
        </w:trPr>
        <w:tc>
          <w:tcPr>
            <w:tcW w:w="2268" w:type="dxa"/>
            <w:vMerge w:val="restart"/>
            <w:tcBorders>
              <w:top w:val="single" w:sz="4" w:space="0" w:color="auto"/>
              <w:left w:val="single" w:sz="4" w:space="0" w:color="auto"/>
            </w:tcBorders>
          </w:tcPr>
          <w:p>
            <w:pPr>
              <w:pStyle w:val="yTableNAm"/>
              <w:keepNext/>
              <w:keepLines/>
              <w:spacing w:before="60" w:after="60"/>
            </w:pPr>
            <w:r>
              <w:lastRenderedPageBreak/>
              <w:t>Corporate services</w:t>
            </w:r>
          </w:p>
        </w:tc>
        <w:tc>
          <w:tcPr>
            <w:tcW w:w="3828" w:type="dxa"/>
            <w:gridSpan w:val="2"/>
            <w:tcBorders>
              <w:top w:val="single" w:sz="4" w:space="0" w:color="auto"/>
              <w:bottom w:val="single" w:sz="4" w:space="0" w:color="auto"/>
            </w:tcBorders>
          </w:tcPr>
          <w:p>
            <w:pPr>
              <w:pStyle w:val="yTableNAm"/>
              <w:keepNext/>
              <w:keepLines/>
              <w:spacing w:before="60" w:after="60"/>
            </w:pPr>
            <w:r>
              <w:t>Administrative actions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Catering</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Physical surroundings/environment</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Security</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Cleaning (inadequate provision and maintenance of a clean environment)</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Inaccuracy of records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val="restart"/>
            <w:tcBorders>
              <w:left w:val="single" w:sz="4" w:space="0" w:color="auto"/>
            </w:tcBorders>
          </w:tcPr>
          <w:p>
            <w:pPr>
              <w:pStyle w:val="yTableNAm"/>
              <w:keepNext/>
              <w:keepLines/>
              <w:spacing w:before="60" w:after="60"/>
            </w:pPr>
            <w:r>
              <w:t>Misconduct</w:t>
            </w:r>
          </w:p>
        </w:tc>
        <w:tc>
          <w:tcPr>
            <w:tcW w:w="3828" w:type="dxa"/>
            <w:gridSpan w:val="2"/>
            <w:tcBorders>
              <w:top w:val="single" w:sz="4" w:space="0" w:color="auto"/>
              <w:bottom w:val="single" w:sz="4" w:space="0" w:color="auto"/>
            </w:tcBorders>
          </w:tcPr>
          <w:p>
            <w:pPr>
              <w:pStyle w:val="yTableNAm"/>
              <w:keepNext/>
              <w:keepLines/>
              <w:spacing w:before="60" w:after="60"/>
            </w:pPr>
            <w:r>
              <w:t>Fraud/illegal practice of a financial nature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bottom w:val="single" w:sz="4" w:space="0" w:color="auto"/>
            </w:tcBorders>
          </w:tcPr>
          <w:p>
            <w:pPr>
              <w:pStyle w:val="yTableNAm"/>
              <w:keepNext/>
              <w:keepLines/>
              <w:spacing w:before="60" w:after="60"/>
            </w:pPr>
            <w:r>
              <w:t>Illegal practices (e.g. abortion, sterilisation or euthanasia)</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bottom w:val="single" w:sz="4" w:space="0" w:color="auto"/>
            </w:tcBorders>
          </w:tcPr>
          <w:p>
            <w:pPr>
              <w:pStyle w:val="yTableNAm"/>
              <w:keepNext/>
              <w:keepLines/>
              <w:spacing w:before="60" w:after="60"/>
            </w:pPr>
            <w:r>
              <w:t>Physical or mental impairment of health professional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Sexual impropriety (behaviour that is sexually demeaning to a patient/client including comments or gestures)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 xml:space="preserve">Sexual misconduct </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Aggression/assault</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Unprofessional behaviour (e.g. shouting, swearing, inappropriate comments or gestures)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val="restart"/>
            <w:tcBorders>
              <w:left w:val="single" w:sz="4" w:space="0" w:color="auto"/>
            </w:tcBorders>
          </w:tcPr>
          <w:p>
            <w:pPr>
              <w:pStyle w:val="yTableNAm"/>
              <w:spacing w:before="60" w:after="60"/>
            </w:pPr>
            <w:r>
              <w:t>Carers</w:t>
            </w:r>
          </w:p>
        </w:tc>
        <w:tc>
          <w:tcPr>
            <w:tcW w:w="3828" w:type="dxa"/>
            <w:gridSpan w:val="2"/>
            <w:tcBorders>
              <w:top w:val="single" w:sz="4" w:space="0" w:color="auto"/>
              <w:bottom w:val="single" w:sz="4" w:space="0" w:color="auto"/>
            </w:tcBorders>
          </w:tcPr>
          <w:p>
            <w:pPr>
              <w:pStyle w:val="yTableNAm"/>
              <w:spacing w:before="60" w:after="60"/>
            </w:pPr>
            <w:r>
              <w:t>Failure to consider needs of carer</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consult carer</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treat carer with respect and dignity</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address carer’s complaint</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7087" w:type="dxa"/>
            <w:gridSpan w:val="4"/>
            <w:tcBorders>
              <w:left w:val="single" w:sz="4" w:space="0" w:color="auto"/>
              <w:bottom w:val="single" w:sz="4" w:space="0" w:color="auto"/>
              <w:right w:val="single" w:sz="4" w:space="0" w:color="auto"/>
            </w:tcBorders>
          </w:tcPr>
          <w:p>
            <w:pPr>
              <w:pStyle w:val="yTableNAm"/>
              <w:keepNext/>
              <w:keepLines/>
              <w:spacing w:before="60" w:after="60"/>
              <w:rPr>
                <w:b/>
                <w:bCs/>
              </w:rPr>
            </w:pPr>
            <w:r>
              <w:rPr>
                <w:b/>
                <w:bCs/>
              </w:rPr>
              <w:lastRenderedPageBreak/>
              <w:t>Information about resolving complaints</w:t>
            </w:r>
          </w:p>
        </w:tc>
      </w:tr>
      <w:tr>
        <w:trPr>
          <w:cantSplit/>
          <w:trHeight w:val="42"/>
        </w:trPr>
        <w:tc>
          <w:tcPr>
            <w:tcW w:w="2268" w:type="dxa"/>
            <w:vMerge w:val="restart"/>
            <w:tcBorders>
              <w:top w:val="single" w:sz="4" w:space="0" w:color="auto"/>
              <w:left w:val="single" w:sz="4" w:space="0" w:color="auto"/>
              <w:bottom w:val="single" w:sz="4" w:space="0" w:color="auto"/>
            </w:tcBorders>
          </w:tcPr>
          <w:p>
            <w:pPr>
              <w:pStyle w:val="yTableNAm"/>
              <w:spacing w:before="60" w:after="60"/>
            </w:pPr>
            <w:r>
              <w:t>Outcome of complaints</w:t>
            </w:r>
          </w:p>
        </w:tc>
        <w:tc>
          <w:tcPr>
            <w:tcW w:w="3828" w:type="dxa"/>
            <w:gridSpan w:val="2"/>
            <w:tcBorders>
              <w:top w:val="single" w:sz="4" w:space="0" w:color="auto"/>
              <w:bottom w:val="single" w:sz="4" w:space="0" w:color="auto"/>
            </w:tcBorders>
          </w:tcPr>
          <w:p>
            <w:pPr>
              <w:pStyle w:val="yTableNAm"/>
              <w:spacing w:before="60" w:after="60"/>
            </w:pPr>
            <w:r>
              <w:t>Concern registered</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Explanation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Apology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Costs refunded/reduced</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Compensation paid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Services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Change in practice/procedure effected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Change in policy effected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Counselling and/or performance support and development provided to staff member or contractor</w:t>
            </w:r>
          </w:p>
        </w:tc>
        <w:tc>
          <w:tcPr>
            <w:tcW w:w="991" w:type="dxa"/>
            <w:tcBorders>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Complaints withdrawn by complainants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Complaints not yet resolved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52"/>
        </w:trPr>
        <w:tc>
          <w:tcPr>
            <w:tcW w:w="2268" w:type="dxa"/>
            <w:vMerge w:val="restart"/>
            <w:tcBorders>
              <w:top w:val="single" w:sz="4" w:space="0" w:color="auto"/>
              <w:bottom w:val="single" w:sz="4" w:space="0" w:color="auto"/>
            </w:tcBorders>
          </w:tcPr>
          <w:p>
            <w:pPr>
              <w:pStyle w:val="yTableNAm"/>
              <w:keepNext/>
              <w:spacing w:before="60" w:after="60"/>
            </w:pPr>
            <w:r>
              <w:t>Time (days) taken to resolve complaints</w:t>
            </w:r>
          </w:p>
        </w:tc>
        <w:tc>
          <w:tcPr>
            <w:tcW w:w="3828" w:type="dxa"/>
            <w:gridSpan w:val="2"/>
            <w:tcBorders>
              <w:top w:val="single" w:sz="4" w:space="0" w:color="auto"/>
              <w:bottom w:val="single" w:sz="4" w:space="0" w:color="auto"/>
            </w:tcBorders>
          </w:tcPr>
          <w:p>
            <w:pPr>
              <w:pStyle w:val="yTableNAm"/>
              <w:keepNext/>
              <w:spacing w:before="60" w:after="60"/>
            </w:pPr>
            <w:r>
              <w:t>0</w:t>
            </w:r>
            <w:r>
              <w:noBreakHyphen/>
              <w:t>15</w:t>
            </w:r>
          </w:p>
        </w:tc>
        <w:tc>
          <w:tcPr>
            <w:tcW w:w="991" w:type="dxa"/>
            <w:tcBorders>
              <w:top w:val="single" w:sz="4" w:space="0" w:color="auto"/>
              <w:bottom w:val="single" w:sz="4" w:space="0" w:color="auto"/>
            </w:tcBorders>
          </w:tcPr>
          <w:p>
            <w:pPr>
              <w:pStyle w:val="yTableNAm"/>
              <w:keepNext/>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keepNext/>
              <w:spacing w:before="60" w:after="60"/>
            </w:pPr>
          </w:p>
        </w:tc>
        <w:tc>
          <w:tcPr>
            <w:tcW w:w="3828" w:type="dxa"/>
            <w:gridSpan w:val="2"/>
            <w:tcBorders>
              <w:bottom w:val="single" w:sz="4" w:space="0" w:color="auto"/>
            </w:tcBorders>
          </w:tcPr>
          <w:p>
            <w:pPr>
              <w:pStyle w:val="yTableNAm"/>
              <w:keepNext/>
              <w:spacing w:before="60" w:after="60"/>
            </w:pPr>
            <w:r>
              <w:t>16</w:t>
            </w:r>
            <w:r>
              <w:noBreakHyphen/>
              <w:t>30</w:t>
            </w:r>
          </w:p>
        </w:tc>
        <w:tc>
          <w:tcPr>
            <w:tcW w:w="991" w:type="dxa"/>
            <w:tcBorders>
              <w:bottom w:val="single" w:sz="4" w:space="0" w:color="auto"/>
            </w:tcBorders>
          </w:tcPr>
          <w:p>
            <w:pPr>
              <w:pStyle w:val="yTableNAm"/>
              <w:keepNext/>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31</w:t>
            </w:r>
            <w:r>
              <w:noBreakHyphen/>
              <w:t>60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61</w:t>
            </w:r>
            <w:r>
              <w:noBreakHyphen/>
              <w:t>90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91</w:t>
            </w:r>
            <w:r>
              <w:noBreakHyphen/>
              <w:t>120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121</w:t>
            </w:r>
            <w:r>
              <w:noBreakHyphen/>
              <w:t>150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151</w:t>
            </w:r>
            <w:r>
              <w:noBreakHyphen/>
              <w:t>180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181</w:t>
            </w:r>
            <w:r>
              <w:noBreakHyphen/>
              <w:t>210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211+</w:t>
            </w:r>
          </w:p>
        </w:tc>
        <w:tc>
          <w:tcPr>
            <w:tcW w:w="991" w:type="dxa"/>
            <w:tcBorders>
              <w:bottom w:val="single" w:sz="4" w:space="0" w:color="auto"/>
            </w:tcBorders>
          </w:tcPr>
          <w:p>
            <w:pPr>
              <w:pStyle w:val="yTableNAm"/>
              <w:spacing w:before="60" w:after="60"/>
              <w:rPr>
                <w:i/>
                <w:iCs/>
              </w:rPr>
            </w:pPr>
            <w:r>
              <w:rPr>
                <w:i/>
                <w:iCs/>
              </w:rPr>
              <w:t>[number]</w:t>
            </w:r>
          </w:p>
        </w:tc>
      </w:tr>
    </w:tbl>
    <w:p>
      <w:pPr>
        <w:pStyle w:val="yFootnotesection"/>
      </w:pPr>
      <w:r>
        <w:tab/>
        <w:t>[Schedule 2 amended: Gazette 20 May 2011 p. 1839; 29 Dec 2015 p. 5173.]</w:t>
      </w:r>
    </w:p>
    <w:p>
      <w:pPr>
        <w:sectPr>
          <w:headerReference w:type="even" r:id="rId23"/>
          <w:headerReference w:type="default" r:id="rId24"/>
          <w:headerReference w:type="first" r:id="rId25"/>
          <w:endnotePr>
            <w:numFmt w:val="decimal"/>
          </w:endnotePr>
          <w:pgSz w:w="11907" w:h="16840" w:code="9"/>
          <w:pgMar w:top="2376" w:right="2405" w:bottom="3542" w:left="2405" w:header="706" w:footer="3544" w:gutter="0"/>
          <w:cols w:space="720"/>
          <w:noEndnote/>
          <w:docGrid w:linePitch="326"/>
        </w:sectPr>
      </w:pPr>
    </w:p>
    <w:p>
      <w:pPr>
        <w:pStyle w:val="yScheduleHeading"/>
      </w:pPr>
      <w:bookmarkStart w:id="51" w:name="_Toc165302162"/>
      <w:bookmarkStart w:id="52" w:name="_Toc165363069"/>
      <w:bookmarkStart w:id="53" w:name="_Toc165443683"/>
      <w:r>
        <w:rPr>
          <w:rStyle w:val="CharSchNo"/>
        </w:rPr>
        <w:lastRenderedPageBreak/>
        <w:t>Schedule 3</w:t>
      </w:r>
      <w:r>
        <w:t> — </w:t>
      </w:r>
      <w:r>
        <w:rPr>
          <w:rStyle w:val="CharSchText"/>
        </w:rPr>
        <w:t>Code of conduct for certain health care workers</w:t>
      </w:r>
      <w:bookmarkEnd w:id="51"/>
      <w:bookmarkEnd w:id="52"/>
      <w:bookmarkEnd w:id="53"/>
    </w:p>
    <w:p>
      <w:pPr>
        <w:pStyle w:val="yShoulderClause"/>
      </w:pPr>
      <w:r>
        <w:t>[r. 6]</w:t>
      </w:r>
    </w:p>
    <w:p>
      <w:pPr>
        <w:pStyle w:val="yFootnoteheading"/>
      </w:pPr>
      <w:r>
        <w:tab/>
        <w:t>[Heading inserted: SL 2023/115 r. 8.]</w:t>
      </w:r>
    </w:p>
    <w:p>
      <w:pPr>
        <w:pStyle w:val="yHeading5"/>
      </w:pPr>
      <w:bookmarkStart w:id="54" w:name="_Toc165443684"/>
      <w:r>
        <w:rPr>
          <w:rStyle w:val="CharSClsNo"/>
        </w:rPr>
        <w:t>1</w:t>
      </w:r>
      <w:r>
        <w:t>.</w:t>
      </w:r>
      <w:r>
        <w:tab/>
        <w:t>Health care workers to provide services in safe and ethical manner</w:t>
      </w:r>
      <w:bookmarkEnd w:id="54"/>
    </w:p>
    <w:p>
      <w:pPr>
        <w:pStyle w:val="ySubsection"/>
      </w:pPr>
      <w:r>
        <w:tab/>
        <w:t>(1)</w:t>
      </w:r>
      <w:r>
        <w:tab/>
        <w:t>A health care worker must provide health services in a safe and ethical manner.</w:t>
      </w:r>
    </w:p>
    <w:p>
      <w:pPr>
        <w:pStyle w:val="ySubsection"/>
        <w:rPr>
          <w:color w:val="000000"/>
          <w:szCs w:val="22"/>
        </w:rPr>
      </w:pPr>
      <w:r>
        <w:rPr>
          <w:szCs w:val="22"/>
        </w:rPr>
        <w:tab/>
        <w:t>(2)</w:t>
      </w:r>
      <w:r>
        <w:rPr>
          <w:szCs w:val="22"/>
        </w:rPr>
        <w:tab/>
      </w:r>
      <w:r>
        <w:rPr>
          <w:color w:val="000000"/>
          <w:szCs w:val="22"/>
        </w:rPr>
        <w:t xml:space="preserve">Without limiting subclause (1), a health care worker must comply with the following — </w:t>
      </w:r>
    </w:p>
    <w:p>
      <w:pPr>
        <w:pStyle w:val="yIndenta"/>
      </w:pPr>
      <w:r>
        <w:tab/>
        <w:t>(a)</w:t>
      </w:r>
      <w:r>
        <w:tab/>
        <w:t>a health care worker must maintain the necessary competence in their field of practice;</w:t>
      </w:r>
    </w:p>
    <w:p>
      <w:pPr>
        <w:pStyle w:val="yIndenta"/>
      </w:pPr>
      <w:r>
        <w:tab/>
        <w:t>(b)</w:t>
      </w:r>
      <w:r>
        <w:tab/>
        <w:t>a health care worker must not provide health services of a type that is outside their experience or training, or provide services that they are not qualified to provide;</w:t>
      </w:r>
    </w:p>
    <w:p>
      <w:pPr>
        <w:pStyle w:val="yIndenta"/>
      </w:pPr>
      <w:r>
        <w:tab/>
        <w:t>(c)</w:t>
      </w:r>
      <w:r>
        <w:tab/>
        <w:t>a health care worker must only prescribe or recommend treatments or appliances that serve the needs of clients;</w:t>
      </w:r>
    </w:p>
    <w:p>
      <w:pPr>
        <w:pStyle w:val="yIndenta"/>
      </w:pPr>
      <w:r>
        <w:tab/>
        <w:t>(d)</w:t>
      </w:r>
      <w:r>
        <w:tab/>
        <w:t>a health care worker must recognise the limitations of the treatment they can provide and refer clients to other competent providers in appropriate circumstances;</w:t>
      </w:r>
    </w:p>
    <w:p>
      <w:pPr>
        <w:pStyle w:val="yIndenta"/>
      </w:pPr>
      <w:r>
        <w:tab/>
        <w:t>(e)</w:t>
      </w:r>
      <w:r>
        <w:tab/>
        <w:t>a health care worker must recommend to clients that additional opinions and services be sought, if appropriate;</w:t>
      </w:r>
    </w:p>
    <w:p>
      <w:pPr>
        <w:pStyle w:val="yIndenta"/>
      </w:pPr>
      <w:r>
        <w:tab/>
        <w:t>(f)</w:t>
      </w:r>
      <w:r>
        <w:tab/>
        <w:t>a health care worker must assist a client to find other appropriate health services, if required and practicable;</w:t>
      </w:r>
    </w:p>
    <w:p>
      <w:pPr>
        <w:pStyle w:val="yIndenta"/>
      </w:pPr>
      <w:r>
        <w:tab/>
        <w:t>(g)</w:t>
      </w:r>
      <w:r>
        <w:tab/>
        <w:t>a health care worker must encourage clients to inform their treating medical practitioner (if any) of the treatments or care being provided;</w:t>
      </w:r>
    </w:p>
    <w:p>
      <w:pPr>
        <w:pStyle w:val="yIndenta"/>
      </w:pPr>
      <w:r>
        <w:tab/>
        <w:t>(h)</w:t>
      </w:r>
      <w:r>
        <w:tab/>
        <w:t>a health care worker must have a sound understanding of any possible adverse interactions between the medications, therapies and treatments being provided or prescribed and any other medications, therapies or treatments, whether prescribed or not, that the worker is, or should be, aware that a client is taking or receiving, and advise the client of these interactions;</w:t>
      </w:r>
    </w:p>
    <w:p>
      <w:pPr>
        <w:pStyle w:val="yIndenta"/>
      </w:pPr>
      <w:r>
        <w:lastRenderedPageBreak/>
        <w:tab/>
        <w:t>(i)</w:t>
      </w:r>
      <w:r>
        <w:tab/>
        <w:t>a health care worker must provide health services in a manner that is culturally sensitive to the needs of clients.</w:t>
      </w:r>
    </w:p>
    <w:p>
      <w:pPr>
        <w:pStyle w:val="yFootnotesection"/>
      </w:pPr>
      <w:r>
        <w:tab/>
        <w:t>[Clause 1 inserted: SL 2023/115 r. 8.]</w:t>
      </w:r>
    </w:p>
    <w:p>
      <w:pPr>
        <w:pStyle w:val="yHeading5"/>
      </w:pPr>
      <w:bookmarkStart w:id="55" w:name="_Toc165443685"/>
      <w:r>
        <w:rPr>
          <w:rStyle w:val="CharSClsNo"/>
        </w:rPr>
        <w:t>2</w:t>
      </w:r>
      <w:r>
        <w:t>.</w:t>
      </w:r>
      <w:r>
        <w:tab/>
        <w:t>Health care workers to obtain consent</w:t>
      </w:r>
      <w:bookmarkEnd w:id="55"/>
    </w:p>
    <w:p>
      <w:pPr>
        <w:pStyle w:val="ySubsection"/>
      </w:pPr>
      <w:r>
        <w:tab/>
      </w:r>
      <w:r>
        <w:tab/>
        <w:t>Prior to commencing a treatment or other health service, a health care worker must ensure that consent appropriate to that treatment or service has been obtained and complies with the laws applying in this State.</w:t>
      </w:r>
    </w:p>
    <w:p>
      <w:pPr>
        <w:pStyle w:val="yFootnotesection"/>
      </w:pPr>
      <w:r>
        <w:tab/>
        <w:t>[Clause 2 inserted: SL 2023/115 r. 8.]</w:t>
      </w:r>
    </w:p>
    <w:p>
      <w:pPr>
        <w:pStyle w:val="yHeading5"/>
      </w:pPr>
      <w:bookmarkStart w:id="56" w:name="_Toc165443686"/>
      <w:r>
        <w:rPr>
          <w:rStyle w:val="CharSClsNo"/>
        </w:rPr>
        <w:t>3</w:t>
      </w:r>
      <w:r>
        <w:t>.</w:t>
      </w:r>
      <w:r>
        <w:tab/>
        <w:t>Appropriate conduct in relation to treatment advice</w:t>
      </w:r>
      <w:bookmarkEnd w:id="56"/>
    </w:p>
    <w:p>
      <w:pPr>
        <w:pStyle w:val="ySubsection"/>
      </w:pPr>
      <w:r>
        <w:tab/>
        <w:t>(1)</w:t>
      </w:r>
      <w:r>
        <w:tab/>
        <w:t>A health care worker must accept the right of clients to make informed choices in relation to their health care.</w:t>
      </w:r>
    </w:p>
    <w:p>
      <w:pPr>
        <w:pStyle w:val="ySubsection"/>
      </w:pPr>
      <w:r>
        <w:tab/>
        <w:t>(2)</w:t>
      </w:r>
      <w:r>
        <w:tab/>
        <w:t>A health care worker must not attempt to dissuade a client from seeking or continuing medical treatment.</w:t>
      </w:r>
    </w:p>
    <w:p>
      <w:pPr>
        <w:pStyle w:val="ySubsection"/>
      </w:pPr>
      <w:r>
        <w:tab/>
        <w:t>(3)</w:t>
      </w:r>
      <w:r>
        <w:tab/>
        <w:t>A health care worker must communicate and cooperate with colleagues and other providers and agencies in the best interests of clients.</w:t>
      </w:r>
    </w:p>
    <w:p>
      <w:pPr>
        <w:pStyle w:val="yFootnotesection"/>
      </w:pPr>
      <w:r>
        <w:tab/>
        <w:t>[Clause 3 inserted: SL 2023/115 r. 8.]</w:t>
      </w:r>
    </w:p>
    <w:p>
      <w:pPr>
        <w:pStyle w:val="yHeading5"/>
      </w:pPr>
      <w:bookmarkStart w:id="57" w:name="_Toc165443687"/>
      <w:r>
        <w:rPr>
          <w:rStyle w:val="CharSClsNo"/>
        </w:rPr>
        <w:t>4</w:t>
      </w:r>
      <w:r>
        <w:t>.</w:t>
      </w:r>
      <w:r>
        <w:tab/>
        <w:t>Health care workers to report concerns about conduct of other health care workers</w:t>
      </w:r>
      <w:bookmarkEnd w:id="57"/>
    </w:p>
    <w:p>
      <w:pPr>
        <w:pStyle w:val="ySubsection"/>
      </w:pPr>
      <w:r>
        <w:tab/>
      </w:r>
      <w:r>
        <w:tab/>
        <w:t>A health care worker who, in the course of providing health services, forms the reasonable belief that another health care worker has placed or is placing clients at serious risk of harm must refer the matter to the Health and Disability Services Complaints Office.</w:t>
      </w:r>
    </w:p>
    <w:p>
      <w:pPr>
        <w:pStyle w:val="yFootnotesection"/>
      </w:pPr>
      <w:r>
        <w:tab/>
        <w:t>[Clause 4 inserted: SL 2023/115 r. 8.]</w:t>
      </w:r>
    </w:p>
    <w:p>
      <w:pPr>
        <w:pStyle w:val="yHeading5"/>
      </w:pPr>
      <w:bookmarkStart w:id="58" w:name="_Toc165443688"/>
      <w:r>
        <w:rPr>
          <w:rStyle w:val="CharSClsNo"/>
        </w:rPr>
        <w:t>5</w:t>
      </w:r>
      <w:r>
        <w:t>.</w:t>
      </w:r>
      <w:r>
        <w:tab/>
        <w:t>Health care workers to take appropriate action in response to adverse events</w:t>
      </w:r>
      <w:bookmarkEnd w:id="58"/>
    </w:p>
    <w:p>
      <w:pPr>
        <w:pStyle w:val="ySubsection"/>
      </w:pPr>
      <w:r>
        <w:tab/>
        <w:t>(1)</w:t>
      </w:r>
      <w:r>
        <w:tab/>
        <w:t>A health care worker must take appropriate and timely measures to minimise harm to clients when an adverse event occurs in the course of providing health services.</w:t>
      </w:r>
    </w:p>
    <w:p>
      <w:pPr>
        <w:pStyle w:val="ySubsection"/>
        <w:rPr>
          <w:color w:val="000000"/>
          <w:szCs w:val="22"/>
        </w:rPr>
      </w:pPr>
      <w:r>
        <w:rPr>
          <w:szCs w:val="22"/>
        </w:rPr>
        <w:lastRenderedPageBreak/>
        <w:tab/>
        <w:t>(2)</w:t>
      </w:r>
      <w:r>
        <w:rPr>
          <w:szCs w:val="22"/>
        </w:rPr>
        <w:tab/>
      </w:r>
      <w:r>
        <w:rPr>
          <w:color w:val="000000"/>
          <w:szCs w:val="22"/>
        </w:rPr>
        <w:t xml:space="preserve">Without limiting subclause (1), a health care worker must — </w:t>
      </w:r>
    </w:p>
    <w:p>
      <w:pPr>
        <w:pStyle w:val="yIndenta"/>
      </w:pPr>
      <w:r>
        <w:tab/>
        <w:t>(a)</w:t>
      </w:r>
      <w:r>
        <w:tab/>
        <w:t>ensure that appropriate first aid is available to deal with any adverse event; and</w:t>
      </w:r>
    </w:p>
    <w:p>
      <w:pPr>
        <w:pStyle w:val="yIndenta"/>
      </w:pPr>
      <w:r>
        <w:tab/>
        <w:t>(b)</w:t>
      </w:r>
      <w:r>
        <w:tab/>
        <w:t>obtain appropriate emergency assistance in the event of any serious adverse event; and</w:t>
      </w:r>
    </w:p>
    <w:p>
      <w:pPr>
        <w:pStyle w:val="yIndenta"/>
      </w:pPr>
      <w:r>
        <w:tab/>
        <w:t>(c)</w:t>
      </w:r>
      <w:r>
        <w:tab/>
        <w:t>promptly disclose the adverse event to the client and take appropriate remedial steps to reduce the risk of recurrence; and</w:t>
      </w:r>
    </w:p>
    <w:p>
      <w:pPr>
        <w:pStyle w:val="yIndenta"/>
      </w:pPr>
      <w:r>
        <w:tab/>
        <w:t>(d)</w:t>
      </w:r>
      <w:r>
        <w:tab/>
        <w:t>report the adverse event to the relevant authority, if appropriate.</w:t>
      </w:r>
    </w:p>
    <w:p>
      <w:pPr>
        <w:pStyle w:val="yFootnotesection"/>
      </w:pPr>
      <w:r>
        <w:tab/>
        <w:t>[Clause 5 inserted: SL 2023/115 r. 8.]</w:t>
      </w:r>
    </w:p>
    <w:p>
      <w:pPr>
        <w:pStyle w:val="yHeading5"/>
      </w:pPr>
      <w:bookmarkStart w:id="59" w:name="_Toc165443689"/>
      <w:r>
        <w:rPr>
          <w:rStyle w:val="CharSClsNo"/>
        </w:rPr>
        <w:t>6</w:t>
      </w:r>
      <w:r>
        <w:t>.</w:t>
      </w:r>
      <w:r>
        <w:tab/>
        <w:t>Health care workers to adopt standard precautions for infection control</w:t>
      </w:r>
      <w:bookmarkEnd w:id="59"/>
    </w:p>
    <w:p>
      <w:pPr>
        <w:pStyle w:val="ySubsection"/>
      </w:pPr>
      <w:r>
        <w:tab/>
        <w:t>(1)</w:t>
      </w:r>
      <w:r>
        <w:tab/>
        <w:t>A health care worker must adopt standard precautions for the control of infection in the course of providing health services.</w:t>
      </w:r>
    </w:p>
    <w:p>
      <w:pPr>
        <w:pStyle w:val="ySubsection"/>
      </w:pPr>
      <w:r>
        <w:rPr>
          <w:rStyle w:val="DraftersNotes"/>
        </w:rPr>
        <w:tab/>
      </w:r>
      <w:r>
        <w:t>(2)</w:t>
      </w:r>
      <w:r>
        <w:tab/>
        <w:t xml:space="preserve">Without limiting subclause (1), a health care worker who carries out a skin penetration or other invasive procedure must comply with the </w:t>
      </w:r>
      <w:r>
        <w:rPr>
          <w:i/>
        </w:rPr>
        <w:t>Health (Skin Penetration Procedure) Regulations 1998</w:t>
      </w:r>
      <w:r>
        <w:t>.</w:t>
      </w:r>
    </w:p>
    <w:p>
      <w:pPr>
        <w:pStyle w:val="yFootnotesection"/>
      </w:pPr>
      <w:r>
        <w:tab/>
        <w:t>[Clause 6 inserted: SL 2023/115 r. 8.]</w:t>
      </w:r>
    </w:p>
    <w:p>
      <w:pPr>
        <w:pStyle w:val="yHeading5"/>
      </w:pPr>
      <w:bookmarkStart w:id="60" w:name="_Toc165443690"/>
      <w:r>
        <w:rPr>
          <w:rStyle w:val="CharSClsNo"/>
        </w:rPr>
        <w:t>7</w:t>
      </w:r>
      <w:r>
        <w:t>.</w:t>
      </w:r>
      <w:r>
        <w:tab/>
        <w:t>Health care workers diagnosed with infectious medical conditions</w:t>
      </w:r>
      <w:bookmarkEnd w:id="60"/>
    </w:p>
    <w:p>
      <w:pPr>
        <w:pStyle w:val="ySubsection"/>
      </w:pPr>
      <w:r>
        <w:tab/>
        <w:t>(1)</w:t>
      </w:r>
      <w:r>
        <w:tab/>
        <w:t>A health care worker who has been diagnosed with a medical condition that can be passed on to clients must ensure that they practise in a manner that does not put clients at risk.</w:t>
      </w:r>
    </w:p>
    <w:p>
      <w:pPr>
        <w:pStyle w:val="ySubsection"/>
      </w:pPr>
      <w:r>
        <w:tab/>
        <w:t>(2)</w:t>
      </w:r>
      <w:r>
        <w:tab/>
        <w:t>Without limiting subclause (1), a health care worker who has been diagnosed with a medical condition that can be passed on to clients must take and follow advice from a suitably qualified registered health practitioner on the necessary steps to be taken to modify their practice to avoid the possibility of transmitting that condition to clients.</w:t>
      </w:r>
    </w:p>
    <w:p>
      <w:pPr>
        <w:pStyle w:val="yFootnotesection"/>
      </w:pPr>
      <w:r>
        <w:tab/>
        <w:t>[Clause 7 inserted: SL 2023/115 r. 8.]</w:t>
      </w:r>
    </w:p>
    <w:p>
      <w:pPr>
        <w:pStyle w:val="yHeading5"/>
      </w:pPr>
      <w:bookmarkStart w:id="61" w:name="_Toc165443691"/>
      <w:r>
        <w:rPr>
          <w:rStyle w:val="CharSClsNo"/>
        </w:rPr>
        <w:lastRenderedPageBreak/>
        <w:t>8</w:t>
      </w:r>
      <w:r>
        <w:t>.</w:t>
      </w:r>
      <w:r>
        <w:tab/>
        <w:t>Health care workers not to make claims to cure certain serious illnesses</w:t>
      </w:r>
      <w:bookmarkEnd w:id="61"/>
    </w:p>
    <w:p>
      <w:pPr>
        <w:pStyle w:val="ySubsection"/>
      </w:pPr>
      <w:r>
        <w:tab/>
        <w:t>(1)</w:t>
      </w:r>
      <w:r>
        <w:tab/>
        <w:t>A health care worker must not claim or represent that they are qualified, able or willing to cure cancer or terminal or incurable illnesses.</w:t>
      </w:r>
    </w:p>
    <w:p>
      <w:pPr>
        <w:pStyle w:val="ySubsection"/>
      </w:pPr>
      <w:r>
        <w:tab/>
        <w:t>(2)</w:t>
      </w:r>
      <w:r>
        <w:tab/>
        <w:t>A health care worker who claims to be able to treat or alleviate the symptoms of cancer or terminal or incurable illnesses must be able to substantiate the claims.</w:t>
      </w:r>
    </w:p>
    <w:p>
      <w:pPr>
        <w:pStyle w:val="yFootnotesection"/>
      </w:pPr>
      <w:r>
        <w:tab/>
        <w:t>[Clause 8 inserted: SL 2023/115 r. 8.]</w:t>
      </w:r>
    </w:p>
    <w:p>
      <w:pPr>
        <w:pStyle w:val="yHeading5"/>
      </w:pPr>
      <w:bookmarkStart w:id="62" w:name="_Toc165443692"/>
      <w:r>
        <w:rPr>
          <w:rStyle w:val="CharSClsNo"/>
        </w:rPr>
        <w:t>9</w:t>
      </w:r>
      <w:r>
        <w:t>.</w:t>
      </w:r>
      <w:r>
        <w:tab/>
        <w:t>Health care workers not to misinform clients</w:t>
      </w:r>
      <w:bookmarkEnd w:id="62"/>
    </w:p>
    <w:p>
      <w:pPr>
        <w:pStyle w:val="ySubsection"/>
      </w:pPr>
      <w:r>
        <w:tab/>
        <w:t>(1)</w:t>
      </w:r>
      <w:r>
        <w:tab/>
        <w:t>A health care worker must not engage in any form of misinformation or misrepresentation in relation to the products or services they provide or the qualifications, training or professional affiliations they hold.</w:t>
      </w:r>
    </w:p>
    <w:p>
      <w:pPr>
        <w:pStyle w:val="ySubsection"/>
      </w:pPr>
      <w:r>
        <w:tab/>
        <w:t>(2)</w:t>
      </w:r>
      <w:r>
        <w:tab/>
        <w:t xml:space="preserve">Without limiting subclause (1) — </w:t>
      </w:r>
    </w:p>
    <w:p>
      <w:pPr>
        <w:pStyle w:val="yIndenta"/>
      </w:pPr>
      <w:r>
        <w:tab/>
        <w:t>(a)</w:t>
      </w:r>
      <w:r>
        <w:tab/>
        <w:t>a health care worker must not use their possession of a particular qualification to mislead or deceive clients or the public as to their competence in a field of practice or ability to provide treatment; and</w:t>
      </w:r>
    </w:p>
    <w:p>
      <w:pPr>
        <w:pStyle w:val="yIndenta"/>
      </w:pPr>
      <w:r>
        <w:tab/>
        <w:t>(b)</w:t>
      </w:r>
      <w:r>
        <w:tab/>
        <w:t>a health care worker must provide truthful information as to their qualifications, training or professional affiliations; and</w:t>
      </w:r>
    </w:p>
    <w:p>
      <w:pPr>
        <w:pStyle w:val="yIndenta"/>
      </w:pPr>
      <w:r>
        <w:tab/>
        <w:t>(c)</w:t>
      </w:r>
      <w:r>
        <w:tab/>
        <w:t>a health care worker must not make claims either directly to clients or in advertising or promotional materials about the efficacy of treatments or other health services they provide if those claims cannot be substantiated.</w:t>
      </w:r>
    </w:p>
    <w:p>
      <w:pPr>
        <w:pStyle w:val="yFootnotesection"/>
      </w:pPr>
      <w:r>
        <w:tab/>
        <w:t>[Clause 9 inserted: SL 2023/115 r. 8.]</w:t>
      </w:r>
    </w:p>
    <w:p>
      <w:pPr>
        <w:pStyle w:val="yHeading5"/>
      </w:pPr>
      <w:bookmarkStart w:id="63" w:name="_Toc165443693"/>
      <w:r>
        <w:rPr>
          <w:rStyle w:val="CharSClsNo"/>
        </w:rPr>
        <w:t>10</w:t>
      </w:r>
      <w:r>
        <w:t>.</w:t>
      </w:r>
      <w:r>
        <w:tab/>
        <w:t>Health care workers not to practise under influence of alcohol or unlawful substances</w:t>
      </w:r>
      <w:bookmarkEnd w:id="63"/>
    </w:p>
    <w:p>
      <w:pPr>
        <w:pStyle w:val="ySubsection"/>
      </w:pPr>
      <w:r>
        <w:tab/>
        <w:t>(1)</w:t>
      </w:r>
      <w:r>
        <w:tab/>
        <w:t>A health care worker must not provide health services to clients while under the influence of alcohol or unlawful substances.</w:t>
      </w:r>
    </w:p>
    <w:p>
      <w:pPr>
        <w:pStyle w:val="ySubsection"/>
      </w:pPr>
      <w:r>
        <w:tab/>
        <w:t>(2)</w:t>
      </w:r>
      <w:r>
        <w:tab/>
        <w:t xml:space="preserve">A health care worker who is taking prescribed medication must obtain advice from the prescribing health practitioner or dispensing pharmacist on the impact of the medication on their ability to practise </w:t>
      </w:r>
      <w:r>
        <w:lastRenderedPageBreak/>
        <w:t>and must refrain from providing health services to clients in circumstances where their capacity is or may be impaired.</w:t>
      </w:r>
    </w:p>
    <w:p>
      <w:pPr>
        <w:pStyle w:val="yFootnotesection"/>
      </w:pPr>
      <w:r>
        <w:tab/>
        <w:t>[Clause 10 inserted: SL 2023/115 r. 8.]</w:t>
      </w:r>
    </w:p>
    <w:p>
      <w:pPr>
        <w:pStyle w:val="yHeading5"/>
      </w:pPr>
      <w:bookmarkStart w:id="64" w:name="_Toc165443694"/>
      <w:r>
        <w:rPr>
          <w:rStyle w:val="CharSClsNo"/>
        </w:rPr>
        <w:t>11</w:t>
      </w:r>
      <w:r>
        <w:t>.</w:t>
      </w:r>
      <w:r>
        <w:tab/>
        <w:t>Health care workers with certain mental or physical impairments</w:t>
      </w:r>
      <w:bookmarkEnd w:id="64"/>
    </w:p>
    <w:p>
      <w:pPr>
        <w:pStyle w:val="ySubsection"/>
      </w:pPr>
      <w:r>
        <w:tab/>
        <w:t>(1)</w:t>
      </w:r>
      <w:r>
        <w:tab/>
        <w:t>A health care worker must not provide health services to clients while suffering from a mental or physical impairment, disability, condition or disorder (including an addiction to alcohol or a drug, whether or not prescribed) that places or is likely to place clients at risk of harm.</w:t>
      </w:r>
    </w:p>
    <w:p>
      <w:pPr>
        <w:pStyle w:val="ySubsection"/>
      </w:pPr>
      <w:r>
        <w:tab/>
        <w:t>(2)</w:t>
      </w:r>
      <w:r>
        <w:tab/>
        <w:t>Without limiting subclause (1), if a health care worker has a mental or physical impairment, disability, condition or disorder that could place clients at risk, the health care worker must seek advice from a suitably qualified health practitioner to determine whether, and in what ways, they should modify their practice, including stopping practice if necessary.</w:t>
      </w:r>
    </w:p>
    <w:p>
      <w:pPr>
        <w:pStyle w:val="yFootnotesection"/>
      </w:pPr>
      <w:r>
        <w:tab/>
        <w:t>[Clause 11 inserted: SL 2023/115 r. 8.]</w:t>
      </w:r>
    </w:p>
    <w:p>
      <w:pPr>
        <w:pStyle w:val="yHeading5"/>
      </w:pPr>
      <w:bookmarkStart w:id="65" w:name="_Toc165443695"/>
      <w:r>
        <w:rPr>
          <w:rStyle w:val="CharSClsNo"/>
        </w:rPr>
        <w:t>12</w:t>
      </w:r>
      <w:r>
        <w:t>.</w:t>
      </w:r>
      <w:r>
        <w:tab/>
        <w:t>Health care workers not to financially exploit clients</w:t>
      </w:r>
      <w:bookmarkEnd w:id="65"/>
    </w:p>
    <w:p>
      <w:pPr>
        <w:pStyle w:val="ySubsection"/>
      </w:pPr>
      <w:r>
        <w:tab/>
        <w:t>(1)</w:t>
      </w:r>
      <w:r>
        <w:tab/>
        <w:t>A health care worker must not financially exploit clients.</w:t>
      </w:r>
    </w:p>
    <w:p>
      <w:pPr>
        <w:pStyle w:val="ySubsection"/>
      </w:pPr>
      <w:r>
        <w:tab/>
        <w:t>(2)</w:t>
      </w:r>
      <w:r>
        <w:tab/>
        <w:t xml:space="preserve">Without limiting subclause (1) — </w:t>
      </w:r>
    </w:p>
    <w:p>
      <w:pPr>
        <w:pStyle w:val="yIndenta"/>
      </w:pPr>
      <w:r>
        <w:tab/>
        <w:t>(a)</w:t>
      </w:r>
      <w:r>
        <w:tab/>
        <w:t>a health care worker must only provide treatments or other health services to clients that are designed to maintain or improve clients’ health or wellbeing; and</w:t>
      </w:r>
    </w:p>
    <w:p>
      <w:pPr>
        <w:pStyle w:val="yIndenta"/>
      </w:pPr>
      <w:r>
        <w:tab/>
        <w:t>(b)</w:t>
      </w:r>
      <w:r>
        <w:tab/>
        <w:t>a health care worker must not accept or offer financial inducements or gifts as a part of client referral arrangements with other health care workers; and</w:t>
      </w:r>
    </w:p>
    <w:p>
      <w:pPr>
        <w:pStyle w:val="yIndenta"/>
      </w:pPr>
      <w:r>
        <w:tab/>
        <w:t>(c)</w:t>
      </w:r>
      <w:r>
        <w:tab/>
        <w:t>a health care worker must not ask clients to give, lend or bequeath money or gifts that will benefit the health care worker directly or indirectly.</w:t>
      </w:r>
    </w:p>
    <w:p>
      <w:pPr>
        <w:pStyle w:val="yFootnotesection"/>
      </w:pPr>
      <w:r>
        <w:tab/>
        <w:t>[Clause 12 inserted: SL 2023/115 r. 8.]</w:t>
      </w:r>
    </w:p>
    <w:p>
      <w:pPr>
        <w:pStyle w:val="yHeading5"/>
      </w:pPr>
      <w:bookmarkStart w:id="66" w:name="_Toc165443696"/>
      <w:r>
        <w:rPr>
          <w:rStyle w:val="CharSClsNo"/>
        </w:rPr>
        <w:t>13</w:t>
      </w:r>
      <w:r>
        <w:t>.</w:t>
      </w:r>
      <w:r>
        <w:tab/>
        <w:t>Health care workers not to engage in sexual or other misconduct</w:t>
      </w:r>
      <w:bookmarkEnd w:id="66"/>
    </w:p>
    <w:p>
      <w:pPr>
        <w:pStyle w:val="ySubsection"/>
      </w:pPr>
      <w:r>
        <w:tab/>
        <w:t>(1)</w:t>
      </w:r>
      <w:r>
        <w:tab/>
        <w:t>A health care worker must not engage in behaviour of a sexual or close personal nature with a client.</w:t>
      </w:r>
    </w:p>
    <w:p>
      <w:pPr>
        <w:pStyle w:val="ySubsection"/>
      </w:pPr>
      <w:r>
        <w:lastRenderedPageBreak/>
        <w:tab/>
        <w:t>(2)</w:t>
      </w:r>
      <w:r>
        <w:tab/>
        <w:t>A health care worker must not engage in a sexual or inappropriate close personal, physical or emotional relationship with a client.</w:t>
      </w:r>
    </w:p>
    <w:p>
      <w:pPr>
        <w:pStyle w:val="ySubsection"/>
        <w:rPr>
          <w:rStyle w:val="DraftersNotes"/>
          <w:b w:val="0"/>
          <w:i w:val="0"/>
          <w:sz w:val="22"/>
        </w:rPr>
      </w:pPr>
      <w:r>
        <w:tab/>
        <w:t>(3)</w:t>
      </w:r>
      <w:r>
        <w:tab/>
        <w:t>A health care worker must ensure that a reasonable period of time has elapsed since the conclusion of the therapeutic relationship before engaging in a relationship of a kind referred to in subclause (2) with a former client.</w:t>
      </w:r>
    </w:p>
    <w:p>
      <w:pPr>
        <w:pStyle w:val="yFootnotesection"/>
      </w:pPr>
      <w:r>
        <w:tab/>
        <w:t>[Clause 13 inserted: SL 2023/115 r. 8.]</w:t>
      </w:r>
    </w:p>
    <w:p>
      <w:pPr>
        <w:pStyle w:val="yHeading5"/>
      </w:pPr>
      <w:bookmarkStart w:id="67" w:name="_Toc165443697"/>
      <w:r>
        <w:rPr>
          <w:rStyle w:val="CharSClsNo"/>
        </w:rPr>
        <w:t>14</w:t>
      </w:r>
      <w:r>
        <w:t>.</w:t>
      </w:r>
      <w:r>
        <w:tab/>
        <w:t>Health care workers to comply with relevant privacy laws</w:t>
      </w:r>
      <w:bookmarkEnd w:id="67"/>
    </w:p>
    <w:p>
      <w:pPr>
        <w:pStyle w:val="ySubsection"/>
      </w:pPr>
      <w:r>
        <w:tab/>
      </w:r>
      <w:r>
        <w:tab/>
        <w:t xml:space="preserve">A health care worker must comply with the relevant privacy laws that apply to clients’ health information, including the </w:t>
      </w:r>
      <w:r>
        <w:rPr>
          <w:i/>
        </w:rPr>
        <w:t>Privacy Act 1988</w:t>
      </w:r>
      <w:r>
        <w:t xml:space="preserve"> (Commonwealth).</w:t>
      </w:r>
    </w:p>
    <w:p>
      <w:pPr>
        <w:pStyle w:val="yFootnotesection"/>
      </w:pPr>
      <w:r>
        <w:tab/>
        <w:t>[Clause 14 inserted: SL 2023/115 r. 8.]</w:t>
      </w:r>
    </w:p>
    <w:p>
      <w:pPr>
        <w:pStyle w:val="yHeading5"/>
      </w:pPr>
      <w:bookmarkStart w:id="68" w:name="_Toc165443698"/>
      <w:r>
        <w:rPr>
          <w:rStyle w:val="CharSClsNo"/>
        </w:rPr>
        <w:t>15</w:t>
      </w:r>
      <w:r>
        <w:t>.</w:t>
      </w:r>
      <w:r>
        <w:tab/>
        <w:t>Health care workers to keep appropriate records</w:t>
      </w:r>
      <w:bookmarkEnd w:id="68"/>
    </w:p>
    <w:p>
      <w:pPr>
        <w:pStyle w:val="ySubsection"/>
      </w:pPr>
      <w:r>
        <w:tab/>
        <w:t>(1)</w:t>
      </w:r>
      <w:r>
        <w:tab/>
        <w:t>A health care worker must maintain accurate, legible and up</w:t>
      </w:r>
      <w:r>
        <w:noBreakHyphen/>
        <w:t>to</w:t>
      </w:r>
      <w:r>
        <w:noBreakHyphen/>
        <w:t>date clinical records for each client consultation and ensure that these are held securely and not subject to unauthorised access.</w:t>
      </w:r>
    </w:p>
    <w:p>
      <w:pPr>
        <w:pStyle w:val="ySubsection"/>
      </w:pPr>
      <w:r>
        <w:tab/>
        <w:t>(2)</w:t>
      </w:r>
      <w:r>
        <w:tab/>
        <w:t>A health care worker must take necessary steps to facilitate clients’ access to information contained in their health records if requested.</w:t>
      </w:r>
    </w:p>
    <w:p>
      <w:pPr>
        <w:pStyle w:val="ySubsection"/>
      </w:pPr>
      <w:r>
        <w:tab/>
        <w:t>(3)</w:t>
      </w:r>
      <w:r>
        <w:tab/>
        <w:t>A health care worker must facilitate the transfer of a client’s health record in a timely manner when requested to do so by the client or their legal representative.</w:t>
      </w:r>
    </w:p>
    <w:p>
      <w:pPr>
        <w:pStyle w:val="yFootnotesection"/>
      </w:pPr>
      <w:r>
        <w:tab/>
        <w:t>[Clause 15 inserted: SL 2023/115 r. 8.]</w:t>
      </w:r>
    </w:p>
    <w:p>
      <w:pPr>
        <w:pStyle w:val="yHeading5"/>
      </w:pPr>
      <w:bookmarkStart w:id="69" w:name="_Toc165443699"/>
      <w:r>
        <w:rPr>
          <w:rStyle w:val="CharSClsNo"/>
        </w:rPr>
        <w:t>16</w:t>
      </w:r>
      <w:r>
        <w:t>.</w:t>
      </w:r>
      <w:r>
        <w:tab/>
        <w:t>Health care workers to have appropriate insurance</w:t>
      </w:r>
      <w:bookmarkEnd w:id="69"/>
    </w:p>
    <w:p>
      <w:pPr>
        <w:pStyle w:val="ySubsection"/>
      </w:pPr>
      <w:r>
        <w:tab/>
      </w:r>
      <w:r>
        <w:tab/>
        <w:t>A health care worker must ensure that appropriate indemnity insurance arrangements are in place in relation to their practice.</w:t>
      </w:r>
    </w:p>
    <w:p>
      <w:pPr>
        <w:pStyle w:val="yFootnotesection"/>
      </w:pPr>
      <w:r>
        <w:tab/>
        <w:t>[Clause 16 inserted: SL 2023/115 r. 8.]</w:t>
      </w:r>
    </w:p>
    <w:p>
      <w:pPr>
        <w:pStyle w:val="yHeading5"/>
      </w:pPr>
      <w:bookmarkStart w:id="70" w:name="_Toc165443700"/>
      <w:r>
        <w:rPr>
          <w:rStyle w:val="CharSClsNo"/>
        </w:rPr>
        <w:lastRenderedPageBreak/>
        <w:t>17</w:t>
      </w:r>
      <w:r>
        <w:t>.</w:t>
      </w:r>
      <w:r>
        <w:tab/>
        <w:t>Health care workers to display code and other information</w:t>
      </w:r>
      <w:bookmarkEnd w:id="70"/>
    </w:p>
    <w:p>
      <w:pPr>
        <w:pStyle w:val="ySubsection"/>
        <w:keepNext/>
      </w:pPr>
      <w:r>
        <w:tab/>
        <w:t>(1)</w:t>
      </w:r>
      <w:r>
        <w:tab/>
        <w:t xml:space="preserve">A health care worker must display or make available a copy of each of the following documents at all premises where the health care worker carries on their practice — </w:t>
      </w:r>
    </w:p>
    <w:p>
      <w:pPr>
        <w:pStyle w:val="yIndenta"/>
      </w:pPr>
      <w:r>
        <w:tab/>
        <w:t>(a)</w:t>
      </w:r>
      <w:r>
        <w:tab/>
        <w:t>a copy of this code of conduct;</w:t>
      </w:r>
    </w:p>
    <w:p>
      <w:pPr>
        <w:pStyle w:val="yIndenta"/>
      </w:pPr>
      <w:r>
        <w:tab/>
        <w:t>(b)</w:t>
      </w:r>
      <w:r>
        <w:tab/>
        <w:t>a document that gives information about the way in which clients may make a complaint to the Health and Disability Services Complaints Office.</w:t>
      </w:r>
    </w:p>
    <w:p>
      <w:pPr>
        <w:pStyle w:val="ySubsection"/>
      </w:pPr>
      <w:r>
        <w:tab/>
        <w:t>(2)</w:t>
      </w:r>
      <w:r>
        <w:tab/>
        <w:t>Copies of the documents referred to in subclause (1) must be displayed or made available in a manner that makes them easily visible or accessible to clients.</w:t>
      </w:r>
    </w:p>
    <w:p>
      <w:pPr>
        <w:pStyle w:val="ySubsection"/>
      </w:pPr>
      <w:r>
        <w:tab/>
        <w:t>(3)</w:t>
      </w:r>
      <w:r>
        <w:tab/>
        <w:t xml:space="preserve">This clause does not apply in relation to any of the following premises — </w:t>
      </w:r>
    </w:p>
    <w:p>
      <w:pPr>
        <w:pStyle w:val="yIndenta"/>
      </w:pPr>
      <w:r>
        <w:tab/>
        <w:t>(a)</w:t>
      </w:r>
      <w:r>
        <w:tab/>
        <w:t xml:space="preserve">premises of a health service provider as defined in the </w:t>
      </w:r>
      <w:r>
        <w:rPr>
          <w:i/>
        </w:rPr>
        <w:t>Health Services Act 2016</w:t>
      </w:r>
      <w:r>
        <w:t xml:space="preserve"> section 6;</w:t>
      </w:r>
    </w:p>
    <w:p>
      <w:pPr>
        <w:pStyle w:val="yIndenta"/>
      </w:pPr>
      <w:r>
        <w:tab/>
        <w:t>(b)</w:t>
      </w:r>
      <w:r>
        <w:tab/>
        <w:t xml:space="preserve">a private hospital, other than a nursing home, as those terms are defined in the </w:t>
      </w:r>
      <w:r>
        <w:rPr>
          <w:i/>
        </w:rPr>
        <w:t>Private Hospitals and Health Services Act 1927</w:t>
      </w:r>
      <w:r>
        <w:t xml:space="preserve"> section 2(1);</w:t>
      </w:r>
    </w:p>
    <w:p>
      <w:pPr>
        <w:pStyle w:val="yIndenta"/>
      </w:pPr>
      <w:r>
        <w:tab/>
        <w:t>(c)</w:t>
      </w:r>
      <w:r>
        <w:tab/>
        <w:t>premises of St John Ambulance Western Australia Ltd (ABN 55 028 468 715);</w:t>
      </w:r>
    </w:p>
    <w:p>
      <w:pPr>
        <w:pStyle w:val="yIndenta"/>
      </w:pPr>
      <w:r>
        <w:tab/>
        <w:t>(d)</w:t>
      </w:r>
      <w:r>
        <w:tab/>
        <w:t xml:space="preserve">premises of an approved provider as defined in the </w:t>
      </w:r>
      <w:r>
        <w:rPr>
          <w:i/>
        </w:rPr>
        <w:t>Aged Care Act 1997</w:t>
      </w:r>
      <w:r>
        <w:t xml:space="preserve"> (Commonwealth) Schedule 1 clause 1.</w:t>
      </w:r>
    </w:p>
    <w:p>
      <w:pPr>
        <w:pStyle w:val="yFootnotesection"/>
      </w:pPr>
      <w:r>
        <w:tab/>
        <w:t>[Clause 17 inserted: SL 2023/115 r. 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544" w:gutter="0"/>
          <w:cols w:space="720"/>
          <w:noEndnote/>
          <w:docGrid w:linePitch="326"/>
        </w:sectPr>
      </w:pPr>
    </w:p>
    <w:p>
      <w:pPr>
        <w:pStyle w:val="nHeading2"/>
      </w:pPr>
      <w:bookmarkStart w:id="72" w:name="_Toc165302180"/>
      <w:bookmarkStart w:id="73" w:name="_Toc165363087"/>
      <w:bookmarkStart w:id="74" w:name="_Toc165443701"/>
      <w:r>
        <w:lastRenderedPageBreak/>
        <w:t>Notes</w:t>
      </w:r>
      <w:bookmarkEnd w:id="72"/>
      <w:bookmarkEnd w:id="73"/>
      <w:bookmarkEnd w:id="74"/>
    </w:p>
    <w:p>
      <w:pPr>
        <w:pStyle w:val="nStatement"/>
      </w:pPr>
      <w:r>
        <w:t xml:space="preserve">This is a compilation of the </w:t>
      </w:r>
      <w:r>
        <w:rPr>
          <w:i/>
          <w:noProof/>
        </w:rPr>
        <w:t>Health and Disability Services (Complaints) Regulations 2010</w:t>
      </w:r>
      <w:r>
        <w:t xml:space="preserve"> and includes amendments made by other written laws. For provisions that have come into operation, and for information about any reprints, see the compilation table. </w:t>
      </w:r>
    </w:p>
    <w:p>
      <w:pPr>
        <w:pStyle w:val="nHeading3"/>
      </w:pPr>
      <w:bookmarkStart w:id="75" w:name="_Toc165443702"/>
      <w:r>
        <w:t>Compilation table</w:t>
      </w:r>
      <w:bookmarkEnd w:id="7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Health Services (Conciliation and Review) Regulations 2010</w:t>
            </w:r>
            <w:r>
              <w:rPr>
                <w:vertAlign w:val="superscript"/>
              </w:rPr>
              <w:t> 1</w:t>
            </w:r>
          </w:p>
        </w:tc>
        <w:tc>
          <w:tcPr>
            <w:tcW w:w="1276" w:type="dxa"/>
            <w:tcBorders>
              <w:top w:val="single" w:sz="8" w:space="0" w:color="auto"/>
              <w:bottom w:val="nil"/>
            </w:tcBorders>
          </w:tcPr>
          <w:p>
            <w:pPr>
              <w:pStyle w:val="nTable"/>
              <w:spacing w:after="40"/>
            </w:pPr>
            <w:r>
              <w:t>21 May 2010 p. 2159-73</w:t>
            </w:r>
          </w:p>
        </w:tc>
        <w:tc>
          <w:tcPr>
            <w:tcW w:w="2693" w:type="dxa"/>
            <w:tcBorders>
              <w:top w:val="single" w:sz="8" w:space="0" w:color="auto"/>
              <w:bottom w:val="nil"/>
            </w:tcBorders>
          </w:tcPr>
          <w:p>
            <w:pPr>
              <w:pStyle w:val="nTable"/>
              <w:spacing w:after="40"/>
            </w:pPr>
            <w:r>
              <w:t>r. 1 and 2: 21 May 2010 (see r. 2(a));</w:t>
            </w:r>
            <w:r>
              <w:br/>
              <w:t>Regulations other than r. 1 and 2: 22 May 2010 (see r. 2(b))</w:t>
            </w:r>
          </w:p>
        </w:tc>
      </w:tr>
      <w:tr>
        <w:tc>
          <w:tcPr>
            <w:tcW w:w="3118" w:type="dxa"/>
            <w:tcBorders>
              <w:top w:val="nil"/>
              <w:bottom w:val="nil"/>
            </w:tcBorders>
            <w:shd w:val="clear" w:color="auto" w:fill="auto"/>
          </w:tcPr>
          <w:p>
            <w:pPr>
              <w:pStyle w:val="nTable"/>
              <w:spacing w:after="40"/>
              <w:rPr>
                <w:i/>
              </w:rPr>
            </w:pPr>
            <w:r>
              <w:rPr>
                <w:i/>
              </w:rPr>
              <w:t>Health Services (Conciliation and Review) Amendment Regulations 2011</w:t>
            </w:r>
          </w:p>
        </w:tc>
        <w:tc>
          <w:tcPr>
            <w:tcW w:w="1276" w:type="dxa"/>
            <w:tcBorders>
              <w:top w:val="nil"/>
              <w:bottom w:val="nil"/>
            </w:tcBorders>
            <w:shd w:val="clear" w:color="auto" w:fill="auto"/>
          </w:tcPr>
          <w:p>
            <w:pPr>
              <w:pStyle w:val="nTable"/>
              <w:spacing w:after="40"/>
            </w:pPr>
            <w:r>
              <w:t>20 May 2011 p. 1837-9</w:t>
            </w:r>
          </w:p>
        </w:tc>
        <w:tc>
          <w:tcPr>
            <w:tcW w:w="2693" w:type="dxa"/>
            <w:tcBorders>
              <w:top w:val="nil"/>
              <w:bottom w:val="nil"/>
            </w:tcBorders>
            <w:shd w:val="clear" w:color="auto" w:fill="auto"/>
          </w:tcPr>
          <w:p>
            <w:pPr>
              <w:pStyle w:val="nTable"/>
              <w:spacing w:after="40"/>
            </w:pPr>
            <w:r>
              <w:t>r. 1 and 2: 20 May 2011 (see r. 2(a));</w:t>
            </w:r>
            <w:r>
              <w:br/>
              <w:t>Regulations other than r. 1 and 2: 21 May 2011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iCs/>
              </w:rPr>
              <w:t>Health and Disability Services (Complaints) Regulations 2010</w:t>
            </w:r>
            <w:r>
              <w:rPr>
                <w:b/>
              </w:rPr>
              <w:t xml:space="preserve"> as at 12 Aug 2011</w:t>
            </w:r>
            <w: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Health and Disability Services (Complaints) Amendment Regulations 2015</w:t>
            </w:r>
          </w:p>
        </w:tc>
        <w:tc>
          <w:tcPr>
            <w:tcW w:w="1276" w:type="dxa"/>
            <w:tcBorders>
              <w:top w:val="nil"/>
              <w:bottom w:val="nil"/>
            </w:tcBorders>
            <w:shd w:val="clear" w:color="auto" w:fill="auto"/>
          </w:tcPr>
          <w:p>
            <w:pPr>
              <w:pStyle w:val="nTable"/>
              <w:spacing w:after="40"/>
            </w:pPr>
            <w:r>
              <w:t>29 Dec 2015 p. 5172</w:t>
            </w:r>
            <w:r>
              <w:noBreakHyphen/>
              <w:t>3</w:t>
            </w:r>
          </w:p>
        </w:tc>
        <w:tc>
          <w:tcPr>
            <w:tcW w:w="2693" w:type="dxa"/>
            <w:tcBorders>
              <w:top w:val="nil"/>
              <w:bottom w:val="nil"/>
            </w:tcBorders>
            <w:shd w:val="clear" w:color="auto" w:fill="auto"/>
          </w:tcPr>
          <w:p>
            <w:pPr>
              <w:pStyle w:val="nTable"/>
              <w:spacing w:after="40"/>
            </w:pPr>
            <w:r>
              <w:t>r. 1 and 2: 29 Dec 2015 (see r. 2(a));</w:t>
            </w:r>
            <w:r>
              <w:br/>
              <w:t>Regulations other than r. 1 and 2: 30 Dec 2015 (see r. 2(b))</w:t>
            </w:r>
          </w:p>
        </w:tc>
      </w:tr>
      <w:tr>
        <w:tc>
          <w:tcPr>
            <w:tcW w:w="3118" w:type="dxa"/>
            <w:tcBorders>
              <w:top w:val="nil"/>
              <w:bottom w:val="nil"/>
            </w:tcBorders>
            <w:shd w:val="clear" w:color="auto" w:fill="auto"/>
          </w:tcPr>
          <w:p>
            <w:pPr>
              <w:pStyle w:val="nTable"/>
              <w:spacing w:after="40"/>
              <w:rPr>
                <w:i/>
              </w:rPr>
            </w:pPr>
            <w:r>
              <w:rPr>
                <w:i/>
              </w:rPr>
              <w:t>Health Services (Consequential Amendments) Regulations 2016</w:t>
            </w:r>
            <w:r>
              <w:t xml:space="preserve"> Pt. 6</w:t>
            </w:r>
          </w:p>
        </w:tc>
        <w:tc>
          <w:tcPr>
            <w:tcW w:w="1276" w:type="dxa"/>
            <w:tcBorders>
              <w:top w:val="nil"/>
              <w:bottom w:val="nil"/>
            </w:tcBorders>
            <w:shd w:val="clear" w:color="auto" w:fill="auto"/>
          </w:tcPr>
          <w:p>
            <w:pPr>
              <w:pStyle w:val="nTable"/>
              <w:spacing w:after="40"/>
            </w:pPr>
            <w:r>
              <w:t>24 Jun 2016 p. 2311</w:t>
            </w:r>
            <w:r>
              <w:noBreakHyphen/>
              <w:t>15</w:t>
            </w:r>
          </w:p>
        </w:tc>
        <w:tc>
          <w:tcPr>
            <w:tcW w:w="2693" w:type="dxa"/>
            <w:tcBorders>
              <w:top w:val="nil"/>
              <w:bottom w:val="nil"/>
            </w:tcBorders>
            <w:shd w:val="clear" w:color="auto" w:fill="auto"/>
          </w:tcPr>
          <w:p>
            <w:pPr>
              <w:pStyle w:val="nTable"/>
              <w:spacing w:after="40"/>
            </w:pPr>
            <w:r>
              <w:t xml:space="preserve">1 Jul 2016 (see r. 2 and </w:t>
            </w:r>
            <w:r>
              <w:rPr>
                <w:i/>
              </w:rPr>
              <w:t>Gazette</w:t>
            </w:r>
            <w:r>
              <w:t xml:space="preserve"> 24 Jun 2016 p. 2291)</w:t>
            </w:r>
          </w:p>
        </w:tc>
      </w:tr>
      <w:tr>
        <w:tc>
          <w:tcPr>
            <w:tcW w:w="3118" w:type="dxa"/>
            <w:tcBorders>
              <w:top w:val="nil"/>
              <w:bottom w:val="nil"/>
            </w:tcBorders>
            <w:shd w:val="clear" w:color="auto" w:fill="auto"/>
          </w:tcPr>
          <w:p>
            <w:pPr>
              <w:pStyle w:val="nTable"/>
              <w:spacing w:after="40"/>
              <w:rPr>
                <w:i/>
              </w:rPr>
            </w:pPr>
            <w:r>
              <w:rPr>
                <w:i/>
              </w:rPr>
              <w:t>Health and Disability Services (Complaints) Amendment Regulations 2023</w:t>
            </w:r>
          </w:p>
        </w:tc>
        <w:tc>
          <w:tcPr>
            <w:tcW w:w="1276" w:type="dxa"/>
            <w:tcBorders>
              <w:top w:val="nil"/>
              <w:bottom w:val="nil"/>
            </w:tcBorders>
            <w:shd w:val="clear" w:color="auto" w:fill="auto"/>
          </w:tcPr>
          <w:p>
            <w:pPr>
              <w:pStyle w:val="nTable"/>
              <w:spacing w:after="40"/>
            </w:pPr>
            <w:r>
              <w:t>SL 2023/115 26 Jul 2023</w:t>
            </w:r>
          </w:p>
        </w:tc>
        <w:tc>
          <w:tcPr>
            <w:tcW w:w="2693" w:type="dxa"/>
            <w:tcBorders>
              <w:top w:val="nil"/>
              <w:bottom w:val="nil"/>
            </w:tcBorders>
            <w:shd w:val="clear" w:color="auto" w:fill="auto"/>
          </w:tcPr>
          <w:p>
            <w:pPr>
              <w:pStyle w:val="nTable"/>
              <w:spacing w:after="40"/>
            </w:pPr>
            <w:r>
              <w:t>r. 1 and 2: 26 Jul 2023 (see r. 2(a));</w:t>
            </w:r>
            <w:r>
              <w:br/>
              <w:t>Regulations other than r. 1 and 2: 27 Jul 2023 (see r. 2(b))</w:t>
            </w:r>
          </w:p>
        </w:tc>
      </w:tr>
      <w:tr>
        <w:tc>
          <w:tcPr>
            <w:tcW w:w="3118" w:type="dxa"/>
            <w:tcBorders>
              <w:top w:val="nil"/>
              <w:bottom w:val="nil"/>
            </w:tcBorders>
            <w:shd w:val="clear" w:color="auto" w:fill="auto"/>
          </w:tcPr>
          <w:p>
            <w:pPr>
              <w:pStyle w:val="nTable"/>
              <w:spacing w:after="40"/>
              <w:rPr>
                <w:i/>
              </w:rPr>
            </w:pPr>
            <w:r>
              <w:rPr>
                <w:i/>
              </w:rPr>
              <w:t>Health Regulations Amendment (Abortion Legislation Reform) Regulations 2024</w:t>
            </w:r>
            <w:r>
              <w:rPr>
                <w:iCs/>
                <w:noProof/>
              </w:rPr>
              <w:t xml:space="preserve"> Pt. 2</w:t>
            </w:r>
          </w:p>
        </w:tc>
        <w:tc>
          <w:tcPr>
            <w:tcW w:w="1276" w:type="dxa"/>
            <w:tcBorders>
              <w:top w:val="nil"/>
              <w:bottom w:val="nil"/>
            </w:tcBorders>
            <w:shd w:val="clear" w:color="auto" w:fill="auto"/>
          </w:tcPr>
          <w:p>
            <w:pPr>
              <w:pStyle w:val="nTable"/>
              <w:spacing w:after="40"/>
            </w:pPr>
            <w:r>
              <w:t>SL 2024/20 21 Feb 2024</w:t>
            </w:r>
          </w:p>
        </w:tc>
        <w:tc>
          <w:tcPr>
            <w:tcW w:w="2693" w:type="dxa"/>
            <w:tcBorders>
              <w:top w:val="nil"/>
              <w:bottom w:val="nil"/>
            </w:tcBorders>
            <w:shd w:val="clear" w:color="auto" w:fill="auto"/>
          </w:tcPr>
          <w:p>
            <w:pPr>
              <w:pStyle w:val="nTable"/>
              <w:spacing w:after="40"/>
            </w:pPr>
            <w:r>
              <w:t>27 Mar 2024 (see r. 2(b))</w:t>
            </w:r>
          </w:p>
        </w:tc>
      </w:tr>
      <w:tr>
        <w:tc>
          <w:tcPr>
            <w:tcW w:w="3118" w:type="dxa"/>
            <w:tcBorders>
              <w:top w:val="nil"/>
              <w:bottom w:val="single" w:sz="4" w:space="0" w:color="auto"/>
            </w:tcBorders>
            <w:shd w:val="clear" w:color="auto" w:fill="auto"/>
          </w:tcPr>
          <w:p>
            <w:pPr>
              <w:pStyle w:val="nTable"/>
              <w:spacing w:after="40"/>
              <w:rPr>
                <w:i/>
              </w:rPr>
            </w:pPr>
            <w:r>
              <w:rPr>
                <w:i/>
              </w:rPr>
              <w:t xml:space="preserve">Health and Disability Services (Complaints) Amendment Regulations 2024 </w:t>
            </w:r>
          </w:p>
        </w:tc>
        <w:tc>
          <w:tcPr>
            <w:tcW w:w="1276" w:type="dxa"/>
            <w:tcBorders>
              <w:top w:val="nil"/>
              <w:bottom w:val="single" w:sz="4" w:space="0" w:color="auto"/>
            </w:tcBorders>
            <w:shd w:val="clear" w:color="auto" w:fill="auto"/>
          </w:tcPr>
          <w:p>
            <w:pPr>
              <w:pStyle w:val="nTable"/>
              <w:spacing w:after="40"/>
            </w:pPr>
            <w:r>
              <w:t>SL 2024/54 1 May 2024</w:t>
            </w:r>
          </w:p>
        </w:tc>
        <w:tc>
          <w:tcPr>
            <w:tcW w:w="2693" w:type="dxa"/>
            <w:tcBorders>
              <w:top w:val="nil"/>
              <w:bottom w:val="single" w:sz="4" w:space="0" w:color="auto"/>
            </w:tcBorders>
            <w:shd w:val="clear" w:color="auto" w:fill="auto"/>
          </w:tcPr>
          <w:p>
            <w:pPr>
              <w:pStyle w:val="nTable"/>
              <w:spacing w:after="40"/>
            </w:pPr>
            <w:r>
              <w:t>r. 1 and 2: 1 May 2024 (see r. 2(a));</w:t>
            </w:r>
            <w:r>
              <w:br/>
              <w:t>Regulations other than r. 1 and 2: 2 May 2024 (see r. 2(b))</w:t>
            </w:r>
          </w:p>
        </w:tc>
      </w:tr>
    </w:tbl>
    <w:p>
      <w:pPr>
        <w:pStyle w:val="nHeading3"/>
      </w:pPr>
      <w:bookmarkStart w:id="76" w:name="_Toc165443703"/>
      <w:r>
        <w:t>Other notes</w:t>
      </w:r>
      <w:bookmarkEnd w:id="76"/>
    </w:p>
    <w:p>
      <w:pPr>
        <w:pStyle w:val="nNote"/>
      </w:pPr>
      <w:r>
        <w:rPr>
          <w:vertAlign w:val="superscript"/>
        </w:rPr>
        <w:t>1</w:t>
      </w:r>
      <w:r>
        <w:tab/>
        <w:t xml:space="preserve">Now known as the </w:t>
      </w:r>
      <w:r>
        <w:rPr>
          <w:i/>
        </w:rPr>
        <w:t>Health and Disability Services (Complaints) Regulations 2010</w:t>
      </w:r>
      <w:r>
        <w:t>; citation changed (see note under r. 1).</w:t>
      </w:r>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78" w:name="_Toc165302183"/>
      <w:bookmarkStart w:id="79" w:name="_Toc165363090"/>
      <w:bookmarkStart w:id="80" w:name="_Toc165443704"/>
      <w:r>
        <w:rPr>
          <w:sz w:val="28"/>
        </w:rPr>
        <w:lastRenderedPageBreak/>
        <w:t>Defined terms</w:t>
      </w:r>
      <w:bookmarkEnd w:id="78"/>
      <w:bookmarkEnd w:id="79"/>
      <w:bookmarkEnd w:id="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 Consumer Law</w:t>
      </w:r>
      <w:r>
        <w:tab/>
        <w:t>2A(2)</w:t>
      </w:r>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D1B773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8091EC0" w14:textId="4FAC9A73" w:rsidR="0023455A" w:rsidRDefault="006869F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70358">
                        <w:rPr>
                          <w:sz w:val="16"/>
                        </w:rPr>
                        <w:t>2024</w:t>
                      </w:r>
                      <w:r>
                        <w:rPr>
                          <w:sz w:val="16"/>
                        </w:rPr>
                        <w:fldChar w:fldCharType="end"/>
                      </w:r>
                      <w:r>
                        <w:rPr>
                          <w:sz w:val="16"/>
                        </w:rPr>
                        <w:t>.</w:t>
                      </w:r>
                    </w:p>
                    <w:p w14:paraId="40ED9DDE" w14:textId="77777777" w:rsidR="0023455A" w:rsidRDefault="006869F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6CE199F" w14:textId="22257A20" w:rsidR="0023455A" w:rsidRDefault="006869F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70358">
                        <w:rPr>
                          <w:sz w:val="16"/>
                        </w:rPr>
                        <w:t>2024</w:t>
                      </w:r>
                      <w:r>
                        <w:rPr>
                          <w:sz w:val="16"/>
                        </w:rPr>
                        <w:fldChar w:fldCharType="end"/>
                      </w:r>
                      <w:r>
                        <w:rPr>
                          <w:sz w:val="16"/>
                        </w:rPr>
                        <w:t>.</w:t>
                      </w:r>
                    </w:p>
                    <w:p w14:paraId="5BB9F002" w14:textId="77777777" w:rsidR="0023455A" w:rsidRDefault="006869F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cl.</w:t>
          </w:r>
          <w:r>
            <w:t> </w:t>
          </w:r>
          <w:r>
            <w:rPr>
              <w:b/>
            </w:rPr>
            <w:fldChar w:fldCharType="begin"/>
          </w:r>
          <w:r>
            <w:rPr>
              <w:b/>
            </w:rPr>
            <w:instrText xml:space="preserve"> STYLEREF  CharSClsNo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cl.</w:t>
          </w:r>
          <w:r>
            <w:t>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71" w:name="Schedule"/>
    <w:bookmarkEnd w:id="7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7" w:name="Compilation"/>
    <w:bookmarkEnd w:id="7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81" w:name="DefinedTerms"/>
    <w:bookmarkEnd w:id="81"/>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2" w:name="Coversheet"/>
    <w:bookmarkEnd w:id="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29165358"/>
    <w:docVar w:name="WAFER_20150515104149" w:val="ResetPageSize,UpdateArrangement,UpdateNTable"/>
    <w:docVar w:name="WAFER_20150515104149_GUID" w:val="4a46b951-3450-4ab0-8e5a-87a104da62b6"/>
    <w:docVar w:name="WAFER_20151105150241" w:val="UpdateStyles,UsedStyles"/>
    <w:docVar w:name="WAFER_20151105150241_GUID" w:val="fd6cf42f-fb86-4796-940b-f52c1cb9cd22"/>
    <w:docVar w:name="WAFER_20151201100138" w:val="RemoveTrackChanges"/>
    <w:docVar w:name="WAFER_20151201100138_GUID" w:val="a2d9779a-868c-4f9e-b808-3af79575e165"/>
    <w:docVar w:name="WAFER_20230721162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721162012_GUID" w:val="f2953164-4b08-432a-9bb3-8d031e8c858f"/>
    <w:docVar w:name="WAFER_2023072116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1162024_GUID" w:val="2c1a06f3-d6b1-4463-9206-b98fbc297073"/>
    <w:docVar w:name="WAFER_202312281349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4910_GUID" w:val="dd30b66c-7ae4-45a4-817e-ab52374b0b6a"/>
    <w:docVar w:name="WAFER_202402151605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5160508_GUID" w:val="b1ad4a93-f1c3-45f6-900f-61bdc57667ad"/>
    <w:docVar w:name="WAFER_2024022115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52900_GUID" w:val="05bda935-c5e6-400d-bc4f-b79749be990c"/>
    <w:docVar w:name="WAFER_20240429165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9165358_GUID" w:val="d7a9a999-d427-49b5-a5b4-6cf3ae06a6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2937BB5D-8B74-448B-AF7B-E16E70F1C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oter" Target="footer9.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5758</Words>
  <Characters>30634</Characters>
  <Application>Microsoft Office Word</Application>
  <DocSecurity>0</DocSecurity>
  <Lines>1612</Lines>
  <Paragraphs>1254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Regulations 2010 - 01-g0-00</dc:title>
  <dc:subject/>
  <dc:creator/>
  <cp:keywords/>
  <dc:description/>
  <cp:lastModifiedBy>Master Repository Process</cp:lastModifiedBy>
  <cp:revision>4</cp:revision>
  <cp:lastPrinted>2011-08-12T03:19:00Z</cp:lastPrinted>
  <dcterms:created xsi:type="dcterms:W3CDTF">2025-06-05T02:08:00Z</dcterms:created>
  <dcterms:modified xsi:type="dcterms:W3CDTF">2025-06-05T02:08:00Z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2159-73</vt:lpwstr>
  </property>
  <property fmtid="{D5CDD505-2E9C-101B-9397-08002B2CF9AE}" pid="3" name="OwlsUID">
    <vt:i4>42598</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2011-08-11T16:00:00Z</vt:filetime>
  </property>
  <property fmtid="{D5CDD505-2E9C-101B-9397-08002B2CF9AE}" pid="7" name="CommencementDate">
    <vt:lpwstr>20240502</vt:lpwstr>
  </property>
  <property fmtid="{D5CDD505-2E9C-101B-9397-08002B2CF9AE}" pid="8" name="CommencementAsAt">
    <vt:filetime>2024-05-01T16:00:00Z</vt:filetime>
  </property>
  <property fmtid="{D5CDD505-2E9C-101B-9397-08002B2CF9AE}" pid="9" name="CommencementYear">
    <vt:lpwstr>2024</vt:lpwstr>
  </property>
  <property fmtid="{D5CDD505-2E9C-101B-9397-08002B2CF9AE}" pid="10" name="AsAtDate">
    <vt:lpwstr>02 May 2024</vt:lpwstr>
  </property>
  <property fmtid="{D5CDD505-2E9C-101B-9397-08002B2CF9AE}" pid="11" name="Suffix">
    <vt:lpwstr>01-g0-00</vt:lpwstr>
  </property>
  <property fmtid="{D5CDD505-2E9C-101B-9397-08002B2CF9AE}" pid="12" name="Official">
    <vt:lpwstr/>
  </property>
</Properties>
</file>