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Code Amendment Act 2024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Code Amendment Act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_Toc166650143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_Toc166650144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The</w:t>
      </w:r>
      <w:r>
        <w:t xml:space="preserve"> </w:t>
      </w:r>
      <w:r>
        <w:rPr>
          <w:i/>
          <w:iCs/>
        </w:rPr>
        <w:t>Criminal Code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_Toc166650146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318B inserted</w:t>
      </w:r>
      <w:r>
        <w:tab/>
      </w:r>
      <w:r>
        <w:fldChar w:fldCharType="begin"/>
      </w:r>
      <w:r>
        <w:instrText xml:space="preserve"> PAGEREF _Toc166650147 \h </w:instrText>
      </w:r>
      <w:r>
        <w:fldChar w:fldCharType="separate"/>
      </w:r>
      <w:r>
        <w:t>3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318B.</w:t>
      </w:r>
      <w:r>
        <w:rPr>
          <w:noProof/>
        </w:rPr>
        <w:tab/>
        <w:t>Assault on retail workers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_Toc166650148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426 amended</w:t>
      </w:r>
      <w:r>
        <w:tab/>
      </w:r>
      <w:r>
        <w:fldChar w:fldCharType="begin"/>
      </w:r>
      <w:r>
        <w:instrText xml:space="preserve"> PAGEREF _Toc166650149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426A inserted</w:t>
      </w:r>
      <w:r>
        <w:tab/>
      </w:r>
      <w:r>
        <w:fldChar w:fldCharType="begin"/>
      </w:r>
      <w:r>
        <w:instrText xml:space="preserve"> PAGEREF _Toc166650150 \h </w:instrText>
      </w:r>
      <w:r>
        <w:fldChar w:fldCharType="separate"/>
      </w:r>
      <w:r>
        <w:t>5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426A.</w:t>
      </w:r>
      <w:r>
        <w:rPr>
          <w:noProof/>
        </w:rPr>
        <w:tab/>
        <w:t>When summary conviction penalty under s. 426(4) does not apply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_Toc166650151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Other Acts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</w:r>
      <w:r>
        <w:rPr>
          <w:i/>
        </w:rPr>
        <w:t>Bail Act </w:t>
      </w:r>
      <w:r>
        <w:rPr>
          <w:i/>
          <w:iCs/>
        </w:rPr>
        <w:t>1982</w:t>
      </w:r>
      <w:r>
        <w:t xml:space="preserve"> amended</w:t>
      </w:r>
      <w:r>
        <w:tab/>
      </w:r>
      <w:r>
        <w:fldChar w:fldCharType="begin"/>
      </w:r>
      <w:r>
        <w:instrText xml:space="preserve"> PAGEREF _Toc166650153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</w:r>
      <w:r>
        <w:rPr>
          <w:i/>
        </w:rPr>
        <w:t>Sentencing Act </w:t>
      </w:r>
      <w:r>
        <w:rPr>
          <w:i/>
          <w:iCs/>
        </w:rPr>
        <w:t>1995</w:t>
      </w:r>
      <w:r>
        <w:t xml:space="preserve"> amended</w:t>
      </w:r>
      <w:r>
        <w:tab/>
      </w:r>
      <w:r>
        <w:fldChar w:fldCharType="begin"/>
      </w:r>
      <w:r>
        <w:instrText xml:space="preserve"> PAGEREF _Toc166650154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</w:r>
      <w:r>
        <w:rPr>
          <w:i/>
        </w:rPr>
        <w:t>Young Offenders Act 1994</w:t>
      </w:r>
      <w:r>
        <w:rPr>
          <w:bCs/>
          <w:iCs/>
        </w:rPr>
        <w:t xml:space="preserve"> </w:t>
      </w:r>
      <w:r>
        <w:t>amended</w:t>
      </w:r>
      <w:r>
        <w:tab/>
      </w:r>
      <w:r>
        <w:fldChar w:fldCharType="begin"/>
      </w:r>
      <w:r>
        <w:instrText xml:space="preserve"> PAGEREF _Toc166650155 \h </w:instrText>
      </w:r>
      <w:r>
        <w:fldChar w:fldCharType="separate"/>
      </w:r>
      <w:r>
        <w:t>7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Criminal Code Amendment Act 2024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2" w:name="BillCited"/>
      <w:bookmarkEnd w:id="2"/>
      <w:r>
        <w:t>No. 16 of 2024</w:t>
      </w:r>
    </w:p>
    <w:p>
      <w:pPr>
        <w:pStyle w:val="LongTitle"/>
      </w:pPr>
      <w:r>
        <w:t xml:space="preserve">An Act to amend </w:t>
      </w:r>
      <w:r>
        <w:rPr>
          <w:i/>
          <w:iCs/>
        </w:rPr>
        <w:t>The Criminal Code</w:t>
      </w:r>
      <w:r>
        <w:t xml:space="preserve"> and to make consequential amendments to other Acts.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14 May 2024</w:t>
      </w:r>
      <w:r>
        <w:t>]</w:t>
      </w:r>
    </w:p>
    <w:p>
      <w:pPr>
        <w:pStyle w:val="Enactment"/>
        <w:spacing w:before="0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3" w:name="_Toc166650016"/>
      <w:bookmarkStart w:id="4" w:name="_Toc166650055"/>
      <w:bookmarkStart w:id="5" w:name="_Toc166650142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</w:p>
    <w:p>
      <w:pPr>
        <w:pStyle w:val="Heading5"/>
      </w:pPr>
      <w:bookmarkStart w:id="6" w:name="_Toc166650143"/>
      <w:r>
        <w:rPr>
          <w:rStyle w:val="CharSectno"/>
        </w:rPr>
        <w:t>1</w:t>
      </w:r>
      <w:r>
        <w:t>.</w:t>
      </w:r>
      <w:r>
        <w:tab/>
        <w:t>Short title</w:t>
      </w:r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Criminal Code Amendment Act 2024</w:t>
      </w:r>
      <w:r>
        <w:t>.</w:t>
      </w:r>
    </w:p>
    <w:p>
      <w:pPr>
        <w:pStyle w:val="Heading5"/>
      </w:pPr>
      <w:bookmarkStart w:id="7" w:name="_Toc166650144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proclamation, and different days may be fixed for different provisions.</w:t>
      </w:r>
    </w:p>
    <w:p>
      <w:pPr>
        <w:pStyle w:val="Heading2"/>
      </w:pPr>
      <w:bookmarkStart w:id="8" w:name="_Toc166650019"/>
      <w:bookmarkStart w:id="9" w:name="_Toc166650058"/>
      <w:bookmarkStart w:id="10" w:name="_Toc166650145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The</w:t>
      </w:r>
      <w:r>
        <w:rPr>
          <w:rStyle w:val="CharPartText"/>
        </w:rPr>
        <w:t xml:space="preserve"> </w:t>
      </w:r>
      <w:r>
        <w:rPr>
          <w:rStyle w:val="CharPartText"/>
          <w:i/>
          <w:iCs/>
        </w:rPr>
        <w:t>Criminal Code</w:t>
      </w:r>
      <w:r>
        <w:rPr>
          <w:rStyle w:val="CharPartText"/>
        </w:rPr>
        <w:t xml:space="preserve"> amended</w:t>
      </w:r>
      <w:bookmarkEnd w:id="8"/>
      <w:bookmarkEnd w:id="9"/>
      <w:bookmarkEnd w:id="10"/>
    </w:p>
    <w:p>
      <w:pPr>
        <w:pStyle w:val="Heading5"/>
        <w:rPr>
          <w:snapToGrid w:val="0"/>
        </w:rPr>
      </w:pPr>
      <w:bookmarkStart w:id="11" w:name="_Toc16665014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1"/>
    </w:p>
    <w:p>
      <w:pPr>
        <w:pStyle w:val="Subsection"/>
      </w:pPr>
      <w:r>
        <w:tab/>
      </w:r>
      <w:r>
        <w:tab/>
        <w:t xml:space="preserve">This Part amends </w:t>
      </w:r>
      <w:r>
        <w:rPr>
          <w:i/>
        </w:rPr>
        <w:t>The Criminal Code</w:t>
      </w:r>
      <w:r>
        <w:t>.</w:t>
      </w:r>
    </w:p>
    <w:p>
      <w:pPr>
        <w:pStyle w:val="Heading5"/>
      </w:pPr>
      <w:bookmarkStart w:id="12" w:name="_Toc166650147"/>
      <w:r>
        <w:rPr>
          <w:rStyle w:val="CharSectno"/>
        </w:rPr>
        <w:t>4</w:t>
      </w:r>
      <w:r>
        <w:t>.</w:t>
      </w:r>
      <w:r>
        <w:tab/>
        <w:t>Section 318B inserted</w:t>
      </w:r>
      <w:bookmarkEnd w:id="12"/>
    </w:p>
    <w:p>
      <w:pPr>
        <w:pStyle w:val="Subsection"/>
      </w:pPr>
      <w:r>
        <w:tab/>
      </w:r>
      <w:r>
        <w:tab/>
        <w:t>At the end of Part V Chapter XXX insert:</w:t>
      </w:r>
    </w:p>
    <w:p>
      <w:pPr>
        <w:pStyle w:val="BlankOpen"/>
      </w:pPr>
    </w:p>
    <w:p>
      <w:pPr>
        <w:pStyle w:val="zHeading5"/>
      </w:pPr>
      <w:bookmarkStart w:id="13" w:name="_Toc166650148"/>
      <w:r>
        <w:t>318B.</w:t>
      </w:r>
      <w:r>
        <w:tab/>
        <w:t>Assault on retail workers</w:t>
      </w:r>
      <w:bookmarkEnd w:id="13"/>
      <w:r>
        <w:t xml:space="preserve"> </w:t>
      </w:r>
    </w:p>
    <w:p>
      <w:pPr>
        <w:pStyle w:val="zSubsection"/>
      </w:pPr>
      <w:r>
        <w:tab/>
        <w:t>(1)</w:t>
      </w:r>
      <w:r>
        <w:tab/>
        <w:t xml:space="preserve">In this section — </w:t>
      </w:r>
    </w:p>
    <w:p>
      <w:pPr>
        <w:pStyle w:val="zDefstart"/>
      </w:pPr>
      <w:r>
        <w:tab/>
      </w:r>
      <w:r>
        <w:rPr>
          <w:rStyle w:val="CharDefText"/>
        </w:rPr>
        <w:t>contractor</w:t>
      </w:r>
      <w:r>
        <w:t xml:space="preserve">, of a business, includes — </w:t>
      </w:r>
    </w:p>
    <w:p>
      <w:pPr>
        <w:pStyle w:val="zDefpara"/>
      </w:pPr>
      <w:r>
        <w:tab/>
        <w:t>(a)</w:t>
      </w:r>
      <w:r>
        <w:tab/>
        <w:t>an employee of a contractor of the business; and</w:t>
      </w:r>
    </w:p>
    <w:p>
      <w:pPr>
        <w:pStyle w:val="zDefpara"/>
      </w:pPr>
      <w:r>
        <w:tab/>
        <w:t>(b)</w:t>
      </w:r>
      <w:r>
        <w:tab/>
        <w:t>a subcontractor, and an employee of a subcontractor, of a contractor of the business; and</w:t>
      </w:r>
    </w:p>
    <w:p>
      <w:pPr>
        <w:pStyle w:val="zDefpara"/>
      </w:pPr>
      <w:r>
        <w:tab/>
        <w:t>(c)</w:t>
      </w:r>
      <w:r>
        <w:tab/>
        <w:t>a person, and an employee of a person, with whom a subcontractor specified in paragraph (b) contracts;</w:t>
      </w:r>
    </w:p>
    <w:p>
      <w:pPr>
        <w:pStyle w:val="zDefstart"/>
      </w:pPr>
      <w:r>
        <w:rPr>
          <w:rStyle w:val="CharDefText"/>
        </w:rPr>
        <w:tab/>
        <w:t>retail worker</w:t>
      </w:r>
      <w:r>
        <w:t xml:space="preserve"> means a person who is a worker for a business that — </w:t>
      </w:r>
    </w:p>
    <w:p>
      <w:pPr>
        <w:pStyle w:val="zDefpara"/>
      </w:pPr>
      <w:r>
        <w:tab/>
        <w:t>(a)</w:t>
      </w:r>
      <w:r>
        <w:tab/>
        <w:t xml:space="preserve">operates a shop; or </w:t>
      </w:r>
    </w:p>
    <w:p>
      <w:pPr>
        <w:pStyle w:val="zDefpara"/>
      </w:pPr>
      <w:r>
        <w:tab/>
        <w:t>(b)</w:t>
      </w:r>
      <w:r>
        <w:tab/>
        <w:t>occupies part of a shop (for example, part of a department store);</w:t>
      </w:r>
    </w:p>
    <w:p>
      <w:pPr>
        <w:pStyle w:val="zDefstart"/>
      </w:pPr>
      <w:r>
        <w:tab/>
      </w:r>
      <w:r>
        <w:rPr>
          <w:rStyle w:val="CharDefText"/>
        </w:rPr>
        <w:t>shop</w:t>
      </w:r>
      <w:r>
        <w:t> means the whole or any part of a building, place, stall, structure, tent, vehicle or yard in which goods are sold by retail, including by auction;</w:t>
      </w:r>
    </w:p>
    <w:p>
      <w:pPr>
        <w:pStyle w:val="zDefstart"/>
      </w:pPr>
      <w:r>
        <w:tab/>
      </w:r>
      <w:r>
        <w:rPr>
          <w:rStyle w:val="CharDefText"/>
        </w:rPr>
        <w:t>worker</w:t>
      </w:r>
      <w:r>
        <w:t>, for a business, means a person who performs duties for the business, other than as a contractor of the business who is not subject to the control and direction of the operator of the business in the performance of their duties.</w:t>
      </w:r>
    </w:p>
    <w:p>
      <w:pPr>
        <w:pStyle w:val="zSubsection"/>
      </w:pPr>
      <w:r>
        <w:tab/>
        <w:t>(2)</w:t>
      </w:r>
      <w:r>
        <w:tab/>
        <w:t xml:space="preserve">A person commits a crime if the person assaults a retail worker — </w:t>
      </w:r>
    </w:p>
    <w:p>
      <w:pPr>
        <w:pStyle w:val="zIndenta"/>
      </w:pPr>
      <w:r>
        <w:tab/>
        <w:t>(a)</w:t>
      </w:r>
      <w:r>
        <w:tab/>
        <w:t>while the worker is performing their duties, as a retail worker, in an area of a shop open to the public; or</w:t>
      </w:r>
    </w:p>
    <w:p>
      <w:pPr>
        <w:pStyle w:val="zIndenta"/>
      </w:pPr>
      <w:r>
        <w:tab/>
        <w:t>(b)</w:t>
      </w:r>
      <w:r>
        <w:tab/>
        <w:t>in consequence of, or in response to, anything done by the worker while performing their duties, as a retail worker, in an area of a shop open to the public.</w:t>
      </w:r>
    </w:p>
    <w:p>
      <w:pPr>
        <w:pStyle w:val="zPenstart"/>
      </w:pPr>
      <w:r>
        <w:tab/>
      </w:r>
      <w:r>
        <w:tab/>
        <w:t>Penalty for this subsection:</w:t>
      </w:r>
    </w:p>
    <w:p>
      <w:pPr>
        <w:pStyle w:val="zPenpara"/>
      </w:pPr>
      <w:r>
        <w:tab/>
        <w:t>(a)</w:t>
      </w:r>
      <w:r>
        <w:tab/>
        <w:t>if immediately before, during or immediately after the commission of the offence —</w:t>
      </w:r>
    </w:p>
    <w:p>
      <w:pPr>
        <w:pStyle w:val="zPensubpara"/>
      </w:pPr>
      <w:r>
        <w:tab/>
        <w:t>(i)</w:t>
      </w:r>
      <w:r>
        <w:tab/>
        <w:t>the offender is armed with a dangerous or offensive weapon or instrument, imprisonment for 10 years; or</w:t>
      </w:r>
    </w:p>
    <w:p>
      <w:pPr>
        <w:pStyle w:val="zPensubpara"/>
      </w:pPr>
      <w:r>
        <w:tab/>
        <w:t>(ii)</w:t>
      </w:r>
      <w:r>
        <w:tab/>
        <w:t>the offender is in company with 1 or more other persons, imprisonment for 10 years;</w:t>
      </w:r>
    </w:p>
    <w:p>
      <w:pPr>
        <w:pStyle w:val="zPenpara"/>
      </w:pPr>
      <w:r>
        <w:tab/>
      </w:r>
      <w:r>
        <w:tab/>
        <w:t>or</w:t>
      </w:r>
    </w:p>
    <w:p>
      <w:pPr>
        <w:pStyle w:val="zPenpara"/>
      </w:pPr>
      <w:r>
        <w:tab/>
        <w:t>(b)</w:t>
      </w:r>
      <w:r>
        <w:tab/>
        <w:t>in any other case, imprisonment for 7 years.</w:t>
      </w:r>
    </w:p>
    <w:p>
      <w:pPr>
        <w:pStyle w:val="zPenstart"/>
      </w:pPr>
      <w:r>
        <w:tab/>
      </w:r>
      <w:r>
        <w:tab/>
        <w:t>Summary conviction penalty for this subsection in a case to which the Penalty paragraph (b) applies: imprisonment for 3 years and a fine of $36 000.</w:t>
      </w:r>
    </w:p>
    <w:p>
      <w:pPr>
        <w:pStyle w:val="BlankClose"/>
      </w:pPr>
    </w:p>
    <w:p>
      <w:pPr>
        <w:pStyle w:val="Heading5"/>
      </w:pPr>
      <w:bookmarkStart w:id="14" w:name="_Toc166650149"/>
      <w:r>
        <w:rPr>
          <w:rStyle w:val="CharSectno"/>
        </w:rPr>
        <w:t>5</w:t>
      </w:r>
      <w:r>
        <w:t>.</w:t>
      </w:r>
      <w:r>
        <w:tab/>
        <w:t>Section 426 amended</w:t>
      </w:r>
      <w:bookmarkEnd w:id="14"/>
    </w:p>
    <w:p>
      <w:pPr>
        <w:pStyle w:val="Subsection"/>
      </w:pPr>
      <w:r>
        <w:tab/>
      </w:r>
      <w:r>
        <w:tab/>
        <w:t>After section 426(4) insert:</w:t>
      </w:r>
    </w:p>
    <w:p>
      <w:pPr>
        <w:pStyle w:val="BlankOpen"/>
      </w:pPr>
    </w:p>
    <w:p>
      <w:pPr>
        <w:pStyle w:val="zSubsection"/>
      </w:pPr>
      <w:r>
        <w:tab/>
        <w:t>(5)</w:t>
      </w:r>
      <w:r>
        <w:tab/>
        <w:t>Subsection (4) is subject to section 426A.</w:t>
      </w:r>
    </w:p>
    <w:p>
      <w:pPr>
        <w:pStyle w:val="BlankClose"/>
      </w:pPr>
    </w:p>
    <w:p>
      <w:pPr>
        <w:pStyle w:val="Heading5"/>
      </w:pPr>
      <w:bookmarkStart w:id="15" w:name="_Toc166650150"/>
      <w:r>
        <w:rPr>
          <w:rStyle w:val="CharSectno"/>
        </w:rPr>
        <w:t>6</w:t>
      </w:r>
      <w:r>
        <w:t>.</w:t>
      </w:r>
      <w:r>
        <w:tab/>
        <w:t>Section 426A inserted</w:t>
      </w:r>
      <w:bookmarkEnd w:id="15"/>
    </w:p>
    <w:p>
      <w:pPr>
        <w:pStyle w:val="Subsection"/>
      </w:pPr>
      <w:r>
        <w:tab/>
      </w:r>
      <w:r>
        <w:tab/>
        <w:t>After section 426 insert:</w:t>
      </w:r>
    </w:p>
    <w:p>
      <w:pPr>
        <w:pStyle w:val="BlankOpen"/>
      </w:pPr>
    </w:p>
    <w:p>
      <w:pPr>
        <w:pStyle w:val="zHeading5"/>
      </w:pPr>
      <w:bookmarkStart w:id="16" w:name="_Toc166650151"/>
      <w:r>
        <w:t>426A.</w:t>
      </w:r>
      <w:r>
        <w:tab/>
        <w:t>When summary conviction penalty under s. 426(4) does not apply</w:t>
      </w:r>
      <w:bookmarkEnd w:id="16"/>
    </w:p>
    <w:p>
      <w:pPr>
        <w:pStyle w:val="zSubsection"/>
      </w:pPr>
      <w:r>
        <w:tab/>
        <w:t>(1)</w:t>
      </w:r>
      <w:r>
        <w:tab/>
        <w:t xml:space="preserve">In this section — </w:t>
      </w:r>
    </w:p>
    <w:p>
      <w:pPr>
        <w:pStyle w:val="zDefstart"/>
      </w:pPr>
      <w:r>
        <w:tab/>
      </w:r>
      <w:r>
        <w:rPr>
          <w:rStyle w:val="CharDefText"/>
        </w:rPr>
        <w:t>conviction</w:t>
      </w:r>
      <w:r>
        <w:t xml:space="preserve"> — </w:t>
      </w:r>
    </w:p>
    <w:p>
      <w:pPr>
        <w:pStyle w:val="zDefpara"/>
      </w:pPr>
      <w:r>
        <w:tab/>
        <w:t>(a)</w:t>
      </w:r>
      <w:r>
        <w:tab/>
        <w:t xml:space="preserve">includes a finding or admission of guilt despite a conviction not being recorded under the </w:t>
      </w:r>
      <w:r>
        <w:rPr>
          <w:i/>
        </w:rPr>
        <w:t>Young Offenders Act 1994</w:t>
      </w:r>
      <w:r>
        <w:rPr>
          <w:iCs/>
        </w:rPr>
        <w:t xml:space="preserve"> section 55; but</w:t>
      </w:r>
      <w:r>
        <w:t xml:space="preserve"> </w:t>
      </w:r>
    </w:p>
    <w:p>
      <w:pPr>
        <w:pStyle w:val="zDefpara"/>
      </w:pPr>
      <w:r>
        <w:tab/>
        <w:t>(b)</w:t>
      </w:r>
      <w:r>
        <w:tab/>
        <w:t>does not include a conviction that has been set aside or quashed;</w:t>
      </w:r>
    </w:p>
    <w:p>
      <w:pPr>
        <w:pStyle w:val="zDefstart"/>
      </w:pPr>
      <w:r>
        <w:rPr>
          <w:rStyle w:val="CharDefText"/>
        </w:rPr>
        <w:tab/>
        <w:t>stealing offence</w:t>
      </w:r>
      <w:r>
        <w:t xml:space="preserve"> means — </w:t>
      </w:r>
    </w:p>
    <w:p>
      <w:pPr>
        <w:pStyle w:val="zDefpara"/>
      </w:pPr>
      <w:r>
        <w:tab/>
        <w:t>(a)</w:t>
      </w:r>
      <w:r>
        <w:tab/>
        <w:t xml:space="preserve">an offence under section 378; or </w:t>
      </w:r>
    </w:p>
    <w:p>
      <w:pPr>
        <w:pStyle w:val="zDefpara"/>
      </w:pPr>
      <w:r>
        <w:tab/>
        <w:t>(b)</w:t>
      </w:r>
      <w:r>
        <w:tab/>
        <w:t>an offence of attempting to commit, or inciting another person to commit, an offence under section 378.</w:t>
      </w:r>
    </w:p>
    <w:p>
      <w:pPr>
        <w:pStyle w:val="zSubsection"/>
      </w:pPr>
      <w:r>
        <w:tab/>
        <w:t>(2)</w:t>
      </w:r>
      <w:r>
        <w:tab/>
        <w:t xml:space="preserve">This section applies if a person — </w:t>
      </w:r>
    </w:p>
    <w:p>
      <w:pPr>
        <w:pStyle w:val="zIndenta"/>
      </w:pPr>
      <w:r>
        <w:tab/>
        <w:t>(a)</w:t>
      </w:r>
      <w:r>
        <w:tab/>
        <w:t xml:space="preserve">is convicted of a stealing offence (the </w:t>
      </w:r>
      <w:r>
        <w:rPr>
          <w:rStyle w:val="CharDefText"/>
        </w:rPr>
        <w:t>current stealing offence</w:t>
      </w:r>
      <w:r>
        <w:t>); and</w:t>
      </w:r>
    </w:p>
    <w:p>
      <w:pPr>
        <w:pStyle w:val="zIndenta"/>
      </w:pPr>
      <w:r>
        <w:tab/>
        <w:t>(b)</w:t>
      </w:r>
      <w:r>
        <w:tab/>
        <w:t xml:space="preserve">has committed, and been convicted of, at least 2 offences that are also stealing offences (each a </w:t>
      </w:r>
      <w:r>
        <w:rPr>
          <w:rStyle w:val="CharDefText"/>
        </w:rPr>
        <w:t>previous stealing offence</w:t>
      </w:r>
      <w:r>
        <w:t>) within the period of 1 year before the person’s conviction for the current stealing offence.</w:t>
      </w:r>
    </w:p>
    <w:p>
      <w:pPr>
        <w:pStyle w:val="zSubsection"/>
      </w:pPr>
      <w:r>
        <w:tab/>
        <w:t>(3)</w:t>
      </w:r>
      <w:r>
        <w:tab/>
        <w:t>The summary conviction penalty in section 426(4) does not apply in relation to the conviction of the person for the current stealing offence.</w:t>
      </w:r>
    </w:p>
    <w:p>
      <w:pPr>
        <w:pStyle w:val="zSubsection"/>
        <w:keepNext/>
      </w:pPr>
      <w:r>
        <w:tab/>
        <w:t>(4)</w:t>
      </w:r>
      <w:r>
        <w:tab/>
        <w:t xml:space="preserve">For the purposes of subsection (2)(b) — </w:t>
      </w:r>
    </w:p>
    <w:p>
      <w:pPr>
        <w:pStyle w:val="zIndenta"/>
      </w:pPr>
      <w:r>
        <w:tab/>
        <w:t>(a)</w:t>
      </w:r>
      <w:r>
        <w:tab/>
        <w:t>convictions for 2 or more previous stealing offences committed on the same day are to be treated as a single conviction; and</w:t>
      </w:r>
    </w:p>
    <w:p>
      <w:pPr>
        <w:pStyle w:val="zIndenta"/>
      </w:pPr>
      <w:r>
        <w:tab/>
        <w:t>(b)</w:t>
      </w:r>
      <w:r>
        <w:tab/>
        <w:t xml:space="preserve">each previous stealing offence is to be counted regardless of whether — </w:t>
      </w:r>
    </w:p>
    <w:p>
      <w:pPr>
        <w:pStyle w:val="zIndenti"/>
      </w:pPr>
      <w:r>
        <w:tab/>
        <w:t>(i)</w:t>
      </w:r>
      <w:r>
        <w:tab/>
        <w:t>the conviction for the offence was recorded before or after the date on which the current stealing offence, or any other previous stealing offence, was committed; or</w:t>
      </w:r>
    </w:p>
    <w:p>
      <w:pPr>
        <w:pStyle w:val="zIndenti"/>
      </w:pPr>
      <w:r>
        <w:tab/>
        <w:t>(ii)</w:t>
      </w:r>
      <w:r>
        <w:tab/>
        <w:t>the conviction for the offence has been counted under this section in relation to a different stealing offence.</w:t>
      </w:r>
    </w:p>
    <w:p>
      <w:pPr>
        <w:pStyle w:val="BlankClose"/>
      </w:pPr>
    </w:p>
    <w:p>
      <w:pPr>
        <w:pStyle w:val="Heading2"/>
      </w:pPr>
      <w:bookmarkStart w:id="17" w:name="_Toc166650026"/>
      <w:bookmarkStart w:id="18" w:name="_Toc166650065"/>
      <w:bookmarkStart w:id="19" w:name="_Toc166650152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Other Acts amended</w:t>
      </w:r>
      <w:bookmarkEnd w:id="17"/>
      <w:bookmarkEnd w:id="18"/>
      <w:bookmarkEnd w:id="19"/>
    </w:p>
    <w:p>
      <w:pPr>
        <w:pStyle w:val="Heading5"/>
      </w:pPr>
      <w:bookmarkStart w:id="20" w:name="_Toc166650153"/>
      <w:r>
        <w:rPr>
          <w:rStyle w:val="CharSectno"/>
        </w:rPr>
        <w:t>7</w:t>
      </w:r>
      <w:r>
        <w:t>.</w:t>
      </w:r>
      <w:r>
        <w:tab/>
      </w:r>
      <w:r>
        <w:rPr>
          <w:i/>
        </w:rPr>
        <w:t>Bail Act </w:t>
      </w:r>
      <w:r>
        <w:rPr>
          <w:i/>
          <w:iCs/>
        </w:rPr>
        <w:t>1982</w:t>
      </w:r>
      <w:r>
        <w:t xml:space="preserve"> amended</w:t>
      </w:r>
      <w:bookmarkEnd w:id="20"/>
    </w:p>
    <w:p>
      <w:pPr>
        <w:pStyle w:val="Subsection"/>
        <w:rPr>
          <w:iCs/>
        </w:rPr>
      </w:pPr>
      <w:r>
        <w:tab/>
        <w:t>(1)</w:t>
      </w:r>
      <w:r>
        <w:tab/>
        <w:t xml:space="preserve">This section amends the </w:t>
      </w:r>
      <w:r>
        <w:rPr>
          <w:i/>
        </w:rPr>
        <w:t>Bail Act 1982.</w:t>
      </w:r>
    </w:p>
    <w:p>
      <w:pPr>
        <w:pStyle w:val="Subsection"/>
      </w:pPr>
      <w:r>
        <w:tab/>
        <w:t>(2)</w:t>
      </w:r>
      <w:r>
        <w:tab/>
        <w:t>In Schedule 2 item 1 after the row relating to s. 318 insert:</w:t>
      </w:r>
    </w:p>
    <w:p>
      <w:pPr>
        <w:pStyle w:val="BlankOpen"/>
      </w:pPr>
    </w:p>
    <w:tbl>
      <w:tblPr>
        <w:tblW w:w="7088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709"/>
        <w:gridCol w:w="2977"/>
        <w:gridCol w:w="3402"/>
      </w:tblGrid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>s. 318B</w:t>
            </w:r>
          </w:p>
        </w:tc>
        <w:tc>
          <w:tcPr>
            <w:tcW w:w="3402" w:type="dxa"/>
            <w:noWrap/>
          </w:tcPr>
          <w:p>
            <w:pPr>
              <w:pStyle w:val="zyTableNAm"/>
            </w:pPr>
            <w:r>
              <w:t>Assault on retail workers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21" w:name="_Toc166650154"/>
      <w:r>
        <w:rPr>
          <w:rStyle w:val="CharSectno"/>
        </w:rPr>
        <w:t>8</w:t>
      </w:r>
      <w:r>
        <w:t>.</w:t>
      </w:r>
      <w:r>
        <w:tab/>
      </w:r>
      <w:r>
        <w:rPr>
          <w:i/>
        </w:rPr>
        <w:t>Sentencing Act </w:t>
      </w:r>
      <w:r>
        <w:rPr>
          <w:i/>
          <w:iCs/>
        </w:rPr>
        <w:t>1995</w:t>
      </w:r>
      <w:r>
        <w:t xml:space="preserve"> amended</w:t>
      </w:r>
      <w:bookmarkEnd w:id="21"/>
    </w:p>
    <w:p>
      <w:pPr>
        <w:pStyle w:val="Subsection"/>
      </w:pPr>
      <w:r>
        <w:tab/>
        <w:t>(1)</w:t>
      </w:r>
      <w:r>
        <w:tab/>
        <w:t xml:space="preserve">This section amends the </w:t>
      </w:r>
      <w:r>
        <w:rPr>
          <w:i/>
        </w:rPr>
        <w:t>Sentencing Act 1995</w:t>
      </w:r>
      <w:r>
        <w:t>.</w:t>
      </w:r>
    </w:p>
    <w:p>
      <w:pPr>
        <w:pStyle w:val="Subsection"/>
      </w:pPr>
      <w:r>
        <w:tab/>
        <w:t>(2)</w:t>
      </w:r>
      <w:r>
        <w:tab/>
        <w:t>In Schedule 1A Part 1 item 1 after the row relating to s. 318 insert:</w:t>
      </w:r>
    </w:p>
    <w:p>
      <w:pPr>
        <w:pStyle w:val="BlankOpen"/>
      </w:pPr>
    </w:p>
    <w:tbl>
      <w:tblPr>
        <w:tblW w:w="7088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709"/>
        <w:gridCol w:w="2977"/>
        <w:gridCol w:w="3402"/>
      </w:tblGrid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>s. 318B</w:t>
            </w:r>
          </w:p>
        </w:tc>
        <w:tc>
          <w:tcPr>
            <w:tcW w:w="3402" w:type="dxa"/>
            <w:noWrap/>
          </w:tcPr>
          <w:p>
            <w:pPr>
              <w:pStyle w:val="zyTableNAm"/>
            </w:pPr>
            <w:r>
              <w:t>Assault on retail workers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22" w:name="_Toc166650155"/>
      <w:r>
        <w:rPr>
          <w:rStyle w:val="CharSectno"/>
        </w:rPr>
        <w:t>9</w:t>
      </w:r>
      <w:r>
        <w:t>.</w:t>
      </w:r>
      <w:r>
        <w:tab/>
      </w:r>
      <w:r>
        <w:rPr>
          <w:i/>
        </w:rPr>
        <w:t>Young Offenders Act 1994</w:t>
      </w:r>
      <w:r>
        <w:rPr>
          <w:b w:val="0"/>
          <w:bCs/>
          <w:iCs/>
        </w:rPr>
        <w:t xml:space="preserve"> </w:t>
      </w:r>
      <w:r>
        <w:t>amended</w:t>
      </w:r>
      <w:bookmarkEnd w:id="22"/>
    </w:p>
    <w:p>
      <w:pPr>
        <w:pStyle w:val="Subsection"/>
      </w:pPr>
      <w:r>
        <w:tab/>
        <w:t>(1)</w:t>
      </w:r>
      <w:r>
        <w:tab/>
        <w:t xml:space="preserve">This section amends the </w:t>
      </w:r>
      <w:r>
        <w:rPr>
          <w:i/>
        </w:rPr>
        <w:t>Young Offenders Act 1994</w:t>
      </w:r>
      <w:r>
        <w:t>.</w:t>
      </w:r>
    </w:p>
    <w:p>
      <w:pPr>
        <w:pStyle w:val="Subsection"/>
      </w:pPr>
      <w:r>
        <w:tab/>
        <w:t>(2)</w:t>
      </w:r>
      <w:r>
        <w:tab/>
        <w:t>In Schedule 2 item 1 after the row relating to s. 318 insert:</w:t>
      </w:r>
    </w:p>
    <w:p>
      <w:pPr>
        <w:pStyle w:val="BlankOpen"/>
      </w:pPr>
    </w:p>
    <w:tbl>
      <w:tblPr>
        <w:tblW w:w="7088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709"/>
        <w:gridCol w:w="2977"/>
        <w:gridCol w:w="3402"/>
      </w:tblGrid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>s. 318B</w:t>
            </w:r>
          </w:p>
        </w:tc>
        <w:tc>
          <w:tcPr>
            <w:tcW w:w="3402" w:type="dxa"/>
            <w:noWrap/>
          </w:tcPr>
          <w:p>
            <w:pPr>
              <w:pStyle w:val="zyTableNAm"/>
            </w:pPr>
            <w:r>
              <w:t>Assault on retail workers</w:t>
            </w:r>
          </w:p>
        </w:tc>
      </w:tr>
    </w:tbl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C269A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 w14:paraId="59683F56" w14:textId="1EAA747A" w:rsidR="00D97EEE" w:rsidRDefault="00D97EE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F52B8A9" w14:textId="77777777" w:rsidR="00D97EEE" w:rsidRDefault="00D97EE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382ECE1" w14:textId="79A3F7CB" w:rsidR="00D97EEE" w:rsidRDefault="00D97EE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0C66A81" w14:textId="77777777" w:rsidR="00D97EEE" w:rsidRDefault="00D97EE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16 of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May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16 of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16 of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16 of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May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16 of 2024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16 of 2024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256"/>
      <w:gridCol w:w="459"/>
    </w:tblGrid>
    <w:tr>
      <w:trPr>
        <w:jc w:val="center"/>
      </w:trPr>
      <w:tc>
        <w:tcPr>
          <w:tcW w:w="7263" w:type="dxa"/>
          <w:gridSpan w:val="3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Act 2024</w:t>
          </w:r>
          <w:r>
            <w:rPr>
              <w:b/>
              <w:i/>
            </w:rPr>
            <w:fldChar w:fldCharType="end"/>
          </w:r>
        </w:p>
      </w:tc>
    </w:tr>
    <w:tr>
      <w:trPr>
        <w:gridAfter w:val="1"/>
        <w:wAfter w:w="459" w:type="dxa"/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256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426"/>
      <w:gridCol w:w="5289"/>
      <w:gridCol w:w="1548"/>
    </w:tblGrid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Act 2024</w:t>
          </w:r>
          <w:r>
            <w:rPr>
              <w:b/>
              <w:i/>
            </w:rPr>
            <w:fldChar w:fldCharType="end"/>
          </w:r>
        </w:p>
      </w:tc>
    </w:tr>
    <w:tr>
      <w:trPr>
        <w:gridBefore w:val="1"/>
        <w:wBefore w:w="426" w:type="dxa"/>
        <w:jc w:val="center"/>
      </w:trPr>
      <w:tc>
        <w:tcPr>
          <w:tcW w:w="5289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r>
      <w:t xml:space="preserve"> 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2"/>
  </w:num>
  <w:num w:numId="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515071838"/>
    <w:docVar w:name="WAFER_20150206084435" w:val="77167ae3-b7f9-4ae7-a275-d4dd9db5de8f"/>
    <w:docVar w:name="WAFER_20150206084435_GUID" w:val="UpdateStyles"/>
    <w:docVar w:name="WAFER_20151016134806" w:val="68650fa9-f801-454a-81cb-df6f0a3af691"/>
    <w:docVar w:name="WAFER_20151016134806_GUID" w:val="UpdateStyles"/>
    <w:docVar w:name="WAFER_20151016134831" w:val="c2fb0bb9-fde3-426d-a7f7-1ca211c82009"/>
    <w:docVar w:name="WAFER_20151016134831_GUID" w:val="UsedStyles"/>
    <w:docVar w:name="WAFER_20151016170344" w:val="d4fa4e8d-5c43-4618-b8fe-4523b77d625d"/>
    <w:docVar w:name="WAFER_20151016170344_GUID" w:val="UpdateStyles"/>
    <w:docVar w:name="WAFER_20151016170354" w:val="32c06985-9f0e-42f1-9a8c-d3c43cfa7a80"/>
    <w:docVar w:name="WAFER_20151016170354_GUID" w:val="UpdateStyles,UsedStyles"/>
    <w:docVar w:name="WAFER_20151016170429" w:val="1f665551-9baf-4b15-bb73-b1d91ed3e6c5"/>
    <w:docVar w:name="WAFER_20151016170429_GUID" w:val="UpdateStyles,UsedStyles"/>
    <w:docVar w:name="WAFER_20151019113653" w:val="a899c777-2ec0-4846-a593-74d215570969"/>
    <w:docVar w:name="WAFER_20151019113653_GUID" w:val="UpdateStyles"/>
    <w:docVar w:name="WAFER_20151102150119" w:val="dc5d0076-61d2-4a5a-ade6-d09c39dd39b9"/>
    <w:docVar w:name="WAFER_20151102150119_GUID" w:val="UpdateStyles"/>
    <w:docVar w:name="WAFER_20190125160012" w:val="9dd68532-689a-40c0-9c87-5c2f321a3e4e"/>
    <w:docVar w:name="WAFER_20190125160012_GUID" w:val="UpdateStyles"/>
    <w:docVar w:name="WAFER_20190213151032" w:val="0e6e130b-18da-4239-84b5-f08b99a6e1c9"/>
    <w:docVar w:name="WAFER_20190213151032_GUID" w:val="UpdateStyles.ProcessFixes,UpdateStyles.ProcessFixes,RemoveIncorrectStyles.ProcessStyles,RemoveIncorrectStyles.ProcessStyles"/>
    <w:docVar w:name="WAFER_20190227114526" w:val="592fe921-7416-4a1a-b8d7-41a034b93757"/>
    <w:docVar w:name="WAFER_2019022711452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00207102225" w:val="c6be0b40-711c-4ff6-b353-501793f44ed0"/>
    <w:docVar w:name="WAFER_20200207102225_GUID" w:val="c6be0b40-711c-4ff6-b353-501793f44ed0"/>
    <w:docVar w:name="WAFER_20230403103322" w:val="c6be0b40-711c-4ff6-b353-501793f44ed0"/>
    <w:docVar w:name="WAFER_20230403103322_GUID" w:val="c6be0b40-711c-4ff6-b353-501793f44ed0"/>
    <w:docVar w:name="WAFER_202401041432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104143216_GUID" w:val="52cc23b4-9e21-48f2-9b81-2608617c2ae8"/>
    <w:docVar w:name="WAFER_202402081426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08142635_GUID" w:val="c8022f4d-ee11-4cc5-ae43-2eb3b9309621"/>
    <w:docVar w:name="WAFER_202402121043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12104330_GUID" w:val="651e8c62-f539-476b-8519-d9f9a1c195ac"/>
    <w:docVar w:name="WAFER_202405150718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515071838_GUID" w:val="64fb69dc-cd4d-4176-9f27-a15af7acbdb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57CCB42D-A897-4BE7-A0BD-A604BCF64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B6AE-A437-483B-B37E-66CA1DFD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1057</Words>
  <Characters>4980</Characters>
  <Application>Microsoft Office Word</Application>
  <DocSecurity>0</DocSecurity>
  <Lines>207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5903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Code Amendment Act 2024 - 00-00-00</dc:title>
  <dc:subject/>
  <dc:creator/>
  <cp:keywords/>
  <dc:description/>
  <cp:lastModifiedBy>Master Repository Process</cp:lastModifiedBy>
  <cp:revision>4</cp:revision>
  <cp:lastPrinted>2024-05-14T08:38:00Z</cp:lastPrinted>
  <dcterms:created xsi:type="dcterms:W3CDTF">2025-06-18T08:10:00Z</dcterms:created>
  <dcterms:modified xsi:type="dcterms:W3CDTF">2025-06-18T08:10:00Z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16 of 2024</vt:lpwstr>
  </property>
  <property fmtid="{D5CDD505-2E9C-101B-9397-08002B2CF9AE}" pid="3" name="DocumentType">
    <vt:lpwstr>Act</vt:lpwstr>
  </property>
  <property fmtid="{D5CDD505-2E9C-101B-9397-08002B2CF9AE}" pid="4" name="AsAtDate">
    <vt:lpwstr>14 May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ActNoFooter">
    <vt:lpwstr>No. 16 of 2024</vt:lpwstr>
  </property>
  <property fmtid="{D5CDD505-2E9C-101B-9397-08002B2CF9AE}" pid="8" name="CommencementDate">
    <vt:lpwstr>20240514</vt:lpwstr>
  </property>
  <property fmtid="{D5CDD505-2E9C-101B-9397-08002B2CF9AE}" pid="9" name="CommencementAsAt">
    <vt:filetime>2024-05-13T16:00:00Z</vt:filetime>
  </property>
  <property fmtid="{D5CDD505-2E9C-101B-9397-08002B2CF9AE}" pid="10" name="CommencementYear">
    <vt:lpwstr>2024</vt:lpwstr>
  </property>
</Properties>
</file>