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_Toc174963117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_Toc174963118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_Toc174963119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Act binds Crown</w:t>
      </w:r>
      <w:r>
        <w:tab/>
      </w:r>
      <w:r>
        <w:fldChar w:fldCharType="begin"/>
      </w:r>
      <w:r>
        <w:instrText xml:space="preserve"> PAGEREF _Toc174963120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_Toc174963122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_Toc174963123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Therapeutic Goods Law Application Act 2024</w:t>
      </w:r>
    </w:p>
    <w:p>
      <w:pPr>
        <w:pStyle w:val="LongTitle"/>
      </w:pPr>
      <w:bookmarkStart w:id="2" w:name="BillCited"/>
      <w:bookmarkEnd w:id="2"/>
      <w:r>
        <w:t xml:space="preserve">An Act — </w:t>
      </w:r>
    </w:p>
    <w:p>
      <w:pPr>
        <w:pStyle w:val="LongTitle"/>
        <w:numPr>
          <w:ilvl w:val="0"/>
          <w:numId w:val="5"/>
        </w:numPr>
        <w:ind w:left="426" w:hanging="426"/>
        <w:rPr>
          <w:snapToGrid w:val="0"/>
        </w:rPr>
      </w:pPr>
      <w:r>
        <w:rPr>
          <w:snapToGrid w:val="0"/>
        </w:rPr>
        <w:t xml:space="preserve">to apply </w:t>
      </w:r>
      <w:r>
        <w:t xml:space="preserve">the </w:t>
      </w:r>
      <w:r>
        <w:rPr>
          <w:i/>
        </w:rPr>
        <w:t>Therapeutic Goods Act 1989</w:t>
      </w:r>
      <w:r>
        <w:t xml:space="preserve"> (Commonwealth) and legislative instruments under that Act as laws of the State</w:t>
      </w:r>
      <w:r>
        <w:rPr>
          <w:snapToGrid w:val="0"/>
        </w:rPr>
        <w:t>; and</w:t>
      </w:r>
    </w:p>
    <w:p>
      <w:pPr>
        <w:pStyle w:val="LongTitle"/>
        <w:numPr>
          <w:ilvl w:val="0"/>
          <w:numId w:val="5"/>
        </w:numPr>
        <w:ind w:left="426" w:hanging="426"/>
        <w:rPr>
          <w:snapToGrid w:val="0"/>
        </w:rPr>
      </w:pPr>
      <w:r>
        <w:rPr>
          <w:snapToGrid w:val="0"/>
        </w:rPr>
        <w:t>to make consequential amendments to various other Acts; and</w:t>
      </w:r>
    </w:p>
    <w:p>
      <w:pPr>
        <w:pStyle w:val="LongTitle"/>
        <w:numPr>
          <w:ilvl w:val="0"/>
          <w:numId w:val="5"/>
        </w:numPr>
        <w:ind w:left="426" w:hanging="426"/>
        <w:rPr>
          <w:snapToGrid w:val="0"/>
        </w:rPr>
      </w:pPr>
      <w:r>
        <w:rPr>
          <w:snapToGrid w:val="0"/>
        </w:rPr>
        <w:t>for related purposes.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3" w:name="_Toc174962457"/>
      <w:bookmarkStart w:id="4" w:name="_Toc174962631"/>
      <w:bookmarkStart w:id="5" w:name="_Toc174962856"/>
      <w:bookmarkStart w:id="6" w:name="_Toc174963116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</w:p>
    <w:p>
      <w:pPr>
        <w:pStyle w:val="Heading5"/>
      </w:pPr>
      <w:bookmarkStart w:id="7" w:name="_Toc174963117"/>
      <w:r>
        <w:rPr>
          <w:rStyle w:val="CharSectno"/>
        </w:rPr>
        <w:t>1</w:t>
      </w:r>
      <w:r>
        <w:t>.</w:t>
      </w:r>
      <w:r>
        <w:tab/>
        <w:t>Short title</w:t>
      </w:r>
      <w:bookmarkEnd w:id="7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Therapeutic Goods Law Application Act 2024</w:t>
      </w:r>
      <w:r>
        <w:t>.</w:t>
      </w:r>
    </w:p>
    <w:p>
      <w:pPr>
        <w:pStyle w:val="Heading5"/>
      </w:pPr>
      <w:bookmarkStart w:id="8" w:name="_Toc174963118"/>
      <w:r>
        <w:rPr>
          <w:rStyle w:val="CharSectno"/>
        </w:rPr>
        <w:t>2</w:t>
      </w:r>
      <w:r>
        <w:t>.</w:t>
      </w:r>
      <w:r>
        <w:tab/>
        <w:t>Commencement</w:t>
      </w:r>
      <w:bookmarkEnd w:id="8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proclamation.</w:t>
      </w:r>
    </w:p>
    <w:p>
      <w:pPr>
        <w:pStyle w:val="Heading5"/>
      </w:pPr>
      <w:bookmarkStart w:id="9" w:name="_Toc174963119"/>
      <w:r>
        <w:rPr>
          <w:rStyle w:val="CharSectno"/>
        </w:rPr>
        <w:t>3</w:t>
      </w:r>
      <w:r>
        <w:t>.</w:t>
      </w:r>
      <w:r>
        <w:tab/>
        <w:t>Terms used</w:t>
      </w:r>
      <w:bookmarkEnd w:id="9"/>
    </w:p>
    <w:p>
      <w:pPr>
        <w:pStyle w:val="Subsection"/>
      </w:pPr>
      <w:r>
        <w:tab/>
        <w:t>(1)</w:t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amend</w:t>
      </w:r>
      <w:r>
        <w:t xml:space="preserve"> includes replace;</w:t>
      </w:r>
    </w:p>
    <w:p>
      <w:pPr>
        <w:pStyle w:val="Defstart"/>
      </w:pPr>
      <w:r>
        <w:tab/>
      </w:r>
      <w:r>
        <w:rPr>
          <w:rStyle w:val="CharDefText"/>
        </w:rPr>
        <w:t>amending Act</w:t>
      </w:r>
      <w:r>
        <w:t xml:space="preserve"> means a Commonwealth Act that receives the Royal Assent on or after 27 November 2023 to the extent that it — </w:t>
      </w:r>
    </w:p>
    <w:p>
      <w:pPr>
        <w:pStyle w:val="Defpara"/>
      </w:pPr>
      <w:r>
        <w:tab/>
        <w:t>(a)</w:t>
      </w:r>
      <w:r>
        <w:tab/>
        <w:t xml:space="preserve">amends the </w:t>
      </w:r>
      <w:r>
        <w:rPr>
          <w:i/>
        </w:rPr>
        <w:t>Therapeutic Goods Act 1989</w:t>
      </w:r>
      <w:r>
        <w:t xml:space="preserve"> (Commonwealth); or </w:t>
      </w:r>
    </w:p>
    <w:p>
      <w:pPr>
        <w:pStyle w:val="Defpara"/>
      </w:pPr>
      <w:r>
        <w:tab/>
        <w:t>(b)</w:t>
      </w:r>
      <w:r>
        <w:tab/>
        <w:t xml:space="preserve">makes or amends a therapeutic legislative instrument; </w:t>
      </w:r>
    </w:p>
    <w:p>
      <w:pPr>
        <w:pStyle w:val="Defstart"/>
      </w:pPr>
      <w:r>
        <w:tab/>
      </w:r>
      <w:r>
        <w:rPr>
          <w:rStyle w:val="CharDefText"/>
        </w:rPr>
        <w:t>applied therapeutic goods law</w:t>
      </w:r>
      <w:r>
        <w:t xml:space="preserve"> means the provisions that apply as a law of the State because of sections 5 and 10; </w:t>
      </w:r>
    </w:p>
    <w:p>
      <w:pPr>
        <w:pStyle w:val="Defstart"/>
        <w:keepNext/>
      </w:pPr>
      <w:r>
        <w:tab/>
      </w:r>
      <w:r>
        <w:rPr>
          <w:rStyle w:val="CharDefText"/>
        </w:rPr>
        <w:t>Commonwealth administrative laws</w:t>
      </w:r>
      <w:r>
        <w:t xml:space="preserve"> means the following — </w:t>
      </w:r>
    </w:p>
    <w:p>
      <w:pPr>
        <w:pStyle w:val="Defpara"/>
      </w:pPr>
      <w:r>
        <w:tab/>
        <w:t>(a)</w:t>
      </w:r>
      <w:r>
        <w:tab/>
        <w:t xml:space="preserve">the </w:t>
      </w:r>
      <w:r>
        <w:rPr>
          <w:i/>
        </w:rPr>
        <w:t>Administrative Appeals Tribunal Act 1975</w:t>
      </w:r>
      <w:r>
        <w:t xml:space="preserve"> (Commonwealth) (excluding Part IVA);</w:t>
      </w:r>
    </w:p>
    <w:p>
      <w:pPr>
        <w:pStyle w:val="Defpara"/>
      </w:pPr>
      <w:r>
        <w:tab/>
        <w:t>(b)</w:t>
      </w:r>
      <w:r>
        <w:tab/>
        <w:t xml:space="preserve">the </w:t>
      </w:r>
      <w:r>
        <w:rPr>
          <w:i/>
        </w:rPr>
        <w:t>Freedom of Information Act 1982</w:t>
      </w:r>
      <w:r>
        <w:t xml:space="preserve"> (Commonwealth);</w:t>
      </w:r>
    </w:p>
    <w:p>
      <w:pPr>
        <w:pStyle w:val="Defpara"/>
      </w:pPr>
      <w:r>
        <w:tab/>
        <w:t>(c)</w:t>
      </w:r>
      <w:r>
        <w:tab/>
        <w:t xml:space="preserve">the </w:t>
      </w:r>
      <w:r>
        <w:rPr>
          <w:i/>
        </w:rPr>
        <w:t>Ombudsman Act 1976</w:t>
      </w:r>
      <w:r>
        <w:t xml:space="preserve"> (Commonwealth);</w:t>
      </w:r>
    </w:p>
    <w:p>
      <w:pPr>
        <w:pStyle w:val="Defpara"/>
      </w:pPr>
      <w:r>
        <w:tab/>
        <w:t>(d)</w:t>
      </w:r>
      <w:r>
        <w:tab/>
        <w:t xml:space="preserve">the </w:t>
      </w:r>
      <w:r>
        <w:rPr>
          <w:i/>
        </w:rPr>
        <w:t>Privacy Act 1988</w:t>
      </w:r>
      <w:r>
        <w:t xml:space="preserve"> (Commonwealth);</w:t>
      </w:r>
    </w:p>
    <w:p>
      <w:pPr>
        <w:pStyle w:val="Defpara"/>
      </w:pPr>
      <w:r>
        <w:tab/>
        <w:t>(e)</w:t>
      </w:r>
      <w:r>
        <w:tab/>
        <w:t>the legislative instruments in force under those Acts;</w:t>
      </w:r>
    </w:p>
    <w:p>
      <w:pPr>
        <w:pStyle w:val="Defstart"/>
      </w:pPr>
      <w:r>
        <w:tab/>
      </w:r>
      <w:r>
        <w:rPr>
          <w:rStyle w:val="CharDefText"/>
        </w:rPr>
        <w:t>Commonwealth therapeutic goods law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 xml:space="preserve">the </w:t>
      </w:r>
      <w:r>
        <w:rPr>
          <w:i/>
        </w:rPr>
        <w:t>Therapeutic Goods Act 1989</w:t>
      </w:r>
      <w:r>
        <w:t xml:space="preserve"> (Commonwealth); and</w:t>
      </w:r>
    </w:p>
    <w:p>
      <w:pPr>
        <w:pStyle w:val="Defpara"/>
      </w:pPr>
      <w:r>
        <w:lastRenderedPageBreak/>
        <w:tab/>
        <w:t>(b)</w:t>
      </w:r>
      <w:r>
        <w:tab/>
        <w:t>the legislative instruments under that Act;</w:t>
      </w:r>
    </w:p>
    <w:p>
      <w:pPr>
        <w:pStyle w:val="Defstart"/>
      </w:pPr>
      <w:r>
        <w:tab/>
      </w:r>
      <w:r>
        <w:rPr>
          <w:rStyle w:val="CharDefText"/>
        </w:rPr>
        <w:t>local regulations</w:t>
      </w:r>
      <w:r>
        <w:t xml:space="preserve"> means the regulations made under section 26;</w:t>
      </w:r>
    </w:p>
    <w:p>
      <w:pPr>
        <w:pStyle w:val="Defstart"/>
      </w:pPr>
      <w:r>
        <w:tab/>
      </w:r>
      <w:r>
        <w:rPr>
          <w:rStyle w:val="CharDefText"/>
        </w:rPr>
        <w:t>therapeutic legislative instrument</w:t>
      </w:r>
      <w:r>
        <w:t xml:space="preserve"> means a regulation or other legislative instrument for the time being in force under the </w:t>
      </w:r>
      <w:r>
        <w:rPr>
          <w:i/>
        </w:rPr>
        <w:t>Therapeutic Goods Act 1989</w:t>
      </w:r>
      <w:r>
        <w:t xml:space="preserve"> (Commonwealth).</w:t>
      </w:r>
    </w:p>
    <w:p>
      <w:pPr>
        <w:pStyle w:val="Subsection"/>
      </w:pPr>
      <w:r>
        <w:tab/>
        <w:t>(2)</w:t>
      </w:r>
      <w:r>
        <w:tab/>
        <w:t xml:space="preserve">If a term used in this Act is given a meaning in the </w:t>
      </w:r>
      <w:r>
        <w:rPr>
          <w:i/>
        </w:rPr>
        <w:t>Therapeutic Goods Act 1989</w:t>
      </w:r>
      <w:r>
        <w:t xml:space="preserve"> (Commonwealth), it has the same meaning in this Act.</w:t>
      </w:r>
    </w:p>
    <w:p>
      <w:pPr>
        <w:pStyle w:val="Heading5"/>
      </w:pPr>
      <w:bookmarkStart w:id="10" w:name="_Toc174963120"/>
      <w:r>
        <w:rPr>
          <w:rStyle w:val="CharSectno"/>
        </w:rPr>
        <w:t>4</w:t>
      </w:r>
      <w:r>
        <w:t>.</w:t>
      </w:r>
      <w:r>
        <w:tab/>
        <w:t>Act binds Crown</w:t>
      </w:r>
      <w:bookmarkEnd w:id="10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Ednotepart"/>
      </w:pPr>
      <w:r>
        <w:t>[Parts 2</w:t>
      </w:r>
      <w:r>
        <w:noBreakHyphen/>
        <w:t>8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11" w:name="_Toc174962462"/>
      <w:bookmarkStart w:id="12" w:name="_Toc174962636"/>
      <w:bookmarkStart w:id="13" w:name="_Toc174962861"/>
      <w:bookmarkStart w:id="14" w:name="_Toc174963121"/>
      <w:r>
        <w:lastRenderedPageBreak/>
        <w:t>Notes</w:t>
      </w:r>
      <w:bookmarkEnd w:id="11"/>
      <w:bookmarkEnd w:id="12"/>
      <w:bookmarkEnd w:id="13"/>
      <w:bookmarkEnd w:id="1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Therapeutic Goods Law Application Act 2024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5" w:name="_Toc174963122"/>
      <w:r>
        <w:t>Compilation table</w:t>
      </w:r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Therapeutic Goods Law Application Act 2024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Pt.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19 of 2024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14 May 2024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14 May 2024 (see s. 2(a))</w:t>
            </w:r>
          </w:p>
        </w:tc>
      </w:tr>
    </w:tbl>
    <w:p>
      <w:pPr>
        <w:pStyle w:val="nHeading3"/>
      </w:pPr>
      <w:bookmarkStart w:id="16" w:name="_Toc174963123"/>
      <w:r>
        <w:t>Uncommenced provisions table</w:t>
      </w:r>
      <w:bookmarkEnd w:id="16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Therapeutic Goods Law Application Act 2024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Pt. 2</w:t>
            </w:r>
            <w:r>
              <w:rPr>
                <w:iCs/>
              </w:rPr>
              <w:noBreakHyphen/>
              <w:t>8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19 of 2024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14 May 2024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30 Aug 2024 (see s. 2(b) and SL 2024/177 cl. 2)</w:t>
            </w:r>
          </w:p>
        </w:tc>
      </w:tr>
    </w:tbl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8" w:name="_Toc174962465"/>
      <w:bookmarkStart w:id="19" w:name="_Toc174962639"/>
      <w:bookmarkStart w:id="20" w:name="_Toc174962864"/>
      <w:bookmarkStart w:id="21" w:name="_Toc174963124"/>
      <w:r>
        <w:rPr>
          <w:sz w:val="28"/>
        </w:rPr>
        <w:lastRenderedPageBreak/>
        <w:t>Defined terms</w:t>
      </w:r>
      <w:bookmarkEnd w:id="18"/>
      <w:bookmarkEnd w:id="19"/>
      <w:bookmarkEnd w:id="20"/>
      <w:bookmarkEnd w:id="2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amend</w:t>
      </w:r>
      <w:r>
        <w:tab/>
        <w:t>3(1)</w:t>
      </w:r>
    </w:p>
    <w:p>
      <w:pPr>
        <w:pStyle w:val="DefinedTerms"/>
      </w:pPr>
      <w:r>
        <w:t>amending Act</w:t>
      </w:r>
      <w:r>
        <w:tab/>
        <w:t>3(1)</w:t>
      </w:r>
    </w:p>
    <w:p>
      <w:pPr>
        <w:pStyle w:val="DefinedTerms"/>
      </w:pPr>
      <w:r>
        <w:t>applied therapeutic goods law</w:t>
      </w:r>
      <w:r>
        <w:tab/>
        <w:t>3(1)</w:t>
      </w:r>
    </w:p>
    <w:p>
      <w:pPr>
        <w:pStyle w:val="DefinedTerms"/>
      </w:pPr>
      <w:r>
        <w:t>Commonwealth administrative laws</w:t>
      </w:r>
      <w:r>
        <w:tab/>
        <w:t>3(1)</w:t>
      </w:r>
    </w:p>
    <w:p>
      <w:pPr>
        <w:pStyle w:val="DefinedTerms"/>
      </w:pPr>
      <w:r>
        <w:t>Commonwealth therapeutic goods law</w:t>
      </w:r>
      <w:r>
        <w:tab/>
        <w:t>3(1)</w:t>
      </w:r>
    </w:p>
    <w:p>
      <w:pPr>
        <w:pStyle w:val="DefinedTerms"/>
      </w:pPr>
      <w:r>
        <w:t>local regulations</w:t>
      </w:r>
      <w:r>
        <w:tab/>
        <w:t>3(1)</w:t>
      </w:r>
    </w:p>
    <w:p>
      <w:pPr>
        <w:pStyle w:val="DefinedTerms"/>
      </w:pPr>
      <w:r>
        <w:t>therapeutic legislative instrument</w:t>
      </w:r>
      <w:r>
        <w:tab/>
        <w:t>3(1)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BEA69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ChShZj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3A8D8455" w14:textId="729C47B1" w:rsidR="0036558F" w:rsidRDefault="0036558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8687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1A7822" w14:textId="77777777" w:rsidR="0036558F" w:rsidRDefault="0036558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7FA697" w14:textId="7D7AACFF" w:rsidR="0036558F" w:rsidRDefault="0036558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8687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26BA75" w14:textId="77777777" w:rsidR="0036558F" w:rsidRDefault="0036558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2" w:name="DefinedTerms"/>
    <w:bookmarkEnd w:id="22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8B555D4"/>
    <w:multiLevelType w:val="multilevel"/>
    <w:tmpl w:val="7E6C6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12"/>
  </w:num>
  <w:num w:numId="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19121808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304031033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30403103322_GUID" w:val="c6be0b40-711c-4ff6-b353-501793f44ed0"/>
    <w:docVar w:name="WAFER_202311080853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108085332_GUID" w:val="2fe26ed0-9221-43b8-9a67-6c2431dede20"/>
    <w:docVar w:name="WAFER_202311131138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13113820_GUID" w:val="8b39b575-903d-497f-981b-f1dfbd4ce099"/>
    <w:docVar w:name="WAFER_202311211458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121145818_GUID" w:val="61ba69d4-c9ed-412f-a2f8-50d004a9ffe4"/>
    <w:docVar w:name="WAFER_202405150738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515073825_GUID" w:val="6d84cf4a-e60b-4f18-af71-95c53b62dec7"/>
    <w:docVar w:name="WAFER_202408191218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819121808_GUID" w:val="9ec0c8c4-1ccf-4ab0-adee-81533d0f12c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59A3FE90-DA28-4087-B065-C6734E20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uiPriority w:val="9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uiPriority w:val="9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uiPriority w:val="9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uiPriority w:val="99"/>
    <w:rPr>
      <w:sz w:val="24"/>
      <w:vertAlign w:val="superscript"/>
    </w:rPr>
  </w:style>
  <w:style w:type="paragraph" w:styleId="FootnoteText">
    <w:name w:val="footnote text"/>
    <w:basedOn w:val="Normal"/>
    <w:uiPriority w:val="99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uiPriority w:val="99"/>
    <w:pPr>
      <w:tabs>
        <w:tab w:val="num" w:pos="360"/>
      </w:tabs>
    </w:pPr>
  </w:style>
  <w:style w:type="paragraph" w:styleId="ListNumber4">
    <w:name w:val="List Number 4"/>
    <w:basedOn w:val="Normal"/>
    <w:uiPriority w:val="99"/>
    <w:pPr>
      <w:tabs>
        <w:tab w:val="num" w:pos="360"/>
      </w:tabs>
    </w:pPr>
  </w:style>
  <w:style w:type="paragraph" w:styleId="ListNumber5">
    <w:name w:val="List Number 5"/>
    <w:basedOn w:val="Normal"/>
    <w:uiPriority w:val="99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9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8B820-C869-4895-BB87-29CC3571B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646</Words>
  <Characters>3366</Characters>
  <Application>Microsoft Office Word</Application>
  <DocSecurity>0</DocSecurity>
  <Lines>140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3901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Law Application Act 2024 - 00-a0-01</dc:title>
  <dc:subject/>
  <dc:creator/>
  <cp:keywords/>
  <dc:description/>
  <cp:lastModifiedBy>Master Repository Process</cp:lastModifiedBy>
  <cp:revision>4</cp:revision>
  <cp:lastPrinted>2024-05-14T08:57:00Z</cp:lastPrinted>
  <dcterms:created xsi:type="dcterms:W3CDTF">2025-05-28T06:03:00Z</dcterms:created>
  <dcterms:modified xsi:type="dcterms:W3CDTF">2025-05-28T06:04:00Z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19 of 2024</vt:lpwstr>
  </property>
  <property fmtid="{D5CDD505-2E9C-101B-9397-08002B2CF9AE}" pid="3" name="DocumentType">
    <vt:lpwstr>Act</vt:lpwstr>
  </property>
  <property fmtid="{D5CDD505-2E9C-101B-9397-08002B2CF9AE}" pid="4" name="AsAtDate">
    <vt:lpwstr>14 May 2024</vt:lpwstr>
  </property>
  <property fmtid="{D5CDD505-2E9C-101B-9397-08002B2CF9AE}" pid="5" name="Suffix">
    <vt:lpwstr>00-a0-01</vt:lpwstr>
  </property>
  <property fmtid="{D5CDD505-2E9C-101B-9397-08002B2CF9AE}" pid="6" name="Official">
    <vt:lpwstr/>
  </property>
  <property fmtid="{D5CDD505-2E9C-101B-9397-08002B2CF9AE}" pid="7" name="CommencementDate">
    <vt:lpwstr>20240514</vt:lpwstr>
  </property>
  <property fmtid="{D5CDD505-2E9C-101B-9397-08002B2CF9AE}" pid="8" name="CommencementAsAt">
    <vt:filetime>2024-05-13T16:00:00Z</vt:filetime>
  </property>
  <property fmtid="{D5CDD505-2E9C-101B-9397-08002B2CF9AE}" pid="9" name="CommencementYear">
    <vt:lpwstr>2024</vt:lpwstr>
  </property>
</Properties>
</file>