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_Toc166659446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_Toc166659447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_Toc166659448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_Toc166659449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Health Practitioner Regulation National Law</w:t>
      </w:r>
    </w:p>
    <w:p>
      <w:pPr>
        <w:pStyle w:val="TOC4"/>
        <w:tabs>
          <w:tab w:val="right" w:leader="dot" w:pos="7077"/>
        </w:tabs>
        <w:rPr>
          <w:rFonts w:asciiTheme="minorHAnsi" w:eastAsiaTheme="minorEastAsia" w:hAnsiTheme="minorHAnsi" w:cstheme="minorBidi"/>
          <w:b w:val="0"/>
          <w:szCs w:val="22"/>
        </w:rPr>
      </w:pPr>
      <w:r>
        <w:t>Division 1 — Application of Health Practitioner Regulation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_Toc166659452 \h </w:instrText>
      </w:r>
      <w:r>
        <w:fldChar w:fldCharType="separate"/>
      </w:r>
      <w:r>
        <w:t>4</w:t>
      </w:r>
      <w:r>
        <w:fldChar w:fldCharType="end"/>
      </w:r>
    </w:p>
    <w:p>
      <w:pPr>
        <w:pStyle w:val="TOC8"/>
        <w:rPr>
          <w:rFonts w:asciiTheme="minorHAnsi" w:eastAsiaTheme="minorEastAsia" w:hAnsiTheme="minorHAnsi" w:cstheme="minorBidi"/>
          <w:szCs w:val="22"/>
        </w:rPr>
      </w:pPr>
      <w:r>
        <w:t>6.</w:t>
      </w:r>
      <w:r>
        <w:tab/>
        <w:t>Commencement of National Law as law of the State</w:t>
      </w:r>
      <w:r>
        <w:tab/>
      </w:r>
      <w:r>
        <w:fldChar w:fldCharType="begin"/>
      </w:r>
      <w:r>
        <w:instrText xml:space="preserve"> PAGEREF _Toc166659453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_Toc166659454 \h </w:instrText>
      </w:r>
      <w:r>
        <w:fldChar w:fldCharType="separate"/>
      </w:r>
      <w:r>
        <w:t>5</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_Toc166659455 \h </w:instrText>
      </w:r>
      <w:r>
        <w:fldChar w:fldCharType="separate"/>
      </w:r>
      <w:r>
        <w:t>5</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_Toc166659456 \h </w:instrText>
      </w:r>
      <w:r>
        <w:fldChar w:fldCharType="separate"/>
      </w:r>
      <w:r>
        <w:t>6</w:t>
      </w:r>
      <w:r>
        <w:fldChar w:fldCharType="end"/>
      </w:r>
    </w:p>
    <w:p>
      <w:pPr>
        <w:pStyle w:val="TOC8"/>
        <w:rPr>
          <w:rFonts w:asciiTheme="minorHAnsi" w:eastAsiaTheme="minorEastAsia" w:hAnsiTheme="minorHAnsi" w:cstheme="minorBidi"/>
          <w:szCs w:val="22"/>
        </w:rPr>
      </w:pPr>
      <w:r>
        <w:t>10.</w:t>
      </w:r>
      <w:r>
        <w:tab/>
        <w:t>Amending Acts enacted after 10 October 2023 but before commencement day</w:t>
      </w:r>
      <w:r>
        <w:tab/>
      </w:r>
      <w:r>
        <w:fldChar w:fldCharType="begin"/>
      </w:r>
      <w:r>
        <w:instrText xml:space="preserve"> PAGEREF _Toc166659457 \h </w:instrText>
      </w:r>
      <w:r>
        <w:fldChar w:fldCharType="separate"/>
      </w:r>
      <w:r>
        <w:t>7</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_Toc166659458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national regulations</w:t>
      </w:r>
    </w:p>
    <w:p>
      <w:pPr>
        <w:pStyle w:val="TOC8"/>
        <w:rPr>
          <w:rFonts w:asciiTheme="minorHAnsi" w:eastAsiaTheme="minorEastAsia" w:hAnsiTheme="minorHAnsi" w:cstheme="minorBidi"/>
          <w:szCs w:val="22"/>
        </w:rPr>
      </w:pPr>
      <w:r>
        <w:t>12.</w:t>
      </w:r>
      <w:r>
        <w:tab/>
        <w:t>Application of national regulations as subsidiary legislation</w:t>
      </w:r>
      <w:r>
        <w:tab/>
      </w:r>
      <w:r>
        <w:fldChar w:fldCharType="begin"/>
      </w:r>
      <w:r>
        <w:instrText xml:space="preserve"> PAGEREF _Toc166659460 \h </w:instrText>
      </w:r>
      <w:r>
        <w:fldChar w:fldCharType="separate"/>
      </w:r>
      <w:r>
        <w:t>8</w:t>
      </w:r>
      <w:r>
        <w:fldChar w:fldCharType="end"/>
      </w:r>
    </w:p>
    <w:p>
      <w:pPr>
        <w:pStyle w:val="TOC8"/>
        <w:rPr>
          <w:rFonts w:asciiTheme="minorHAnsi" w:eastAsiaTheme="minorEastAsia" w:hAnsiTheme="minorHAnsi" w:cstheme="minorBidi"/>
          <w:szCs w:val="22"/>
        </w:rPr>
      </w:pPr>
      <w:r>
        <w:t>13.</w:t>
      </w:r>
      <w:r>
        <w:tab/>
        <w:t>National regulations made by amending Act provision</w:t>
      </w:r>
      <w:r>
        <w:tab/>
      </w:r>
      <w:r>
        <w:fldChar w:fldCharType="begin"/>
      </w:r>
      <w:r>
        <w:instrText xml:space="preserve"> PAGEREF _Toc166659461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w:t>
      </w:r>
      <w:r>
        <w:tab/>
        <w:t>National regulations made under or for purposes of amending Act provision</w:t>
      </w:r>
      <w:r>
        <w:tab/>
      </w:r>
      <w:r>
        <w:fldChar w:fldCharType="begin"/>
      </w:r>
      <w:r>
        <w:instrText xml:space="preserve"> PAGEREF _Toc166659462 \h </w:instrText>
      </w:r>
      <w:r>
        <w:fldChar w:fldCharType="separate"/>
      </w:r>
      <w:r>
        <w:t>9</w:t>
      </w:r>
      <w:r>
        <w:fldChar w:fldCharType="end"/>
      </w:r>
    </w:p>
    <w:p>
      <w:pPr>
        <w:pStyle w:val="TOC8"/>
        <w:rPr>
          <w:rFonts w:asciiTheme="minorHAnsi" w:eastAsiaTheme="minorEastAsia" w:hAnsiTheme="minorHAnsi" w:cstheme="minorBidi"/>
          <w:szCs w:val="22"/>
        </w:rPr>
      </w:pPr>
      <w:r>
        <w:t>15.</w:t>
      </w:r>
      <w:r>
        <w:tab/>
        <w:t>Publication of national regulations</w:t>
      </w:r>
      <w:r>
        <w:tab/>
      </w:r>
      <w:r>
        <w:fldChar w:fldCharType="begin"/>
      </w:r>
      <w:r>
        <w:instrText xml:space="preserve"> PAGEREF _Toc166659463 \h </w:instrText>
      </w:r>
      <w:r>
        <w:fldChar w:fldCharType="separate"/>
      </w:r>
      <w:r>
        <w:t>9</w:t>
      </w:r>
      <w:r>
        <w:fldChar w:fldCharType="end"/>
      </w:r>
    </w:p>
    <w:p>
      <w:pPr>
        <w:pStyle w:val="TOC8"/>
        <w:rPr>
          <w:rFonts w:asciiTheme="minorHAnsi" w:eastAsiaTheme="minorEastAsia" w:hAnsiTheme="minorHAnsi" w:cstheme="minorBidi"/>
          <w:szCs w:val="22"/>
        </w:rPr>
      </w:pPr>
      <w:r>
        <w:t>16.</w:t>
      </w:r>
      <w:r>
        <w:tab/>
        <w:t>Tabling and disallowance of national regulations</w:t>
      </w:r>
      <w:r>
        <w:tab/>
      </w:r>
      <w:r>
        <w:fldChar w:fldCharType="begin"/>
      </w:r>
      <w:r>
        <w:instrText xml:space="preserve"> PAGEREF _Toc166659464 \h </w:instrText>
      </w:r>
      <w:r>
        <w:fldChar w:fldCharType="separate"/>
      </w:r>
      <w:r>
        <w:t>10</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w:t>
      </w:r>
      <w:r>
        <w:rPr>
          <w:iCs/>
        </w:rPr>
        <w:t> </w:t>
      </w:r>
      <w:r>
        <w:t xml:space="preserve">41 and 42 do not apply to </w:t>
      </w:r>
      <w:r>
        <w:rPr>
          <w:i/>
        </w:rPr>
        <w:t>Health Practitioner Regulation National Law Regulation (Western Australia)</w:t>
      </w:r>
      <w:r>
        <w:tab/>
      </w:r>
      <w:r>
        <w:fldChar w:fldCharType="begin"/>
      </w:r>
      <w:r>
        <w:instrText xml:space="preserve"> PAGEREF _Toc166659465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18.</w:t>
      </w:r>
      <w:r>
        <w:tab/>
        <w:t xml:space="preserve">Meaning of generic terms in </w:t>
      </w:r>
      <w:r>
        <w:rPr>
          <w:i/>
        </w:rPr>
        <w:t>Health Practitioner Regulation National Law (Western Australia)</w:t>
      </w:r>
      <w:r>
        <w:rPr>
          <w:iCs/>
        </w:rPr>
        <w:t xml:space="preserve"> </w:t>
      </w:r>
      <w:r>
        <w:t>for purposes of this jurisdiction</w:t>
      </w:r>
      <w:r>
        <w:tab/>
      </w:r>
      <w:r>
        <w:fldChar w:fldCharType="begin"/>
      </w:r>
      <w:r>
        <w:instrText xml:space="preserve"> PAGEREF _Toc166659467 \h </w:instrText>
      </w:r>
      <w:r>
        <w:fldChar w:fldCharType="separate"/>
      </w:r>
      <w:r>
        <w:t>11</w:t>
      </w:r>
      <w:r>
        <w:fldChar w:fldCharType="end"/>
      </w:r>
    </w:p>
    <w:p>
      <w:pPr>
        <w:pStyle w:val="TOC8"/>
        <w:rPr>
          <w:rFonts w:asciiTheme="minorHAnsi" w:eastAsiaTheme="minorEastAsia" w:hAnsiTheme="minorHAnsi" w:cstheme="minorBidi"/>
          <w:szCs w:val="22"/>
        </w:rPr>
      </w:pPr>
      <w:r>
        <w:t>19.</w:t>
      </w:r>
      <w:r>
        <w:tab/>
        <w:t xml:space="preserve">Responsible tribunal for the </w:t>
      </w:r>
      <w:r>
        <w:rPr>
          <w:i/>
        </w:rPr>
        <w:t>Health Practitioner Regulation National Law (Western Australia)</w:t>
      </w:r>
      <w:r>
        <w:tab/>
      </w:r>
      <w:r>
        <w:fldChar w:fldCharType="begin"/>
      </w:r>
      <w:r>
        <w:instrText xml:space="preserve"> PAGEREF _Toc166659468 \h </w:instrText>
      </w:r>
      <w:r>
        <w:fldChar w:fldCharType="separate"/>
      </w:r>
      <w:r>
        <w:t>12</w:t>
      </w:r>
      <w:r>
        <w:fldChar w:fldCharType="end"/>
      </w:r>
    </w:p>
    <w:p>
      <w:pPr>
        <w:pStyle w:val="TOC8"/>
        <w:rPr>
          <w:rFonts w:asciiTheme="minorHAnsi" w:eastAsiaTheme="minorEastAsia" w:hAnsiTheme="minorHAnsi" w:cstheme="minorBidi"/>
          <w:szCs w:val="22"/>
        </w:rPr>
      </w:pPr>
      <w:r>
        <w:t>20.</w:t>
      </w:r>
      <w:r>
        <w:tab/>
        <w:t>Interaction between National Law and this Act</w:t>
      </w:r>
      <w:r>
        <w:tab/>
      </w:r>
      <w:r>
        <w:fldChar w:fldCharType="begin"/>
      </w:r>
      <w:r>
        <w:instrText xml:space="preserve"> PAGEREF _Toc166659469 \h </w:instrText>
      </w:r>
      <w:r>
        <w:fldChar w:fldCharType="separate"/>
      </w:r>
      <w:r>
        <w:t>12</w:t>
      </w:r>
      <w:r>
        <w:fldChar w:fldCharType="end"/>
      </w:r>
    </w:p>
    <w:p>
      <w:pPr>
        <w:pStyle w:val="TOC8"/>
        <w:rPr>
          <w:rFonts w:asciiTheme="minorHAnsi" w:eastAsiaTheme="minorEastAsia" w:hAnsiTheme="minorHAnsi" w:cstheme="minorBidi"/>
          <w:szCs w:val="22"/>
        </w:rPr>
      </w:pPr>
      <w:r>
        <w:t>21.</w:t>
      </w:r>
      <w:r>
        <w:tab/>
        <w:t>No double jeopardy</w:t>
      </w:r>
      <w:r>
        <w:tab/>
      </w:r>
      <w:r>
        <w:fldChar w:fldCharType="begin"/>
      </w:r>
      <w:r>
        <w:instrText xml:space="preserve"> PAGEREF _Toc166659470 \h </w:instrText>
      </w:r>
      <w:r>
        <w:fldChar w:fldCharType="separate"/>
      </w:r>
      <w:r>
        <w:t>12</w:t>
      </w:r>
      <w:r>
        <w:fldChar w:fldCharType="end"/>
      </w:r>
    </w:p>
    <w:p>
      <w:pPr>
        <w:pStyle w:val="TOC8"/>
        <w:rPr>
          <w:rFonts w:asciiTheme="minorHAnsi" w:eastAsiaTheme="minorEastAsia" w:hAnsiTheme="minorHAnsi" w:cstheme="minorBidi"/>
          <w:szCs w:val="22"/>
        </w:rPr>
      </w:pPr>
      <w:r>
        <w:t>22.</w:t>
      </w:r>
      <w:r>
        <w:tab/>
        <w:t>Exclusion of legislation of this jurisdiction</w:t>
      </w:r>
      <w:r>
        <w:tab/>
      </w:r>
      <w:r>
        <w:fldChar w:fldCharType="begin"/>
      </w:r>
      <w:r>
        <w:instrText xml:space="preserve"> PAGEREF _Toc166659471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Modification of Schedule to </w:t>
      </w:r>
      <w:r>
        <w:rPr>
          <w:i/>
        </w:rPr>
        <w:t>Health Practitioner Regulation National Law Act 2009</w:t>
      </w:r>
      <w:r>
        <w:t xml:space="preserve"> (Queensland)</w:t>
      </w:r>
    </w:p>
    <w:p>
      <w:pPr>
        <w:pStyle w:val="TOC8"/>
        <w:rPr>
          <w:rFonts w:asciiTheme="minorHAnsi" w:eastAsiaTheme="minorEastAsia" w:hAnsiTheme="minorHAnsi" w:cstheme="minorBidi"/>
          <w:szCs w:val="22"/>
        </w:rPr>
      </w:pPr>
      <w:r>
        <w:t>23.</w:t>
      </w:r>
      <w:r>
        <w:tab/>
        <w:t>Modification of National Law</w:t>
      </w:r>
      <w:r>
        <w:tab/>
      </w:r>
      <w:r>
        <w:fldChar w:fldCharType="begin"/>
      </w:r>
      <w:r>
        <w:instrText xml:space="preserve"> PAGEREF _Toc166659473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3A modified</w:t>
      </w:r>
      <w:r>
        <w:tab/>
      </w:r>
      <w:r>
        <w:fldChar w:fldCharType="begin"/>
      </w:r>
      <w:r>
        <w:instrText xml:space="preserve"> PAGEREF _Toc166659474 \h </w:instrText>
      </w:r>
      <w:r>
        <w:fldChar w:fldCharType="separate"/>
      </w:r>
      <w:r>
        <w:t>14</w:t>
      </w:r>
      <w:r>
        <w:fldChar w:fldCharType="end"/>
      </w:r>
    </w:p>
    <w:p>
      <w:pPr>
        <w:pStyle w:val="TOC8"/>
        <w:rPr>
          <w:rFonts w:asciiTheme="minorHAnsi" w:eastAsiaTheme="minorEastAsia" w:hAnsiTheme="minorHAnsi" w:cstheme="minorBidi"/>
          <w:szCs w:val="22"/>
        </w:rPr>
      </w:pPr>
      <w:r>
        <w:t>25.</w:t>
      </w:r>
      <w:r>
        <w:tab/>
        <w:t>Section 113 modified</w:t>
      </w:r>
      <w:r>
        <w:tab/>
      </w:r>
      <w:r>
        <w:fldChar w:fldCharType="begin"/>
      </w:r>
      <w:r>
        <w:instrText xml:space="preserve"> PAGEREF _Toc166659475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123A inserted</w:t>
      </w:r>
      <w:r>
        <w:tab/>
      </w:r>
      <w:r>
        <w:fldChar w:fldCharType="begin"/>
      </w:r>
      <w:r>
        <w:instrText xml:space="preserve"> PAGEREF _Toc166659476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123A.</w:t>
      </w:r>
      <w:r>
        <w:rPr>
          <w:noProof/>
        </w:rPr>
        <w:tab/>
        <w:t>Restricted birthing practices</w:t>
      </w:r>
      <w:r>
        <w:rPr>
          <w:noProof/>
        </w:rPr>
        <w:tab/>
      </w:r>
      <w:r>
        <w:rPr>
          <w:noProof/>
        </w:rPr>
        <w:fldChar w:fldCharType="begin"/>
      </w:r>
      <w:r>
        <w:rPr>
          <w:noProof/>
        </w:rPr>
        <w:instrText xml:space="preserve"> PAGEREF _Toc166659477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27.</w:t>
      </w:r>
      <w:r>
        <w:tab/>
        <w:t>Section 141 modified</w:t>
      </w:r>
      <w:r>
        <w:tab/>
      </w:r>
      <w:r>
        <w:fldChar w:fldCharType="begin"/>
      </w:r>
      <w:r>
        <w:instrText xml:space="preserve"> PAGEREF _Toc166659478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Sections 141A, 141B and 141C deleted</w:t>
      </w:r>
      <w:r>
        <w:tab/>
      </w:r>
      <w:r>
        <w:fldChar w:fldCharType="begin"/>
      </w:r>
      <w:r>
        <w:instrText xml:space="preserve"> PAGEREF _Toc166659479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159P modified</w:t>
      </w:r>
      <w:r>
        <w:tab/>
      </w:r>
      <w:r>
        <w:fldChar w:fldCharType="begin"/>
      </w:r>
      <w:r>
        <w:instrText xml:space="preserve"> PAGEREF _Toc166659480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206 modified</w:t>
      </w:r>
      <w:r>
        <w:tab/>
      </w:r>
      <w:r>
        <w:fldChar w:fldCharType="begin"/>
      </w:r>
      <w:r>
        <w:instrText xml:space="preserve"> PAGEREF _Toc166659481 \h </w:instrText>
      </w:r>
      <w:r>
        <w:fldChar w:fldCharType="separate"/>
      </w:r>
      <w:r>
        <w:t>16</w:t>
      </w:r>
      <w:r>
        <w:fldChar w:fldCharType="end"/>
      </w:r>
    </w:p>
    <w:p>
      <w:pPr>
        <w:pStyle w:val="TOC8"/>
        <w:rPr>
          <w:rFonts w:asciiTheme="minorHAnsi" w:eastAsiaTheme="minorEastAsia" w:hAnsiTheme="minorHAnsi" w:cstheme="minorBidi"/>
          <w:szCs w:val="22"/>
        </w:rPr>
      </w:pPr>
      <w:r>
        <w:t>32.</w:t>
      </w:r>
      <w:r>
        <w:tab/>
        <w:t>Section 241A deleted</w:t>
      </w:r>
      <w:r>
        <w:tab/>
      </w:r>
      <w:r>
        <w:fldChar w:fldCharType="begin"/>
      </w:r>
      <w:r>
        <w:instrText xml:space="preserve"> PAGEREF _Toc166659482 \h </w:instrText>
      </w:r>
      <w:r>
        <w:fldChar w:fldCharType="separate"/>
      </w:r>
      <w:r>
        <w:t>16</w:t>
      </w:r>
      <w:r>
        <w:fldChar w:fldCharType="end"/>
      </w:r>
    </w:p>
    <w:p>
      <w:pPr>
        <w:pStyle w:val="TOC8"/>
        <w:rPr>
          <w:rFonts w:asciiTheme="minorHAnsi" w:eastAsiaTheme="minorEastAsia" w:hAnsiTheme="minorHAnsi" w:cstheme="minorBidi"/>
          <w:szCs w:val="22"/>
        </w:rPr>
      </w:pPr>
      <w:r>
        <w:t>33.</w:t>
      </w:r>
      <w:r>
        <w:tab/>
        <w:t>Section 242 replaced</w:t>
      </w:r>
      <w:r>
        <w:tab/>
      </w:r>
      <w:r>
        <w:fldChar w:fldCharType="begin"/>
      </w:r>
      <w:r>
        <w:instrText xml:space="preserve"> PAGEREF _Toc166659483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242.</w:t>
      </w:r>
      <w:r>
        <w:rPr>
          <w:noProof/>
        </w:rPr>
        <w:tab/>
        <w:t>Proceedings for offences</w:t>
      </w:r>
      <w:r>
        <w:rPr>
          <w:noProof/>
        </w:rPr>
        <w:tab/>
      </w:r>
      <w:r>
        <w:rPr>
          <w:noProof/>
        </w:rPr>
        <w:fldChar w:fldCharType="begin"/>
      </w:r>
      <w:r>
        <w:rPr>
          <w:noProof/>
        </w:rPr>
        <w:instrText xml:space="preserve"> PAGEREF _Toc166659484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34.</w:t>
      </w:r>
      <w:r>
        <w:tab/>
        <w:t>Sections 246 and 247 deleted</w:t>
      </w:r>
      <w:r>
        <w:tab/>
      </w:r>
      <w:r>
        <w:fldChar w:fldCharType="begin"/>
      </w:r>
      <w:r>
        <w:instrText xml:space="preserve"> PAGEREF _Toc166659485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specific to this jurisdiction</w:t>
      </w:r>
    </w:p>
    <w:p>
      <w:pPr>
        <w:pStyle w:val="TOC8"/>
        <w:rPr>
          <w:rFonts w:asciiTheme="minorHAnsi" w:eastAsiaTheme="minorEastAsia" w:hAnsiTheme="minorHAnsi" w:cstheme="minorBidi"/>
          <w:szCs w:val="22"/>
        </w:rPr>
      </w:pPr>
      <w:r>
        <w:t>35.</w:t>
      </w:r>
      <w:r>
        <w:tab/>
        <w:t>Police Commissioner may give criminal history information</w:t>
      </w:r>
      <w:r>
        <w:tab/>
      </w:r>
      <w:r>
        <w:fldChar w:fldCharType="begin"/>
      </w:r>
      <w:r>
        <w:instrText xml:space="preserve"> PAGEREF _Toc166659487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36.</w:t>
      </w:r>
      <w:r>
        <w:tab/>
        <w:t>Review of decision by State Administrative Tribunal as responsible tribunal</w:t>
      </w:r>
      <w:r>
        <w:tab/>
      </w:r>
      <w:r>
        <w:fldChar w:fldCharType="begin"/>
      </w:r>
      <w:r>
        <w:instrText xml:space="preserve"> PAGEREF _Toc166659488 \h </w:instrText>
      </w:r>
      <w:r>
        <w:fldChar w:fldCharType="separate"/>
      </w:r>
      <w:r>
        <w:t>18</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_Toc166659489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38.</w:t>
      </w:r>
      <w:r>
        <w:tab/>
        <w:t>Written law repealed</w:t>
      </w:r>
      <w:r>
        <w:tab/>
      </w:r>
      <w:r>
        <w:fldChar w:fldCharType="begin"/>
      </w:r>
      <w:r>
        <w:instrText xml:space="preserve"> PAGEREF _Toc166659492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_Toc166659494 \h </w:instrText>
      </w:r>
      <w:r>
        <w:fldChar w:fldCharType="separate"/>
      </w:r>
      <w:r>
        <w:t>19</w:t>
      </w:r>
      <w:r>
        <w:fldChar w:fldCharType="end"/>
      </w:r>
    </w:p>
    <w:p>
      <w:pPr>
        <w:pStyle w:val="TOC8"/>
        <w:rPr>
          <w:rFonts w:asciiTheme="minorHAnsi" w:eastAsiaTheme="minorEastAsia" w:hAnsiTheme="minorHAnsi" w:cstheme="minorBidi"/>
          <w:szCs w:val="22"/>
        </w:rPr>
      </w:pPr>
      <w:r>
        <w:t>40.</w:t>
      </w:r>
      <w:r>
        <w:tab/>
        <w:t xml:space="preserve">Application of </w:t>
      </w:r>
      <w:r>
        <w:rPr>
          <w:i/>
        </w:rPr>
        <w:t>Interpretation Act 1984</w:t>
      </w:r>
      <w:r>
        <w:tab/>
      </w:r>
      <w:r>
        <w:fldChar w:fldCharType="begin"/>
      </w:r>
      <w:r>
        <w:instrText xml:space="preserve"> PAGEREF _Toc166659495 \h </w:instrText>
      </w:r>
      <w:r>
        <w:fldChar w:fldCharType="separate"/>
      </w:r>
      <w:r>
        <w:t>20</w:t>
      </w:r>
      <w:r>
        <w:fldChar w:fldCharType="end"/>
      </w:r>
    </w:p>
    <w:p>
      <w:pPr>
        <w:pStyle w:val="TOC8"/>
        <w:rPr>
          <w:rFonts w:asciiTheme="minorHAnsi" w:eastAsiaTheme="minorEastAsia" w:hAnsiTheme="minorHAnsi" w:cstheme="minorBidi"/>
          <w:szCs w:val="22"/>
        </w:rPr>
      </w:pPr>
      <w:r>
        <w:t>41.</w:t>
      </w:r>
      <w:r>
        <w:tab/>
        <w:t>References to the Law and this Law</w:t>
      </w:r>
      <w:r>
        <w:tab/>
      </w:r>
      <w:r>
        <w:fldChar w:fldCharType="begin"/>
      </w:r>
      <w:r>
        <w:instrText xml:space="preserve"> PAGEREF _Toc166659496 \h </w:instrText>
      </w:r>
      <w:r>
        <w:fldChar w:fldCharType="separate"/>
      </w:r>
      <w:r>
        <w:t>20</w:t>
      </w:r>
      <w:r>
        <w:fldChar w:fldCharType="end"/>
      </w:r>
    </w:p>
    <w:p>
      <w:pPr>
        <w:pStyle w:val="TOC8"/>
        <w:rPr>
          <w:rFonts w:asciiTheme="minorHAnsi" w:eastAsiaTheme="minorEastAsia" w:hAnsiTheme="minorHAnsi" w:cstheme="minorBidi"/>
          <w:szCs w:val="22"/>
        </w:rPr>
      </w:pPr>
      <w:r>
        <w:t>42.</w:t>
      </w:r>
      <w:r>
        <w:tab/>
        <w:t>New Law operates as continuation of former Law</w:t>
      </w:r>
      <w:r>
        <w:tab/>
      </w:r>
      <w:r>
        <w:fldChar w:fldCharType="begin"/>
      </w:r>
      <w:r>
        <w:instrText xml:space="preserve"> PAGEREF _Toc166659497 \h </w:instrText>
      </w:r>
      <w:r>
        <w:fldChar w:fldCharType="separate"/>
      </w:r>
      <w:r>
        <w:t>20</w:t>
      </w:r>
      <w:r>
        <w:fldChar w:fldCharType="end"/>
      </w:r>
    </w:p>
    <w:p>
      <w:pPr>
        <w:pStyle w:val="TOC8"/>
        <w:rPr>
          <w:rFonts w:asciiTheme="minorHAnsi" w:eastAsiaTheme="minorEastAsia" w:hAnsiTheme="minorHAnsi" w:cstheme="minorBidi"/>
          <w:szCs w:val="22"/>
        </w:rPr>
      </w:pPr>
      <w:r>
        <w:t>43.</w:t>
      </w:r>
      <w:r>
        <w:tab/>
        <w:t>New regulations operate as continuation of regulations applied under former Law</w:t>
      </w:r>
      <w:r>
        <w:tab/>
      </w:r>
      <w:r>
        <w:fldChar w:fldCharType="begin"/>
      </w:r>
      <w:r>
        <w:instrText xml:space="preserve"> PAGEREF _Toc166659498 \h </w:instrText>
      </w:r>
      <w:r>
        <w:fldChar w:fldCharType="separate"/>
      </w:r>
      <w:r>
        <w:t>21</w:t>
      </w:r>
      <w:r>
        <w:fldChar w:fldCharType="end"/>
      </w:r>
    </w:p>
    <w:p>
      <w:pPr>
        <w:pStyle w:val="TOC8"/>
        <w:rPr>
          <w:rFonts w:asciiTheme="minorHAnsi" w:eastAsiaTheme="minorEastAsia" w:hAnsiTheme="minorHAnsi" w:cstheme="minorBidi"/>
          <w:szCs w:val="22"/>
        </w:rPr>
      </w:pPr>
      <w:r>
        <w:t>44.</w:t>
      </w:r>
      <w:r>
        <w:tab/>
        <w:t>Existing applications for accreditation or registration</w:t>
      </w:r>
      <w:r>
        <w:tab/>
      </w:r>
      <w:r>
        <w:fldChar w:fldCharType="begin"/>
      </w:r>
      <w:r>
        <w:instrText xml:space="preserve"> PAGEREF _Toc166659499 \h </w:instrText>
      </w:r>
      <w:r>
        <w:fldChar w:fldCharType="separate"/>
      </w:r>
      <w:r>
        <w:t>22</w:t>
      </w:r>
      <w:r>
        <w:fldChar w:fldCharType="end"/>
      </w:r>
    </w:p>
    <w:p>
      <w:pPr>
        <w:pStyle w:val="TOC8"/>
        <w:rPr>
          <w:rFonts w:asciiTheme="minorHAnsi" w:eastAsiaTheme="minorEastAsia" w:hAnsiTheme="minorHAnsi" w:cstheme="minorBidi"/>
          <w:szCs w:val="22"/>
        </w:rPr>
      </w:pPr>
      <w:r>
        <w:t>45.</w:t>
      </w:r>
      <w:r>
        <w:tab/>
        <w:t>Existing right of review of condition or undertaking</w:t>
      </w:r>
      <w:r>
        <w:tab/>
      </w:r>
      <w:r>
        <w:fldChar w:fldCharType="begin"/>
      </w:r>
      <w:r>
        <w:instrText xml:space="preserve"> PAGEREF _Toc166659500 \h </w:instrText>
      </w:r>
      <w:r>
        <w:fldChar w:fldCharType="separate"/>
      </w:r>
      <w:r>
        <w:t>22</w:t>
      </w:r>
      <w:r>
        <w:fldChar w:fldCharType="end"/>
      </w:r>
    </w:p>
    <w:p>
      <w:pPr>
        <w:pStyle w:val="TOC8"/>
        <w:rPr>
          <w:rFonts w:asciiTheme="minorHAnsi" w:eastAsiaTheme="minorEastAsia" w:hAnsiTheme="minorHAnsi" w:cstheme="minorBidi"/>
          <w:szCs w:val="22"/>
        </w:rPr>
      </w:pPr>
      <w:r>
        <w:t>46.</w:t>
      </w:r>
      <w:r>
        <w:tab/>
        <w:t>Existing right of appeal</w:t>
      </w:r>
      <w:r>
        <w:tab/>
      </w:r>
      <w:r>
        <w:fldChar w:fldCharType="begin"/>
      </w:r>
      <w:r>
        <w:instrText xml:space="preserve"> PAGEREF _Toc166659501 \h </w:instrText>
      </w:r>
      <w:r>
        <w:fldChar w:fldCharType="separate"/>
      </w:r>
      <w:r>
        <w:t>23</w:t>
      </w:r>
      <w:r>
        <w:fldChar w:fldCharType="end"/>
      </w:r>
    </w:p>
    <w:p>
      <w:pPr>
        <w:pStyle w:val="TOC8"/>
        <w:rPr>
          <w:rFonts w:asciiTheme="minorHAnsi" w:eastAsiaTheme="minorEastAsia" w:hAnsiTheme="minorHAnsi" w:cstheme="minorBidi"/>
          <w:szCs w:val="22"/>
        </w:rPr>
      </w:pPr>
      <w:r>
        <w:t>47.</w:t>
      </w:r>
      <w:r>
        <w:tab/>
        <w:t>Undecided reviews and appeals</w:t>
      </w:r>
      <w:r>
        <w:tab/>
      </w:r>
      <w:r>
        <w:fldChar w:fldCharType="begin"/>
      </w:r>
      <w:r>
        <w:instrText xml:space="preserve"> PAGEREF _Toc166659502 \h </w:instrText>
      </w:r>
      <w:r>
        <w:fldChar w:fldCharType="separate"/>
      </w:r>
      <w:r>
        <w:t>23</w:t>
      </w:r>
      <w:r>
        <w:fldChar w:fldCharType="end"/>
      </w:r>
    </w:p>
    <w:p>
      <w:pPr>
        <w:pStyle w:val="TOC8"/>
        <w:rPr>
          <w:rFonts w:asciiTheme="minorHAnsi" w:eastAsiaTheme="minorEastAsia" w:hAnsiTheme="minorHAnsi" w:cstheme="minorBidi"/>
          <w:szCs w:val="22"/>
        </w:rPr>
      </w:pPr>
      <w:r>
        <w:t>48.</w:t>
      </w:r>
      <w:r>
        <w:tab/>
        <w:t>Amounts payable or recoverable under former Law</w:t>
      </w:r>
      <w:r>
        <w:tab/>
      </w:r>
      <w:r>
        <w:fldChar w:fldCharType="begin"/>
      </w:r>
      <w:r>
        <w:instrText xml:space="preserve"> PAGEREF _Toc166659503 \h </w:instrText>
      </w:r>
      <w:r>
        <w:fldChar w:fldCharType="separate"/>
      </w:r>
      <w:r>
        <w:t>24</w:t>
      </w:r>
      <w:r>
        <w:fldChar w:fldCharType="end"/>
      </w:r>
    </w:p>
    <w:p>
      <w:pPr>
        <w:pStyle w:val="TOC8"/>
        <w:rPr>
          <w:rFonts w:asciiTheme="minorHAnsi" w:eastAsiaTheme="minorEastAsia" w:hAnsiTheme="minorHAnsi" w:cstheme="minorBidi"/>
          <w:szCs w:val="22"/>
        </w:rPr>
      </w:pPr>
      <w:r>
        <w:t>49.</w:t>
      </w:r>
      <w:r>
        <w:tab/>
        <w:t>Transitional regulations</w:t>
      </w:r>
      <w:r>
        <w:tab/>
      </w:r>
      <w:r>
        <w:fldChar w:fldCharType="begin"/>
      </w:r>
      <w:r>
        <w:instrText xml:space="preserve"> PAGEREF _Toc166659504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Liquor Control Act 1988</w:t>
      </w:r>
      <w:r>
        <w:t xml:space="preserve"> amended</w:t>
      </w:r>
    </w:p>
    <w:p>
      <w:pPr>
        <w:pStyle w:val="TOC8"/>
        <w:rPr>
          <w:rFonts w:asciiTheme="minorHAnsi" w:eastAsiaTheme="minorEastAsia" w:hAnsiTheme="minorHAnsi" w:cstheme="minorBidi"/>
          <w:szCs w:val="22"/>
        </w:rPr>
      </w:pPr>
      <w:r>
        <w:t>50.</w:t>
      </w:r>
      <w:r>
        <w:tab/>
        <w:t>Act amended</w:t>
      </w:r>
      <w:r>
        <w:tab/>
      </w:r>
      <w:r>
        <w:fldChar w:fldCharType="begin"/>
      </w:r>
      <w:r>
        <w:instrText xml:space="preserve"> PAGEREF _Toc166659507 \h </w:instrText>
      </w:r>
      <w:r>
        <w:fldChar w:fldCharType="separate"/>
      </w:r>
      <w:r>
        <w:t>26</w:t>
      </w:r>
      <w:r>
        <w:fldChar w:fldCharType="end"/>
      </w:r>
    </w:p>
    <w:p>
      <w:pPr>
        <w:pStyle w:val="TOC8"/>
        <w:rPr>
          <w:rFonts w:asciiTheme="minorHAnsi" w:eastAsiaTheme="minorEastAsia" w:hAnsiTheme="minorHAnsi" w:cstheme="minorBidi"/>
          <w:szCs w:val="22"/>
        </w:rPr>
      </w:pPr>
      <w:r>
        <w:t>51.</w:t>
      </w:r>
      <w:r>
        <w:tab/>
        <w:t>Section 69 amended</w:t>
      </w:r>
      <w:r>
        <w:tab/>
      </w:r>
      <w:r>
        <w:fldChar w:fldCharType="begin"/>
      </w:r>
      <w:r>
        <w:instrText xml:space="preserve"> PAGEREF _Toc166659508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National Health Funding Pool Act 2012</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_Toc166659510 \h </w:instrText>
      </w:r>
      <w:r>
        <w:fldChar w:fldCharType="separate"/>
      </w:r>
      <w:r>
        <w:t>26</w:t>
      </w:r>
      <w:r>
        <w:fldChar w:fldCharType="end"/>
      </w:r>
    </w:p>
    <w:p>
      <w:pPr>
        <w:pStyle w:val="TOC8"/>
        <w:rPr>
          <w:rFonts w:asciiTheme="minorHAnsi" w:eastAsiaTheme="minorEastAsia" w:hAnsiTheme="minorHAnsi" w:cstheme="minorBidi"/>
          <w:szCs w:val="22"/>
        </w:rPr>
      </w:pPr>
      <w:r>
        <w:t>53.</w:t>
      </w:r>
      <w:r>
        <w:tab/>
        <w:t>Section 3 amended</w:t>
      </w:r>
      <w:r>
        <w:tab/>
      </w:r>
      <w:r>
        <w:fldChar w:fldCharType="begin"/>
      </w:r>
      <w:r>
        <w:instrText xml:space="preserve"> PAGEREF _Toc166659511 \h </w:instrText>
      </w:r>
      <w:r>
        <w:fldChar w:fldCharType="separate"/>
      </w:r>
      <w:r>
        <w:t>26</w:t>
      </w:r>
      <w:r>
        <w:fldChar w:fldCharType="end"/>
      </w:r>
    </w:p>
    <w:p>
      <w:pPr>
        <w:pStyle w:val="TOC8"/>
        <w:rPr>
          <w:rFonts w:asciiTheme="minorHAnsi" w:eastAsiaTheme="minorEastAsia" w:hAnsiTheme="minorHAnsi" w:cstheme="minorBidi"/>
          <w:szCs w:val="22"/>
        </w:rPr>
      </w:pPr>
      <w:r>
        <w:t>54.</w:t>
      </w:r>
      <w:r>
        <w:tab/>
        <w:t>Section 8 amended</w:t>
      </w:r>
      <w:r>
        <w:tab/>
      </w:r>
      <w:r>
        <w:fldChar w:fldCharType="begin"/>
      </w:r>
      <w:r>
        <w:instrText xml:space="preserve"> PAGEREF _Toc166659512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_Toc166659514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_Toc166659515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Practitioner Regulation National Law Application Act 2024</w:t>
      </w:r>
    </w:p>
    <w:p>
      <w:pPr>
        <w:pStyle w:val="LongTitle"/>
      </w:pPr>
      <w:bookmarkStart w:id="2" w:name="BillCited"/>
      <w:bookmarkEnd w:id="2"/>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1973"/>
      <w:bookmarkStart w:id="4" w:name="_Toc166652043"/>
      <w:bookmarkStart w:id="5" w:name="_Toc166652113"/>
      <w:bookmarkStart w:id="6" w:name="_Toc166657149"/>
      <w:bookmarkStart w:id="7" w:name="_Toc16665944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66659446"/>
      <w:r>
        <w:rPr>
          <w:rStyle w:val="CharSectno"/>
        </w:rPr>
        <w:t>1</w:t>
      </w:r>
      <w:r>
        <w:t>.</w:t>
      </w:r>
      <w:r>
        <w:tab/>
        <w:t>Short title</w:t>
      </w:r>
      <w:bookmarkEnd w:id="8"/>
    </w:p>
    <w:p>
      <w:pPr>
        <w:pStyle w:val="Subsection"/>
      </w:pPr>
      <w:r>
        <w:tab/>
      </w:r>
      <w:r>
        <w:tab/>
        <w:t>This is the</w:t>
      </w:r>
      <w:r>
        <w:rPr>
          <w:i/>
        </w:rPr>
        <w:t xml:space="preserve"> Health Practitioner Regulation National Law Application Act 2024</w:t>
      </w:r>
      <w:r>
        <w:t>.</w:t>
      </w:r>
    </w:p>
    <w:p>
      <w:pPr>
        <w:pStyle w:val="Heading5"/>
      </w:pPr>
      <w:bookmarkStart w:id="9" w:name="_Toc166659447"/>
      <w:r>
        <w:rPr>
          <w:rStyle w:val="CharSectno"/>
        </w:rPr>
        <w:t>2</w:t>
      </w:r>
      <w:r>
        <w:t>.</w:t>
      </w:r>
      <w:r>
        <w:tab/>
        <w:t>Commencement</w:t>
      </w:r>
      <w:bookmarkEnd w:id="9"/>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10" w:name="_Toc166659448"/>
      <w:r>
        <w:rPr>
          <w:rStyle w:val="CharSectno"/>
        </w:rPr>
        <w:t>3</w:t>
      </w:r>
      <w:r>
        <w:t>.</w:t>
      </w:r>
      <w:r>
        <w:tab/>
        <w:t>Terms used</w:t>
      </w:r>
      <w:bookmarkEnd w:id="10"/>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1" w:name="_Toc166659449"/>
      <w:r>
        <w:rPr>
          <w:rStyle w:val="CharSectno"/>
        </w:rPr>
        <w:t>4</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66651978"/>
      <w:bookmarkStart w:id="13" w:name="_Toc166652048"/>
      <w:bookmarkStart w:id="14" w:name="_Toc166652118"/>
      <w:bookmarkStart w:id="15" w:name="_Toc166657154"/>
      <w:bookmarkStart w:id="16" w:name="_Toc166659450"/>
      <w:r>
        <w:rPr>
          <w:rStyle w:val="CharPartNo"/>
        </w:rPr>
        <w:lastRenderedPageBreak/>
        <w:t>Part 2</w:t>
      </w:r>
      <w:r>
        <w:t> — </w:t>
      </w:r>
      <w:r>
        <w:rPr>
          <w:rStyle w:val="CharPartText"/>
        </w:rPr>
        <w:t>Health Practitioner Regulation National Law</w:t>
      </w:r>
      <w:bookmarkEnd w:id="12"/>
      <w:bookmarkEnd w:id="13"/>
      <w:bookmarkEnd w:id="14"/>
      <w:bookmarkEnd w:id="15"/>
      <w:bookmarkEnd w:id="16"/>
    </w:p>
    <w:p>
      <w:pPr>
        <w:pStyle w:val="Heading3"/>
      </w:pPr>
      <w:bookmarkStart w:id="17" w:name="_Toc166651979"/>
      <w:bookmarkStart w:id="18" w:name="_Toc166652049"/>
      <w:bookmarkStart w:id="19" w:name="_Toc166652119"/>
      <w:bookmarkStart w:id="20" w:name="_Toc166657155"/>
      <w:bookmarkStart w:id="21" w:name="_Toc166659451"/>
      <w:r>
        <w:rPr>
          <w:rStyle w:val="CharDivNo"/>
        </w:rPr>
        <w:t>Division 1</w:t>
      </w:r>
      <w:r>
        <w:t> — </w:t>
      </w:r>
      <w:r>
        <w:rPr>
          <w:rStyle w:val="CharDivText"/>
        </w:rPr>
        <w:t>Application of Health Practitioner Regulation National Law</w:t>
      </w:r>
      <w:bookmarkEnd w:id="17"/>
      <w:bookmarkEnd w:id="18"/>
      <w:bookmarkEnd w:id="19"/>
      <w:bookmarkEnd w:id="20"/>
      <w:bookmarkEnd w:id="21"/>
    </w:p>
    <w:p>
      <w:pPr>
        <w:pStyle w:val="Heading5"/>
      </w:pPr>
      <w:bookmarkStart w:id="22" w:name="_Toc166659452"/>
      <w:r>
        <w:rPr>
          <w:rStyle w:val="CharSectno"/>
        </w:rPr>
        <w:t>5</w:t>
      </w:r>
      <w:r>
        <w:t>.</w:t>
      </w:r>
      <w:r>
        <w:tab/>
        <w:t>Application of National Law as law of the State</w:t>
      </w:r>
      <w:bookmarkEnd w:id="22"/>
    </w:p>
    <w:p>
      <w:pPr>
        <w:pStyle w:val="Subsection"/>
      </w:pPr>
      <w:r>
        <w:tab/>
        <w:t>(1)</w:t>
      </w:r>
      <w:r>
        <w:tab/>
        <w:t xml:space="preserve">In this section — </w:t>
      </w:r>
    </w:p>
    <w:p>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pPr>
        <w:pStyle w:val="Defpara"/>
      </w:pPr>
      <w:r>
        <w:tab/>
        <w:t>(b)</w:t>
      </w:r>
      <w:r>
        <w:tab/>
        <w:t xml:space="preserve">as amended by each provision that — </w:t>
      </w:r>
    </w:p>
    <w:p>
      <w:pPr>
        <w:pStyle w:val="Defsubpara"/>
      </w:pPr>
      <w:r>
        <w:tab/>
        <w:t>(i)</w:t>
      </w:r>
      <w:r>
        <w:tab/>
        <w:t>is an amending Act that has effect for the purposes of this Part under section 8; and</w:t>
      </w:r>
    </w:p>
    <w:p>
      <w:pPr>
        <w:pStyle w:val="Defsubpara"/>
      </w:pPr>
      <w:r>
        <w:tab/>
        <w:t>(ii)</w:t>
      </w:r>
      <w:r>
        <w:tab/>
        <w:t>has come into operation for the purposes of this Part under section 9;</w:t>
      </w:r>
    </w:p>
    <w:p>
      <w:pPr>
        <w:pStyle w:val="Defpara"/>
      </w:pPr>
      <w:r>
        <w:tab/>
      </w:r>
      <w:r>
        <w:tab/>
        <w:t>and</w:t>
      </w:r>
    </w:p>
    <w:p>
      <w:pPr>
        <w:pStyle w:val="Defpara"/>
      </w:pPr>
      <w:r>
        <w:tab/>
        <w:t>(c)</w:t>
      </w:r>
      <w:r>
        <w:tab/>
        <w:t>as modified by Part 3.</w:t>
      </w:r>
    </w:p>
    <w:p>
      <w:pPr>
        <w:pStyle w:val="Subsection"/>
      </w:pPr>
      <w:r>
        <w:tab/>
        <w:t>(2)</w:t>
      </w:r>
      <w:r>
        <w:tab/>
        <w:t xml:space="preserve">The Health Practitioner Regulation National Law — </w:t>
      </w:r>
    </w:p>
    <w:p>
      <w:pPr>
        <w:pStyle w:val="Indenta"/>
      </w:pPr>
      <w:r>
        <w:tab/>
        <w:t>(a)</w:t>
      </w:r>
      <w:r>
        <w:tab/>
        <w:t>applies as a law of the State; and</w:t>
      </w:r>
    </w:p>
    <w:p>
      <w:pPr>
        <w:pStyle w:val="Indenta"/>
      </w:pPr>
      <w:r>
        <w:tab/>
        <w:t>(b)</w:t>
      </w:r>
      <w:r>
        <w:tab/>
        <w:t xml:space="preserve">as so applying may be referred to as the </w:t>
      </w:r>
      <w:r>
        <w:rPr>
          <w:i/>
        </w:rPr>
        <w:t>Health Practitioner Regulation National Law (Western Australia)</w:t>
      </w:r>
      <w:r>
        <w:t>; and</w:t>
      </w:r>
    </w:p>
    <w:p>
      <w:pPr>
        <w:pStyle w:val="Indenta"/>
      </w:pPr>
      <w:r>
        <w:tab/>
        <w:t>(c)</w:t>
      </w:r>
      <w:r>
        <w:tab/>
        <w:t>so applies as if it were an Act.</w:t>
      </w:r>
    </w:p>
    <w:p>
      <w:pPr>
        <w:pStyle w:val="Heading5"/>
      </w:pPr>
      <w:bookmarkStart w:id="23" w:name="_Toc166659453"/>
      <w:r>
        <w:rPr>
          <w:rStyle w:val="CharSectno"/>
        </w:rPr>
        <w:lastRenderedPageBreak/>
        <w:t>6</w:t>
      </w:r>
      <w:r>
        <w:t>.</w:t>
      </w:r>
      <w:r>
        <w:tab/>
        <w:t>Commencement of National Law as law of the State</w:t>
      </w:r>
      <w:bookmarkEnd w:id="23"/>
    </w:p>
    <w:p>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pPr>
        <w:pStyle w:val="Indenta"/>
      </w:pPr>
      <w:r>
        <w:tab/>
        <w:t>(a)</w:t>
      </w:r>
      <w:r>
        <w:tab/>
        <w:t>if the provision has come into operation in Queensland before commencement day — on commencement day; or</w:t>
      </w:r>
    </w:p>
    <w:p>
      <w:pPr>
        <w:pStyle w:val="Indenta"/>
      </w:pPr>
      <w:r>
        <w:tab/>
        <w:t>(b)</w:t>
      </w:r>
      <w:r>
        <w:tab/>
        <w:t>in any other case — on the day on which the provision comes into operation in Queensland under section 2 of that Act.</w:t>
      </w:r>
    </w:p>
    <w:p>
      <w:pPr>
        <w:pStyle w:val="Heading5"/>
      </w:pPr>
      <w:bookmarkStart w:id="24" w:name="_Toc166659454"/>
      <w:r>
        <w:rPr>
          <w:rStyle w:val="CharSectno"/>
        </w:rPr>
        <w:t>7</w:t>
      </w:r>
      <w:r>
        <w:t>.</w:t>
      </w:r>
      <w:r>
        <w:tab/>
        <w:t>Tabling amending Acts</w:t>
      </w:r>
      <w:bookmarkEnd w:id="24"/>
    </w:p>
    <w:p>
      <w:pPr>
        <w:pStyle w:val="Subsection"/>
      </w:pPr>
      <w:r>
        <w:tab/>
      </w:r>
      <w:r>
        <w:tab/>
        <w:t>An amending Act must be laid before each House of Parliament within 18 sitting days of the House after the day on which the Act receives the Royal Assent.</w:t>
      </w:r>
    </w:p>
    <w:p>
      <w:pPr>
        <w:pStyle w:val="Heading5"/>
      </w:pPr>
      <w:bookmarkStart w:id="25" w:name="_Toc166659455"/>
      <w:r>
        <w:rPr>
          <w:rStyle w:val="CharSectno"/>
        </w:rPr>
        <w:t>8</w:t>
      </w:r>
      <w:r>
        <w:t>.</w:t>
      </w:r>
      <w:r>
        <w:tab/>
        <w:t>Disallowance of amending Acts</w:t>
      </w:r>
      <w:bookmarkEnd w:id="25"/>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 </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6" w:name="_Toc166659456"/>
      <w:r>
        <w:rPr>
          <w:rStyle w:val="CharSectno"/>
        </w:rPr>
        <w:t>9</w:t>
      </w:r>
      <w:r>
        <w:t>.</w:t>
      </w:r>
      <w:r>
        <w:tab/>
        <w:t>Commencement of provisions of amending Acts</w:t>
      </w:r>
      <w:bookmarkEnd w:id="26"/>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Queensland before the proclamation is published — </w:t>
      </w:r>
    </w:p>
    <w:p>
      <w:pPr>
        <w:pStyle w:val="Indenta"/>
      </w:pPr>
      <w:r>
        <w:tab/>
        <w:t>(a)</w:t>
      </w:r>
      <w:r>
        <w:tab/>
        <w:t xml:space="preserve">the proclamation must fix a day on which the provision comes into operation for the purposes of this Part, which </w:t>
      </w:r>
      <w:r>
        <w:lastRenderedPageBreak/>
        <w:t>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pPr>
        <w:pStyle w:val="Heading5"/>
      </w:pPr>
      <w:bookmarkStart w:id="27" w:name="_Toc166659457"/>
      <w:r>
        <w:rPr>
          <w:rStyle w:val="CharSectno"/>
        </w:rPr>
        <w:t>10</w:t>
      </w:r>
      <w:r>
        <w:t>.</w:t>
      </w:r>
      <w:r>
        <w:tab/>
        <w:t>Amending Acts enacted after 10 October 2023 but before commencement day</w:t>
      </w:r>
      <w:bookmarkEnd w:id="27"/>
    </w:p>
    <w:p>
      <w:pPr>
        <w:pStyle w:val="Subsection"/>
      </w:pPr>
      <w:r>
        <w:tab/>
      </w:r>
      <w:r>
        <w:tab/>
        <w:t>If an amending Act receives the Royal Assent after 10 October 2023, but before commencement day, sections 7 to 9 apply to the amending Act as if it received the Royal Assent on commencement day.</w:t>
      </w:r>
    </w:p>
    <w:p>
      <w:pPr>
        <w:pStyle w:val="Heading5"/>
      </w:pPr>
      <w:bookmarkStart w:id="28" w:name="_Toc166659458"/>
      <w:r>
        <w:rPr>
          <w:rStyle w:val="CharSectno"/>
        </w:rPr>
        <w:t>11</w:t>
      </w:r>
      <w:r>
        <w:t>.</w:t>
      </w:r>
      <w:r>
        <w:tab/>
        <w:t>Tabling of amending Act taken to be publication for Standing Orders</w:t>
      </w:r>
      <w:bookmarkEnd w:id="28"/>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29" w:name="_Toc166651987"/>
      <w:bookmarkStart w:id="30" w:name="_Toc166652057"/>
      <w:bookmarkStart w:id="31" w:name="_Toc166652127"/>
      <w:bookmarkStart w:id="32" w:name="_Toc166657163"/>
      <w:bookmarkStart w:id="33" w:name="_Toc166659459"/>
      <w:r>
        <w:rPr>
          <w:rStyle w:val="CharDivNo"/>
        </w:rPr>
        <w:lastRenderedPageBreak/>
        <w:t>Division 2</w:t>
      </w:r>
      <w:r>
        <w:t> — </w:t>
      </w:r>
      <w:r>
        <w:rPr>
          <w:rStyle w:val="CharDivText"/>
        </w:rPr>
        <w:t>Application of national regulations</w:t>
      </w:r>
      <w:bookmarkEnd w:id="29"/>
      <w:bookmarkEnd w:id="30"/>
      <w:bookmarkEnd w:id="31"/>
      <w:bookmarkEnd w:id="32"/>
      <w:bookmarkEnd w:id="33"/>
    </w:p>
    <w:p>
      <w:pPr>
        <w:pStyle w:val="Heading5"/>
      </w:pPr>
      <w:bookmarkStart w:id="34" w:name="_Toc166659460"/>
      <w:r>
        <w:rPr>
          <w:rStyle w:val="CharSectno"/>
        </w:rPr>
        <w:t>12</w:t>
      </w:r>
      <w:r>
        <w:t>.</w:t>
      </w:r>
      <w:r>
        <w:tab/>
        <w:t>Application of national regulations as subsidiary legislation</w:t>
      </w:r>
      <w:bookmarkEnd w:id="34"/>
    </w:p>
    <w:p>
      <w:pPr>
        <w:pStyle w:val="Subsection"/>
      </w:pPr>
      <w:r>
        <w:tab/>
        <w:t>(1)</w:t>
      </w:r>
      <w:r>
        <w:tab/>
        <w:t xml:space="preserve">In this section — </w:t>
      </w:r>
    </w:p>
    <w:p>
      <w:pPr>
        <w:pStyle w:val="Defstart"/>
      </w:pPr>
      <w:r>
        <w:tab/>
      </w:r>
      <w:r>
        <w:rPr>
          <w:rStyle w:val="CharDefText"/>
        </w:rPr>
        <w:t>national regulations</w:t>
      </w:r>
      <w:r>
        <w:t xml:space="preserve"> means regulations made under — </w:t>
      </w:r>
    </w:p>
    <w:p>
      <w:pPr>
        <w:pStyle w:val="Defpara"/>
      </w:pPr>
      <w:r>
        <w:tab/>
        <w:t>(a)</w:t>
      </w:r>
      <w:r>
        <w:tab/>
        <w:t xml:space="preserve">section 245 of the Schedule to the </w:t>
      </w:r>
      <w:r>
        <w:rPr>
          <w:i/>
        </w:rPr>
        <w:t>Health Practitioner Regulation National Law Act 2009</w:t>
      </w:r>
      <w:r>
        <w:rPr>
          <w:iCs/>
        </w:rPr>
        <w:t xml:space="preserve"> </w:t>
      </w:r>
      <w:r>
        <w:t>(Queensland); or</w:t>
      </w:r>
    </w:p>
    <w:p>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pPr>
        <w:pStyle w:val="Subsection"/>
      </w:pPr>
      <w:r>
        <w:tab/>
        <w:t>(2)</w:t>
      </w:r>
      <w:r>
        <w:tab/>
        <w:t xml:space="preserve">The national regulations, as in force from time to time — </w:t>
      </w:r>
    </w:p>
    <w:p>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pPr>
        <w:pStyle w:val="Indenta"/>
      </w:pPr>
      <w:r>
        <w:tab/>
        <w:t>(b)</w:t>
      </w:r>
      <w:r>
        <w:tab/>
        <w:t xml:space="preserve">as so applying may be referred to as the </w:t>
      </w:r>
      <w:r>
        <w:rPr>
          <w:i/>
        </w:rPr>
        <w:t>Health Practitioner Regulation National Law Regulation (Western Australia)</w:t>
      </w:r>
      <w:r>
        <w:rPr>
          <w:iCs/>
        </w:rPr>
        <w:t>.</w:t>
      </w:r>
    </w:p>
    <w:p>
      <w:pPr>
        <w:pStyle w:val="Heading5"/>
      </w:pPr>
      <w:bookmarkStart w:id="35" w:name="_Toc166659461"/>
      <w:r>
        <w:rPr>
          <w:rStyle w:val="CharSectno"/>
        </w:rPr>
        <w:t>13</w:t>
      </w:r>
      <w:r>
        <w:t>.</w:t>
      </w:r>
      <w:r>
        <w:tab/>
        <w:t>National regulations made by amending Act provision</w:t>
      </w:r>
      <w:bookmarkEnd w:id="35"/>
    </w:p>
    <w:p>
      <w:pPr>
        <w:pStyle w:val="Subsection"/>
        <w:keepNext/>
      </w:pPr>
      <w:r>
        <w:tab/>
      </w:r>
      <w:r>
        <w:tab/>
        <w:t xml:space="preserve">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36" w:name="_Toc166659462"/>
      <w:r>
        <w:rPr>
          <w:rStyle w:val="CharSectno"/>
        </w:rPr>
        <w:lastRenderedPageBreak/>
        <w:t>14</w:t>
      </w:r>
      <w:r>
        <w:t>.</w:t>
      </w:r>
      <w:r>
        <w:tab/>
        <w:t>National regulations made under or for purposes of amending Act provision</w:t>
      </w:r>
      <w:bookmarkEnd w:id="36"/>
    </w:p>
    <w:p>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pPr>
        <w:pStyle w:val="Indenta"/>
      </w:pPr>
      <w:r>
        <w:tab/>
        <w:t>(a)</w:t>
      </w:r>
      <w:r>
        <w:tab/>
        <w:t>on or after commencement day; and</w:t>
      </w:r>
    </w:p>
    <w:p>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tab/>
        <w:t>(b)</w:t>
      </w:r>
      <w:r>
        <w:tab/>
        <w:t>the day on which the subsidiary provision comes into operation in Queensland.</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37" w:name="_Toc166659463"/>
      <w:r>
        <w:rPr>
          <w:rStyle w:val="CharSectno"/>
        </w:rPr>
        <w:t>15</w:t>
      </w:r>
      <w:r>
        <w:t>.</w:t>
      </w:r>
      <w:r>
        <w:tab/>
        <w:t>Publication of national regulations</w:t>
      </w:r>
      <w:bookmarkEnd w:id="37"/>
    </w:p>
    <w:p>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pPr>
        <w:pStyle w:val="Subsection"/>
      </w:pPr>
      <w:r>
        <w:tab/>
        <w:t>(2)</w:t>
      </w:r>
      <w:r>
        <w:tab/>
        <w:t>The national regulations must be published on the WA legislation website no later than 18 days after the day on which the national regulations are made.</w:t>
      </w:r>
    </w:p>
    <w:p>
      <w:pPr>
        <w:pStyle w:val="Subsection"/>
      </w:pPr>
      <w:r>
        <w:tab/>
        <w:t>(3)</w:t>
      </w:r>
      <w:r>
        <w:tab/>
        <w:t>If national regulations are made after 10 October 2023 but before commencement day, subsection (2) applies as if the national regulations were made on commencement day.</w:t>
      </w:r>
    </w:p>
    <w:p>
      <w:pPr>
        <w:pStyle w:val="Heading5"/>
      </w:pPr>
      <w:bookmarkStart w:id="38" w:name="_Toc166659464"/>
      <w:r>
        <w:rPr>
          <w:rStyle w:val="CharSectno"/>
        </w:rPr>
        <w:lastRenderedPageBreak/>
        <w:t>16</w:t>
      </w:r>
      <w:r>
        <w:t>.</w:t>
      </w:r>
      <w:r>
        <w:tab/>
        <w:t>Tabling and disallowance of national regulations</w:t>
      </w:r>
      <w:bookmarkEnd w:id="38"/>
    </w:p>
    <w:p>
      <w:pPr>
        <w:pStyle w:val="Subsection"/>
      </w:pPr>
      <w:r>
        <w:tab/>
        <w:t>(1)</w:t>
      </w:r>
      <w:r>
        <w:tab/>
        <w:t>National regulations published under section 15 must be laid before each House of Parliament within 6 sitting days of the House after the day on which the regulations are published.</w:t>
      </w:r>
    </w:p>
    <w:p>
      <w:pPr>
        <w:pStyle w:val="Subsection"/>
      </w:pPr>
      <w:r>
        <w:tab/>
        <w:t>(2)</w:t>
      </w:r>
      <w:r>
        <w:tab/>
        <w:t xml:space="preserve">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in accordance with subsection (1); or</w:t>
      </w:r>
    </w:p>
    <w:p>
      <w:pPr>
        <w:pStyle w:val="Indenta"/>
      </w:pPr>
      <w:r>
        <w:tab/>
        <w:t>(c)</w:t>
      </w:r>
      <w:r>
        <w:tab/>
        <w:t xml:space="preserve">the regulations are laid before each House of Parliament in accordance with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National regulations that cease to have effect under subsection (2) cease to have effect at the end of the day on which the circumstance in subsection (2)(a), (b) or (c)(ii) occurs.</w:t>
      </w:r>
    </w:p>
    <w:p>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pPr>
        <w:pStyle w:val="Subsection"/>
      </w:pPr>
      <w:r>
        <w:tab/>
        <w:t>(5)</w:t>
      </w:r>
      <w:r>
        <w:tab/>
        <w:t xml:space="preserve">If national regulations (the </w:t>
      </w:r>
      <w:r>
        <w:rPr>
          <w:rStyle w:val="CharDefText"/>
        </w:rPr>
        <w:t>disallowed regulations</w:t>
      </w:r>
      <w:r>
        <w:t xml:space="preserve">) cease to have effect under subsection (2), other national regulations that were amended or repealed by the disallowed regulations revive, for the purposes of their application under section 12, on the day </w:t>
      </w:r>
      <w:r>
        <w:lastRenderedPageBreak/>
        <w:t>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rPr>
          <w:u w:val="single"/>
        </w:rPr>
      </w:pPr>
      <w:r>
        <w:tab/>
        <w:t>(b)</w:t>
      </w:r>
      <w:r>
        <w:tab/>
        <w:t>notice of the resolution to disallow the national regulations given in a House of Parliament does not lapse even though the House is prorogued or dissolved or expires.</w:t>
      </w:r>
    </w:p>
    <w:p>
      <w:pPr>
        <w:pStyle w:val="Heading5"/>
      </w:pPr>
      <w:bookmarkStart w:id="39" w:name="_Toc166659465"/>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39"/>
    </w:p>
    <w:p>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pPr>
        <w:pStyle w:val="Heading3"/>
      </w:pPr>
      <w:bookmarkStart w:id="40" w:name="_Toc166651994"/>
      <w:bookmarkStart w:id="41" w:name="_Toc166652064"/>
      <w:bookmarkStart w:id="42" w:name="_Toc166652134"/>
      <w:bookmarkStart w:id="43" w:name="_Toc166657170"/>
      <w:bookmarkStart w:id="44" w:name="_Toc166659466"/>
      <w:r>
        <w:rPr>
          <w:rStyle w:val="CharDivNo"/>
        </w:rPr>
        <w:t>Division 3</w:t>
      </w:r>
      <w:r>
        <w:t> — </w:t>
      </w:r>
      <w:r>
        <w:rPr>
          <w:rStyle w:val="CharDivText"/>
        </w:rPr>
        <w:t>Miscellaneous</w:t>
      </w:r>
      <w:bookmarkEnd w:id="40"/>
      <w:bookmarkEnd w:id="41"/>
      <w:bookmarkEnd w:id="42"/>
      <w:bookmarkEnd w:id="43"/>
      <w:bookmarkEnd w:id="44"/>
    </w:p>
    <w:p>
      <w:pPr>
        <w:pStyle w:val="Heading5"/>
      </w:pPr>
      <w:bookmarkStart w:id="45" w:name="_Toc166659467"/>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45"/>
    </w:p>
    <w:p>
      <w:pPr>
        <w:pStyle w:val="Subsection"/>
        <w:keepNext/>
      </w:pPr>
      <w:r>
        <w:tab/>
        <w:t>(1)</w:t>
      </w:r>
      <w:r>
        <w:tab/>
        <w:t xml:space="preserve">In the </w:t>
      </w:r>
      <w:r>
        <w:rPr>
          <w:i/>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 xml:space="preserve">; </w:t>
      </w:r>
    </w:p>
    <w:p>
      <w:pPr>
        <w:pStyle w:val="Defstart"/>
      </w:pPr>
      <w:r>
        <w:tab/>
      </w:r>
      <w:r>
        <w:rPr>
          <w:rStyle w:val="CharDefText"/>
        </w:rPr>
        <w:t>this jurisdiction</w:t>
      </w:r>
      <w:r>
        <w:t xml:space="preserve"> means Western Australia.</w:t>
      </w:r>
    </w:p>
    <w:p>
      <w:pPr>
        <w:pStyle w:val="Subsection"/>
        <w:keepNext/>
      </w:pPr>
      <w:r>
        <w:lastRenderedPageBreak/>
        <w:tab/>
        <w:t>(2)</w:t>
      </w:r>
      <w:r>
        <w:tab/>
        <w:t xml:space="preserve">For the purposes of the </w:t>
      </w:r>
      <w:r>
        <w:rPr>
          <w:i/>
        </w:rPr>
        <w:t xml:space="preserve">Health Practitioner Regulation National Law (Western Australia) </w:t>
      </w:r>
      <w:r>
        <w:t xml:space="preserve">and any other Act or law — </w:t>
      </w:r>
    </w:p>
    <w:p>
      <w:pPr>
        <w:pStyle w:val="Indenta"/>
        <w:keepNext/>
      </w:pPr>
      <w:r>
        <w:tab/>
        <w:t>(a)</w:t>
      </w:r>
      <w:r>
        <w:tab/>
        <w:t xml:space="preserve">each of the following bodies is not an agency as defined in the </w:t>
      </w:r>
      <w:r>
        <w:rPr>
          <w:i/>
        </w:rPr>
        <w:t>Public Sector Management Act 1994</w:t>
      </w:r>
      <w:r>
        <w:t xml:space="preserve"> section 3(1) — </w:t>
      </w:r>
    </w:p>
    <w:p>
      <w:pPr>
        <w:pStyle w:val="Indenti"/>
      </w:pPr>
      <w:r>
        <w:tab/>
        <w:t>(i)</w:t>
      </w:r>
      <w:r>
        <w:tab/>
        <w:t>the Agency Board;</w:t>
      </w:r>
    </w:p>
    <w:p>
      <w:pPr>
        <w:pStyle w:val="Indenti"/>
      </w:pPr>
      <w:r>
        <w:tab/>
        <w:t>(ii)</w:t>
      </w:r>
      <w:r>
        <w:tab/>
        <w:t>the National Agency;</w:t>
      </w:r>
    </w:p>
    <w:p>
      <w:pPr>
        <w:pStyle w:val="Indenti"/>
        <w:keepNext/>
      </w:pPr>
      <w:r>
        <w:tab/>
        <w:t>(iii)</w:t>
      </w:r>
      <w:r>
        <w:tab/>
        <w:t>a National Board;</w:t>
      </w:r>
    </w:p>
    <w:p>
      <w:pPr>
        <w:pStyle w:val="Indenta"/>
      </w:pPr>
      <w:r>
        <w:tab/>
      </w:r>
      <w:r>
        <w:tab/>
        <w:t>and</w:t>
      </w:r>
    </w:p>
    <w:p>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pPr>
        <w:pStyle w:val="Heading5"/>
        <w:rPr>
          <w:iCs/>
        </w:rPr>
      </w:pPr>
      <w:bookmarkStart w:id="46" w:name="_Toc166659468"/>
      <w:r>
        <w:rPr>
          <w:rStyle w:val="CharSectno"/>
        </w:rPr>
        <w:t>19</w:t>
      </w:r>
      <w:r>
        <w:t>.</w:t>
      </w:r>
      <w:r>
        <w:tab/>
        <w:t xml:space="preserve">Responsible tribunal for the </w:t>
      </w:r>
      <w:r>
        <w:rPr>
          <w:i/>
        </w:rPr>
        <w:t>Health Practitioner Regulation National Law (Western Australia)</w:t>
      </w:r>
      <w:bookmarkEnd w:id="46"/>
    </w:p>
    <w:p>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pPr>
        <w:pStyle w:val="Heading5"/>
      </w:pPr>
      <w:bookmarkStart w:id="47" w:name="_Toc166659469"/>
      <w:r>
        <w:rPr>
          <w:rStyle w:val="CharSectno"/>
        </w:rPr>
        <w:t>20</w:t>
      </w:r>
      <w:r>
        <w:t>.</w:t>
      </w:r>
      <w:r>
        <w:tab/>
        <w:t>Interaction between National Law and this Act</w:t>
      </w:r>
      <w:bookmarkEnd w:id="47"/>
    </w:p>
    <w:p>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pPr>
        <w:pStyle w:val="Heading5"/>
      </w:pPr>
      <w:bookmarkStart w:id="48" w:name="_Toc166659470"/>
      <w:r>
        <w:rPr>
          <w:rStyle w:val="CharSectno"/>
        </w:rPr>
        <w:t>21</w:t>
      </w:r>
      <w:r>
        <w:t>.</w:t>
      </w:r>
      <w:r>
        <w:tab/>
        <w:t>No double jeopardy</w:t>
      </w:r>
      <w:bookmarkEnd w:id="48"/>
    </w:p>
    <w:p>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pPr>
        <w:pStyle w:val="Indenta"/>
      </w:pPr>
      <w:r>
        <w:tab/>
        <w:t>(a)</w:t>
      </w:r>
      <w:r>
        <w:tab/>
        <w:t>the act or omission that constitutes the offence also constitutes an offence against a law of another participating jurisdiction; and</w:t>
      </w:r>
    </w:p>
    <w:p>
      <w:pPr>
        <w:pStyle w:val="Indenta"/>
      </w:pPr>
      <w:r>
        <w:lastRenderedPageBreak/>
        <w:tab/>
        <w:t>(b)</w:t>
      </w:r>
      <w:r>
        <w:tab/>
        <w:t>the person has been punished for the offence under the law of the other jurisdiction.</w:t>
      </w:r>
    </w:p>
    <w:p>
      <w:pPr>
        <w:pStyle w:val="Heading5"/>
      </w:pPr>
      <w:bookmarkStart w:id="49" w:name="_Toc166659471"/>
      <w:r>
        <w:rPr>
          <w:rStyle w:val="CharSectno"/>
        </w:rPr>
        <w:t>22</w:t>
      </w:r>
      <w:r>
        <w:t>.</w:t>
      </w:r>
      <w:r>
        <w:tab/>
        <w:t>Exclusion of legislation of this jurisdiction</w:t>
      </w:r>
      <w:bookmarkEnd w:id="49"/>
    </w:p>
    <w:p>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pPr>
        <w:pStyle w:val="PermNoteHeading"/>
      </w:pPr>
      <w:r>
        <w:tab/>
        <w:t xml:space="preserve">Note for this subsection: </w:t>
      </w:r>
    </w:p>
    <w:p>
      <w:pPr>
        <w:pStyle w:val="PermNoteText"/>
      </w:pPr>
      <w:r>
        <w:tab/>
      </w:r>
      <w:r>
        <w:tab/>
        <w:t>See the Health Practitioner Regulation National Law (Western Australia) section 6.</w:t>
      </w:r>
    </w:p>
    <w:p>
      <w:pPr>
        <w:pStyle w:val="Subsection"/>
      </w:pPr>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pPr>
        <w:pStyle w:val="Heading2"/>
      </w:pPr>
      <w:bookmarkStart w:id="50" w:name="_Toc166652000"/>
      <w:bookmarkStart w:id="51" w:name="_Toc166652070"/>
      <w:bookmarkStart w:id="52" w:name="_Toc166652140"/>
      <w:bookmarkStart w:id="53" w:name="_Toc166657176"/>
      <w:bookmarkStart w:id="54" w:name="_Toc166659472"/>
      <w:r>
        <w:rPr>
          <w:rStyle w:val="CharPartNo"/>
        </w:rPr>
        <w:lastRenderedPageBreak/>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50"/>
      <w:bookmarkEnd w:id="51"/>
      <w:bookmarkEnd w:id="52"/>
      <w:bookmarkEnd w:id="53"/>
      <w:bookmarkEnd w:id="54"/>
    </w:p>
    <w:p>
      <w:pPr>
        <w:pStyle w:val="Heading5"/>
      </w:pPr>
      <w:bookmarkStart w:id="55" w:name="_Toc166659473"/>
      <w:r>
        <w:rPr>
          <w:rStyle w:val="CharSectno"/>
        </w:rPr>
        <w:t>23</w:t>
      </w:r>
      <w:r>
        <w:t>.</w:t>
      </w:r>
      <w:r>
        <w:tab/>
        <w:t>Modification of National Law</w:t>
      </w:r>
      <w:bookmarkEnd w:id="55"/>
    </w:p>
    <w:p>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pPr>
        <w:pStyle w:val="Heading5"/>
      </w:pPr>
      <w:bookmarkStart w:id="56" w:name="_Toc166659474"/>
      <w:r>
        <w:rPr>
          <w:rStyle w:val="CharSectno"/>
        </w:rPr>
        <w:t>24</w:t>
      </w:r>
      <w:r>
        <w:t>.</w:t>
      </w:r>
      <w:r>
        <w:tab/>
        <w:t>Section 3A modified</w:t>
      </w:r>
      <w:bookmarkEnd w:id="56"/>
    </w:p>
    <w:p>
      <w:pPr>
        <w:pStyle w:val="Subsection"/>
      </w:pPr>
      <w:r>
        <w:tab/>
      </w:r>
      <w:r>
        <w:tab/>
        <w:t>In section 3A(2)(c) delete “and are of an appropriate quality.” and insert:</w:t>
      </w:r>
    </w:p>
    <w:p>
      <w:pPr>
        <w:pStyle w:val="BlankOpen"/>
      </w:pPr>
    </w:p>
    <w:p>
      <w:pPr>
        <w:pStyle w:val="Subsection"/>
      </w:pPr>
      <w:r>
        <w:tab/>
      </w:r>
      <w:r>
        <w:tab/>
        <w:t>consistent with best practice principles.</w:t>
      </w:r>
    </w:p>
    <w:p>
      <w:pPr>
        <w:pStyle w:val="BlankClose"/>
      </w:pPr>
    </w:p>
    <w:p>
      <w:pPr>
        <w:pStyle w:val="Heading5"/>
      </w:pPr>
      <w:bookmarkStart w:id="57" w:name="_Toc166659475"/>
      <w:r>
        <w:rPr>
          <w:rStyle w:val="CharSectno"/>
        </w:rPr>
        <w:t>25</w:t>
      </w:r>
      <w:r>
        <w:t>.</w:t>
      </w:r>
      <w:r>
        <w:tab/>
        <w:t>Section 113 modified</w:t>
      </w:r>
      <w:bookmarkEnd w:id="57"/>
    </w:p>
    <w:p>
      <w:pPr>
        <w:pStyle w:val="Subsection"/>
      </w:pPr>
      <w:r>
        <w:tab/>
      </w:r>
      <w:r>
        <w:tab/>
        <w:t>In section 113 in the Table delete “medical practitioner” and insert:</w:t>
      </w:r>
    </w:p>
    <w:p>
      <w:pPr>
        <w:pStyle w:val="BlankOpen"/>
      </w:pPr>
    </w:p>
    <w:p>
      <w:pPr>
        <w:pStyle w:val="Subsection"/>
      </w:pPr>
      <w:r>
        <w:tab/>
      </w:r>
      <w:r>
        <w:tab/>
        <w:t>medical practitioner, physician</w:t>
      </w:r>
    </w:p>
    <w:p>
      <w:pPr>
        <w:pStyle w:val="BlankClose"/>
      </w:pPr>
    </w:p>
    <w:p>
      <w:pPr>
        <w:pStyle w:val="Heading5"/>
      </w:pPr>
      <w:bookmarkStart w:id="58" w:name="_Toc166659476"/>
      <w:r>
        <w:rPr>
          <w:rStyle w:val="CharSectno"/>
        </w:rPr>
        <w:t>26</w:t>
      </w:r>
      <w:r>
        <w:t>.</w:t>
      </w:r>
      <w:r>
        <w:tab/>
        <w:t>Section 123A inserted</w:t>
      </w:r>
      <w:bookmarkEnd w:id="58"/>
    </w:p>
    <w:p>
      <w:pPr>
        <w:pStyle w:val="Subsection"/>
        <w:keepNext/>
      </w:pPr>
      <w:r>
        <w:tab/>
      </w:r>
      <w:r>
        <w:tab/>
        <w:t>At the end of Part 7 Division 10 Subdivision 2 insert:</w:t>
      </w:r>
    </w:p>
    <w:p>
      <w:pPr>
        <w:pStyle w:val="BlankOpen"/>
      </w:pPr>
    </w:p>
    <w:p>
      <w:pPr>
        <w:pStyle w:val="zHeading5"/>
      </w:pPr>
      <w:bookmarkStart w:id="59" w:name="_Toc166659477"/>
      <w:r>
        <w:t>123A.</w:t>
      </w:r>
      <w:r>
        <w:tab/>
        <w:t>Restricted birthing practices</w:t>
      </w:r>
      <w:bookmarkEnd w:id="59"/>
    </w:p>
    <w:p>
      <w:pPr>
        <w:pStyle w:val="zSubsection"/>
        <w:keepNext/>
      </w:pPr>
      <w:r>
        <w:tab/>
        <w:t>(1)</w:t>
      </w:r>
      <w:r>
        <w:tab/>
        <w:t xml:space="preserve">In this section — </w:t>
      </w:r>
    </w:p>
    <w:p>
      <w:pPr>
        <w:pStyle w:val="zDefstart"/>
      </w:pPr>
      <w:r>
        <w:tab/>
      </w:r>
      <w:r>
        <w:rPr>
          <w:rStyle w:val="CharDefText"/>
        </w:rPr>
        <w:t>midwife</w:t>
      </w:r>
      <w:r>
        <w:t xml:space="preserve"> means a person who is registered under this Law in the midwifery profession;</w:t>
      </w:r>
    </w:p>
    <w:p>
      <w:pPr>
        <w:pStyle w:val="zDefstart"/>
      </w:pPr>
      <w:r>
        <w:lastRenderedPageBreak/>
        <w:tab/>
      </w:r>
      <w:r>
        <w:rPr>
          <w:rStyle w:val="CharDefText"/>
        </w:rPr>
        <w:t>restricted birthing practice</w:t>
      </w:r>
      <w:r>
        <w:t xml:space="preserve"> means undertaking the care of a person by managing the person’s 3 stages of labour, or any part of those stages.</w:t>
      </w:r>
    </w:p>
    <w:p>
      <w:pPr>
        <w:pStyle w:val="zSubsection"/>
      </w:pPr>
      <w:r>
        <w:tab/>
        <w:t>(2)</w:t>
      </w:r>
      <w:r>
        <w:tab/>
        <w:t xml:space="preserve">A person must not carry out a restricted birthing practice unless the person — </w:t>
      </w:r>
    </w:p>
    <w:p>
      <w:pPr>
        <w:pStyle w:val="zIndenta"/>
      </w:pPr>
      <w:r>
        <w:tab/>
        <w:t>(a)</w:t>
      </w:r>
      <w:r>
        <w:tab/>
        <w:t>is a medical practitioner; or</w:t>
      </w:r>
    </w:p>
    <w:p>
      <w:pPr>
        <w:pStyle w:val="zIndenta"/>
      </w:pPr>
      <w:r>
        <w:tab/>
        <w:t>(b)</w:t>
      </w:r>
      <w:r>
        <w:tab/>
        <w:t>is a midwife; or</w:t>
      </w:r>
    </w:p>
    <w:p>
      <w:pPr>
        <w:pStyle w:val="zIndenta"/>
      </w:pPr>
      <w:r>
        <w:tab/>
        <w:t>(c)</w:t>
      </w:r>
      <w:r>
        <w:tab/>
        <w:t xml:space="preserve">is a student who carries out the restricted birthing practice in the course of activities undertaken as part of — </w:t>
      </w:r>
    </w:p>
    <w:p>
      <w:pPr>
        <w:pStyle w:val="zIndenti"/>
      </w:pPr>
      <w:r>
        <w:tab/>
        <w:t>(i)</w:t>
      </w:r>
      <w:r>
        <w:tab/>
        <w:t>an approved program of study for the medical or midwifery profession; or</w:t>
      </w:r>
    </w:p>
    <w:p>
      <w:pPr>
        <w:pStyle w:val="zIndenti"/>
      </w:pPr>
      <w:r>
        <w:tab/>
        <w:t>(ii)</w:t>
      </w:r>
      <w:r>
        <w:tab/>
        <w:t>clinical training in the medical or midwifery profession;</w:t>
      </w:r>
    </w:p>
    <w:p>
      <w:pPr>
        <w:pStyle w:val="zIndenta"/>
      </w:pPr>
      <w:r>
        <w:tab/>
      </w:r>
      <w:r>
        <w:tab/>
        <w:t>or</w:t>
      </w:r>
    </w:p>
    <w:p>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Indenta"/>
        <w:keepNext/>
      </w:pPr>
      <w:r>
        <w:tab/>
        <w:t>(e)</w:t>
      </w:r>
      <w:r>
        <w:tab/>
        <w:t>is providing emergency assistance to a person who is in labour.</w:t>
      </w:r>
    </w:p>
    <w:p>
      <w:pPr>
        <w:pStyle w:val="zPenstart"/>
      </w:pPr>
      <w:r>
        <w:tab/>
        <w:t>Maximum penalty — $60 000 or 3 years imprisonment or both.</w:t>
      </w:r>
    </w:p>
    <w:p>
      <w:pPr>
        <w:pStyle w:val="BlankClose"/>
      </w:pPr>
    </w:p>
    <w:p>
      <w:pPr>
        <w:pStyle w:val="Heading5"/>
      </w:pPr>
      <w:bookmarkStart w:id="60" w:name="_Toc166659478"/>
      <w:r>
        <w:rPr>
          <w:rStyle w:val="CharSectno"/>
        </w:rPr>
        <w:t>27</w:t>
      </w:r>
      <w:r>
        <w:t>.</w:t>
      </w:r>
      <w:r>
        <w:tab/>
        <w:t>Section 141 modified</w:t>
      </w:r>
      <w:bookmarkEnd w:id="60"/>
    </w:p>
    <w:p>
      <w:pPr>
        <w:pStyle w:val="Subsection"/>
      </w:pPr>
      <w:r>
        <w:tab/>
        <w:t>(1)</w:t>
      </w:r>
      <w:r>
        <w:tab/>
        <w:t>Delete section 141(2A).</w:t>
      </w:r>
    </w:p>
    <w:p>
      <w:pPr>
        <w:pStyle w:val="Subsection"/>
        <w:keepNext/>
      </w:pPr>
      <w:r>
        <w:lastRenderedPageBreak/>
        <w:tab/>
        <w:t>(2)</w:t>
      </w:r>
      <w:r>
        <w:tab/>
        <w:t>After section 141(4)(c) insert:</w:t>
      </w:r>
    </w:p>
    <w:p>
      <w:pPr>
        <w:pStyle w:val="BlankOpen"/>
      </w:pPr>
    </w:p>
    <w:p>
      <w:pPr>
        <w:pStyle w:val="zIndenta"/>
      </w:pPr>
      <w:r>
        <w:tab/>
        <w:t>(ca)</w:t>
      </w:r>
      <w:r>
        <w:tab/>
        <w:t>the first health practitioner forms the reasonable belief in the course of providing health services to the second health practitioner or student; or</w:t>
      </w:r>
    </w:p>
    <w:p>
      <w:pPr>
        <w:pStyle w:val="BlankClose"/>
      </w:pPr>
    </w:p>
    <w:p>
      <w:pPr>
        <w:pStyle w:val="SectAltNote"/>
        <w:rPr>
          <w:szCs w:val="18"/>
        </w:rPr>
      </w:pPr>
      <w:r>
        <w:tab/>
        <w:t>Note: the heading to amended section 141 is</w:t>
      </w:r>
      <w:r>
        <w:rPr>
          <w:szCs w:val="18"/>
        </w:rPr>
        <w:t xml:space="preserve"> to read:</w:t>
      </w:r>
    </w:p>
    <w:p>
      <w:pPr>
        <w:pStyle w:val="SectAltHeading"/>
      </w:pPr>
      <w:r>
        <w:tab/>
      </w:r>
      <w:r>
        <w:tab/>
        <w:t>Mandatory notifications by health practitioners</w:t>
      </w:r>
    </w:p>
    <w:p>
      <w:pPr>
        <w:pStyle w:val="Heading5"/>
      </w:pPr>
      <w:bookmarkStart w:id="61" w:name="_Toc166659479"/>
      <w:r>
        <w:rPr>
          <w:rStyle w:val="CharSectno"/>
        </w:rPr>
        <w:t>28</w:t>
      </w:r>
      <w:r>
        <w:t>.</w:t>
      </w:r>
      <w:r>
        <w:tab/>
        <w:t>Sections 141A, 141B and 141C deleted</w:t>
      </w:r>
      <w:bookmarkEnd w:id="61"/>
    </w:p>
    <w:p>
      <w:pPr>
        <w:pStyle w:val="Subsection"/>
      </w:pPr>
      <w:r>
        <w:tab/>
      </w:r>
      <w:r>
        <w:tab/>
        <w:t>Delete sections 141A, 141B and 141C.</w:t>
      </w:r>
    </w:p>
    <w:p>
      <w:pPr>
        <w:pStyle w:val="Ednotesection"/>
      </w:pPr>
      <w:r>
        <w:t>[</w:t>
      </w:r>
      <w:r>
        <w:rPr>
          <w:b/>
          <w:bCs/>
        </w:rPr>
        <w:t>29.</w:t>
      </w:r>
      <w:r>
        <w:tab/>
        <w:t>Has not come into operation.]</w:t>
      </w:r>
    </w:p>
    <w:p>
      <w:pPr>
        <w:pStyle w:val="Heading5"/>
      </w:pPr>
      <w:bookmarkStart w:id="62" w:name="_Toc166659480"/>
      <w:r>
        <w:rPr>
          <w:rStyle w:val="CharSectno"/>
        </w:rPr>
        <w:t>30</w:t>
      </w:r>
      <w:r>
        <w:t>.</w:t>
      </w:r>
      <w:r>
        <w:tab/>
        <w:t>Section 159P modified</w:t>
      </w:r>
      <w:bookmarkEnd w:id="62"/>
    </w:p>
    <w:p>
      <w:pPr>
        <w:pStyle w:val="Subsection"/>
        <w:keepNext/>
      </w:pPr>
      <w:r>
        <w:tab/>
      </w:r>
      <w:r>
        <w:tab/>
        <w:t xml:space="preserve">In section 159P in the definition of </w:t>
      </w:r>
      <w:r>
        <w:rPr>
          <w:b/>
          <w:i/>
        </w:rPr>
        <w:t>relevant provision</w:t>
      </w:r>
      <w:r>
        <w:t xml:space="preserve"> paragraph (c) delete “123;” and insert:</w:t>
      </w:r>
    </w:p>
    <w:p>
      <w:pPr>
        <w:pStyle w:val="BlankOpen"/>
      </w:pPr>
    </w:p>
    <w:p>
      <w:pPr>
        <w:pStyle w:val="Subsection"/>
        <w:keepNext/>
      </w:pPr>
      <w:r>
        <w:tab/>
      </w:r>
      <w:r>
        <w:tab/>
        <w:t>123A;</w:t>
      </w:r>
    </w:p>
    <w:p>
      <w:pPr>
        <w:pStyle w:val="BlankClose"/>
      </w:pPr>
    </w:p>
    <w:p>
      <w:pPr>
        <w:pStyle w:val="Heading5"/>
      </w:pPr>
      <w:bookmarkStart w:id="63" w:name="_Toc166659481"/>
      <w:r>
        <w:rPr>
          <w:rStyle w:val="CharSectno"/>
        </w:rPr>
        <w:t>31</w:t>
      </w:r>
      <w:r>
        <w:t>.</w:t>
      </w:r>
      <w:r>
        <w:tab/>
        <w:t>Section 206 modified</w:t>
      </w:r>
      <w:bookmarkEnd w:id="63"/>
    </w:p>
    <w:p>
      <w:pPr>
        <w:pStyle w:val="Subsection"/>
      </w:pPr>
      <w:r>
        <w:tab/>
      </w:r>
      <w:r>
        <w:tab/>
        <w:t>At the end of section 206(1) insert:</w:t>
      </w:r>
    </w:p>
    <w:p>
      <w:pPr>
        <w:pStyle w:val="BlankOpen"/>
      </w:pPr>
    </w:p>
    <w:p>
      <w:pPr>
        <w:pStyle w:val="zPermNoteHeading"/>
      </w:pPr>
      <w:r>
        <w:tab/>
        <w:t>Note:</w:t>
      </w:r>
    </w:p>
    <w:p>
      <w:pPr>
        <w:pStyle w:val="zPermNoteText"/>
        <w:keepNext/>
      </w:pPr>
      <w:r>
        <w:tab/>
      </w:r>
      <w:r>
        <w:tab/>
        <w:t>Under section 132, a National Board may ask a registered health practitioner to give the Board information about whether or not the practitioner is employed by another entity and, if so, for the employer’s details.</w:t>
      </w:r>
    </w:p>
    <w:p>
      <w:pPr>
        <w:pStyle w:val="BlankClose"/>
      </w:pPr>
    </w:p>
    <w:p>
      <w:pPr>
        <w:pStyle w:val="Heading5"/>
      </w:pPr>
      <w:bookmarkStart w:id="64" w:name="_Toc166659482"/>
      <w:r>
        <w:rPr>
          <w:rStyle w:val="CharSectno"/>
        </w:rPr>
        <w:t>32</w:t>
      </w:r>
      <w:r>
        <w:t>.</w:t>
      </w:r>
      <w:r>
        <w:tab/>
        <w:t>Section 241A deleted</w:t>
      </w:r>
      <w:bookmarkEnd w:id="64"/>
    </w:p>
    <w:p>
      <w:pPr>
        <w:pStyle w:val="Subsection"/>
      </w:pPr>
      <w:r>
        <w:tab/>
      </w:r>
      <w:r>
        <w:tab/>
        <w:t>Delete section 241A.</w:t>
      </w:r>
    </w:p>
    <w:p>
      <w:pPr>
        <w:pStyle w:val="Heading5"/>
      </w:pPr>
      <w:bookmarkStart w:id="65" w:name="_Toc166659483"/>
      <w:r>
        <w:rPr>
          <w:rStyle w:val="CharSectno"/>
        </w:rPr>
        <w:lastRenderedPageBreak/>
        <w:t>33</w:t>
      </w:r>
      <w:r>
        <w:t>.</w:t>
      </w:r>
      <w:r>
        <w:tab/>
        <w:t>Section 242 replaced</w:t>
      </w:r>
      <w:bookmarkEnd w:id="65"/>
    </w:p>
    <w:p>
      <w:pPr>
        <w:pStyle w:val="Subsection"/>
      </w:pPr>
      <w:r>
        <w:tab/>
      </w:r>
      <w:r>
        <w:tab/>
        <w:t>Delete section 242 and insert:</w:t>
      </w:r>
    </w:p>
    <w:p>
      <w:pPr>
        <w:pStyle w:val="BlankOpen"/>
      </w:pPr>
    </w:p>
    <w:p>
      <w:pPr>
        <w:pStyle w:val="zHeading5"/>
      </w:pPr>
      <w:bookmarkStart w:id="66" w:name="_Toc166659484"/>
      <w:r>
        <w:t>242.</w:t>
      </w:r>
      <w:r>
        <w:tab/>
        <w:t>Proceedings for offences</w:t>
      </w:r>
      <w:bookmarkEnd w:id="66"/>
    </w:p>
    <w:p>
      <w:pPr>
        <w:pStyle w:val="zSubsection"/>
      </w:pPr>
      <w:r>
        <w:tab/>
        <w:t>(1)</w:t>
      </w:r>
      <w:r>
        <w:tab/>
        <w:t>A proceeding for an offence against this Law is to be by way of summary proceeding before a court of summary jurisdiction.</w:t>
      </w:r>
    </w:p>
    <w:p>
      <w:pPr>
        <w:pStyle w:val="zSubsection"/>
      </w:pPr>
      <w:r>
        <w:tab/>
        <w:t>(2)</w:t>
      </w:r>
      <w:r>
        <w:tab/>
        <w:t>A proceeding for an offence against a provision of Division 10 of Part 7 or section 196A(1) may be commenced at any time.</w:t>
      </w:r>
    </w:p>
    <w:p>
      <w:pPr>
        <w:pStyle w:val="BlankClose"/>
      </w:pPr>
    </w:p>
    <w:p>
      <w:pPr>
        <w:pStyle w:val="Heading5"/>
      </w:pPr>
      <w:bookmarkStart w:id="67" w:name="_Toc166659485"/>
      <w:r>
        <w:rPr>
          <w:rStyle w:val="CharSectno"/>
        </w:rPr>
        <w:t>34</w:t>
      </w:r>
      <w:r>
        <w:t>.</w:t>
      </w:r>
      <w:r>
        <w:tab/>
        <w:t>Sections 246 and 247 deleted</w:t>
      </w:r>
      <w:bookmarkEnd w:id="67"/>
    </w:p>
    <w:p>
      <w:pPr>
        <w:pStyle w:val="Subsection"/>
      </w:pPr>
      <w:r>
        <w:tab/>
      </w:r>
      <w:r>
        <w:tab/>
        <w:t>Delete sections 246 and 247.</w:t>
      </w:r>
    </w:p>
    <w:p>
      <w:pPr>
        <w:pStyle w:val="Heading2"/>
      </w:pPr>
      <w:bookmarkStart w:id="68" w:name="_Toc166652015"/>
      <w:bookmarkStart w:id="69" w:name="_Toc166652085"/>
      <w:bookmarkStart w:id="70" w:name="_Toc166652155"/>
      <w:bookmarkStart w:id="71" w:name="_Toc166657190"/>
      <w:bookmarkStart w:id="72" w:name="_Toc166659486"/>
      <w:r>
        <w:rPr>
          <w:rStyle w:val="CharPartNo"/>
        </w:rPr>
        <w:lastRenderedPageBreak/>
        <w:t>Part 4</w:t>
      </w:r>
      <w:r>
        <w:rPr>
          <w:rStyle w:val="CharDivNo"/>
        </w:rPr>
        <w:t> </w:t>
      </w:r>
      <w:r>
        <w:t>—</w:t>
      </w:r>
      <w:r>
        <w:rPr>
          <w:rStyle w:val="CharDivText"/>
        </w:rPr>
        <w:t> </w:t>
      </w:r>
      <w:r>
        <w:rPr>
          <w:rStyle w:val="CharPartText"/>
        </w:rPr>
        <w:t>Provisions specific to this jurisdiction</w:t>
      </w:r>
      <w:bookmarkEnd w:id="68"/>
      <w:bookmarkEnd w:id="69"/>
      <w:bookmarkEnd w:id="70"/>
      <w:bookmarkEnd w:id="71"/>
      <w:bookmarkEnd w:id="72"/>
    </w:p>
    <w:p>
      <w:pPr>
        <w:pStyle w:val="Heading5"/>
      </w:pPr>
      <w:bookmarkStart w:id="73" w:name="_Toc166659487"/>
      <w:r>
        <w:rPr>
          <w:rStyle w:val="CharSectno"/>
        </w:rPr>
        <w:t>35</w:t>
      </w:r>
      <w:r>
        <w:t>.</w:t>
      </w:r>
      <w:r>
        <w:tab/>
        <w:t>Police Commissioner may give criminal history information</w:t>
      </w:r>
      <w:bookmarkEnd w:id="73"/>
    </w:p>
    <w:p>
      <w:pPr>
        <w:pStyle w:val="Subsection"/>
      </w:pPr>
      <w:r>
        <w:tab/>
        <w:t>(1)</w:t>
      </w:r>
      <w:r>
        <w:tab/>
        <w:t xml:space="preserve">In this section — </w:t>
      </w:r>
    </w:p>
    <w:p>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pPr>
        <w:pStyle w:val="Subsection"/>
      </w:pPr>
      <w:r>
        <w:tab/>
        <w:t>(2)</w:t>
      </w:r>
      <w:r>
        <w:tab/>
        <w:t xml:space="preserve">The Commissioner of Police appointed under the </w:t>
      </w:r>
      <w:r>
        <w:rPr>
          <w:i/>
        </w:rPr>
        <w:t>Police Act 1892</w:t>
      </w:r>
      <w:r>
        <w:t xml:space="preserve">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Heading5"/>
      </w:pPr>
      <w:bookmarkStart w:id="74" w:name="_Toc166659488"/>
      <w:r>
        <w:rPr>
          <w:rStyle w:val="CharSectno"/>
        </w:rPr>
        <w:t>36</w:t>
      </w:r>
      <w:r>
        <w:t>.</w:t>
      </w:r>
      <w:r>
        <w:tab/>
        <w:t>Review of decision by State Administrative Tribunal as responsible tribunal</w:t>
      </w:r>
      <w:bookmarkEnd w:id="74"/>
    </w:p>
    <w:p>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pPr>
        <w:pStyle w:val="Heading5"/>
      </w:pPr>
      <w:bookmarkStart w:id="75" w:name="_Toc166659489"/>
      <w:r>
        <w:rPr>
          <w:rStyle w:val="CharSectno"/>
        </w:rPr>
        <w:t>37</w:t>
      </w:r>
      <w:r>
        <w:t>.</w:t>
      </w:r>
      <w:r>
        <w:tab/>
        <w:t>Local regulations</w:t>
      </w:r>
      <w:bookmarkEnd w:id="75"/>
    </w:p>
    <w:p>
      <w:pPr>
        <w:pStyle w:val="Subsection"/>
      </w:pPr>
      <w:r>
        <w:tab/>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2"/>
      </w:pPr>
      <w:bookmarkStart w:id="76" w:name="_Toc166652019"/>
      <w:bookmarkStart w:id="77" w:name="_Toc166652089"/>
      <w:bookmarkStart w:id="78" w:name="_Toc166652159"/>
      <w:bookmarkStart w:id="79" w:name="_Toc166657194"/>
      <w:bookmarkStart w:id="80" w:name="_Toc166659490"/>
      <w:r>
        <w:rPr>
          <w:rStyle w:val="CharPartNo"/>
        </w:rPr>
        <w:lastRenderedPageBreak/>
        <w:t>Part 5</w:t>
      </w:r>
      <w:r>
        <w:t> — </w:t>
      </w:r>
      <w:r>
        <w:rPr>
          <w:rStyle w:val="CharPartText"/>
        </w:rPr>
        <w:t>Repeal and transitional provisions</w:t>
      </w:r>
      <w:bookmarkEnd w:id="76"/>
      <w:bookmarkEnd w:id="77"/>
      <w:bookmarkEnd w:id="78"/>
      <w:bookmarkEnd w:id="79"/>
      <w:bookmarkEnd w:id="80"/>
    </w:p>
    <w:p>
      <w:pPr>
        <w:pStyle w:val="Heading3"/>
      </w:pPr>
      <w:bookmarkStart w:id="81" w:name="_Toc166652020"/>
      <w:bookmarkStart w:id="82" w:name="_Toc166652090"/>
      <w:bookmarkStart w:id="83" w:name="_Toc166652160"/>
      <w:bookmarkStart w:id="84" w:name="_Toc166657195"/>
      <w:bookmarkStart w:id="85" w:name="_Toc166659491"/>
      <w:r>
        <w:rPr>
          <w:rStyle w:val="CharDivNo"/>
        </w:rPr>
        <w:t>Division 1</w:t>
      </w:r>
      <w:r>
        <w:t> — </w:t>
      </w:r>
      <w:r>
        <w:rPr>
          <w:rStyle w:val="CharDivText"/>
        </w:rPr>
        <w:t>Repeal</w:t>
      </w:r>
      <w:bookmarkEnd w:id="81"/>
      <w:bookmarkEnd w:id="82"/>
      <w:bookmarkEnd w:id="83"/>
      <w:bookmarkEnd w:id="84"/>
      <w:bookmarkEnd w:id="85"/>
    </w:p>
    <w:p>
      <w:pPr>
        <w:pStyle w:val="Heading5"/>
      </w:pPr>
      <w:bookmarkStart w:id="86" w:name="_Toc166659492"/>
      <w:r>
        <w:rPr>
          <w:rStyle w:val="CharSectno"/>
        </w:rPr>
        <w:t>38</w:t>
      </w:r>
      <w:r>
        <w:t>.</w:t>
      </w:r>
      <w:r>
        <w:tab/>
        <w:t>Written law repealed</w:t>
      </w:r>
      <w:bookmarkEnd w:id="86"/>
    </w:p>
    <w:p>
      <w:pPr>
        <w:pStyle w:val="Subsection"/>
      </w:pPr>
      <w:r>
        <w:tab/>
      </w:r>
      <w:r>
        <w:tab/>
        <w:t xml:space="preserve">The </w:t>
      </w:r>
      <w:r>
        <w:rPr>
          <w:i/>
        </w:rPr>
        <w:t>Health Practitioner Regulation National Law (WA) Act 2010</w:t>
      </w:r>
      <w:r>
        <w:t xml:space="preserve"> is repealed.</w:t>
      </w:r>
    </w:p>
    <w:p>
      <w:pPr>
        <w:pStyle w:val="Heading3"/>
      </w:pPr>
      <w:bookmarkStart w:id="87" w:name="_Toc166652022"/>
      <w:bookmarkStart w:id="88" w:name="_Toc166652092"/>
      <w:bookmarkStart w:id="89" w:name="_Toc166652162"/>
      <w:bookmarkStart w:id="90" w:name="_Toc166657197"/>
      <w:bookmarkStart w:id="91" w:name="_Toc166659493"/>
      <w:r>
        <w:rPr>
          <w:rStyle w:val="CharDivNo"/>
        </w:rPr>
        <w:t>Division 2</w:t>
      </w:r>
      <w:r>
        <w:t> — </w:t>
      </w:r>
      <w:r>
        <w:rPr>
          <w:rStyle w:val="CharDivText"/>
        </w:rPr>
        <w:t>Transitional provisions</w:t>
      </w:r>
      <w:bookmarkEnd w:id="87"/>
      <w:bookmarkEnd w:id="88"/>
      <w:bookmarkEnd w:id="89"/>
      <w:bookmarkEnd w:id="90"/>
      <w:bookmarkEnd w:id="91"/>
    </w:p>
    <w:p>
      <w:pPr>
        <w:pStyle w:val="Heading5"/>
      </w:pPr>
      <w:bookmarkStart w:id="92" w:name="_Toc166659494"/>
      <w:r>
        <w:rPr>
          <w:rStyle w:val="CharSectno"/>
        </w:rPr>
        <w:t>39</w:t>
      </w:r>
      <w:r>
        <w:t>.</w:t>
      </w:r>
      <w:r>
        <w:tab/>
        <w:t>Terms used</w:t>
      </w:r>
      <w:bookmarkEnd w:id="92"/>
    </w:p>
    <w:p>
      <w:pPr>
        <w:pStyle w:val="Subsection"/>
      </w:pPr>
      <w:r>
        <w:tab/>
        <w:t>(1)</w:t>
      </w:r>
      <w:r>
        <w:tab/>
        <w:t xml:space="preserve">In this Division — </w:t>
      </w:r>
    </w:p>
    <w:p>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pPr>
        <w:pStyle w:val="Defstart"/>
      </w:pPr>
      <w:r>
        <w:tab/>
      </w:r>
      <w:r>
        <w:rPr>
          <w:rStyle w:val="CharDefText"/>
        </w:rPr>
        <w:t>repealed Act</w:t>
      </w:r>
      <w:r>
        <w:t xml:space="preserve"> means the </w:t>
      </w:r>
      <w:r>
        <w:rPr>
          <w:i/>
        </w:rPr>
        <w:t>Health Practitioner Regulation National Law (WA) Act 2010</w:t>
      </w:r>
      <w:r>
        <w:t>.</w:t>
      </w:r>
    </w:p>
    <w:p>
      <w:pPr>
        <w:pStyle w:val="Subsection"/>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iCs/>
        </w:rPr>
      </w:pPr>
      <w:bookmarkStart w:id="93" w:name="_Toc166659495"/>
      <w:r>
        <w:rPr>
          <w:rStyle w:val="CharSectno"/>
        </w:rPr>
        <w:lastRenderedPageBreak/>
        <w:t>40</w:t>
      </w:r>
      <w:r>
        <w:t>.</w:t>
      </w:r>
      <w:r>
        <w:tab/>
        <w:t xml:space="preserve">Application of </w:t>
      </w:r>
      <w:r>
        <w:rPr>
          <w:i/>
        </w:rPr>
        <w:t>Interpretation Act 1984</w:t>
      </w:r>
      <w:bookmarkEnd w:id="93"/>
    </w:p>
    <w:p>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 38 does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pPr>
        <w:pStyle w:val="Heading5"/>
      </w:pPr>
      <w:bookmarkStart w:id="94" w:name="_Toc166659496"/>
      <w:r>
        <w:rPr>
          <w:rStyle w:val="CharSectno"/>
        </w:rPr>
        <w:t>41</w:t>
      </w:r>
      <w:r>
        <w:t>.</w:t>
      </w:r>
      <w:r>
        <w:tab/>
        <w:t>References to the Law and this Law</w:t>
      </w:r>
      <w:bookmarkEnd w:id="94"/>
    </w:p>
    <w:p>
      <w:pPr>
        <w:pStyle w:val="Subsection"/>
      </w:pPr>
      <w:r>
        <w:tab/>
        <w:t>(1)</w:t>
      </w:r>
      <w:r>
        <w:tab/>
        <w:t xml:space="preserve">In the </w:t>
      </w:r>
      <w:r>
        <w:rPr>
          <w:i/>
        </w:rPr>
        <w:t>Health Practitioner Regulation National Law (Western Australia)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Part.</w:t>
      </w:r>
    </w:p>
    <w:p>
      <w:pPr>
        <w:pStyle w:val="Heading5"/>
      </w:pPr>
      <w:bookmarkStart w:id="95" w:name="_Toc166659497"/>
      <w:r>
        <w:rPr>
          <w:rStyle w:val="CharSectno"/>
        </w:rPr>
        <w:t>42</w:t>
      </w:r>
      <w:r>
        <w:t>.</w:t>
      </w:r>
      <w:r>
        <w:tab/>
        <w:t>New Law operates as continuation of former Law</w:t>
      </w:r>
      <w:bookmarkEnd w:id="95"/>
    </w:p>
    <w:p>
      <w:pPr>
        <w:pStyle w:val="Subsection"/>
        <w:keepNext/>
      </w:pPr>
      <w:r>
        <w:tab/>
        <w:t>(1)</w:t>
      </w:r>
      <w:r>
        <w:tab/>
        <w:t xml:space="preserve">In this section — </w:t>
      </w:r>
    </w:p>
    <w:p>
      <w:pPr>
        <w:pStyle w:val="Defstart"/>
      </w:pPr>
      <w:r>
        <w:tab/>
      </w:r>
      <w:r>
        <w:rPr>
          <w:rStyle w:val="CharDefText"/>
        </w:rPr>
        <w:t>pending matter</w:t>
      </w:r>
      <w:r>
        <w:t xml:space="preserve"> means a notification, claim, assessment, proceeding, dispute or other matter commenced or arising under </w:t>
      </w:r>
      <w:r>
        <w:lastRenderedPageBreak/>
        <w:t>the former Law before commencement day that is pending, current or continuing under the former Law immediately before commencement day.</w:t>
      </w:r>
    </w:p>
    <w:p>
      <w:pPr>
        <w:pStyle w:val="Subsection"/>
      </w:pPr>
      <w:r>
        <w:tab/>
        <w:t>(2)</w:t>
      </w:r>
      <w:r>
        <w:tab/>
        <w:t>The new Law operates as a continuation of the former Law and a pending matter continues and must be dealt with under the new Law as if it arose under the new Law.</w:t>
      </w:r>
    </w:p>
    <w:p>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pPr>
        <w:pStyle w:val="Heading5"/>
      </w:pPr>
      <w:bookmarkStart w:id="96" w:name="_Toc166659498"/>
      <w:r>
        <w:rPr>
          <w:rStyle w:val="CharSectno"/>
        </w:rPr>
        <w:t>43</w:t>
      </w:r>
      <w:r>
        <w:t>.</w:t>
      </w:r>
      <w:r>
        <w:tab/>
        <w:t>New regulations operate as continuation of regulations applied under former Law</w:t>
      </w:r>
      <w:bookmarkEnd w:id="96"/>
    </w:p>
    <w:p>
      <w:pPr>
        <w:pStyle w:val="Subsection"/>
      </w:pPr>
      <w:r>
        <w:tab/>
        <w:t>(1)</w:t>
      </w:r>
      <w:r>
        <w:tab/>
        <w:t xml:space="preserve">In this section — </w:t>
      </w:r>
    </w:p>
    <w:p>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pPr>
        <w:pStyle w:val="Subsection"/>
      </w:pPr>
      <w:r>
        <w:lastRenderedPageBreak/>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pPr>
        <w:pStyle w:val="Subsection"/>
      </w:pPr>
      <w:r>
        <w:tab/>
        <w:t>(4)</w:t>
      </w:r>
      <w:r>
        <w:tab/>
        <w:t>Subsection (2) does not affect the operation of section 12.</w:t>
      </w:r>
    </w:p>
    <w:p>
      <w:pPr>
        <w:pStyle w:val="Heading5"/>
      </w:pPr>
      <w:bookmarkStart w:id="97" w:name="_Toc166659499"/>
      <w:r>
        <w:rPr>
          <w:rStyle w:val="CharSectno"/>
        </w:rPr>
        <w:t>44</w:t>
      </w:r>
      <w:r>
        <w:t>.</w:t>
      </w:r>
      <w:r>
        <w:tab/>
        <w:t>Existing applications for accreditation or registration</w:t>
      </w:r>
      <w:bookmarkEnd w:id="97"/>
    </w:p>
    <w:p>
      <w:pPr>
        <w:pStyle w:val="Subsection"/>
      </w:pPr>
      <w:r>
        <w:tab/>
        <w:t>(1)</w:t>
      </w:r>
      <w:r>
        <w:tab/>
        <w:t xml:space="preserve">This section applies if any of the following applications, made under a provision of the former Law, are not decided or withdrawn before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approval;</w:t>
      </w:r>
    </w:p>
    <w:p>
      <w:pPr>
        <w:pStyle w:val="Indenta"/>
      </w:pPr>
      <w:r>
        <w:tab/>
        <w:t>(d)</w:t>
      </w:r>
      <w:r>
        <w:tab/>
        <w:t>an application for registration;</w:t>
      </w:r>
    </w:p>
    <w:p>
      <w:pPr>
        <w:pStyle w:val="Indenta"/>
      </w:pPr>
      <w:r>
        <w:tab/>
        <w:t>(e)</w:t>
      </w:r>
      <w:r>
        <w:tab/>
        <w:t>an application for variation of registration;</w:t>
      </w:r>
    </w:p>
    <w:p>
      <w:pPr>
        <w:pStyle w:val="Indenta"/>
      </w:pPr>
      <w:r>
        <w:tab/>
        <w:t>(f)</w:t>
      </w:r>
      <w:r>
        <w:tab/>
        <w:t>an application for renewal of registration.</w:t>
      </w:r>
    </w:p>
    <w:p>
      <w:pPr>
        <w:pStyle w:val="Subsection"/>
      </w:pPr>
      <w:r>
        <w:tab/>
        <w:t>(2)</w:t>
      </w:r>
      <w:r>
        <w:tab/>
        <w:t>The application is taken to have been made under the corresponding provision of the new Law.</w:t>
      </w:r>
    </w:p>
    <w:p>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pPr>
        <w:pStyle w:val="Subsection"/>
      </w:pPr>
      <w:r>
        <w:tab/>
        <w:t>(4)</w:t>
      </w:r>
      <w:r>
        <w:tab/>
        <w:t>The National Board must consider, or continue to consider, and determine the application under the new Law.</w:t>
      </w:r>
    </w:p>
    <w:p>
      <w:pPr>
        <w:pStyle w:val="Heading5"/>
      </w:pPr>
      <w:bookmarkStart w:id="98" w:name="_Toc166659500"/>
      <w:r>
        <w:rPr>
          <w:rStyle w:val="CharSectno"/>
        </w:rPr>
        <w:t>45</w:t>
      </w:r>
      <w:r>
        <w:t>.</w:t>
      </w:r>
      <w:r>
        <w:tab/>
        <w:t>Existing right of review of condition or undertaking</w:t>
      </w:r>
      <w:bookmarkEnd w:id="98"/>
    </w:p>
    <w:p>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pPr>
        <w:pStyle w:val="Subsection"/>
      </w:pPr>
      <w:r>
        <w:lastRenderedPageBreak/>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pPr>
        <w:pStyle w:val="Heading5"/>
      </w:pPr>
      <w:bookmarkStart w:id="99" w:name="_Toc166659501"/>
      <w:r>
        <w:rPr>
          <w:rStyle w:val="CharSectno"/>
        </w:rPr>
        <w:t>46</w:t>
      </w:r>
      <w:r>
        <w:t>.</w:t>
      </w:r>
      <w:r>
        <w:tab/>
        <w:t>Existing right of appeal</w:t>
      </w:r>
      <w:bookmarkEnd w:id="99"/>
    </w:p>
    <w:p>
      <w:pPr>
        <w:pStyle w:val="Subsection"/>
      </w:pPr>
      <w:r>
        <w:tab/>
        <w:t>(1)</w:t>
      </w:r>
      <w:r>
        <w:tab/>
        <w:t xml:space="preserve">This section applies if — </w:t>
      </w:r>
    </w:p>
    <w:p>
      <w:pPr>
        <w:pStyle w:val="Indenta"/>
      </w:pPr>
      <w:r>
        <w:tab/>
        <w:t>(a)</w:t>
      </w:r>
      <w:r>
        <w:tab/>
        <w:t>a person had a right under the former Law section 199 to appeal to the responsible tribunal against a decision by a National Board; and</w:t>
      </w:r>
    </w:p>
    <w:p>
      <w:pPr>
        <w:pStyle w:val="Indenta"/>
      </w:pPr>
      <w:r>
        <w:tab/>
        <w:t>(b)</w:t>
      </w:r>
      <w:r>
        <w:tab/>
        <w:t>on commencement day, the period within which the person could start an appeal had not ended.</w:t>
      </w:r>
    </w:p>
    <w:p>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pPr>
        <w:pStyle w:val="Heading5"/>
      </w:pPr>
      <w:bookmarkStart w:id="100" w:name="_Toc166659502"/>
      <w:r>
        <w:rPr>
          <w:rStyle w:val="CharSectno"/>
        </w:rPr>
        <w:t>47</w:t>
      </w:r>
      <w:r>
        <w:t>.</w:t>
      </w:r>
      <w:r>
        <w:tab/>
        <w:t>Undecided reviews and appeals</w:t>
      </w:r>
      <w:bookmarkEnd w:id="100"/>
    </w:p>
    <w:p>
      <w:pPr>
        <w:pStyle w:val="Subsection"/>
      </w:pPr>
      <w:r>
        <w:tab/>
        <w:t>(1)</w:t>
      </w:r>
      <w:r>
        <w:tab/>
        <w:t xml:space="preserve">This section applies if, immediately before commencement day — </w:t>
      </w:r>
    </w:p>
    <w:p>
      <w:pPr>
        <w:pStyle w:val="Indenta"/>
      </w:pPr>
      <w:r>
        <w:tab/>
        <w:t>(a)</w:t>
      </w:r>
      <w:r>
        <w:tab/>
        <w:t>an application, made under the former Law section 125, to change or remove a condition imposed, or change or revoke an undertaking given, under a provision of the former Law had not been decided or withdrawn; or</w:t>
      </w:r>
    </w:p>
    <w:p>
      <w:pPr>
        <w:pStyle w:val="Indenta"/>
      </w:pPr>
      <w:r>
        <w:tab/>
        <w:t>(b)</w:t>
      </w:r>
      <w:r>
        <w:tab/>
        <w:t>an appeal, started under the former Law section 199, against a decision made under a provision of the former Law had not been decided or withdrawn.</w:t>
      </w:r>
    </w:p>
    <w:p>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pPr>
        <w:pStyle w:val="Heading5"/>
      </w:pPr>
      <w:bookmarkStart w:id="101" w:name="_Toc166659503"/>
      <w:r>
        <w:rPr>
          <w:rStyle w:val="CharSectno"/>
        </w:rPr>
        <w:lastRenderedPageBreak/>
        <w:t>48</w:t>
      </w:r>
      <w:r>
        <w:t>.</w:t>
      </w:r>
      <w:r>
        <w:tab/>
        <w:t>Amounts payable or recoverable under former Law</w:t>
      </w:r>
      <w:bookmarkEnd w:id="101"/>
    </w:p>
    <w:p>
      <w:pPr>
        <w:pStyle w:val="Subsection"/>
      </w:pPr>
      <w:r>
        <w:tab/>
        <w:t>(1)</w:t>
      </w:r>
      <w:r>
        <w:tab/>
        <w:t>Any amount payable under a provision of the former Law that is unpaid immediately before commencement day is payable under the corresponding provision of the new Law.</w:t>
      </w:r>
    </w:p>
    <w:p>
      <w:pPr>
        <w:pStyle w:val="Subsection"/>
      </w:pPr>
      <w:r>
        <w:tab/>
        <w:t>(2)</w:t>
      </w:r>
      <w:r>
        <w:tab/>
        <w:t>An amount that is recoverable under a provision of the former Law but not recovered immediately before commencement day is recoverable under the corresponding provision of the new Law.</w:t>
      </w:r>
    </w:p>
    <w:p>
      <w:pPr>
        <w:pStyle w:val="Heading5"/>
      </w:pPr>
      <w:bookmarkStart w:id="102" w:name="_Toc166659504"/>
      <w:r>
        <w:rPr>
          <w:rStyle w:val="CharSectno"/>
        </w:rPr>
        <w:t>49</w:t>
      </w:r>
      <w:r>
        <w:t>.</w:t>
      </w:r>
      <w:r>
        <w:tab/>
        <w:t>Transitional regulations</w:t>
      </w:r>
      <w:bookmarkEnd w:id="102"/>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matter; or</w:t>
      </w:r>
    </w:p>
    <w:p>
      <w:pPr>
        <w:pStyle w:val="Indenti"/>
      </w:pPr>
      <w:r>
        <w:lastRenderedPageBreak/>
        <w:tab/>
        <w:t>(ii)</w:t>
      </w:r>
      <w:r>
        <w:tab/>
        <w:t xml:space="preserve">apply with specified modifications to or in relation to a matter; </w:t>
      </w:r>
    </w:p>
    <w:p>
      <w:pPr>
        <w:pStyle w:val="Indenta"/>
      </w:pPr>
      <w:r>
        <w:tab/>
      </w:r>
      <w:r>
        <w:tab/>
        <w:t>and</w:t>
      </w:r>
    </w:p>
    <w:p>
      <w:pPr>
        <w:pStyle w:val="Indenta"/>
      </w:pPr>
      <w:r>
        <w:tab/>
        <w:t>(b)</w:t>
      </w:r>
      <w:r>
        <w:tab/>
        <w:t>specified provisions of the repealed Act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103" w:name="_Toc166652034"/>
      <w:bookmarkStart w:id="104" w:name="_Toc166652104"/>
      <w:bookmarkStart w:id="105" w:name="_Toc166652174"/>
      <w:bookmarkStart w:id="106" w:name="_Toc166657209"/>
      <w:bookmarkStart w:id="107" w:name="_Toc166659505"/>
      <w:r>
        <w:rPr>
          <w:rStyle w:val="CharPartNo"/>
        </w:rPr>
        <w:lastRenderedPageBreak/>
        <w:t>Part 6</w:t>
      </w:r>
      <w:r>
        <w:t> — </w:t>
      </w:r>
      <w:r>
        <w:rPr>
          <w:rStyle w:val="CharPartText"/>
        </w:rPr>
        <w:t>Consequential amendments</w:t>
      </w:r>
      <w:bookmarkEnd w:id="103"/>
      <w:bookmarkEnd w:id="104"/>
      <w:bookmarkEnd w:id="105"/>
      <w:bookmarkEnd w:id="106"/>
      <w:bookmarkEnd w:id="107"/>
    </w:p>
    <w:p>
      <w:pPr>
        <w:pStyle w:val="Heading3"/>
      </w:pPr>
      <w:bookmarkStart w:id="108" w:name="_Toc166652035"/>
      <w:bookmarkStart w:id="109" w:name="_Toc166652105"/>
      <w:bookmarkStart w:id="110" w:name="_Toc166652175"/>
      <w:bookmarkStart w:id="111" w:name="_Toc166657210"/>
      <w:bookmarkStart w:id="112" w:name="_Toc166659506"/>
      <w:r>
        <w:rPr>
          <w:rStyle w:val="CharDivNo"/>
        </w:rPr>
        <w:t>Division 1</w:t>
      </w:r>
      <w:r>
        <w:t> — </w:t>
      </w:r>
      <w:r>
        <w:rPr>
          <w:rStyle w:val="CharDivText"/>
          <w:i/>
        </w:rPr>
        <w:t>Liquor Control Act 1988</w:t>
      </w:r>
      <w:r>
        <w:rPr>
          <w:rStyle w:val="CharDivText"/>
        </w:rPr>
        <w:t xml:space="preserve"> amended</w:t>
      </w:r>
      <w:bookmarkEnd w:id="108"/>
      <w:bookmarkEnd w:id="109"/>
      <w:bookmarkEnd w:id="110"/>
      <w:bookmarkEnd w:id="111"/>
      <w:bookmarkEnd w:id="112"/>
    </w:p>
    <w:p>
      <w:pPr>
        <w:pStyle w:val="Heading5"/>
      </w:pPr>
      <w:bookmarkStart w:id="113" w:name="_Toc166659507"/>
      <w:r>
        <w:rPr>
          <w:rStyle w:val="CharSectno"/>
        </w:rPr>
        <w:t>50</w:t>
      </w:r>
      <w:r>
        <w:t>.</w:t>
      </w:r>
      <w:r>
        <w:tab/>
        <w:t>Act amended</w:t>
      </w:r>
      <w:bookmarkEnd w:id="113"/>
    </w:p>
    <w:p>
      <w:pPr>
        <w:pStyle w:val="Subsection"/>
      </w:pPr>
      <w:r>
        <w:tab/>
      </w:r>
      <w:r>
        <w:tab/>
        <w:t xml:space="preserve">This Division amends the </w:t>
      </w:r>
      <w:r>
        <w:rPr>
          <w:i/>
        </w:rPr>
        <w:t>Liquor Control Act 1988</w:t>
      </w:r>
      <w:r>
        <w:t>.</w:t>
      </w:r>
    </w:p>
    <w:p>
      <w:pPr>
        <w:pStyle w:val="Heading5"/>
      </w:pPr>
      <w:bookmarkStart w:id="114" w:name="_Toc166659508"/>
      <w:r>
        <w:rPr>
          <w:rStyle w:val="CharSectno"/>
        </w:rPr>
        <w:t>51</w:t>
      </w:r>
      <w:r>
        <w:t>.</w:t>
      </w:r>
      <w:r>
        <w:tab/>
        <w:t>Section 69 amended</w:t>
      </w:r>
      <w:bookmarkEnd w:id="114"/>
    </w:p>
    <w:p>
      <w:pPr>
        <w:pStyle w:val="Subsection"/>
      </w:pPr>
      <w:r>
        <w:tab/>
      </w:r>
      <w:r>
        <w:tab/>
        <w:t>In section 69(9A)(a) delete “</w:t>
      </w:r>
      <w:r>
        <w:rPr>
          <w:i/>
        </w:rPr>
        <w:t>Health Practitioner Regulation National Law (WA) Act 2010</w:t>
      </w:r>
      <w:r>
        <w:t>” and insert:</w:t>
      </w:r>
    </w:p>
    <w:p>
      <w:pPr>
        <w:pStyle w:val="BlankOpen"/>
      </w:pPr>
    </w:p>
    <w:p>
      <w:pPr>
        <w:pStyle w:val="Subsection"/>
      </w:pPr>
      <w:r>
        <w:tab/>
      </w:r>
      <w:r>
        <w:tab/>
      </w:r>
      <w:r>
        <w:rPr>
          <w:i/>
        </w:rPr>
        <w:t>Health Practitioner Regulation National Law (Western Australia)</w:t>
      </w:r>
    </w:p>
    <w:p>
      <w:pPr>
        <w:pStyle w:val="BlankClose"/>
      </w:pPr>
    </w:p>
    <w:p>
      <w:pPr>
        <w:pStyle w:val="Heading3"/>
      </w:pPr>
      <w:bookmarkStart w:id="115" w:name="_Toc166652038"/>
      <w:bookmarkStart w:id="116" w:name="_Toc166652108"/>
      <w:bookmarkStart w:id="117" w:name="_Toc166652178"/>
      <w:bookmarkStart w:id="118" w:name="_Toc166657213"/>
      <w:bookmarkStart w:id="119" w:name="_Toc166659509"/>
      <w:r>
        <w:rPr>
          <w:rStyle w:val="CharDivNo"/>
        </w:rPr>
        <w:t>Division 2</w:t>
      </w:r>
      <w:r>
        <w:t> — </w:t>
      </w:r>
      <w:r>
        <w:rPr>
          <w:rStyle w:val="CharDivText"/>
          <w:i/>
        </w:rPr>
        <w:t>National Health Funding Pool Act 2012</w:t>
      </w:r>
      <w:r>
        <w:rPr>
          <w:rStyle w:val="CharDivText"/>
        </w:rPr>
        <w:t xml:space="preserve"> amended</w:t>
      </w:r>
      <w:bookmarkEnd w:id="115"/>
      <w:bookmarkEnd w:id="116"/>
      <w:bookmarkEnd w:id="117"/>
      <w:bookmarkEnd w:id="118"/>
      <w:bookmarkEnd w:id="119"/>
    </w:p>
    <w:p>
      <w:pPr>
        <w:pStyle w:val="Heading5"/>
      </w:pPr>
      <w:bookmarkStart w:id="120" w:name="_Toc166659510"/>
      <w:r>
        <w:rPr>
          <w:rStyle w:val="CharSectno"/>
        </w:rPr>
        <w:t>52</w:t>
      </w:r>
      <w:r>
        <w:t>.</w:t>
      </w:r>
      <w:r>
        <w:tab/>
        <w:t>Act amended</w:t>
      </w:r>
      <w:bookmarkEnd w:id="120"/>
    </w:p>
    <w:p>
      <w:pPr>
        <w:pStyle w:val="Subsection"/>
      </w:pPr>
      <w:r>
        <w:tab/>
      </w:r>
      <w:r>
        <w:tab/>
        <w:t xml:space="preserve">This Division amends the </w:t>
      </w:r>
      <w:r>
        <w:rPr>
          <w:i/>
        </w:rPr>
        <w:t>National Health Funding Pool Act 2012</w:t>
      </w:r>
      <w:r>
        <w:t>.</w:t>
      </w:r>
    </w:p>
    <w:p>
      <w:pPr>
        <w:pStyle w:val="Heading5"/>
      </w:pPr>
      <w:bookmarkStart w:id="121" w:name="_Toc166659511"/>
      <w:r>
        <w:rPr>
          <w:rStyle w:val="CharSectno"/>
        </w:rPr>
        <w:t>53</w:t>
      </w:r>
      <w:r>
        <w:t>.</w:t>
      </w:r>
      <w:r>
        <w:tab/>
        <w:t>Section 3 amended</w:t>
      </w:r>
      <w:bookmarkEnd w:id="121"/>
    </w:p>
    <w:p>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pPr>
        <w:pStyle w:val="BlankOpen"/>
      </w:pPr>
    </w:p>
    <w:p>
      <w:pPr>
        <w:pStyle w:val="Subsection"/>
      </w:pPr>
      <w:r>
        <w:tab/>
      </w:r>
      <w:r>
        <w:tab/>
        <w:t xml:space="preserve">the </w:t>
      </w:r>
      <w:r>
        <w:rPr>
          <w:i/>
        </w:rPr>
        <w:t xml:space="preserve">Health Practitioner Regulation National Law (Western Australia) </w:t>
      </w:r>
      <w:r>
        <w:t>Schedule 7</w:t>
      </w:r>
    </w:p>
    <w:p>
      <w:pPr>
        <w:pStyle w:val="BlankClose"/>
      </w:pPr>
    </w:p>
    <w:p>
      <w:pPr>
        <w:pStyle w:val="Heading5"/>
      </w:pPr>
      <w:bookmarkStart w:id="122" w:name="_Toc166659512"/>
      <w:r>
        <w:rPr>
          <w:rStyle w:val="CharSectno"/>
        </w:rPr>
        <w:lastRenderedPageBreak/>
        <w:t>54</w:t>
      </w:r>
      <w:r>
        <w:t>.</w:t>
      </w:r>
      <w:r>
        <w:tab/>
        <w:t>Section 8 amended</w:t>
      </w:r>
      <w:bookmarkEnd w:id="122"/>
    </w:p>
    <w:p>
      <w:pPr>
        <w:pStyle w:val="Subsection"/>
        <w:keepNext/>
      </w:pPr>
      <w:r>
        <w:tab/>
      </w:r>
      <w:r>
        <w:tab/>
        <w:t>In section 8 delete the note and insert:</w:t>
      </w:r>
    </w:p>
    <w:p>
      <w:pPr>
        <w:pStyle w:val="BlankOpen"/>
      </w:pPr>
    </w:p>
    <w:p>
      <w:pPr>
        <w:pStyle w:val="zPermNoteHeading"/>
      </w:pPr>
      <w:r>
        <w:tab/>
        <w:t>Note for this section:</w:t>
      </w:r>
    </w:p>
    <w:p>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3" w:name="_Toc166657217"/>
      <w:bookmarkStart w:id="124" w:name="_Toc166659513"/>
      <w:bookmarkStart w:id="125" w:name="_Toc166652042"/>
      <w:bookmarkStart w:id="126" w:name="_Toc166652112"/>
      <w:bookmarkStart w:id="127" w:name="_Toc166652182"/>
      <w:r>
        <w:lastRenderedPageBreak/>
        <w:t>Notes</w:t>
      </w:r>
      <w:bookmarkEnd w:id="123"/>
      <w:bookmarkEnd w:id="124"/>
    </w:p>
    <w:p>
      <w:pPr>
        <w:pStyle w:val="nStatement"/>
      </w:pPr>
      <w:r>
        <w:t xml:space="preserve">This is a compilation of the </w:t>
      </w:r>
      <w:r>
        <w:rPr>
          <w:i/>
          <w:noProof/>
        </w:rPr>
        <w:t>Health Practitioner Regulation National Law Application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8" w:name="_Toc166659514"/>
      <w:r>
        <w:t>Compilation table</w:t>
      </w:r>
      <w:bookmarkEnd w:id="1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r>
              <w:rPr>
                <w:i/>
              </w:rPr>
              <w:t xml:space="preserve"> </w:t>
            </w:r>
            <w:r>
              <w:rPr>
                <w:iCs/>
              </w:rPr>
              <w:t>Pt. 1 and 2, Pt. 3 (other than s. 29) and Pt. 4</w:t>
            </w:r>
            <w:r>
              <w:rPr>
                <w:iCs/>
              </w:rPr>
              <w:noBreakHyphen/>
              <w:t>6</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Pt. 1: 14 May 2024 (see s. 2(a));</w:t>
            </w:r>
            <w:r>
              <w:br/>
              <w:t>Pt. 2 and 3 (other than s. 29) and Pt. 4</w:t>
            </w:r>
            <w:r>
              <w:noBreakHyphen/>
              <w:t>6: 15 May 2024 (see s. 2(c))</w:t>
            </w:r>
          </w:p>
        </w:tc>
      </w:tr>
    </w:tbl>
    <w:p>
      <w:pPr>
        <w:pStyle w:val="nHeading3"/>
      </w:pPr>
      <w:bookmarkStart w:id="129" w:name="_Toc166659515"/>
      <w:r>
        <w:t>Uncommenced provisions table</w:t>
      </w:r>
      <w:bookmarkEnd w:id="12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b/>
                <w:bCs/>
                <w:iCs/>
              </w:rPr>
            </w:pPr>
            <w:r>
              <w:rPr>
                <w:i/>
                <w:noProof/>
              </w:rPr>
              <w:t>Health Practitioner Regulation National Law Application Act 2024</w:t>
            </w:r>
            <w:r>
              <w:rPr>
                <w:iCs/>
                <w:noProof/>
              </w:rPr>
              <w:t xml:space="preserve"> s. 29</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 xml:space="preserve">Operative on commencement of the </w:t>
            </w:r>
            <w:r>
              <w:rPr>
                <w:i/>
                <w:iCs/>
              </w:rPr>
              <w:t xml:space="preserve">Health Practitioner Regulation National Law and Other Legislation Amendment Act 2022 </w:t>
            </w:r>
            <w:r>
              <w:t>(Qld) s. 94 (see s. 2(b)(ii))</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1" w:name="_Toc166657220"/>
      <w:bookmarkStart w:id="132" w:name="_Toc166659516"/>
      <w:bookmarkEnd w:id="125"/>
      <w:bookmarkEnd w:id="126"/>
      <w:bookmarkEnd w:id="127"/>
      <w:r>
        <w:rPr>
          <w:sz w:val="28"/>
        </w:rPr>
        <w:lastRenderedPageBreak/>
        <w:t>Defined terms</w:t>
      </w:r>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regulations</w:t>
      </w:r>
      <w:r>
        <w:tab/>
        <w:t>43(2)</w:t>
      </w:r>
    </w:p>
    <w:p>
      <w:pPr>
        <w:pStyle w:val="DefinedTerms"/>
      </w:pPr>
      <w:r>
        <w:t>amending Act</w:t>
      </w:r>
      <w:r>
        <w:tab/>
        <w:t>3(1)</w:t>
      </w:r>
    </w:p>
    <w:p>
      <w:pPr>
        <w:pStyle w:val="DefinedTerms"/>
      </w:pPr>
      <w:r>
        <w:t>amending Act provision</w:t>
      </w:r>
      <w:r>
        <w:tab/>
        <w:t>14(1)</w:t>
      </w:r>
    </w:p>
    <w:p>
      <w:pPr>
        <w:pStyle w:val="DefinedTerms"/>
      </w:pPr>
      <w:r>
        <w:t>assent day</w:t>
      </w:r>
      <w:r>
        <w:tab/>
        <w:t>2</w:t>
      </w:r>
    </w:p>
    <w:p>
      <w:pPr>
        <w:pStyle w:val="DefinedTerms"/>
      </w:pPr>
      <w:r>
        <w:t>commencement day</w:t>
      </w:r>
      <w:r>
        <w:tab/>
        <w:t>3(1)</w:t>
      </w:r>
    </w:p>
    <w:p>
      <w:pPr>
        <w:pStyle w:val="DefinedTerms"/>
      </w:pPr>
      <w:r>
        <w:t>corresponds</w:t>
      </w:r>
      <w:r>
        <w:tab/>
        <w:t>39(2)</w:t>
      </w:r>
    </w:p>
    <w:p>
      <w:pPr>
        <w:pStyle w:val="DefinedTerms"/>
      </w:pPr>
      <w:r>
        <w:t>criminal history information</w:t>
      </w:r>
      <w:r>
        <w:tab/>
        <w:t>35(1)</w:t>
      </w:r>
    </w:p>
    <w:p>
      <w:pPr>
        <w:pStyle w:val="DefinedTerms"/>
      </w:pPr>
      <w:r>
        <w:t>disallowance period</w:t>
      </w:r>
      <w:r>
        <w:tab/>
        <w:t>8(1)</w:t>
      </w:r>
    </w:p>
    <w:p>
      <w:pPr>
        <w:pStyle w:val="DefinedTerms"/>
      </w:pPr>
      <w:r>
        <w:t>disallowance resolution</w:t>
      </w:r>
      <w:r>
        <w:tab/>
        <w:t>8(1)</w:t>
      </w:r>
    </w:p>
    <w:p>
      <w:pPr>
        <w:pStyle w:val="DefinedTerms"/>
      </w:pPr>
      <w:r>
        <w:t>disallowed regulations</w:t>
      </w:r>
      <w:r>
        <w:tab/>
        <w:t>16(5)</w:t>
      </w:r>
    </w:p>
    <w:p>
      <w:pPr>
        <w:pStyle w:val="DefinedTerms"/>
      </w:pPr>
      <w:r>
        <w:t>former Law</w:t>
      </w:r>
      <w:r>
        <w:tab/>
        <w:t>39(1)</w:t>
      </w:r>
    </w:p>
    <w:p>
      <w:pPr>
        <w:pStyle w:val="DefinedTerms"/>
      </w:pPr>
      <w:r>
        <w:t>Health Practitioner Regulation National Law</w:t>
      </w:r>
      <w:r>
        <w:tab/>
        <w:t>5(1)</w:t>
      </w:r>
    </w:p>
    <w:p>
      <w:pPr>
        <w:pStyle w:val="DefinedTerms"/>
      </w:pPr>
      <w:r>
        <w:t>Health Practitioner Regulation National Law Regulation (Western Australia)</w:t>
      </w:r>
      <w:r>
        <w:tab/>
        <w:t>3(1)</w:t>
      </w:r>
    </w:p>
    <w:p>
      <w:pPr>
        <w:pStyle w:val="DefinedTerms"/>
      </w:pPr>
      <w:r>
        <w:t>Health Practitioner Regulation National Law (Western Australia)</w:t>
      </w:r>
      <w:r>
        <w:tab/>
        <w:t>3(1)</w:t>
      </w:r>
    </w:p>
    <w:p>
      <w:pPr>
        <w:pStyle w:val="DefinedTerms"/>
      </w:pPr>
      <w:r>
        <w:t>local regulations</w:t>
      </w:r>
      <w:r>
        <w:tab/>
        <w:t>3(1)</w:t>
      </w:r>
    </w:p>
    <w:p>
      <w:pPr>
        <w:pStyle w:val="DefinedTerms"/>
      </w:pPr>
      <w:r>
        <w:t>magistrate</w:t>
      </w:r>
      <w:r>
        <w:tab/>
        <w:t>18(1)</w:t>
      </w:r>
    </w:p>
    <w:p>
      <w:pPr>
        <w:pStyle w:val="DefinedTerms"/>
      </w:pPr>
      <w:r>
        <w:t>national regulations</w:t>
      </w:r>
      <w:r>
        <w:tab/>
        <w:t>3(1), 12(1)</w:t>
      </w:r>
    </w:p>
    <w:p>
      <w:pPr>
        <w:pStyle w:val="DefinedTerms"/>
      </w:pPr>
      <w:r>
        <w:t>new Law</w:t>
      </w:r>
      <w:r>
        <w:tab/>
        <w:t>39(1)</w:t>
      </w:r>
    </w:p>
    <w:p>
      <w:pPr>
        <w:pStyle w:val="DefinedTerms"/>
      </w:pPr>
      <w:r>
        <w:t>new regulations</w:t>
      </w:r>
      <w:r>
        <w:tab/>
        <w:t>43(1)</w:t>
      </w:r>
    </w:p>
    <w:p>
      <w:pPr>
        <w:pStyle w:val="DefinedTerms"/>
      </w:pPr>
      <w:r>
        <w:t>notice period</w:t>
      </w:r>
      <w:r>
        <w:tab/>
        <w:t>8(1)</w:t>
      </w:r>
    </w:p>
    <w:p>
      <w:pPr>
        <w:pStyle w:val="DefinedTerms"/>
      </w:pPr>
      <w:r>
        <w:t>parliamentary committee</w:t>
      </w:r>
      <w:r>
        <w:tab/>
        <w:t>11(1)</w:t>
      </w:r>
    </w:p>
    <w:p>
      <w:pPr>
        <w:pStyle w:val="DefinedTerms"/>
      </w:pPr>
      <w:r>
        <w:t>pending matter</w:t>
      </w:r>
      <w:r>
        <w:tab/>
        <w:t>42(1)</w:t>
      </w:r>
    </w:p>
    <w:p>
      <w:pPr>
        <w:pStyle w:val="DefinedTerms"/>
      </w:pPr>
      <w:r>
        <w:t>publication day</w:t>
      </w:r>
      <w:r>
        <w:tab/>
        <w:t>49(1)</w:t>
      </w:r>
    </w:p>
    <w:p>
      <w:pPr>
        <w:pStyle w:val="DefinedTerms"/>
      </w:pPr>
      <w:r>
        <w:t>repealed Act</w:t>
      </w:r>
      <w:r>
        <w:tab/>
        <w:t>39(1)</w:t>
      </w:r>
    </w:p>
    <w:p>
      <w:pPr>
        <w:pStyle w:val="DefinedTerms"/>
      </w:pPr>
      <w:r>
        <w:t>subsidiary provision</w:t>
      </w:r>
      <w:r>
        <w:tab/>
        <w:t>14(1)</w:t>
      </w:r>
    </w:p>
    <w:p>
      <w:pPr>
        <w:pStyle w:val="DefinedTerms"/>
      </w:pPr>
      <w:r>
        <w:t>this jurisdiction</w:t>
      </w:r>
      <w:r>
        <w:tab/>
        <w:t>18(1)</w:t>
      </w:r>
    </w:p>
    <w:p>
      <w:pPr>
        <w:pStyle w:val="DefinedTerms"/>
      </w:pPr>
      <w:r>
        <w:t>transitional matter</w:t>
      </w:r>
      <w:r>
        <w:tab/>
        <w:t>49(1)</w:t>
      </w:r>
    </w:p>
    <w:p>
      <w:pPr>
        <w:pStyle w:val="DefinedTerms"/>
      </w:pPr>
      <w:r>
        <w:t>transitional regulations</w:t>
      </w:r>
      <w:r>
        <w:tab/>
        <w:t>49(1)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E0E8F1"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32C29E1" w14:textId="5E77A8F5" w:rsidR="004A5A71" w:rsidRDefault="004A5A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87ED4">
                        <w:rPr>
                          <w:sz w:val="16"/>
                        </w:rPr>
                        <w:t>2024</w:t>
                      </w:r>
                      <w:r>
                        <w:rPr>
                          <w:sz w:val="16"/>
                        </w:rPr>
                        <w:fldChar w:fldCharType="end"/>
                      </w:r>
                      <w:r>
                        <w:rPr>
                          <w:sz w:val="16"/>
                        </w:rPr>
                        <w:t>.</w:t>
                      </w:r>
                    </w:p>
                    <w:p w14:paraId="204F462D" w14:textId="77777777" w:rsidR="004A5A71" w:rsidRDefault="004A5A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43F0FC" w14:textId="4FBE119D" w:rsidR="004A5A71" w:rsidRDefault="004A5A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87ED4">
                        <w:rPr>
                          <w:sz w:val="16"/>
                        </w:rPr>
                        <w:t>2024</w:t>
                      </w:r>
                      <w:r>
                        <w:rPr>
                          <w:sz w:val="16"/>
                        </w:rPr>
                        <w:fldChar w:fldCharType="end"/>
                      </w:r>
                      <w:r>
                        <w:rPr>
                          <w:sz w:val="16"/>
                        </w:rPr>
                        <w:t>.</w:t>
                      </w:r>
                    </w:p>
                    <w:p w14:paraId="7580B5B5" w14:textId="77777777" w:rsidR="004A5A71" w:rsidRDefault="004A5A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07512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6322</Words>
  <Characters>32432</Characters>
  <Application>Microsoft Office Word</Application>
  <DocSecurity>0</DocSecurity>
  <Lines>953</Lines>
  <Paragraphs>561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38193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2024 - 00-b0-00</dc:title>
  <dc:subject/>
  <dc:creator/>
  <cp:keywords/>
  <dc:description/>
  <cp:lastModifiedBy>Master Repository Process</cp:lastModifiedBy>
  <cp:revision>4</cp:revision>
  <cp:lastPrinted>2024-05-14T09:04:00Z</cp:lastPrinted>
  <dcterms:created xsi:type="dcterms:W3CDTF">2025-06-06T03:43:00Z</dcterms:created>
  <dcterms:modified xsi:type="dcterms:W3CDTF">2025-06-06T03:43:00Z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AsAtDate">
    <vt:lpwstr>15 May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20240515</vt:lpwstr>
  </property>
  <property fmtid="{D5CDD505-2E9C-101B-9397-08002B2CF9AE}" pid="8" name="CommencementAsAt">
    <vt:filetime>2024-05-14T16:00:00Z</vt:filetime>
  </property>
  <property fmtid="{D5CDD505-2E9C-101B-9397-08002B2CF9AE}" pid="9" name="CommencementYear">
    <vt:lpwstr>2024</vt:lpwstr>
  </property>
</Properties>
</file>