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Amendment (Build-to-Rent)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Amendment (Build-to-Rent)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_Toc166677880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_Toc166677881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_Toc166677882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15B inserted</w:t>
      </w:r>
      <w:r>
        <w:tab/>
      </w:r>
      <w:r>
        <w:fldChar w:fldCharType="begin"/>
      </w:r>
      <w:r>
        <w:instrText xml:space="preserve"> PAGEREF _Toc166677883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15B.</w:t>
      </w:r>
      <w:r>
        <w:rPr>
          <w:noProof/>
        </w:rPr>
        <w:tab/>
        <w:t>Tax payable on land containing former exempt build</w:t>
      </w:r>
      <w:r>
        <w:rPr>
          <w:noProof/>
        </w:rPr>
        <w:noBreakHyphen/>
        <w:t>to</w:t>
      </w:r>
      <w:r>
        <w:rPr>
          <w:noProof/>
        </w:rPr>
        <w:noBreakHyphen/>
        <w:t>rent developments</w:t>
      </w:r>
      <w:r>
        <w:rPr>
          <w:noProof/>
        </w:rPr>
        <w:tab/>
      </w:r>
      <w:r>
        <w:rPr>
          <w:noProof/>
        </w:rPr>
        <w:fldChar w:fldCharType="begin"/>
      </w:r>
      <w:r>
        <w:rPr>
          <w:noProof/>
        </w:rPr>
        <w:instrText xml:space="preserve"> PAGEREF _Toc166677884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Part 3 Division 4B inserted</w:t>
      </w:r>
      <w:r>
        <w:tab/>
      </w:r>
      <w:r>
        <w:fldChar w:fldCharType="begin"/>
      </w:r>
      <w:r>
        <w:instrText xml:space="preserve"> PAGEREF _Toc166677885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4B — Land used for build</w:t>
      </w:r>
      <w:r>
        <w:noBreakHyphen/>
        <w:t>to</w:t>
      </w:r>
      <w:r>
        <w:noBreakHyphen/>
        <w:t>rent developments</w:t>
      </w:r>
    </w:p>
    <w:p>
      <w:pPr>
        <w:pStyle w:val="TOC9"/>
        <w:rPr>
          <w:rFonts w:asciiTheme="minorHAnsi" w:eastAsiaTheme="minorEastAsia" w:hAnsiTheme="minorHAnsi" w:cstheme="minorBidi"/>
          <w:noProof/>
          <w:sz w:val="22"/>
          <w:szCs w:val="22"/>
        </w:rPr>
      </w:pPr>
      <w:r>
        <w:rPr>
          <w:noProof/>
        </w:rPr>
        <w:t>39E.</w:t>
      </w:r>
      <w:r>
        <w:rPr>
          <w:noProof/>
        </w:rPr>
        <w:tab/>
        <w:t>Terms used</w:t>
      </w:r>
      <w:r>
        <w:rPr>
          <w:noProof/>
        </w:rPr>
        <w:tab/>
      </w:r>
      <w:r>
        <w:rPr>
          <w:noProof/>
        </w:rPr>
        <w:fldChar w:fldCharType="begin"/>
      </w:r>
      <w:r>
        <w:rPr>
          <w:noProof/>
        </w:rPr>
        <w:instrText xml:space="preserve"> PAGEREF _Toc166677887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39F.</w:t>
      </w:r>
      <w:r>
        <w:rPr>
          <w:noProof/>
        </w:rPr>
        <w:tab/>
        <w:t>Requirements for exemption relating to build</w:t>
      </w:r>
      <w:r>
        <w:rPr>
          <w:noProof/>
        </w:rPr>
        <w:noBreakHyphen/>
        <w:t>to</w:t>
      </w:r>
      <w:r>
        <w:rPr>
          <w:noProof/>
        </w:rPr>
        <w:noBreakHyphen/>
        <w:t>rent development</w:t>
      </w:r>
      <w:r>
        <w:rPr>
          <w:noProof/>
        </w:rPr>
        <w:tab/>
      </w:r>
      <w:r>
        <w:rPr>
          <w:noProof/>
        </w:rPr>
        <w:fldChar w:fldCharType="begin"/>
      </w:r>
      <w:r>
        <w:rPr>
          <w:noProof/>
        </w:rPr>
        <w:instrText xml:space="preserve"> PAGEREF _Toc166677888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39G.</w:t>
      </w:r>
      <w:r>
        <w:rPr>
          <w:noProof/>
        </w:rPr>
        <w:tab/>
        <w:t>Exceptions to leasing restrictions for exempt development</w:t>
      </w:r>
      <w:r>
        <w:rPr>
          <w:noProof/>
        </w:rPr>
        <w:tab/>
      </w:r>
      <w:r>
        <w:rPr>
          <w:noProof/>
        </w:rPr>
        <w:fldChar w:fldCharType="begin"/>
      </w:r>
      <w:r>
        <w:rPr>
          <w:noProof/>
        </w:rPr>
        <w:instrText xml:space="preserve"> PAGEREF _Toc166677889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39H.</w:t>
      </w:r>
      <w:r>
        <w:rPr>
          <w:noProof/>
        </w:rPr>
        <w:tab/>
        <w:t>Managing entities for exempt development</w:t>
      </w:r>
      <w:r>
        <w:rPr>
          <w:noProof/>
        </w:rPr>
        <w:tab/>
      </w:r>
      <w:r>
        <w:rPr>
          <w:noProof/>
        </w:rPr>
        <w:fldChar w:fldCharType="begin"/>
      </w:r>
      <w:r>
        <w:rPr>
          <w:noProof/>
        </w:rPr>
        <w:instrText xml:space="preserve"> PAGEREF _Toc166677890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39I.</w:t>
      </w:r>
      <w:r>
        <w:rPr>
          <w:noProof/>
        </w:rPr>
        <w:tab/>
        <w:t>Exemption for build</w:t>
      </w:r>
      <w:r>
        <w:rPr>
          <w:noProof/>
        </w:rPr>
        <w:noBreakHyphen/>
        <w:t>to</w:t>
      </w:r>
      <w:r>
        <w:rPr>
          <w:noProof/>
        </w:rPr>
        <w:noBreakHyphen/>
        <w:t>rent developments</w:t>
      </w:r>
      <w:r>
        <w:rPr>
          <w:noProof/>
        </w:rPr>
        <w:tab/>
      </w:r>
      <w:r>
        <w:rPr>
          <w:noProof/>
        </w:rPr>
        <w:fldChar w:fldCharType="begin"/>
      </w:r>
      <w:r>
        <w:rPr>
          <w:noProof/>
        </w:rPr>
        <w:instrText xml:space="preserve"> PAGEREF _Toc166677891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39J.</w:t>
      </w:r>
      <w:r>
        <w:rPr>
          <w:noProof/>
        </w:rPr>
        <w:tab/>
        <w:t>Limits on eligibility for build</w:t>
      </w:r>
      <w:r>
        <w:rPr>
          <w:noProof/>
        </w:rPr>
        <w:noBreakHyphen/>
        <w:t>to</w:t>
      </w:r>
      <w:r>
        <w:rPr>
          <w:noProof/>
        </w:rPr>
        <w:noBreakHyphen/>
        <w:t>rent exemption</w:t>
      </w:r>
      <w:r>
        <w:rPr>
          <w:noProof/>
        </w:rPr>
        <w:tab/>
      </w:r>
      <w:r>
        <w:rPr>
          <w:noProof/>
        </w:rPr>
        <w:fldChar w:fldCharType="begin"/>
      </w:r>
      <w:r>
        <w:rPr>
          <w:noProof/>
        </w:rPr>
        <w:instrText xml:space="preserve"> PAGEREF _Toc166677892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39K.</w:t>
      </w:r>
      <w:r>
        <w:rPr>
          <w:noProof/>
        </w:rPr>
        <w:tab/>
        <w:t>Exemption percentage where buildings partially used for build</w:t>
      </w:r>
      <w:r>
        <w:rPr>
          <w:noProof/>
        </w:rPr>
        <w:noBreakHyphen/>
        <w:t>to</w:t>
      </w:r>
      <w:r>
        <w:rPr>
          <w:noProof/>
        </w:rPr>
        <w:noBreakHyphen/>
        <w:t>rent dwellings</w:t>
      </w:r>
      <w:r>
        <w:rPr>
          <w:noProof/>
        </w:rPr>
        <w:tab/>
      </w:r>
      <w:r>
        <w:rPr>
          <w:noProof/>
        </w:rPr>
        <w:fldChar w:fldCharType="begin"/>
      </w:r>
      <w:r>
        <w:rPr>
          <w:noProof/>
        </w:rPr>
        <w:instrText xml:space="preserve"> PAGEREF _Toc166677893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39L.</w:t>
      </w:r>
      <w:r>
        <w:rPr>
          <w:noProof/>
        </w:rPr>
        <w:tab/>
        <w:t>Taxable value of land subject to partial build</w:t>
      </w:r>
      <w:r>
        <w:rPr>
          <w:noProof/>
        </w:rPr>
        <w:noBreakHyphen/>
        <w:t>to</w:t>
      </w:r>
      <w:r>
        <w:rPr>
          <w:noProof/>
        </w:rPr>
        <w:noBreakHyphen/>
        <w:t>rent exemptions</w:t>
      </w:r>
      <w:r>
        <w:rPr>
          <w:noProof/>
        </w:rPr>
        <w:tab/>
      </w:r>
      <w:r>
        <w:rPr>
          <w:noProof/>
        </w:rPr>
        <w:fldChar w:fldCharType="begin"/>
      </w:r>
      <w:r>
        <w:rPr>
          <w:noProof/>
        </w:rPr>
        <w:instrText xml:space="preserve"> PAGEREF _Toc166677894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39M.</w:t>
      </w:r>
      <w:r>
        <w:rPr>
          <w:noProof/>
        </w:rPr>
        <w:tab/>
        <w:t>Application for build</w:t>
      </w:r>
      <w:r>
        <w:rPr>
          <w:noProof/>
        </w:rPr>
        <w:noBreakHyphen/>
        <w:t>to</w:t>
      </w:r>
      <w:r>
        <w:rPr>
          <w:noProof/>
        </w:rPr>
        <w:noBreakHyphen/>
        <w:t>rent exemption</w:t>
      </w:r>
      <w:r>
        <w:rPr>
          <w:noProof/>
        </w:rPr>
        <w:tab/>
      </w:r>
      <w:r>
        <w:rPr>
          <w:noProof/>
        </w:rPr>
        <w:fldChar w:fldCharType="begin"/>
      </w:r>
      <w:r>
        <w:rPr>
          <w:noProof/>
        </w:rPr>
        <w:instrText xml:space="preserve"> PAGEREF _Toc166677895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6.</w:t>
      </w:r>
      <w:r>
        <w:tab/>
        <w:t>Schedule 1 Division 8 inserted</w:t>
      </w:r>
      <w:r>
        <w:tab/>
      </w:r>
      <w:r>
        <w:fldChar w:fldCharType="begin"/>
      </w:r>
      <w:r>
        <w:instrText xml:space="preserve"> PAGEREF _Toc166677896 \h </w:instrText>
      </w:r>
      <w:r>
        <w:fldChar w:fldCharType="separate"/>
      </w:r>
      <w:r>
        <w:t>11</w:t>
      </w:r>
      <w:r>
        <w:fldChar w:fldCharType="end"/>
      </w:r>
    </w:p>
    <w:p>
      <w:pPr>
        <w:pStyle w:val="TOC5"/>
        <w:tabs>
          <w:tab w:val="right" w:leader="dot" w:pos="7077"/>
        </w:tabs>
        <w:rPr>
          <w:rFonts w:asciiTheme="minorHAnsi" w:eastAsiaTheme="minorEastAsia" w:hAnsiTheme="minorHAnsi" w:cstheme="minorBidi"/>
          <w:b w:val="0"/>
          <w:sz w:val="22"/>
          <w:szCs w:val="22"/>
        </w:rPr>
      </w:pPr>
      <w:r>
        <w:t>Division 8</w:t>
      </w:r>
      <w:r>
        <w:rPr>
          <w:b w:val="0"/>
        </w:rPr>
        <w:t> — </w:t>
      </w:r>
      <w:r>
        <w:t xml:space="preserve">Provision for </w:t>
      </w:r>
      <w:r>
        <w:rPr>
          <w:i/>
        </w:rPr>
        <w:t>Land Tax Assessment Amendment (Build</w:t>
      </w:r>
      <w:r>
        <w:rPr>
          <w:i/>
        </w:rPr>
        <w:noBreakHyphen/>
        <w:t>to</w:t>
      </w:r>
      <w:r>
        <w:rPr>
          <w:i/>
        </w:rPr>
        <w:noBreakHyphen/>
        <w:t>Rent) Act 2024</w:t>
      </w:r>
    </w:p>
    <w:p>
      <w:pPr>
        <w:pStyle w:val="TOC9"/>
        <w:rPr>
          <w:rFonts w:asciiTheme="minorHAnsi" w:eastAsiaTheme="minorEastAsia" w:hAnsiTheme="minorHAnsi" w:cstheme="minorBidi"/>
          <w:noProof/>
          <w:sz w:val="22"/>
          <w:szCs w:val="22"/>
        </w:rPr>
      </w:pPr>
      <w:r>
        <w:rPr>
          <w:noProof/>
        </w:rPr>
        <w:t>26.</w:t>
      </w:r>
      <w:r>
        <w:rPr>
          <w:noProof/>
        </w:rPr>
        <w:tab/>
        <w:t>Application of amendments</w:t>
      </w:r>
      <w:r>
        <w:rPr>
          <w:noProof/>
        </w:rPr>
        <w:tab/>
      </w:r>
      <w:r>
        <w:rPr>
          <w:noProof/>
        </w:rPr>
        <w:fldChar w:fldCharType="begin"/>
      </w:r>
      <w:r>
        <w:rPr>
          <w:noProof/>
        </w:rPr>
        <w:instrText xml:space="preserve"> PAGEREF _Toc166677898 \h </w:instrText>
      </w:r>
      <w:r>
        <w:rPr>
          <w:noProof/>
        </w:rPr>
      </w:r>
      <w:r>
        <w:rPr>
          <w:noProof/>
        </w:rPr>
        <w:fldChar w:fldCharType="separate"/>
      </w:r>
      <w:r>
        <w:rPr>
          <w:noProof/>
        </w:rPr>
        <w:t>11</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Land Tax Assessment Amendment (Build</w:t>
      </w:r>
      <w:r>
        <w:noBreakHyphen/>
        <w:t>to</w:t>
      </w:r>
      <w:r>
        <w:noBreakHyphen/>
        <w:t>Rent) Act 2024</w:t>
      </w:r>
    </w:p>
    <w:p>
      <w:pPr>
        <w:pStyle w:val="ABillFor"/>
        <w:pBdr>
          <w:top w:val="single" w:sz="4" w:space="6" w:color="auto"/>
          <w:bottom w:val="single" w:sz="4" w:space="6" w:color="auto"/>
        </w:pBdr>
        <w:spacing w:before="0" w:after="240"/>
        <w:ind w:left="2551" w:right="2551"/>
      </w:pPr>
      <w:bookmarkStart w:id="2" w:name="BillCited"/>
      <w:bookmarkEnd w:id="2"/>
      <w:r>
        <w:t>No. 22 of 2024</w:t>
      </w:r>
    </w:p>
    <w:p>
      <w:pPr>
        <w:pStyle w:val="LongTitle"/>
      </w:pPr>
      <w:r>
        <w:t xml:space="preserve">An Act to amend the </w:t>
      </w:r>
      <w:r>
        <w:rPr>
          <w:i/>
        </w:rPr>
        <w:t>Land Tax Assessment Act 2002</w:t>
      </w:r>
      <w:r>
        <w:t>.</w:t>
      </w:r>
    </w:p>
    <w:p>
      <w:pPr>
        <w:pStyle w:val="AssentDate"/>
        <w:spacing w:before="240" w:after="480"/>
      </w:pPr>
      <w:r>
        <w:t>[</w:t>
      </w:r>
      <w:r>
        <w:rPr>
          <w:i/>
        </w:rPr>
        <w:t>Assented to 15 May 2024</w:t>
      </w:r>
      <w:r>
        <w:t>]</w:t>
      </w:r>
    </w:p>
    <w:p>
      <w:pPr>
        <w:pStyle w:val="Heading5"/>
        <w:rPr>
          <w:vanish/>
        </w:rPr>
      </w:pPr>
      <w:r>
        <w:rPr>
          <w:vanish/>
          <w:highlight w:val="yellow"/>
        </w:rPr>
        <w:sym w:font="Wingdings 3" w:char="F075"/>
      </w:r>
      <w:r>
        <w:rPr>
          <w:rStyle w:val="CharPartNo"/>
          <w:vanish/>
        </w:rPr>
        <w:t xml:space="preserve"> </w:t>
      </w:r>
      <w:r>
        <w:rPr>
          <w:rStyle w:val="CharPartText"/>
          <w:vanish/>
        </w:rPr>
        <w:t xml:space="preserve"> </w:t>
      </w:r>
      <w:r>
        <w:rPr>
          <w:rStyle w:val="CharDivNo"/>
          <w:vanish/>
        </w:rPr>
        <w:t xml:space="preserve"> </w:t>
      </w:r>
      <w:r>
        <w:rPr>
          <w:rStyle w:val="CharDivText"/>
          <w:vanish/>
        </w:rPr>
        <w:t xml:space="preserve"> </w:t>
      </w:r>
      <w:r>
        <w:rPr>
          <w:rStyle w:val="CharSchNo"/>
          <w:vanish/>
        </w:rPr>
        <w:t xml:space="preserve"> </w:t>
      </w:r>
      <w:r>
        <w:rPr>
          <w:rStyle w:val="CharSchText"/>
          <w:vanish/>
        </w:rPr>
        <w:t xml:space="preserve"> </w:t>
      </w:r>
      <w:r>
        <w:rPr>
          <w:rStyle w:val="CharSDivNo"/>
          <w:vanish/>
        </w:rPr>
        <w:t xml:space="preserve"> </w:t>
      </w:r>
      <w:r>
        <w:rPr>
          <w:rStyle w:val="CharSDivText"/>
          <w:vanish/>
        </w:rPr>
        <w:t xml:space="preserve"> </w:t>
      </w:r>
      <w:r>
        <w:rPr>
          <w:rStyle w:val="CharSClsNo"/>
          <w:vanish/>
          <w:sz w:val="24"/>
        </w:rPr>
        <w:t xml:space="preserve"> </w:t>
      </w:r>
      <w:r>
        <w:rPr>
          <w:vanish/>
          <w:highlight w:val="yellow"/>
        </w:rPr>
        <w:sym w:font="Wingdings 3" w:char="F074"/>
      </w:r>
      <w:r>
        <w:rPr>
          <w:vanish/>
          <w:highlight w:val="yellow"/>
        </w:rPr>
        <w:tab/>
        <w:t xml:space="preserve">DO NOT REMOVE </w:t>
      </w:r>
      <w:r>
        <w:rPr>
          <w:vanish/>
          <w:highlight w:val="yellow"/>
        </w:rPr>
        <w:noBreakHyphen/>
        <w:t xml:space="preserve"> These char styles are to suppress error messages in the page headers (excludes CharSectno)</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66677880"/>
      <w:r>
        <w:rPr>
          <w:rStyle w:val="CharSectno"/>
        </w:rPr>
        <w:lastRenderedPageBreak/>
        <w:t>1</w:t>
      </w:r>
      <w:r>
        <w:t>.</w:t>
      </w:r>
      <w:r>
        <w:tab/>
        <w:t>Short title</w:t>
      </w:r>
      <w:bookmarkEnd w:id="3"/>
    </w:p>
    <w:p>
      <w:pPr>
        <w:pStyle w:val="Subsection"/>
      </w:pPr>
      <w:r>
        <w:tab/>
      </w:r>
      <w:r>
        <w:tab/>
        <w:t>This is the</w:t>
      </w:r>
      <w:r>
        <w:rPr>
          <w:i/>
        </w:rPr>
        <w:t xml:space="preserve"> Land Tax Assessment Amendment (Build</w:t>
      </w:r>
      <w:r>
        <w:rPr>
          <w:i/>
        </w:rPr>
        <w:noBreakHyphen/>
        <w:t>to</w:t>
      </w:r>
      <w:r>
        <w:rPr>
          <w:i/>
        </w:rPr>
        <w:noBreakHyphen/>
        <w:t>Rent) Act 2024</w:t>
      </w:r>
      <w:r>
        <w:t>.</w:t>
      </w:r>
    </w:p>
    <w:p>
      <w:pPr>
        <w:pStyle w:val="Heading5"/>
      </w:pPr>
      <w:bookmarkStart w:id="4" w:name="_Toc166677881"/>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 xml:space="preserve">the rest of the Act — </w:t>
      </w:r>
    </w:p>
    <w:p>
      <w:pPr>
        <w:pStyle w:val="Indenti"/>
      </w:pPr>
      <w:r>
        <w:tab/>
        <w:t>(i)</w:t>
      </w:r>
      <w:r>
        <w:tab/>
        <w:t>if assent day is 1 July 2023 or earlier — comes into operation on 1 July 2023; or</w:t>
      </w:r>
    </w:p>
    <w:p>
      <w:pPr>
        <w:pStyle w:val="Indenti"/>
      </w:pPr>
      <w:r>
        <w:tab/>
        <w:t>(ii)</w:t>
      </w:r>
      <w:r>
        <w:tab/>
        <w:t>otherwise — is deemed to have come into operation on 1 July 2023.</w:t>
      </w:r>
    </w:p>
    <w:p>
      <w:pPr>
        <w:pStyle w:val="Heading5"/>
        <w:rPr>
          <w:snapToGrid w:val="0"/>
        </w:rPr>
      </w:pPr>
      <w:bookmarkStart w:id="5" w:name="_Toc166677882"/>
      <w:r>
        <w:rPr>
          <w:rStyle w:val="CharSectno"/>
        </w:rPr>
        <w:t>3</w:t>
      </w:r>
      <w:r>
        <w:rPr>
          <w:snapToGrid w:val="0"/>
        </w:rPr>
        <w:t>.</w:t>
      </w:r>
      <w:r>
        <w:rPr>
          <w:snapToGrid w:val="0"/>
        </w:rPr>
        <w:tab/>
        <w:t>Act amended</w:t>
      </w:r>
      <w:bookmarkEnd w:id="5"/>
    </w:p>
    <w:p>
      <w:pPr>
        <w:pStyle w:val="Subsection"/>
      </w:pPr>
      <w:r>
        <w:tab/>
      </w:r>
      <w:r>
        <w:tab/>
        <w:t xml:space="preserve">This Act amends the </w:t>
      </w:r>
      <w:r>
        <w:rPr>
          <w:i/>
        </w:rPr>
        <w:t>Land Tax Assessment Act 2002</w:t>
      </w:r>
      <w:r>
        <w:t>.</w:t>
      </w:r>
    </w:p>
    <w:p>
      <w:pPr>
        <w:pStyle w:val="Heading5"/>
      </w:pPr>
      <w:bookmarkStart w:id="6" w:name="_Toc166677883"/>
      <w:r>
        <w:rPr>
          <w:rStyle w:val="CharSectno"/>
        </w:rPr>
        <w:t>4</w:t>
      </w:r>
      <w:r>
        <w:t>.</w:t>
      </w:r>
      <w:r>
        <w:tab/>
        <w:t>Section 15B inserted</w:t>
      </w:r>
      <w:bookmarkEnd w:id="6"/>
    </w:p>
    <w:p>
      <w:pPr>
        <w:pStyle w:val="Subsection"/>
      </w:pPr>
      <w:r>
        <w:tab/>
      </w:r>
      <w:r>
        <w:tab/>
        <w:t>After section 15A insert:</w:t>
      </w:r>
    </w:p>
    <w:p>
      <w:pPr>
        <w:pStyle w:val="BlankOpen"/>
      </w:pPr>
    </w:p>
    <w:p>
      <w:pPr>
        <w:pStyle w:val="zHeading5"/>
      </w:pPr>
      <w:bookmarkStart w:id="7" w:name="_Toc166677884"/>
      <w:r>
        <w:t>15B.</w:t>
      </w:r>
      <w:r>
        <w:tab/>
        <w:t>Tax payable on land containing former exempt build</w:t>
      </w:r>
      <w:r>
        <w:noBreakHyphen/>
        <w:t>to</w:t>
      </w:r>
      <w:r>
        <w:noBreakHyphen/>
        <w:t>rent developments</w:t>
      </w:r>
      <w:bookmarkEnd w:id="7"/>
    </w:p>
    <w:p>
      <w:pPr>
        <w:pStyle w:val="zSubsection"/>
      </w:pPr>
      <w:r>
        <w:tab/>
        <w:t>(1)</w:t>
      </w:r>
      <w:r>
        <w:tab/>
        <w:t xml:space="preserve">Land tax is payable on land in accordance with this section if — </w:t>
      </w:r>
    </w:p>
    <w:p>
      <w:pPr>
        <w:pStyle w:val="zIndenta"/>
      </w:pPr>
      <w:r>
        <w:tab/>
        <w:t>(a)</w:t>
      </w:r>
      <w:r>
        <w:tab/>
        <w:t>the land has been subject to an exemption under Part 3 Division 4B in relation to a development for 1 or more assessment years; and</w:t>
      </w:r>
    </w:p>
    <w:p>
      <w:pPr>
        <w:pStyle w:val="zIndenta"/>
        <w:keepLines/>
      </w:pPr>
      <w:r>
        <w:lastRenderedPageBreak/>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p>
    <w:p>
      <w:pPr>
        <w:pStyle w:val="zSubsection"/>
      </w:pPr>
      <w:r>
        <w:tab/>
        <w:t>(2)</w:t>
      </w:r>
      <w:r>
        <w:tab/>
        <w:t>The land tax is payable on the land by the owner of the land for each of the relevant financial years in which the land was subject to an exemption under Part 3 Division 4B.</w:t>
      </w:r>
    </w:p>
    <w:p>
      <w:pPr>
        <w:pStyle w:val="z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z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zSubsection"/>
      </w:pPr>
      <w:r>
        <w:tab/>
        <w:t>(5)</w:t>
      </w:r>
      <w:r>
        <w:tab/>
        <w:t>The amount of land tax payable under this section on the land for any of the relevant financial years is reduced by the amount already charged on any part of the land for that year.</w:t>
      </w:r>
    </w:p>
    <w:p>
      <w:pPr>
        <w:pStyle w:val="z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BlankClose"/>
      </w:pPr>
    </w:p>
    <w:p>
      <w:pPr>
        <w:pStyle w:val="Heading5"/>
      </w:pPr>
      <w:bookmarkStart w:id="8" w:name="_Toc166677885"/>
      <w:r>
        <w:rPr>
          <w:rStyle w:val="CharSectno"/>
        </w:rPr>
        <w:lastRenderedPageBreak/>
        <w:t>5</w:t>
      </w:r>
      <w:r>
        <w:t>.</w:t>
      </w:r>
      <w:r>
        <w:tab/>
        <w:t>Part 3 Division 4B inserted</w:t>
      </w:r>
      <w:bookmarkEnd w:id="8"/>
    </w:p>
    <w:p>
      <w:pPr>
        <w:pStyle w:val="Subsection"/>
        <w:keepNext/>
      </w:pPr>
      <w:r>
        <w:tab/>
      </w:r>
      <w:r>
        <w:tab/>
        <w:t>After Part 3 Division 4A insert:</w:t>
      </w:r>
    </w:p>
    <w:p>
      <w:pPr>
        <w:pStyle w:val="BlankOpen"/>
      </w:pPr>
    </w:p>
    <w:p>
      <w:pPr>
        <w:pStyle w:val="zHeading3"/>
      </w:pPr>
      <w:bookmarkStart w:id="9" w:name="_Toc166677503"/>
      <w:bookmarkStart w:id="10" w:name="_Toc166677525"/>
      <w:bookmarkStart w:id="11" w:name="_Toc166677819"/>
      <w:bookmarkStart w:id="12" w:name="_Toc166677886"/>
      <w:r>
        <w:t>Division 4B — Land used for build</w:t>
      </w:r>
      <w:r>
        <w:noBreakHyphen/>
        <w:t>to</w:t>
      </w:r>
      <w:r>
        <w:noBreakHyphen/>
        <w:t>rent developments</w:t>
      </w:r>
      <w:bookmarkEnd w:id="9"/>
      <w:bookmarkEnd w:id="10"/>
      <w:bookmarkEnd w:id="11"/>
      <w:bookmarkEnd w:id="12"/>
    </w:p>
    <w:p>
      <w:pPr>
        <w:pStyle w:val="zHeading5"/>
      </w:pPr>
      <w:bookmarkStart w:id="13" w:name="_Toc166677887"/>
      <w:r>
        <w:t>39E.</w:t>
      </w:r>
      <w:r>
        <w:tab/>
        <w:t>Terms used</w:t>
      </w:r>
      <w:bookmarkEnd w:id="13"/>
    </w:p>
    <w:p>
      <w:pPr>
        <w:pStyle w:val="zSubsection"/>
      </w:pPr>
      <w:r>
        <w:tab/>
      </w:r>
      <w:r>
        <w:tab/>
        <w:t xml:space="preserve">In this Division — </w:t>
      </w:r>
    </w:p>
    <w:p>
      <w:pPr>
        <w:pStyle w:val="z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zDefstart"/>
      </w:pPr>
      <w:r>
        <w:tab/>
      </w:r>
      <w:r>
        <w:rPr>
          <w:rStyle w:val="CharDefText"/>
        </w:rPr>
        <w:t>excluded land</w:t>
      </w:r>
      <w:r>
        <w:t xml:space="preserve"> means land, other than land used for exempt development or a purpose solely related to exempt development, that is — </w:t>
      </w:r>
    </w:p>
    <w:p>
      <w:pPr>
        <w:pStyle w:val="zDefpara"/>
      </w:pPr>
      <w:r>
        <w:tab/>
        <w:t>(a)</w:t>
      </w:r>
      <w:r>
        <w:tab/>
        <w:t>vacant land or land used for residential, commercial, professional, industrial or mixed development purposes; or</w:t>
      </w:r>
    </w:p>
    <w:p>
      <w:pPr>
        <w:pStyle w:val="zDefpara"/>
      </w:pPr>
      <w:r>
        <w:tab/>
        <w:t>(b)</w:t>
      </w:r>
      <w:r>
        <w:tab/>
        <w:t>land on which clearing or other work is undertaken for the purpose of developing the land; or</w:t>
      </w:r>
    </w:p>
    <w:p>
      <w:pPr>
        <w:pStyle w:val="zDefpara"/>
      </w:pPr>
      <w:r>
        <w:tab/>
        <w:t>(c)</w:t>
      </w:r>
      <w:r>
        <w:tab/>
        <w:t>land used for prescribed purposes; or</w:t>
      </w:r>
    </w:p>
    <w:p>
      <w:pPr>
        <w:pStyle w:val="zDefpara"/>
      </w:pPr>
      <w:r>
        <w:tab/>
        <w:t>(d)</w:t>
      </w:r>
      <w:r>
        <w:tab/>
        <w:t>land that the Commissioner considers is not used for the purposes of an exempt development;</w:t>
      </w:r>
    </w:p>
    <w:p>
      <w:pPr>
        <w:pStyle w:val="z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z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zDefstart"/>
      </w:pPr>
      <w:r>
        <w:lastRenderedPageBreak/>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zDefstart"/>
      </w:pPr>
      <w:r>
        <w:tab/>
      </w:r>
      <w:r>
        <w:rPr>
          <w:rStyle w:val="CharDefText"/>
        </w:rPr>
        <w:t>exemption percentage</w:t>
      </w:r>
      <w:r>
        <w:t xml:space="preserve"> means the percentage specified under section 39I(2);</w:t>
      </w:r>
    </w:p>
    <w:p>
      <w:pPr>
        <w:pStyle w:val="zDefstart"/>
      </w:pPr>
      <w:r>
        <w:tab/>
      </w:r>
      <w:r>
        <w:rPr>
          <w:rStyle w:val="CharDefText"/>
        </w:rPr>
        <w:t>residential tenancy agreement</w:t>
      </w:r>
      <w:r>
        <w:t xml:space="preserve"> has the meaning given in the </w:t>
      </w:r>
      <w:r>
        <w:rPr>
          <w:i/>
        </w:rPr>
        <w:t xml:space="preserve">Residential Tenancies Act 1987 </w:t>
      </w:r>
      <w:r>
        <w:t>section 3;</w:t>
      </w:r>
    </w:p>
    <w:p>
      <w:pPr>
        <w:pStyle w:val="zDefstart"/>
      </w:pPr>
      <w:r>
        <w:tab/>
      </w:r>
      <w:r>
        <w:rPr>
          <w:rStyle w:val="CharDefText"/>
        </w:rPr>
        <w:t>social housing premises</w:t>
      </w:r>
      <w:r>
        <w:t xml:space="preserve"> has the meaning given in the </w:t>
      </w:r>
      <w:r>
        <w:rPr>
          <w:i/>
        </w:rPr>
        <w:t xml:space="preserve">Residential Tenancies Act 1987 </w:t>
      </w:r>
      <w:r>
        <w:t>section 71A;</w:t>
      </w:r>
    </w:p>
    <w:p>
      <w:pPr>
        <w:pStyle w:val="zDefstart"/>
      </w:pPr>
      <w:r>
        <w:tab/>
      </w:r>
      <w:r>
        <w:rPr>
          <w:rStyle w:val="CharDefText"/>
        </w:rPr>
        <w:t>strata lot</w:t>
      </w:r>
      <w:r>
        <w:t xml:space="preserve"> means a lot referred to in paragraph (a)(vii) of the definition of </w:t>
      </w:r>
      <w:r>
        <w:rPr>
          <w:b/>
          <w:i/>
        </w:rPr>
        <w:t>lot</w:t>
      </w:r>
      <w:r>
        <w:t xml:space="preserve"> in the Glossary clause 2(1).</w:t>
      </w:r>
    </w:p>
    <w:p>
      <w:pPr>
        <w:pStyle w:val="zHeading5"/>
      </w:pPr>
      <w:bookmarkStart w:id="14" w:name="_Toc166677888"/>
      <w:r>
        <w:t>39F.</w:t>
      </w:r>
      <w:r>
        <w:tab/>
        <w:t>Requirements for exemption relating to build</w:t>
      </w:r>
      <w:r>
        <w:noBreakHyphen/>
        <w:t>to</w:t>
      </w:r>
      <w:r>
        <w:noBreakHyphen/>
        <w:t>rent development</w:t>
      </w:r>
      <w:bookmarkEnd w:id="14"/>
    </w:p>
    <w:p>
      <w:pPr>
        <w:pStyle w:val="zSubsection"/>
      </w:pPr>
      <w:r>
        <w:tab/>
        <w:t>(1)</w:t>
      </w:r>
      <w:r>
        <w:tab/>
        <w:t>Development meets the requirements for exemption as a build</w:t>
      </w:r>
      <w:r>
        <w:noBreakHyphen/>
        <w:t>to</w:t>
      </w:r>
      <w:r>
        <w:noBreakHyphen/>
        <w:t xml:space="preserve">rent development if — </w:t>
      </w:r>
    </w:p>
    <w:p>
      <w:pPr>
        <w:pStyle w:val="zIndenta"/>
      </w:pPr>
      <w:r>
        <w:tab/>
        <w:t>(a)</w:t>
      </w:r>
      <w:r>
        <w:tab/>
        <w:t>it is on land owned by 1 owner or joint owners; and</w:t>
      </w:r>
    </w:p>
    <w:p>
      <w:pPr>
        <w:pStyle w:val="z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zIndenta"/>
      </w:pPr>
      <w:r>
        <w:tab/>
        <w:t>(c)</w:t>
      </w:r>
      <w:r>
        <w:tab/>
        <w:t xml:space="preserve">it consists of — </w:t>
      </w:r>
    </w:p>
    <w:p>
      <w:pPr>
        <w:pStyle w:val="zIndenti"/>
      </w:pPr>
      <w:r>
        <w:tab/>
        <w:t>(i)</w:t>
      </w:r>
      <w:r>
        <w:tab/>
        <w:t>the construction of a building or buildings on the land; or</w:t>
      </w:r>
    </w:p>
    <w:p>
      <w:pPr>
        <w:pStyle w:val="zIndenti"/>
      </w:pPr>
      <w:r>
        <w:tab/>
        <w:t>(ii)</w:t>
      </w:r>
      <w:r>
        <w:tab/>
        <w:t>the substantial renovation of the whole or a substantial part of a building or buildings on the land that are not used for residential purposes (including aged care);</w:t>
      </w:r>
    </w:p>
    <w:p>
      <w:pPr>
        <w:pStyle w:val="zIndenta"/>
      </w:pPr>
      <w:r>
        <w:tab/>
      </w:r>
      <w:r>
        <w:tab/>
        <w:t>and</w:t>
      </w:r>
    </w:p>
    <w:p>
      <w:pPr>
        <w:pStyle w:val="zIndenta"/>
      </w:pPr>
      <w:r>
        <w:lastRenderedPageBreak/>
        <w:tab/>
        <w:t>(d)</w:t>
      </w:r>
      <w:r>
        <w:tab/>
        <w:t>all of the dwellings become able to be lawfully occupied as dwellings on or after 12 May 2022 and before 1 July 2032 and within a 5</w:t>
      </w:r>
      <w:r>
        <w:noBreakHyphen/>
        <w:t>year period; and</w:t>
      </w:r>
    </w:p>
    <w:p>
      <w:pPr>
        <w:pStyle w:val="zIndenta"/>
      </w:pPr>
      <w:r>
        <w:tab/>
        <w:t>(e)</w:t>
      </w:r>
      <w:r>
        <w:tab/>
        <w:t>except as provided by section 39G(1), each of the dwellings is rented or available for rent under a residential tenancy agreement with a term of at least 3 years; and</w:t>
      </w:r>
    </w:p>
    <w:p>
      <w:pPr>
        <w:pStyle w:val="zIndenta"/>
      </w:pPr>
      <w:r>
        <w:tab/>
        <w:t>(f)</w:t>
      </w:r>
      <w:r>
        <w:tab/>
        <w:t>except as permitted by section 39G(2), there is no direct or indirect restriction on the class or classes of persons who may occupy those dwellings; and</w:t>
      </w:r>
    </w:p>
    <w:p>
      <w:pPr>
        <w:pStyle w:val="zIndenta"/>
      </w:pPr>
      <w:r>
        <w:tab/>
        <w:t>(g)</w:t>
      </w:r>
      <w:r>
        <w:tab/>
        <w:t>the same management entity is responsible for the provision of management services to the whole of the development.</w:t>
      </w:r>
    </w:p>
    <w:p>
      <w:pPr>
        <w:pStyle w:val="zSubsection"/>
      </w:pPr>
      <w:r>
        <w:tab/>
        <w:t>(2)</w:t>
      </w:r>
      <w:r>
        <w:tab/>
        <w:t xml:space="preserve">In subsection (1) — </w:t>
      </w:r>
    </w:p>
    <w:p>
      <w:pPr>
        <w:pStyle w:val="zDefstart"/>
      </w:pPr>
      <w:r>
        <w:tab/>
      </w:r>
      <w:r>
        <w:rPr>
          <w:rStyle w:val="CharDefText"/>
        </w:rPr>
        <w:t>substantial renovation</w:t>
      </w:r>
      <w:r>
        <w:t>, of a building or part of a building, does not include minor works to the building or part.</w:t>
      </w:r>
    </w:p>
    <w:p>
      <w:pPr>
        <w:pStyle w:val="zSubsection"/>
      </w:pPr>
      <w:r>
        <w:tab/>
        <w:t>(3)</w:t>
      </w:r>
      <w:r>
        <w:tab/>
        <w:t>Development meets the requirements for exemption as an expansion build</w:t>
      </w:r>
      <w:r>
        <w:noBreakHyphen/>
        <w:t>to</w:t>
      </w:r>
      <w:r>
        <w:noBreakHyphen/>
        <w:t>rent development if —</w:t>
      </w:r>
    </w:p>
    <w:p>
      <w:pPr>
        <w:pStyle w:val="zIndenta"/>
      </w:pPr>
      <w:r>
        <w:tab/>
        <w:t>(a)</w:t>
      </w:r>
      <w:r>
        <w:tab/>
        <w:t>it is on land owned by 1 owner or joint owners; and</w:t>
      </w:r>
    </w:p>
    <w:p>
      <w:pPr>
        <w:pStyle w:val="zIndenta"/>
      </w:pPr>
      <w:r>
        <w:tab/>
        <w:t>(b)</w:t>
      </w:r>
      <w:r>
        <w:tab/>
        <w:t>it is development for the purpose of providing self</w:t>
      </w:r>
      <w:r>
        <w:noBreakHyphen/>
        <w:t>contained dwellings for lease under residential tenancy agreements (whether or not the building or buildings are used for other purposes); and</w:t>
      </w:r>
    </w:p>
    <w:p>
      <w:pPr>
        <w:pStyle w:val="z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zIndenta"/>
      </w:pPr>
      <w:r>
        <w:lastRenderedPageBreak/>
        <w:tab/>
        <w:t>(d)</w:t>
      </w:r>
      <w:r>
        <w:tab/>
        <w:t>it meets the requirements of subsection (1)(c) to (g).</w:t>
      </w:r>
    </w:p>
    <w:p>
      <w:pPr>
        <w:pStyle w:val="zHeading5"/>
      </w:pPr>
      <w:bookmarkStart w:id="15" w:name="_Toc166677889"/>
      <w:r>
        <w:t>39G.</w:t>
      </w:r>
      <w:r>
        <w:tab/>
        <w:t>Exceptions to leasing restrictions for exempt development</w:t>
      </w:r>
      <w:bookmarkEnd w:id="15"/>
    </w:p>
    <w:p>
      <w:pPr>
        <w:pStyle w:val="zSubsection"/>
      </w:pPr>
      <w:r>
        <w:tab/>
        <w:t>(1)</w:t>
      </w:r>
      <w:r>
        <w:tab/>
        <w:t>A dwelling may be rented for a term of less than 3 years without affecting eligibility for an exemption under this Division if —</w:t>
      </w:r>
    </w:p>
    <w:p>
      <w:pPr>
        <w:pStyle w:val="zIndenta"/>
      </w:pPr>
      <w:r>
        <w:tab/>
        <w:t>(a)</w:t>
      </w:r>
      <w:r>
        <w:tab/>
        <w:t>the tenant requests the shorter term; or</w:t>
      </w:r>
    </w:p>
    <w:p>
      <w:pPr>
        <w:pStyle w:val="zIndenta"/>
      </w:pPr>
      <w:r>
        <w:tab/>
        <w:t>(b)</w:t>
      </w:r>
      <w:r>
        <w:tab/>
        <w:t>the residential tenancy agreement is entered into for a term that ends in an assessment year for which the land will not be exempt under this Division because of section 39J(1).</w:t>
      </w:r>
    </w:p>
    <w:p>
      <w:pPr>
        <w:pStyle w:val="zSubsection"/>
      </w:pPr>
      <w:r>
        <w:tab/>
        <w:t>(2)</w:t>
      </w:r>
      <w:r>
        <w:tab/>
        <w:t>A restriction may be placed on the class of persons who may occupy a dwelling that is part of an exempt development —</w:t>
      </w:r>
    </w:p>
    <w:p>
      <w:pPr>
        <w:pStyle w:val="zIndenta"/>
      </w:pPr>
      <w:r>
        <w:tab/>
        <w:t>(a)</w:t>
      </w:r>
      <w:r>
        <w:tab/>
        <w:t>if it is necessary to ensure public health or safety; or</w:t>
      </w:r>
    </w:p>
    <w:p>
      <w:pPr>
        <w:pStyle w:val="zIndenta"/>
      </w:pPr>
      <w:r>
        <w:tab/>
        <w:t>(b)</w:t>
      </w:r>
      <w:r>
        <w:tab/>
        <w:t>if the dwelling is social housing premises; or</w:t>
      </w:r>
    </w:p>
    <w:p>
      <w:pPr>
        <w:pStyle w:val="zIndenta"/>
      </w:pPr>
      <w:r>
        <w:tab/>
        <w:t>(c)</w:t>
      </w:r>
      <w:r>
        <w:tab/>
        <w:t>in prescribed circumstances.</w:t>
      </w:r>
    </w:p>
    <w:p>
      <w:pPr>
        <w:pStyle w:val="zHeading5"/>
      </w:pPr>
      <w:bookmarkStart w:id="16" w:name="_Toc166677890"/>
      <w:r>
        <w:t>39H.</w:t>
      </w:r>
      <w:r>
        <w:tab/>
        <w:t>Managing entities for exempt development</w:t>
      </w:r>
      <w:bookmarkEnd w:id="16"/>
    </w:p>
    <w:p>
      <w:pPr>
        <w:pStyle w:val="zSubsection"/>
      </w:pPr>
      <w:r>
        <w:tab/>
        <w:t>(1)</w:t>
      </w:r>
      <w:r>
        <w:tab/>
        <w:t>The owner of land is not required to be the management entity responsible for providing management services to an exempt development.</w:t>
      </w:r>
    </w:p>
    <w:p>
      <w:pPr>
        <w:pStyle w:val="zSubsection"/>
      </w:pPr>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p>
    <w:p>
      <w:pPr>
        <w:pStyle w:val="zHeading5"/>
      </w:pPr>
      <w:bookmarkStart w:id="17" w:name="_Toc166677891"/>
      <w:r>
        <w:lastRenderedPageBreak/>
        <w:t>39I.</w:t>
      </w:r>
      <w:r>
        <w:tab/>
        <w:t>Exemption for build</w:t>
      </w:r>
      <w:r>
        <w:noBreakHyphen/>
        <w:t>to</w:t>
      </w:r>
      <w:r>
        <w:noBreakHyphen/>
        <w:t>rent developments</w:t>
      </w:r>
      <w:bookmarkEnd w:id="17"/>
    </w:p>
    <w:p>
      <w:pPr>
        <w:pStyle w:val="zSubsection"/>
      </w:pPr>
      <w:r>
        <w:tab/>
        <w:t>(1)</w:t>
      </w:r>
      <w:r>
        <w:tab/>
        <w:t>Land is exempt for an assessment year, to the extent set out in subsection (2), if at midnight on 30 June in the previous financial year the land is used for an exempt development.</w:t>
      </w:r>
    </w:p>
    <w:p>
      <w:pPr>
        <w:pStyle w:val="zSubsection"/>
      </w:pPr>
      <w:r>
        <w:tab/>
        <w:t>(2)</w:t>
      </w:r>
      <w:r>
        <w:tab/>
        <w:t>The land is exempt to the extent of 50%, or other percentage calculated under section 39K, of the taxable value of the land.</w:t>
      </w:r>
    </w:p>
    <w:p>
      <w:pPr>
        <w:pStyle w:val="zSubsection"/>
      </w:pPr>
      <w:r>
        <w:tab/>
        <w:t>(3)</w:t>
      </w:r>
      <w:r>
        <w:tab/>
        <w:t xml:space="preserve">The exemption does not apply to any part of a lot or parcel of land that is excluded land. </w:t>
      </w:r>
    </w:p>
    <w:p>
      <w:pPr>
        <w:pStyle w:val="zHeading5"/>
      </w:pPr>
      <w:bookmarkStart w:id="18" w:name="_Toc166677892"/>
      <w:r>
        <w:t>39J.</w:t>
      </w:r>
      <w:r>
        <w:tab/>
        <w:t>Limits on eligibility for build</w:t>
      </w:r>
      <w:r>
        <w:noBreakHyphen/>
        <w:t>to</w:t>
      </w:r>
      <w:r>
        <w:noBreakHyphen/>
        <w:t>rent exemption</w:t>
      </w:r>
      <w:bookmarkEnd w:id="18"/>
    </w:p>
    <w:p>
      <w:pPr>
        <w:pStyle w:val="z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zSubsection"/>
        <w:keepNext/>
      </w:pPr>
      <w:r>
        <w:tab/>
        <w:t>(2)</w:t>
      </w:r>
      <w:r>
        <w:tab/>
        <w:t xml:space="preserve">Land is not exempt under this Division for an assessment year in relation to a development that meets the requirements of section 39F if — </w:t>
      </w:r>
    </w:p>
    <w:p>
      <w:pPr>
        <w:pStyle w:val="zIndenta"/>
      </w:pPr>
      <w:r>
        <w:tab/>
        <w:t>(a)</w:t>
      </w:r>
      <w:r>
        <w:tab/>
        <w:t>the land was subject to an exemption under this Division for a previous assessment year in relation to the development; and</w:t>
      </w:r>
    </w:p>
    <w:p>
      <w:pPr>
        <w:pStyle w:val="zIndenta"/>
      </w:pPr>
      <w:r>
        <w:tab/>
        <w:t>(b)</w:t>
      </w:r>
      <w:r>
        <w:tab/>
        <w:t>the development ceased to meet the requirements of section 39F at any time after that exemption applied.</w:t>
      </w:r>
    </w:p>
    <w:p>
      <w:pPr>
        <w:pStyle w:val="zSubsection"/>
        <w:keepNext/>
      </w:pPr>
      <w:r>
        <w:tab/>
        <w:t>(3)</w:t>
      </w:r>
      <w:r>
        <w:tab/>
        <w:t xml:space="preserve">The Commissioner may determine that land is to be treated as exempt for an assessment year under this Division even if development on the land does not </w:t>
      </w:r>
      <w:r>
        <w:lastRenderedPageBreak/>
        <w:t xml:space="preserve">meet the requirements of section 39F for exemption, if the Commissioner is satisfied that — </w:t>
      </w:r>
    </w:p>
    <w:p>
      <w:pPr>
        <w:pStyle w:val="zIndenta"/>
      </w:pPr>
      <w:r>
        <w:tab/>
        <w:t>(a)</w:t>
      </w:r>
      <w:r>
        <w:tab/>
        <w:t>the land was exempt under this Division for the previous assessment year; and</w:t>
      </w:r>
    </w:p>
    <w:p>
      <w:pPr>
        <w:pStyle w:val="zIndenta"/>
      </w:pPr>
      <w:r>
        <w:tab/>
        <w:t>(b)</w:t>
      </w:r>
      <w:r>
        <w:tab/>
        <w:t>the reasons for not meeting the requirements are temporary; and</w:t>
      </w:r>
    </w:p>
    <w:p>
      <w:pPr>
        <w:pStyle w:val="zIndenta"/>
      </w:pPr>
      <w:r>
        <w:tab/>
        <w:t>(c)</w:t>
      </w:r>
      <w:r>
        <w:tab/>
        <w:t>it is reasonable in all the circumstances to treat the land as exempt under this Division for the assessment year.</w:t>
      </w:r>
    </w:p>
    <w:p>
      <w:pPr>
        <w:pStyle w:val="zSubsection"/>
      </w:pPr>
      <w:r>
        <w:tab/>
        <w:t>(4)</w:t>
      </w:r>
      <w:r>
        <w:tab/>
        <w:t xml:space="preserve">The Commissioner may make the determination — </w:t>
      </w:r>
    </w:p>
    <w:p>
      <w:pPr>
        <w:pStyle w:val="zIndenta"/>
      </w:pPr>
      <w:r>
        <w:tab/>
        <w:t>(a)</w:t>
      </w:r>
      <w:r>
        <w:tab/>
        <w:t>on the Commissioner’s own initiative; or</w:t>
      </w:r>
    </w:p>
    <w:p>
      <w:pPr>
        <w:pStyle w:val="zIndenta"/>
      </w:pPr>
      <w:r>
        <w:tab/>
        <w:t>(b)</w:t>
      </w:r>
      <w:r>
        <w:tab/>
        <w:t>on the application of the owner or all joint owners of the land.</w:t>
      </w:r>
    </w:p>
    <w:p>
      <w:pPr>
        <w:pStyle w:val="z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zHeading5"/>
      </w:pPr>
      <w:bookmarkStart w:id="19" w:name="_Toc166677893"/>
      <w:r>
        <w:t>39K.</w:t>
      </w:r>
      <w:r>
        <w:tab/>
        <w:t>Exemption percentage where buildings partially used for build</w:t>
      </w:r>
      <w:r>
        <w:noBreakHyphen/>
        <w:t>to</w:t>
      </w:r>
      <w:r>
        <w:noBreakHyphen/>
        <w:t>rent dwellings</w:t>
      </w:r>
      <w:bookmarkEnd w:id="19"/>
    </w:p>
    <w:p>
      <w:pPr>
        <w:pStyle w:val="zSubsection"/>
      </w:pPr>
      <w:r>
        <w:tab/>
        <w:t>(1)</w:t>
      </w:r>
      <w:r>
        <w:tab/>
        <w:t xml:space="preserve">This section does not apply to a strata lot or a community title lot. </w:t>
      </w:r>
    </w:p>
    <w:p>
      <w:pPr>
        <w:pStyle w:val="z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zMiscellaneousBody"/>
        <w:ind w:left="1418" w:hanging="851"/>
      </w:pPr>
      <w:r>
        <w:lastRenderedPageBreak/>
        <w:tab/>
        <w:t>where —</w:t>
      </w:r>
    </w:p>
    <w:p>
      <w:pPr>
        <w:pStyle w:val="zMiscellaneousBody"/>
        <w:tabs>
          <w:tab w:val="left" w:pos="1418"/>
        </w:tabs>
        <w:ind w:left="1843" w:hanging="1276"/>
      </w:pPr>
      <w:r>
        <w:tab/>
        <w:t>F</w:t>
      </w:r>
      <w:r>
        <w:tab/>
        <w:t>is the total floor area in square metres of all of the parts of the building or buildings that are used for the self</w:t>
      </w:r>
      <w:r>
        <w:noBreakHyphen/>
        <w:t>contained dwellings;</w:t>
      </w:r>
    </w:p>
    <w:p>
      <w:pPr>
        <w:pStyle w:val="zMiscellaneousBody"/>
        <w:tabs>
          <w:tab w:val="left" w:pos="1418"/>
        </w:tabs>
        <w:ind w:left="1843" w:hanging="1276"/>
      </w:pPr>
      <w:r>
        <w:tab/>
        <w:t>A</w:t>
      </w:r>
      <w:r>
        <w:tab/>
        <w:t xml:space="preserve">is the total floor area in square metres of all of the building or buildings on the land used for residential, commercial, professional, industrial or mixed development purposes. </w:t>
      </w:r>
    </w:p>
    <w:p>
      <w:pPr>
        <w:pStyle w:val="z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zSubsection"/>
      </w:pPr>
      <w:r>
        <w:tab/>
        <w:t>(4)</w:t>
      </w:r>
      <w:r>
        <w:tab/>
        <w:t>A calculation under this section must be made by reference to land as at midnight on 30 June in the financial year before the assessment year.</w:t>
      </w:r>
    </w:p>
    <w:p>
      <w:pPr>
        <w:pStyle w:val="zHeading5"/>
      </w:pPr>
      <w:bookmarkStart w:id="20" w:name="_Toc166677894"/>
      <w:r>
        <w:t>39L.</w:t>
      </w:r>
      <w:r>
        <w:tab/>
        <w:t>Taxable value of land subject to partial build</w:t>
      </w:r>
      <w:r>
        <w:noBreakHyphen/>
        <w:t>to</w:t>
      </w:r>
      <w:r>
        <w:noBreakHyphen/>
        <w:t>rent exemptions</w:t>
      </w:r>
      <w:bookmarkEnd w:id="20"/>
    </w:p>
    <w:p>
      <w:pPr>
        <w:pStyle w:val="zSubsection"/>
      </w:pPr>
      <w:r>
        <w:tab/>
        <w:t>(1)</w:t>
      </w:r>
      <w:r>
        <w:tab/>
        <w:t>This section applies for the purpose of determining the taxable value of a lot or parcel for an assessment year if an exemption under this Division applies only partly to the lot or parcel.</w:t>
      </w:r>
    </w:p>
    <w:p>
      <w:pPr>
        <w:pStyle w:val="z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zHeading5"/>
      </w:pPr>
      <w:bookmarkStart w:id="21" w:name="_Toc166677895"/>
      <w:r>
        <w:lastRenderedPageBreak/>
        <w:t>39M.</w:t>
      </w:r>
      <w:r>
        <w:tab/>
        <w:t>Application for build</w:t>
      </w:r>
      <w:r>
        <w:noBreakHyphen/>
        <w:t>to</w:t>
      </w:r>
      <w:r>
        <w:noBreakHyphen/>
        <w:t>rent exemption</w:t>
      </w:r>
      <w:bookmarkEnd w:id="21"/>
    </w:p>
    <w:p>
      <w:pPr>
        <w:pStyle w:val="zSubsection"/>
      </w:pPr>
      <w:r>
        <w:tab/>
        <w:t>(1)</w:t>
      </w:r>
      <w:r>
        <w:tab/>
        <w:t>An application for an exemption under this Division must —</w:t>
      </w:r>
    </w:p>
    <w:p>
      <w:pPr>
        <w:pStyle w:val="zIndenta"/>
      </w:pPr>
      <w:r>
        <w:tab/>
        <w:t>(a)</w:t>
      </w:r>
      <w:r>
        <w:tab/>
        <w:t>be in an approved form; and</w:t>
      </w:r>
    </w:p>
    <w:p>
      <w:pPr>
        <w:pStyle w:val="zIndenta"/>
        <w:keepLines/>
      </w:pPr>
      <w:r>
        <w:tab/>
        <w:t>(b)</w:t>
      </w:r>
      <w:r>
        <w:tab/>
        <w:t>be received by the Commissioner on or before 30 June in the assessment year unless the Commissioner gives an extension under subsection (2).</w:t>
      </w:r>
    </w:p>
    <w:p>
      <w:pPr>
        <w:pStyle w:val="z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BlankClose"/>
      </w:pPr>
    </w:p>
    <w:p>
      <w:pPr>
        <w:pStyle w:val="Heading5"/>
      </w:pPr>
      <w:bookmarkStart w:id="22" w:name="_Toc166677896"/>
      <w:r>
        <w:rPr>
          <w:rStyle w:val="CharSectno"/>
        </w:rPr>
        <w:t>6</w:t>
      </w:r>
      <w:r>
        <w:t>.</w:t>
      </w:r>
      <w:r>
        <w:tab/>
        <w:t>Schedule 1 Division 8 inserted</w:t>
      </w:r>
      <w:bookmarkEnd w:id="22"/>
    </w:p>
    <w:p>
      <w:pPr>
        <w:pStyle w:val="Subsection"/>
        <w:keepNext/>
      </w:pPr>
      <w:r>
        <w:tab/>
      </w:r>
      <w:r>
        <w:tab/>
        <w:t>At the end of Schedule 1 insert:</w:t>
      </w:r>
    </w:p>
    <w:p>
      <w:pPr>
        <w:pStyle w:val="BlankOpen"/>
      </w:pPr>
    </w:p>
    <w:p>
      <w:pPr>
        <w:pStyle w:val="zyHeading3"/>
      </w:pPr>
      <w:bookmarkStart w:id="23" w:name="_Toc166677514"/>
      <w:bookmarkStart w:id="24" w:name="_Toc166677536"/>
      <w:bookmarkStart w:id="25" w:name="_Toc166677830"/>
      <w:bookmarkStart w:id="26" w:name="_Toc166677897"/>
      <w:r>
        <w:t>Division 8</w:t>
      </w:r>
      <w:r>
        <w:rPr>
          <w:b w:val="0"/>
        </w:rPr>
        <w:t> — </w:t>
      </w:r>
      <w:r>
        <w:t xml:space="preserve">Provision for </w:t>
      </w:r>
      <w:r>
        <w:rPr>
          <w:i/>
        </w:rPr>
        <w:t>Land Tax Assessment Amendment (Build</w:t>
      </w:r>
      <w:r>
        <w:rPr>
          <w:i/>
        </w:rPr>
        <w:noBreakHyphen/>
        <w:t>to</w:t>
      </w:r>
      <w:r>
        <w:rPr>
          <w:i/>
        </w:rPr>
        <w:noBreakHyphen/>
        <w:t>Rent) Act 2024</w:t>
      </w:r>
      <w:bookmarkEnd w:id="23"/>
      <w:bookmarkEnd w:id="24"/>
      <w:bookmarkEnd w:id="25"/>
      <w:bookmarkEnd w:id="26"/>
    </w:p>
    <w:p>
      <w:pPr>
        <w:pStyle w:val="zyHeading5"/>
      </w:pPr>
      <w:bookmarkStart w:id="27" w:name="_Toc166677898"/>
      <w:r>
        <w:t>26.</w:t>
      </w:r>
      <w:r>
        <w:tab/>
        <w:t>Application of amendments</w:t>
      </w:r>
      <w:bookmarkEnd w:id="27"/>
    </w:p>
    <w:p>
      <w:pPr>
        <w:pStyle w:val="z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47CC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8AF3EC0" w14:textId="784D00B1" w:rsidR="00BB00C7" w:rsidRDefault="00BB00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7017">
                        <w:rPr>
                          <w:sz w:val="16"/>
                        </w:rPr>
                        <w:t>2024</w:t>
                      </w:r>
                      <w:r>
                        <w:rPr>
                          <w:sz w:val="16"/>
                        </w:rPr>
                        <w:fldChar w:fldCharType="end"/>
                      </w:r>
                      <w:r>
                        <w:rPr>
                          <w:sz w:val="16"/>
                        </w:rPr>
                        <w:t>.</w:t>
                      </w:r>
                    </w:p>
                    <w:p w14:paraId="26073A1F" w14:textId="77777777" w:rsidR="00BB00C7" w:rsidRDefault="00BB00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4D8017" w14:textId="232AA4A7" w:rsidR="00BB00C7" w:rsidRDefault="00BB00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7017">
                        <w:rPr>
                          <w:sz w:val="16"/>
                        </w:rPr>
                        <w:t>2024</w:t>
                      </w:r>
                      <w:r>
                        <w:rPr>
                          <w:sz w:val="16"/>
                        </w:rPr>
                        <w:fldChar w:fldCharType="end"/>
                      </w:r>
                      <w:r>
                        <w:rPr>
                          <w:sz w:val="16"/>
                        </w:rPr>
                        <w:t>.</w:t>
                      </w:r>
                    </w:p>
                    <w:p w14:paraId="7E37E178" w14:textId="77777777" w:rsidR="00BB00C7" w:rsidRDefault="00BB00C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Amendment (Build-to-Rent)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1454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3011432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1143204_GUID" w:val="feb6baa6-379f-4ac9-ba42-ece962973af7"/>
    <w:docVar w:name="WAFER_20230511090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1090733_GUID" w:val="4092ecc1-5b4f-4eab-b818-f4dd66c3f36f"/>
    <w:docVar w:name="WAFER_20240515145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145430_GUID" w:val="14f4dc3c-5807-4961-8b8e-1ef1fb410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92E199A-1544-49F8-82F5-32EB3192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55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2DE6C-D940-485C-807C-B949ACD79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2380</Words>
  <Characters>11929</Characters>
  <Application>Microsoft Office Word</Application>
  <DocSecurity>0</DocSecurity>
  <Lines>372</Lines>
  <Paragraphs>178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14131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Amendment (Build-to-Rent) Act 2024 - 00-00-00</dc:title>
  <dc:subject/>
  <dc:creator/>
  <cp:keywords/>
  <dc:description/>
  <cp:lastModifiedBy>Master Repository Process</cp:lastModifiedBy>
  <cp:revision>4</cp:revision>
  <cp:lastPrinted>2024-05-15T06:51:00Z</cp:lastPrinted>
  <dcterms:created xsi:type="dcterms:W3CDTF">2025-06-19T01:45:00Z</dcterms:created>
  <dcterms:modified xsi:type="dcterms:W3CDTF">2025-06-19T01:45:00Z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2024</vt:lpwstr>
  </property>
  <property fmtid="{D5CDD505-2E9C-101B-9397-08002B2CF9AE}" pid="3" name="DocumentType">
    <vt:lpwstr>Act</vt:lpwstr>
  </property>
  <property fmtid="{D5CDD505-2E9C-101B-9397-08002B2CF9AE}" pid="4" name="AsAtDate">
    <vt:lpwstr>15 May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22 of 2024</vt:lpwstr>
  </property>
  <property fmtid="{D5CDD505-2E9C-101B-9397-08002B2CF9AE}" pid="8" name="CommencementDate">
    <vt:lpwstr>20240515</vt:lpwstr>
  </property>
  <property fmtid="{D5CDD505-2E9C-101B-9397-08002B2CF9AE}" pid="9" name="CommencementAsAt">
    <vt:filetime>2024-05-14T16:00:00Z</vt:filetime>
  </property>
  <property fmtid="{D5CDD505-2E9C-101B-9397-08002B2CF9AE}" pid="10" name="CommencementYear">
    <vt:lpwstr>2024</vt:lpwstr>
  </property>
</Properties>
</file>