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Parks and Reserves Act 1895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_Toc166679193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_Toc166679194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_Toc166679195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Boards to control etc. reserved land, appointment of etc.</w:t>
      </w:r>
      <w:r>
        <w:tab/>
      </w:r>
      <w:r>
        <w:fldChar w:fldCharType="begin"/>
      </w:r>
      <w:r>
        <w:instrText xml:space="preserve"> PAGEREF _Toc166679196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Boards’ general functions</w:t>
      </w:r>
      <w:r>
        <w:tab/>
      </w:r>
      <w:r>
        <w:fldChar w:fldCharType="begin"/>
      </w:r>
      <w:r>
        <w:instrText xml:space="preserve"> PAGEREF _Toc166679197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Boards’ specific functions</w:t>
      </w:r>
      <w:r>
        <w:tab/>
      </w:r>
      <w:r>
        <w:fldChar w:fldCharType="begin"/>
      </w:r>
      <w:r>
        <w:instrText xml:space="preserve"> PAGEREF _Toc166679198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may delegate to committee</w:t>
      </w:r>
      <w:r>
        <w:tab/>
      </w:r>
      <w:r>
        <w:fldChar w:fldCharType="begin"/>
      </w:r>
      <w:r>
        <w:instrText xml:space="preserve"> PAGEREF _Toc166679199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appoint rangers and other staff</w:t>
      </w:r>
      <w:r>
        <w:tab/>
      </w:r>
      <w:r>
        <w:fldChar w:fldCharType="begin"/>
      </w:r>
      <w:r>
        <w:instrText xml:space="preserve"> PAGEREF _Toc166679200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Powers of authorised persons</w:t>
      </w:r>
      <w:r>
        <w:tab/>
      </w:r>
      <w:r>
        <w:fldChar w:fldCharType="begin"/>
      </w:r>
      <w:r>
        <w:instrText xml:space="preserve"> PAGEREF _Toc166679201 \h </w:instrText>
      </w:r>
      <w:r>
        <w:fldChar w:fldCharType="separate"/>
      </w:r>
      <w:r>
        <w:t>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Certificate of authority for Board’s members and rangers</w:t>
      </w:r>
      <w:r>
        <w:tab/>
      </w:r>
      <w:r>
        <w:fldChar w:fldCharType="begin"/>
      </w:r>
      <w:r>
        <w:instrText xml:space="preserve"> PAGEREF _Toc166679202 \h </w:instrText>
      </w:r>
      <w:r>
        <w:fldChar w:fldCharType="separate"/>
      </w:r>
      <w:r>
        <w:t>7</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Speed measuring equipment, evidentiary provisions as to</w:t>
      </w:r>
      <w:r>
        <w:tab/>
      </w:r>
      <w:r>
        <w:fldChar w:fldCharType="begin"/>
      </w:r>
      <w:r>
        <w:instrText xml:space="preserve"> PAGEREF _Toc166679203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By</w:t>
      </w:r>
      <w:r>
        <w:rPr>
          <w:snapToGrid w:val="0"/>
        </w:rPr>
        <w:noBreakHyphen/>
        <w:t>laws</w:t>
      </w:r>
      <w:r>
        <w:tab/>
      </w:r>
      <w:r>
        <w:fldChar w:fldCharType="begin"/>
      </w:r>
      <w:r>
        <w:instrText xml:space="preserve"> PAGEREF _Toc166679204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By</w:t>
      </w:r>
      <w:r>
        <w:rPr>
          <w:snapToGrid w:val="0"/>
        </w:rPr>
        <w:noBreakHyphen/>
        <w:t>laws to be gazetted and tabled</w:t>
      </w:r>
      <w:r>
        <w:tab/>
      </w:r>
      <w:r>
        <w:fldChar w:fldCharType="begin"/>
      </w:r>
      <w:r>
        <w:instrText xml:space="preserve"> PAGEREF _Toc166679205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meetings, voting at</w:t>
      </w:r>
      <w:r>
        <w:tab/>
      </w:r>
      <w:r>
        <w:fldChar w:fldCharType="begin"/>
      </w:r>
      <w:r>
        <w:instrText xml:space="preserve"> PAGEREF _Toc166679206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_Toc166679207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Liability of parents for acts etc. of child</w:t>
      </w:r>
      <w:r>
        <w:tab/>
      </w:r>
      <w:r>
        <w:fldChar w:fldCharType="begin"/>
      </w:r>
      <w:r>
        <w:instrText xml:space="preserve"> PAGEREF _Toc166679208 \h </w:instrText>
      </w:r>
      <w:r>
        <w:fldChar w:fldCharType="separate"/>
      </w:r>
      <w:r>
        <w:t>13</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Animals, evidentiary provisions as to</w:t>
      </w:r>
      <w:r>
        <w:tab/>
      </w:r>
      <w:r>
        <w:fldChar w:fldCharType="begin"/>
      </w:r>
      <w:r>
        <w:instrText xml:space="preserve"> PAGEREF _Toc166679209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from personal liability</w:t>
      </w:r>
      <w:r>
        <w:tab/>
      </w:r>
      <w:r>
        <w:fldChar w:fldCharType="begin"/>
      </w:r>
      <w:r>
        <w:instrText xml:space="preserve"> PAGEREF _Toc166679210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Infringement notices</w:t>
      </w:r>
      <w:r>
        <w:tab/>
      </w:r>
      <w:r>
        <w:fldChar w:fldCharType="begin"/>
      </w:r>
      <w:r>
        <w:instrText xml:space="preserve"> PAGEREF _Toc166679211 \h </w:instrText>
      </w:r>
      <w:r>
        <w:fldChar w:fldCharType="separate"/>
      </w:r>
      <w:r>
        <w:t>14</w:t>
      </w:r>
      <w:r>
        <w:fldChar w:fldCharType="end"/>
      </w:r>
    </w:p>
    <w:p>
      <w:pPr>
        <w:pStyle w:val="TOC8"/>
        <w:rPr>
          <w:rFonts w:asciiTheme="minorHAnsi" w:eastAsiaTheme="minorEastAsia" w:hAnsiTheme="minorHAnsi" w:cstheme="minorBidi"/>
          <w:szCs w:val="22"/>
        </w:rPr>
      </w:pPr>
      <w:r>
        <w:t>15.</w:t>
      </w:r>
      <w:r>
        <w:tab/>
        <w:t>Arrangements for staff before dissolution of Boards that are bodies corporate</w:t>
      </w:r>
      <w:r>
        <w:tab/>
      </w:r>
      <w:r>
        <w:fldChar w:fldCharType="begin"/>
      </w:r>
      <w:r>
        <w:instrText xml:space="preserve"> PAGEREF _Toc166679212 \h </w:instrText>
      </w:r>
      <w:r>
        <w:fldChar w:fldCharType="separate"/>
      </w:r>
      <w:r>
        <w:t>16</w:t>
      </w:r>
      <w:r>
        <w:fldChar w:fldCharType="end"/>
      </w:r>
    </w:p>
    <w:p>
      <w:pPr>
        <w:pStyle w:val="TOC8"/>
        <w:rPr>
          <w:rFonts w:asciiTheme="minorHAnsi" w:eastAsiaTheme="minorEastAsia" w:hAnsiTheme="minorHAnsi" w:cstheme="minorBidi"/>
          <w:szCs w:val="22"/>
        </w:rPr>
      </w:pPr>
      <w:r>
        <w:t>16.</w:t>
      </w:r>
      <w:r>
        <w:tab/>
        <w:t>Regulations as to matters consequent on dissolution of Boards that are bodies corporate</w:t>
      </w:r>
      <w:r>
        <w:tab/>
      </w:r>
      <w:r>
        <w:fldChar w:fldCharType="begin"/>
      </w:r>
      <w:r>
        <w:instrText xml:space="preserve"> PAGEREF _Toc166679213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17.</w:t>
      </w:r>
      <w:r>
        <w:tab/>
        <w:t>Exemption from State taxation in relation to dissolution of Boards that are bodies corporate</w:t>
      </w:r>
      <w:r>
        <w:tab/>
      </w:r>
      <w:r>
        <w:fldChar w:fldCharType="begin"/>
      </w:r>
      <w:r>
        <w:instrText xml:space="preserve"> PAGEREF _Toc166679214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certificate of authority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_Toc166679217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_Toc166679218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_Toc166679219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No. 76 of 2003 s. 6.]</w:t>
      </w:r>
    </w:p>
    <w:p>
      <w:pPr>
        <w:pStyle w:val="Heading5"/>
        <w:spacing w:before="360"/>
        <w:rPr>
          <w:snapToGrid w:val="0"/>
        </w:rPr>
      </w:pPr>
      <w:bookmarkStart w:id="2" w:name="_Toc16667919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w:t>
      </w:r>
    </w:p>
    <w:p>
      <w:pPr>
        <w:pStyle w:val="Footnotesection"/>
      </w:pPr>
      <w:r>
        <w:tab/>
        <w:t>[Section 1 amended: No. 60 of 1947 s. 2.]</w:t>
      </w:r>
    </w:p>
    <w:p>
      <w:pPr>
        <w:pStyle w:val="Heading5"/>
        <w:rPr>
          <w:snapToGrid w:val="0"/>
        </w:rPr>
      </w:pPr>
      <w:bookmarkStart w:id="3" w:name="_Toc166679194"/>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to whom a licence or permit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lastRenderedPageBreak/>
        <w:tab/>
      </w:r>
      <w:r>
        <w:rPr>
          <w:rStyle w:val="CharDefText"/>
        </w:rPr>
        <w:t>vehicle</w:t>
      </w:r>
      <w:r>
        <w:t xml:space="preserve"> includes any vehicle as defined in the </w:t>
      </w:r>
      <w:r>
        <w:rPr>
          <w:i/>
          <w:iCs/>
        </w:rPr>
        <w:t>Road Traffic (Administration) Act 2008</w:t>
      </w:r>
      <w:r>
        <w:t xml:space="preserve"> section 4.</w:t>
      </w:r>
    </w:p>
    <w:p>
      <w:pPr>
        <w:pStyle w:val="Footnotesection"/>
      </w:pPr>
      <w:r>
        <w:tab/>
        <w:t>[Section 2 amended: No. 8 of 1925 s. 2; No. 17 of 1955 s. 2; No. 50 of 1978 s. 2; No. 5 of 1995 s. 10; No. 31 of 1997 s. 75(1); No. 76 of 2003 s. 7; No. 8 of 2012 s. 153.]</w:t>
      </w:r>
    </w:p>
    <w:p>
      <w:pPr>
        <w:pStyle w:val="Heading5"/>
        <w:rPr>
          <w:snapToGrid w:val="0"/>
        </w:rPr>
      </w:pPr>
      <w:bookmarkStart w:id="4" w:name="_Toc166679195"/>
      <w:r>
        <w:rPr>
          <w:rStyle w:val="CharSectno"/>
        </w:rPr>
        <w:t>2A</w:t>
      </w:r>
      <w:r>
        <w:rPr>
          <w:snapToGrid w:val="0"/>
        </w:rPr>
        <w:t>.</w:t>
      </w:r>
      <w:r>
        <w:rPr>
          <w:snapToGrid w:val="0"/>
        </w:rPr>
        <w:tab/>
        <w:t>Application</w:t>
      </w:r>
      <w:bookmarkEnd w:id="4"/>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No. 91 of 1987 s. 51; amended: No. 53 of 1998 s. 56.]</w:t>
      </w:r>
    </w:p>
    <w:p>
      <w:pPr>
        <w:pStyle w:val="Heading5"/>
        <w:rPr>
          <w:snapToGrid w:val="0"/>
        </w:rPr>
      </w:pPr>
      <w:bookmarkStart w:id="5" w:name="_Toc166679196"/>
      <w:r>
        <w:rPr>
          <w:rStyle w:val="CharSectno"/>
        </w:rPr>
        <w:t>3</w:t>
      </w:r>
      <w:r>
        <w:rPr>
          <w:snapToGrid w:val="0"/>
        </w:rPr>
        <w:t>.</w:t>
      </w:r>
      <w:r>
        <w:rPr>
          <w:snapToGrid w:val="0"/>
        </w:rPr>
        <w:tab/>
        <w:t>Boards to control etc. reserved land, appointment of etc.</w:t>
      </w:r>
      <w:bookmarkEnd w:id="5"/>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 xml:space="preserve">The Governor may by proclamation constitute any Board under such name as he deems fit, a body corporate with perpetual </w:t>
      </w:r>
      <w:r>
        <w:rPr>
          <w:snapToGrid w:val="0"/>
        </w:rPr>
        <w:lastRenderedPageBreak/>
        <w:t>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1</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No. 17 of 1955 s. 3; No. 5 of 1995 s. 11; No. 31 of 1997 s. 75(2) and (3); No. 76 of 2003 s. 8; No. 8 of 2009 s. 98.]</w:t>
      </w:r>
    </w:p>
    <w:p>
      <w:pPr>
        <w:pStyle w:val="Heading5"/>
        <w:rPr>
          <w:snapToGrid w:val="0"/>
        </w:rPr>
      </w:pPr>
      <w:bookmarkStart w:id="6" w:name="_Toc166679197"/>
      <w:r>
        <w:rPr>
          <w:rStyle w:val="CharSectno"/>
        </w:rPr>
        <w:lastRenderedPageBreak/>
        <w:t>4</w:t>
      </w:r>
      <w:r>
        <w:rPr>
          <w:snapToGrid w:val="0"/>
        </w:rPr>
        <w:t>.</w:t>
      </w:r>
      <w:r>
        <w:rPr>
          <w:snapToGrid w:val="0"/>
        </w:rPr>
        <w:tab/>
        <w:t>Boards’ general functions</w:t>
      </w:r>
      <w:bookmarkEnd w:id="6"/>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No. 76 of 2003 s. 9.]</w:t>
      </w:r>
    </w:p>
    <w:p>
      <w:pPr>
        <w:pStyle w:val="Heading5"/>
        <w:rPr>
          <w:snapToGrid w:val="0"/>
        </w:rPr>
      </w:pPr>
      <w:bookmarkStart w:id="7" w:name="_Toc166679198"/>
      <w:r>
        <w:rPr>
          <w:rStyle w:val="CharSectno"/>
        </w:rPr>
        <w:t>5</w:t>
      </w:r>
      <w:r>
        <w:rPr>
          <w:snapToGrid w:val="0"/>
        </w:rPr>
        <w:t>.</w:t>
      </w:r>
      <w:r>
        <w:rPr>
          <w:snapToGrid w:val="0"/>
        </w:rPr>
        <w:tab/>
        <w:t>Boards’ specific functions</w:t>
      </w:r>
      <w:bookmarkEnd w:id="7"/>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lastRenderedPageBreak/>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No. 59 of 1954 s. 2; No. 4 of 1972 s. 2; No. 50 of 1978 s. 3; No. 77 of 1982 s. 16; No. 8 of 1985 s. 2; No. 1 of 1990 s. 3; No. 5 of 1995 s. 12; No. 53 of 1998 s. 56; No. 76 of 2003 s. 10.]</w:t>
      </w:r>
    </w:p>
    <w:p>
      <w:pPr>
        <w:pStyle w:val="Heading5"/>
        <w:spacing w:before="260"/>
        <w:rPr>
          <w:snapToGrid w:val="0"/>
        </w:rPr>
      </w:pPr>
      <w:bookmarkStart w:id="8" w:name="_Toc166679199"/>
      <w:r>
        <w:rPr>
          <w:rStyle w:val="CharSectno"/>
        </w:rPr>
        <w:t>6</w:t>
      </w:r>
      <w:r>
        <w:rPr>
          <w:snapToGrid w:val="0"/>
        </w:rPr>
        <w:t>.</w:t>
      </w:r>
      <w:r>
        <w:rPr>
          <w:snapToGrid w:val="0"/>
        </w:rPr>
        <w:tab/>
        <w:t>Board may delegate to committee</w:t>
      </w:r>
      <w:bookmarkEnd w:id="8"/>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9" w:name="_Toc166679200"/>
      <w:r>
        <w:rPr>
          <w:rStyle w:val="CharSectno"/>
        </w:rPr>
        <w:t>7</w:t>
      </w:r>
      <w:r>
        <w:rPr>
          <w:snapToGrid w:val="0"/>
        </w:rPr>
        <w:t>.</w:t>
      </w:r>
      <w:r>
        <w:rPr>
          <w:snapToGrid w:val="0"/>
        </w:rPr>
        <w:tab/>
        <w:t>Board may appoint rangers and other staff</w:t>
      </w:r>
      <w:bookmarkEnd w:id="9"/>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7 amended: No. 50 of 1978 s. 4; No. 113 of 1987 s. 32.]</w:t>
      </w:r>
    </w:p>
    <w:p>
      <w:pPr>
        <w:pStyle w:val="Heading5"/>
        <w:spacing w:before="240"/>
        <w:rPr>
          <w:snapToGrid w:val="0"/>
        </w:rPr>
      </w:pPr>
      <w:bookmarkStart w:id="10" w:name="_Toc166679201"/>
      <w:r>
        <w:rPr>
          <w:rStyle w:val="CharSectno"/>
        </w:rPr>
        <w:lastRenderedPageBreak/>
        <w:t>7A</w:t>
      </w:r>
      <w:r>
        <w:rPr>
          <w:snapToGrid w:val="0"/>
        </w:rPr>
        <w:t>.</w:t>
      </w:r>
      <w:r>
        <w:rPr>
          <w:snapToGrid w:val="0"/>
        </w:rPr>
        <w:tab/>
        <w:t>Powers of authorised persons</w:t>
      </w:r>
      <w:bookmarkEnd w:id="10"/>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(Vehicles) Act 2012 </w:t>
      </w:r>
      <w:r>
        <w:rPr>
          <w:snapToGrid w:val="0"/>
        </w:rPr>
        <w:t>and to give to him the name and address of the owner of the vehicle.</w:t>
      </w:r>
    </w:p>
    <w:p>
      <w:pPr>
        <w:pStyle w:val="Subsection"/>
        <w:spacing w:before="200"/>
        <w:rPr>
          <w:snapToGrid w:val="0"/>
        </w:rPr>
      </w:pPr>
      <w:r>
        <w:rPr>
          <w:snapToGrid w:val="0"/>
        </w:rPr>
        <w:lastRenderedPageBreak/>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No. 50 of 1978 s. 5; amended: No. 6 of 2002 Sch. 2 cl. 4; No. 76 of 2003 s. 11; No. 8 of 2012 s. 154.]</w:t>
      </w:r>
    </w:p>
    <w:p>
      <w:pPr>
        <w:pStyle w:val="Heading5"/>
        <w:rPr>
          <w:snapToGrid w:val="0"/>
        </w:rPr>
      </w:pPr>
      <w:bookmarkStart w:id="11" w:name="_Toc166679202"/>
      <w:r>
        <w:rPr>
          <w:rStyle w:val="CharSectno"/>
        </w:rPr>
        <w:t>7B</w:t>
      </w:r>
      <w:r>
        <w:rPr>
          <w:snapToGrid w:val="0"/>
        </w:rPr>
        <w:t>.</w:t>
      </w:r>
      <w:r>
        <w:rPr>
          <w:snapToGrid w:val="0"/>
        </w:rPr>
        <w:tab/>
        <w:t>Certificate of authority for Board’s members and rangers</w:t>
      </w:r>
      <w:bookmarkEnd w:id="11"/>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lastRenderedPageBreak/>
        <w:tab/>
        <w:t>[Section 7B inserted: No. 50 of 1978 s. 5.]</w:t>
      </w:r>
    </w:p>
    <w:p>
      <w:pPr>
        <w:pStyle w:val="Heading5"/>
        <w:rPr>
          <w:snapToGrid w:val="0"/>
        </w:rPr>
      </w:pPr>
      <w:bookmarkStart w:id="12" w:name="_Toc166679203"/>
      <w:r>
        <w:rPr>
          <w:rStyle w:val="CharSectno"/>
        </w:rPr>
        <w:t>7C</w:t>
      </w:r>
      <w:r>
        <w:rPr>
          <w:snapToGrid w:val="0"/>
        </w:rPr>
        <w:t>.</w:t>
      </w:r>
      <w:r>
        <w:rPr>
          <w:snapToGrid w:val="0"/>
        </w:rPr>
        <w:tab/>
        <w:t>Speed measuring equipment, evidentiary provisions as to</w:t>
      </w:r>
      <w:bookmarkEnd w:id="12"/>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w:t>
      </w:r>
      <w:r>
        <w:t xml:space="preserve">the </w:t>
      </w:r>
      <w:r>
        <w:rPr>
          <w:i/>
          <w:iCs/>
        </w:rPr>
        <w:t>Road Traffic (Administration) Act 2008</w:t>
      </w:r>
      <w:r>
        <w:t xml:space="preserve"> section 117(2).</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No. 22 of 1983 s. 3; amended: No. 8 of 2012 s. 155.]</w:t>
      </w:r>
    </w:p>
    <w:p>
      <w:pPr>
        <w:pStyle w:val="Heading5"/>
        <w:rPr>
          <w:snapToGrid w:val="0"/>
        </w:rPr>
      </w:pPr>
      <w:bookmarkStart w:id="13" w:name="_Toc166679204"/>
      <w:r>
        <w:rPr>
          <w:rStyle w:val="CharSectno"/>
        </w:rPr>
        <w:t>8</w:t>
      </w:r>
      <w:r>
        <w:rPr>
          <w:snapToGrid w:val="0"/>
        </w:rPr>
        <w:t>.</w:t>
      </w:r>
      <w:r>
        <w:rPr>
          <w:snapToGrid w:val="0"/>
        </w:rPr>
        <w:tab/>
        <w:t>By</w:t>
      </w:r>
      <w:r>
        <w:rPr>
          <w:snapToGrid w:val="0"/>
        </w:rPr>
        <w:noBreakHyphen/>
        <w:t>laws</w:t>
      </w:r>
      <w:bookmarkEnd w:id="13"/>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lastRenderedPageBreak/>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lastRenderedPageBreak/>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lastRenderedPageBreak/>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lastRenderedPageBreak/>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No. 60 of 1947 s. 3; No. 17 of 1955 s. 4; No. 40 of 1963 s. 2; No. 4 of 1972 s. 3; No. 50 of 1978 s. 6; No. 8 of 1985 s. 3; No. 78 of 1995 s. 98; No. 76 of 2003 s. 12; No. 19 of 2010 s. 51.]</w:t>
      </w:r>
    </w:p>
    <w:p>
      <w:pPr>
        <w:pStyle w:val="Heading5"/>
        <w:spacing w:before="200"/>
        <w:rPr>
          <w:snapToGrid w:val="0"/>
        </w:rPr>
      </w:pPr>
      <w:bookmarkStart w:id="14" w:name="_Toc166679205"/>
      <w:r>
        <w:rPr>
          <w:rStyle w:val="CharSectno"/>
        </w:rPr>
        <w:t>9</w:t>
      </w:r>
      <w:r>
        <w:rPr>
          <w:snapToGrid w:val="0"/>
        </w:rPr>
        <w:t>.</w:t>
      </w:r>
      <w:r>
        <w:rPr>
          <w:snapToGrid w:val="0"/>
        </w:rPr>
        <w:tab/>
        <w:t>By</w:t>
      </w:r>
      <w:r>
        <w:rPr>
          <w:snapToGrid w:val="0"/>
        </w:rPr>
        <w:noBreakHyphen/>
        <w:t>laws to be gazetted and tabled</w:t>
      </w:r>
      <w:bookmarkEnd w:id="14"/>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No. 77 of 1982 s. 17; No. 76 of 2003 s. 13.]</w:t>
      </w:r>
    </w:p>
    <w:p>
      <w:pPr>
        <w:pStyle w:val="Ednotesection"/>
        <w:spacing w:before="200"/>
        <w:ind w:left="0" w:firstLine="0"/>
      </w:pPr>
      <w:r>
        <w:t>[</w:t>
      </w:r>
      <w:r>
        <w:rPr>
          <w:b/>
        </w:rPr>
        <w:t>10.</w:t>
      </w:r>
      <w:r>
        <w:tab/>
        <w:t>Deleted: No. 76 of 2003 s. 14.]</w:t>
      </w:r>
    </w:p>
    <w:p>
      <w:pPr>
        <w:pStyle w:val="Heading5"/>
        <w:spacing w:before="200"/>
        <w:rPr>
          <w:snapToGrid w:val="0"/>
        </w:rPr>
      </w:pPr>
      <w:bookmarkStart w:id="15" w:name="_Toc166679206"/>
      <w:r>
        <w:rPr>
          <w:rStyle w:val="CharSectno"/>
        </w:rPr>
        <w:t>11</w:t>
      </w:r>
      <w:r>
        <w:rPr>
          <w:snapToGrid w:val="0"/>
        </w:rPr>
        <w:t>.</w:t>
      </w:r>
      <w:r>
        <w:rPr>
          <w:snapToGrid w:val="0"/>
        </w:rPr>
        <w:tab/>
        <w:t>Board meetings, voting at</w:t>
      </w:r>
      <w:bookmarkEnd w:id="15"/>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16" w:name="_Toc166679207"/>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lastRenderedPageBreak/>
        <w:tab/>
        <w:t>[Section 12 inserted: No. 98 of 1985 s. 3; amended: No. 74 of 2003 s. 90; No. 77 of 2006 Sch. 1 cl. 117.]</w:t>
      </w:r>
    </w:p>
    <w:p>
      <w:pPr>
        <w:pStyle w:val="Heading5"/>
        <w:rPr>
          <w:snapToGrid w:val="0"/>
        </w:rPr>
      </w:pPr>
      <w:bookmarkStart w:id="17" w:name="_Toc166679208"/>
      <w:r>
        <w:rPr>
          <w:rStyle w:val="CharSectno"/>
        </w:rPr>
        <w:t>12A</w:t>
      </w:r>
      <w:r>
        <w:rPr>
          <w:snapToGrid w:val="0"/>
        </w:rPr>
        <w:t>.</w:t>
      </w:r>
      <w:r>
        <w:rPr>
          <w:snapToGrid w:val="0"/>
        </w:rPr>
        <w:tab/>
        <w:t>Liability of parents for acts etc. of child</w:t>
      </w:r>
      <w:bookmarkEnd w:id="17"/>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No. 50 of 1978 s. 7; amended: No. 76 of 2003 s. 15; </w:t>
      </w:r>
      <w:r>
        <w:rPr>
          <w:spacing w:val="-6"/>
        </w:rPr>
        <w:t>No. 34 of 2004 Sch. 2 cl. 19</w:t>
      </w:r>
      <w:r>
        <w:t>.]</w:t>
      </w:r>
    </w:p>
    <w:p>
      <w:pPr>
        <w:pStyle w:val="Heading5"/>
        <w:rPr>
          <w:snapToGrid w:val="0"/>
        </w:rPr>
      </w:pPr>
      <w:bookmarkStart w:id="18" w:name="_Toc166679209"/>
      <w:r>
        <w:rPr>
          <w:rStyle w:val="CharSectno"/>
        </w:rPr>
        <w:t>12B</w:t>
      </w:r>
      <w:r>
        <w:rPr>
          <w:snapToGrid w:val="0"/>
        </w:rPr>
        <w:t>.</w:t>
      </w:r>
      <w:r>
        <w:rPr>
          <w:snapToGrid w:val="0"/>
        </w:rPr>
        <w:tab/>
        <w:t>Animals, evidentiary provisions as to</w:t>
      </w:r>
      <w:bookmarkEnd w:id="18"/>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 xml:space="preserve">It shall not be a defence in any proceedings, whether civil or penal, instituted by a Board in relation to an animal for the person who is registered under any Act as, or is otherwise found </w:t>
      </w:r>
      <w:r>
        <w:rPr>
          <w:snapToGrid w:val="0"/>
        </w:rPr>
        <w:lastRenderedPageBreak/>
        <w:t>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No. 50 of 1978 s. 8; amended: No. 73 of 1994 s. 4.]</w:t>
      </w:r>
    </w:p>
    <w:p>
      <w:pPr>
        <w:pStyle w:val="Heading5"/>
        <w:rPr>
          <w:snapToGrid w:val="0"/>
        </w:rPr>
      </w:pPr>
      <w:bookmarkStart w:id="19" w:name="_Toc166679210"/>
      <w:r>
        <w:rPr>
          <w:rStyle w:val="CharSectno"/>
        </w:rPr>
        <w:t>13</w:t>
      </w:r>
      <w:r>
        <w:rPr>
          <w:snapToGrid w:val="0"/>
        </w:rPr>
        <w:t>.</w:t>
      </w:r>
      <w:r>
        <w:rPr>
          <w:snapToGrid w:val="0"/>
        </w:rPr>
        <w:tab/>
        <w:t>Protection from personal liability</w:t>
      </w:r>
      <w:bookmarkEnd w:id="1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No. 59 of 2004 s. 141.]</w:t>
      </w:r>
    </w:p>
    <w:p>
      <w:pPr>
        <w:pStyle w:val="Heading5"/>
        <w:rPr>
          <w:snapToGrid w:val="0"/>
        </w:rPr>
      </w:pPr>
      <w:bookmarkStart w:id="20" w:name="_Toc166679211"/>
      <w:r>
        <w:rPr>
          <w:rStyle w:val="CharSectno"/>
        </w:rPr>
        <w:t>14</w:t>
      </w:r>
      <w:r>
        <w:rPr>
          <w:snapToGrid w:val="0"/>
        </w:rPr>
        <w:t>.</w:t>
      </w:r>
      <w:r>
        <w:rPr>
          <w:snapToGrid w:val="0"/>
        </w:rPr>
        <w:tab/>
        <w:t>Infringement notices</w:t>
      </w:r>
      <w:bookmarkEnd w:id="20"/>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 xml:space="preserve">law made by a Board or suspects on reasonable grounds that a person has committed such an offence </w:t>
      </w:r>
      <w:r>
        <w:rPr>
          <w:snapToGrid w:val="0"/>
        </w:rPr>
        <w:lastRenderedPageBreak/>
        <w:t>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lastRenderedPageBreak/>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No. 50 of 1978 s. 10.]</w:t>
      </w:r>
    </w:p>
    <w:p>
      <w:pPr>
        <w:pStyle w:val="Heading5"/>
      </w:pPr>
      <w:bookmarkStart w:id="21" w:name="_Toc166679212"/>
      <w:r>
        <w:rPr>
          <w:rStyle w:val="CharSectno"/>
        </w:rPr>
        <w:t>15</w:t>
      </w:r>
      <w:r>
        <w:t>.</w:t>
      </w:r>
      <w:r>
        <w:tab/>
        <w:t>Arrangements for staff before dissolution of Boards that are bodies corporate</w:t>
      </w:r>
      <w:bookmarkEnd w:id="21"/>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xml:space="preserve">, has nominated a person or other body in the Public Sector to be the employer of the Board’s staff members on the dissolution of the Board, and the employment of each staff member who has agreed to being </w:t>
      </w:r>
      <w:r>
        <w:rPr>
          <w:spacing w:val="-4"/>
        </w:rPr>
        <w:lastRenderedPageBreak/>
        <w:t>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No. 76 of 2003 s. 16; amended: No. 39 of 2010 s. 89.]</w:t>
      </w:r>
    </w:p>
    <w:p>
      <w:pPr>
        <w:pStyle w:val="Heading5"/>
      </w:pPr>
      <w:bookmarkStart w:id="22" w:name="_Toc166679213"/>
      <w:r>
        <w:rPr>
          <w:rStyle w:val="CharSectno"/>
        </w:rPr>
        <w:t>16</w:t>
      </w:r>
      <w:r>
        <w:t>.</w:t>
      </w:r>
      <w:r>
        <w:tab/>
        <w:t>Regulations as to matters consequent on dissolution of Boards that are bodies corporate</w:t>
      </w:r>
      <w:bookmarkEnd w:id="22"/>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lastRenderedPageBreak/>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lastRenderedPageBreak/>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No. 76 of 2003 s. 16.]</w:t>
      </w:r>
    </w:p>
    <w:p>
      <w:pPr>
        <w:pStyle w:val="Heading5"/>
      </w:pPr>
      <w:bookmarkStart w:id="23" w:name="_Toc166679214"/>
      <w:r>
        <w:rPr>
          <w:rStyle w:val="CharSectno"/>
        </w:rPr>
        <w:t>17</w:t>
      </w:r>
      <w:r>
        <w:t>.</w:t>
      </w:r>
      <w:r>
        <w:tab/>
        <w:t>Exemption from State taxation in relation to dissolution of Boards that are bodies corporate</w:t>
      </w:r>
      <w:bookmarkEnd w:id="23"/>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No. 76 of 2003 s. 16; amended: No. 12 of 2008 Sch. 1 cl. 26.]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4" w:name="_Toc166658409"/>
      <w:bookmarkStart w:id="25" w:name="_Toc166671495"/>
      <w:bookmarkStart w:id="26" w:name="_Toc166676772"/>
      <w:bookmarkStart w:id="27" w:name="_Toc166679215"/>
      <w:r>
        <w:rPr>
          <w:rStyle w:val="CharSchNo"/>
        </w:rPr>
        <w:lastRenderedPageBreak/>
        <w:t>Schedule</w:t>
      </w:r>
      <w:r>
        <w:t xml:space="preserve"> — </w:t>
      </w:r>
      <w:r>
        <w:rPr>
          <w:rStyle w:val="CharSchText"/>
        </w:rPr>
        <w:t>Form of certificate of authority</w:t>
      </w:r>
      <w:bookmarkEnd w:id="24"/>
      <w:bookmarkEnd w:id="25"/>
      <w:bookmarkEnd w:id="26"/>
      <w:bookmarkEnd w:id="27"/>
    </w:p>
    <w:p>
      <w:pPr>
        <w:pStyle w:val="yShoulderClause"/>
        <w:rPr>
          <w:snapToGrid w:val="0"/>
        </w:rPr>
      </w:pPr>
      <w:r>
        <w:rPr>
          <w:snapToGrid w:val="0"/>
        </w:rPr>
        <w:t>[s. 7B]</w:t>
      </w:r>
    </w:p>
    <w:p>
      <w:pPr>
        <w:pStyle w:val="yFootnotesection"/>
      </w:pPr>
      <w:r>
        <w:tab/>
        <w:t>[Heading amended: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4" w:bottom="3544" w:left="2404" w:header="720" w:footer="3544" w:gutter="0"/>
          <w:cols w:space="720"/>
          <w:noEndnote/>
          <w:docGrid w:linePitch="326"/>
        </w:sectPr>
      </w:pPr>
    </w:p>
    <w:p>
      <w:pPr>
        <w:pStyle w:val="nHeading2"/>
      </w:pPr>
      <w:bookmarkStart w:id="29" w:name="_Toc166676773"/>
      <w:bookmarkStart w:id="30" w:name="_Toc166679216"/>
      <w:bookmarkStart w:id="31" w:name="_Toc166658412"/>
      <w:bookmarkStart w:id="32" w:name="_Toc166671499"/>
      <w:r>
        <w:lastRenderedPageBreak/>
        <w:t>Notes</w:t>
      </w:r>
      <w:bookmarkEnd w:id="29"/>
      <w:bookmarkEnd w:id="30"/>
    </w:p>
    <w:p>
      <w:pPr>
        <w:pStyle w:val="nStatement"/>
      </w:pPr>
      <w:r>
        <w:t xml:space="preserve">This is a compilation of the </w:t>
      </w:r>
      <w:r>
        <w:rPr>
          <w:i/>
          <w:noProof/>
        </w:rPr>
        <w:t>Parks and Reserves Act 1895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 w:name="_Toc166679217"/>
      <w:r>
        <w:t>Compilation table</w:t>
      </w:r>
      <w:bookmarkEnd w:id="3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8"/>
        <w:gridCol w:w="16"/>
        <w:gridCol w:w="24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3</w:t>
            </w:r>
          </w:p>
        </w:tc>
        <w:tc>
          <w:tcPr>
            <w:tcW w:w="1134" w:type="dxa"/>
            <w:tcBorders>
              <w:top w:val="single" w:sz="8" w:space="0" w:color="auto"/>
            </w:tcBorders>
          </w:tcPr>
          <w:p>
            <w:pPr>
              <w:pStyle w:val="nTable"/>
              <w:spacing w:after="40"/>
            </w:pPr>
            <w:r>
              <w:t>30 of 1895</w:t>
            </w:r>
            <w:r>
              <w:br/>
              <w:t>(59 Vict. No. 30)</w:t>
            </w:r>
          </w:p>
        </w:tc>
        <w:tc>
          <w:tcPr>
            <w:tcW w:w="1190" w:type="dxa"/>
            <w:gridSpan w:val="2"/>
            <w:tcBorders>
              <w:top w:val="single" w:sz="8" w:space="0" w:color="auto"/>
            </w:tcBorders>
          </w:tcPr>
          <w:p>
            <w:pPr>
              <w:pStyle w:val="nTable"/>
              <w:spacing w:after="40"/>
            </w:pPr>
            <w:r>
              <w:t>12 Oct 1895</w:t>
            </w:r>
          </w:p>
        </w:tc>
        <w:tc>
          <w:tcPr>
            <w:tcW w:w="2496" w:type="dxa"/>
            <w:gridSpan w:val="2"/>
            <w:tcBorders>
              <w:top w:val="single" w:sz="8" w:space="0" w:color="auto"/>
            </w:tcBorders>
          </w:tcPr>
          <w:p>
            <w:pPr>
              <w:pStyle w:val="nTable"/>
              <w:spacing w:after="40"/>
            </w:pPr>
            <w:r>
              <w:t>12 Oct 1895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90" w:type="dxa"/>
            <w:gridSpan w:val="2"/>
          </w:tcPr>
          <w:p>
            <w:pPr>
              <w:pStyle w:val="nTable"/>
              <w:spacing w:after="40"/>
            </w:pPr>
            <w:r>
              <w:t>10 Jan 1948</w:t>
            </w:r>
          </w:p>
        </w:tc>
        <w:tc>
          <w:tcPr>
            <w:tcW w:w="2496" w:type="dxa"/>
            <w:gridSpan w:val="2"/>
          </w:tcPr>
          <w:p>
            <w:pPr>
              <w:pStyle w:val="nTable"/>
              <w:spacing w:after="40"/>
            </w:pPr>
            <w:r>
              <w:t>10 Jan 1948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90" w:type="dxa"/>
            <w:gridSpan w:val="2"/>
          </w:tcPr>
          <w:p>
            <w:pPr>
              <w:pStyle w:val="nTable"/>
              <w:spacing w:after="40"/>
            </w:pPr>
            <w:r>
              <w:t>30 Dec 1954</w:t>
            </w:r>
          </w:p>
        </w:tc>
        <w:tc>
          <w:tcPr>
            <w:tcW w:w="2496" w:type="dxa"/>
            <w:gridSpan w:val="2"/>
          </w:tcPr>
          <w:p>
            <w:pPr>
              <w:pStyle w:val="nTable"/>
              <w:spacing w:after="40"/>
            </w:pPr>
            <w:r>
              <w:t>30 Dec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90" w:type="dxa"/>
            <w:gridSpan w:val="2"/>
          </w:tcPr>
          <w:p>
            <w:pPr>
              <w:pStyle w:val="nTable"/>
              <w:spacing w:after="40"/>
            </w:pPr>
            <w:r>
              <w:t>1 Nov 1955</w:t>
            </w:r>
          </w:p>
        </w:tc>
        <w:tc>
          <w:tcPr>
            <w:tcW w:w="2496" w:type="dxa"/>
            <w:gridSpan w:val="2"/>
          </w:tcPr>
          <w:p>
            <w:pPr>
              <w:pStyle w:val="nTable"/>
              <w:spacing w:after="40"/>
            </w:pPr>
            <w:r>
              <w:t>1 Nov 1955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90" w:type="dxa"/>
            <w:gridSpan w:val="2"/>
          </w:tcPr>
          <w:p>
            <w:pPr>
              <w:pStyle w:val="nTable"/>
              <w:spacing w:after="40"/>
            </w:pPr>
            <w:r>
              <w:t>25 Nov 1963</w:t>
            </w:r>
          </w:p>
        </w:tc>
        <w:tc>
          <w:tcPr>
            <w:tcW w:w="2496" w:type="dxa"/>
            <w:gridSpan w:val="2"/>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90" w:type="dxa"/>
            <w:gridSpan w:val="2"/>
          </w:tcPr>
          <w:p>
            <w:pPr>
              <w:pStyle w:val="nTable"/>
              <w:spacing w:after="40"/>
            </w:pPr>
            <w:r>
              <w:t>8 May 1972</w:t>
            </w:r>
          </w:p>
        </w:tc>
        <w:tc>
          <w:tcPr>
            <w:tcW w:w="2496" w:type="dxa"/>
            <w:gridSpan w:val="2"/>
          </w:tcPr>
          <w:p>
            <w:pPr>
              <w:pStyle w:val="nTable"/>
              <w:spacing w:after="40"/>
            </w:pPr>
            <w:r>
              <w:t>8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90" w:type="dxa"/>
            <w:gridSpan w:val="2"/>
          </w:tcPr>
          <w:p>
            <w:pPr>
              <w:pStyle w:val="nTable"/>
              <w:spacing w:after="40"/>
            </w:pPr>
            <w:r>
              <w:t>6 Sep 1978</w:t>
            </w:r>
          </w:p>
        </w:tc>
        <w:tc>
          <w:tcPr>
            <w:tcW w:w="2496" w:type="dxa"/>
            <w:gridSpan w:val="2"/>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90" w:type="dxa"/>
            <w:gridSpan w:val="2"/>
          </w:tcPr>
          <w:p>
            <w:pPr>
              <w:pStyle w:val="nTable"/>
              <w:spacing w:after="40"/>
            </w:pPr>
            <w:r>
              <w:t>8 Nov 1982</w:t>
            </w:r>
          </w:p>
        </w:tc>
        <w:tc>
          <w:tcPr>
            <w:tcW w:w="2496" w:type="dxa"/>
            <w:gridSpan w:val="2"/>
          </w:tcPr>
          <w:p>
            <w:pPr>
              <w:pStyle w:val="nTable"/>
              <w:spacing w:after="40"/>
            </w:pPr>
            <w:r>
              <w:t>Act other than s. 16: 8 Nov 1982 (see s. 2(1));</w:t>
            </w:r>
            <w:r>
              <w:br/>
              <w:t>s. 16: 6 Dec 1982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1983</w:t>
            </w:r>
            <w:r>
              <w:rPr>
                <w:vertAlign w:val="superscript"/>
              </w:rPr>
              <w:t> 4</w:t>
            </w:r>
          </w:p>
        </w:tc>
        <w:tc>
          <w:tcPr>
            <w:tcW w:w="1134" w:type="dxa"/>
          </w:tcPr>
          <w:p>
            <w:pPr>
              <w:pStyle w:val="nTable"/>
              <w:spacing w:after="40"/>
            </w:pPr>
            <w:r>
              <w:t>22 of 1983</w:t>
            </w:r>
          </w:p>
        </w:tc>
        <w:tc>
          <w:tcPr>
            <w:tcW w:w="1190" w:type="dxa"/>
            <w:gridSpan w:val="2"/>
          </w:tcPr>
          <w:p>
            <w:pPr>
              <w:pStyle w:val="nTable"/>
              <w:spacing w:after="40"/>
            </w:pPr>
            <w:r>
              <w:t>22 Nov 1983</w:t>
            </w:r>
          </w:p>
        </w:tc>
        <w:tc>
          <w:tcPr>
            <w:tcW w:w="2496" w:type="dxa"/>
            <w:gridSpan w:val="2"/>
          </w:tcPr>
          <w:p>
            <w:pPr>
              <w:pStyle w:val="nTable"/>
              <w:spacing w:after="40"/>
            </w:pPr>
            <w:r>
              <w:t>20 Dec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Parks and Reserves Amendment Act 1985</w:t>
            </w:r>
          </w:p>
        </w:tc>
        <w:tc>
          <w:tcPr>
            <w:tcW w:w="1134" w:type="dxa"/>
          </w:tcPr>
          <w:p>
            <w:pPr>
              <w:pStyle w:val="nTable"/>
              <w:spacing w:after="40"/>
            </w:pPr>
            <w:r>
              <w:t>8 of 1985</w:t>
            </w:r>
          </w:p>
        </w:tc>
        <w:tc>
          <w:tcPr>
            <w:tcW w:w="1190" w:type="dxa"/>
            <w:gridSpan w:val="2"/>
          </w:tcPr>
          <w:p>
            <w:pPr>
              <w:pStyle w:val="nTable"/>
              <w:spacing w:after="40"/>
            </w:pPr>
            <w:r>
              <w:t>25 Mar 1985</w:t>
            </w:r>
          </w:p>
        </w:tc>
        <w:tc>
          <w:tcPr>
            <w:tcW w:w="2496" w:type="dxa"/>
            <w:gridSpan w:val="2"/>
          </w:tcPr>
          <w:p>
            <w:pPr>
              <w:pStyle w:val="nTable"/>
              <w:spacing w:after="40"/>
            </w:pPr>
            <w:r>
              <w:t>22 Apr 1985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90" w:type="dxa"/>
            <w:gridSpan w:val="2"/>
          </w:tcPr>
          <w:p>
            <w:pPr>
              <w:pStyle w:val="nTable"/>
              <w:spacing w:after="40"/>
            </w:pPr>
            <w:r>
              <w:t>4 Dec 1985</w:t>
            </w:r>
          </w:p>
        </w:tc>
        <w:tc>
          <w:tcPr>
            <w:tcW w:w="2496"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Rottnest Island Authority Act 1987</w:t>
            </w:r>
            <w:r>
              <w:t xml:space="preserve"> s. 51</w:t>
            </w:r>
          </w:p>
        </w:tc>
        <w:tc>
          <w:tcPr>
            <w:tcW w:w="1134" w:type="dxa"/>
          </w:tcPr>
          <w:p>
            <w:pPr>
              <w:pStyle w:val="nTable"/>
              <w:spacing w:after="40"/>
            </w:pPr>
            <w:r>
              <w:t>91 of 1987</w:t>
            </w:r>
          </w:p>
        </w:tc>
        <w:tc>
          <w:tcPr>
            <w:tcW w:w="1190" w:type="dxa"/>
            <w:gridSpan w:val="2"/>
          </w:tcPr>
          <w:p>
            <w:pPr>
              <w:pStyle w:val="nTable"/>
              <w:spacing w:after="40"/>
            </w:pPr>
            <w:r>
              <w:t>9 Dec 1987</w:t>
            </w:r>
          </w:p>
        </w:tc>
        <w:tc>
          <w:tcPr>
            <w:tcW w:w="2496" w:type="dxa"/>
            <w:gridSpan w:val="2"/>
          </w:tcPr>
          <w:p>
            <w:pPr>
              <w:pStyle w:val="nTable"/>
              <w:spacing w:after="40"/>
            </w:pPr>
            <w:r>
              <w:t xml:space="preserve">30 May 1988 (see s. 2 and </w:t>
            </w:r>
            <w:r>
              <w:rPr>
                <w:i/>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90" w:type="dxa"/>
            <w:gridSpan w:val="2"/>
          </w:tcPr>
          <w:p>
            <w:pPr>
              <w:pStyle w:val="nTable"/>
              <w:spacing w:after="40"/>
            </w:pPr>
            <w:r>
              <w:t>31 Dec 1987</w:t>
            </w:r>
          </w:p>
        </w:tc>
        <w:tc>
          <w:tcPr>
            <w:tcW w:w="2496"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90" w:type="dxa"/>
            <w:gridSpan w:val="2"/>
          </w:tcPr>
          <w:p>
            <w:pPr>
              <w:pStyle w:val="nTable"/>
              <w:spacing w:after="40"/>
            </w:pPr>
            <w:r>
              <w:t>14 Jun 1990</w:t>
            </w:r>
          </w:p>
        </w:tc>
        <w:tc>
          <w:tcPr>
            <w:tcW w:w="2496" w:type="dxa"/>
            <w:gridSpan w:val="2"/>
          </w:tcPr>
          <w:p>
            <w:pPr>
              <w:pStyle w:val="nTable"/>
              <w:spacing w:after="40"/>
            </w:pPr>
            <w:r>
              <w:t>14 Jun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90" w:type="dxa"/>
            <w:gridSpan w:val="2"/>
          </w:tcPr>
          <w:p>
            <w:pPr>
              <w:pStyle w:val="nTable"/>
              <w:spacing w:after="40"/>
            </w:pPr>
            <w:r>
              <w:t>9 Dec 1994</w:t>
            </w:r>
          </w:p>
        </w:tc>
        <w:tc>
          <w:tcPr>
            <w:tcW w:w="2496"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90" w:type="dxa"/>
            <w:gridSpan w:val="2"/>
          </w:tcPr>
          <w:p>
            <w:pPr>
              <w:pStyle w:val="nTable"/>
              <w:spacing w:after="40"/>
            </w:pPr>
            <w:r>
              <w:t>24 May 1995</w:t>
            </w:r>
          </w:p>
        </w:tc>
        <w:tc>
          <w:tcPr>
            <w:tcW w:w="2496" w:type="dxa"/>
            <w:gridSpan w:val="2"/>
          </w:tcPr>
          <w:p>
            <w:pPr>
              <w:pStyle w:val="nTable"/>
              <w:spacing w:after="40"/>
            </w:pPr>
            <w:r>
              <w:t xml:space="preserve">5 Aug 1995 (see s. 2 and </w:t>
            </w:r>
            <w:r>
              <w:rPr>
                <w:i/>
              </w:rPr>
              <w:t>Gazette</w:t>
            </w:r>
            <w:r>
              <w:t xml:space="preserve"> 4 Aug 1995 p. 3309)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90" w:type="dxa"/>
            <w:gridSpan w:val="2"/>
          </w:tcPr>
          <w:p>
            <w:pPr>
              <w:pStyle w:val="nTable"/>
              <w:spacing w:after="40"/>
            </w:pPr>
            <w:r>
              <w:t>16 Jan 1996</w:t>
            </w:r>
          </w:p>
        </w:tc>
        <w:tc>
          <w:tcPr>
            <w:tcW w:w="2496"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90" w:type="dxa"/>
            <w:gridSpan w:val="2"/>
          </w:tcPr>
          <w:p>
            <w:pPr>
              <w:pStyle w:val="nTable"/>
              <w:spacing w:after="40"/>
            </w:pPr>
            <w:r>
              <w:t>3 Oct 1997</w:t>
            </w:r>
          </w:p>
        </w:tc>
        <w:tc>
          <w:tcPr>
            <w:tcW w:w="2496"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90" w:type="dxa"/>
            <w:gridSpan w:val="2"/>
          </w:tcPr>
          <w:p>
            <w:pPr>
              <w:pStyle w:val="nTable"/>
              <w:spacing w:after="40"/>
            </w:pPr>
            <w:r>
              <w:t>7 Dec 1998</w:t>
            </w:r>
          </w:p>
        </w:tc>
        <w:tc>
          <w:tcPr>
            <w:tcW w:w="2496" w:type="dxa"/>
            <w:gridSpan w:val="2"/>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90" w:type="dxa"/>
            <w:gridSpan w:val="2"/>
          </w:tcPr>
          <w:p>
            <w:pPr>
              <w:pStyle w:val="nTable"/>
              <w:spacing w:after="40"/>
            </w:pPr>
            <w:r>
              <w:t>4 Jun 2002</w:t>
            </w:r>
          </w:p>
        </w:tc>
        <w:tc>
          <w:tcPr>
            <w:tcW w:w="2496" w:type="dxa"/>
            <w:gridSpan w:val="2"/>
          </w:tcPr>
          <w:p>
            <w:pPr>
              <w:pStyle w:val="nTable"/>
              <w:spacing w:after="40"/>
            </w:pPr>
            <w:r>
              <w:t xml:space="preserve">29 Jun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90" w:type="dxa"/>
            <w:gridSpan w:val="2"/>
          </w:tcPr>
          <w:p>
            <w:pPr>
              <w:pStyle w:val="nTable"/>
              <w:spacing w:after="40"/>
            </w:pPr>
            <w:r>
              <w:t>15 Dec 2003</w:t>
            </w:r>
          </w:p>
        </w:tc>
        <w:tc>
          <w:tcPr>
            <w:tcW w:w="2496"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90" w:type="dxa"/>
            <w:gridSpan w:val="2"/>
          </w:tcPr>
          <w:p>
            <w:pPr>
              <w:pStyle w:val="nTable"/>
              <w:spacing w:after="40"/>
            </w:pPr>
            <w:r>
              <w:t>15 Dec 2003</w:t>
            </w:r>
          </w:p>
        </w:tc>
        <w:tc>
          <w:tcPr>
            <w:tcW w:w="2496" w:type="dxa"/>
            <w:gridSpan w:val="2"/>
          </w:tcPr>
          <w:p>
            <w:pPr>
              <w:pStyle w:val="nTable"/>
              <w:spacing w:after="40"/>
              <w:rPr>
                <w:spacing w:val="-2"/>
              </w:rPr>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90" w:type="dxa"/>
            <w:gridSpan w:val="2"/>
          </w:tcPr>
          <w:p>
            <w:pPr>
              <w:pStyle w:val="nTable"/>
              <w:spacing w:after="40"/>
              <w:rPr>
                <w:snapToGrid w:val="0"/>
              </w:rPr>
            </w:pPr>
            <w:r>
              <w:t>20 Oct 2004</w:t>
            </w:r>
          </w:p>
        </w:tc>
        <w:tc>
          <w:tcPr>
            <w:tcW w:w="2496" w:type="dxa"/>
            <w:gridSpan w:val="2"/>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lastRenderedPageBreak/>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90" w:type="dxa"/>
            <w:gridSpan w:val="2"/>
          </w:tcPr>
          <w:p>
            <w:pPr>
              <w:pStyle w:val="nTable"/>
              <w:spacing w:after="40"/>
            </w:pPr>
            <w:r>
              <w:t>23 Nov 2004</w:t>
            </w:r>
          </w:p>
        </w:tc>
        <w:tc>
          <w:tcPr>
            <w:tcW w:w="2496"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90" w:type="dxa"/>
            <w:gridSpan w:val="2"/>
          </w:tcPr>
          <w:p>
            <w:pPr>
              <w:pStyle w:val="nTable"/>
              <w:spacing w:after="40"/>
            </w:pPr>
            <w:r>
              <w:rPr>
                <w:snapToGrid w:val="0"/>
              </w:rPr>
              <w:t>21 Dec 2006</w:t>
            </w:r>
          </w:p>
        </w:tc>
        <w:tc>
          <w:tcPr>
            <w:tcW w:w="2496"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90" w:type="dxa"/>
            <w:gridSpan w:val="2"/>
          </w:tcPr>
          <w:p>
            <w:pPr>
              <w:pStyle w:val="nTable"/>
              <w:spacing w:after="40"/>
            </w:pPr>
            <w:r>
              <w:t>14 Apr 2008</w:t>
            </w:r>
          </w:p>
        </w:tc>
        <w:tc>
          <w:tcPr>
            <w:tcW w:w="2496"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90" w:type="dxa"/>
            <w:gridSpan w:val="2"/>
          </w:tcPr>
          <w:p>
            <w:pPr>
              <w:pStyle w:val="nTable"/>
              <w:spacing w:after="40"/>
            </w:pPr>
            <w:r>
              <w:t>21 May 2009</w:t>
            </w:r>
          </w:p>
        </w:tc>
        <w:tc>
          <w:tcPr>
            <w:tcW w:w="2496"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90" w:type="dxa"/>
            <w:gridSpan w:val="2"/>
          </w:tcPr>
          <w:p>
            <w:pPr>
              <w:pStyle w:val="nTable"/>
              <w:spacing w:after="40"/>
              <w:rPr>
                <w:snapToGrid w:val="0"/>
              </w:rPr>
            </w:pPr>
            <w:r>
              <w:rPr>
                <w:snapToGrid w:val="0"/>
              </w:rPr>
              <w:t>28 Jun 2010</w:t>
            </w:r>
          </w:p>
        </w:tc>
        <w:tc>
          <w:tcPr>
            <w:tcW w:w="249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90" w:type="dxa"/>
            <w:gridSpan w:val="2"/>
          </w:tcPr>
          <w:p>
            <w:pPr>
              <w:pStyle w:val="nTable"/>
              <w:spacing w:after="40"/>
              <w:rPr>
                <w:snapToGrid w:val="0"/>
              </w:rPr>
            </w:pPr>
            <w:r>
              <w:rPr>
                <w:snapToGrid w:val="0"/>
              </w:rPr>
              <w:t>1 Oct 2010</w:t>
            </w:r>
          </w:p>
        </w:tc>
        <w:tc>
          <w:tcPr>
            <w:tcW w:w="2496"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5: The </w:t>
            </w:r>
            <w:r>
              <w:rPr>
                <w:b/>
                <w:i/>
              </w:rPr>
              <w:t>Parks and Reserves Act 1895</w:t>
            </w:r>
            <w:r>
              <w:rPr>
                <w:b/>
              </w:rPr>
              <w:t xml:space="preserve"> as at 1 Jul 2011</w:t>
            </w:r>
            <w:r>
              <w:t xml:space="preserve"> (includes amendments listed above)</w:t>
            </w:r>
          </w:p>
        </w:tc>
      </w:tr>
      <w:tr>
        <w:tblPrEx>
          <w:tblCellMar>
            <w:left w:w="57" w:type="dxa"/>
            <w:right w:w="57" w:type="dxa"/>
          </w:tblCellMar>
        </w:tblPrEx>
        <w:tc>
          <w:tcPr>
            <w:tcW w:w="2268" w:type="dxa"/>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38</w:t>
            </w:r>
          </w:p>
        </w:tc>
        <w:tc>
          <w:tcPr>
            <w:tcW w:w="1134" w:type="dxa"/>
            <w:tcBorders>
              <w:top w:val="nil"/>
              <w:bottom w:val="single" w:sz="4" w:space="0" w:color="auto"/>
            </w:tcBorders>
          </w:tcPr>
          <w:p>
            <w:pPr>
              <w:pStyle w:val="nTable"/>
              <w:spacing w:after="40"/>
              <w:rPr>
                <w:snapToGrid w:val="0"/>
              </w:rPr>
            </w:pPr>
            <w:r>
              <w:rPr>
                <w:snapToGrid w:val="0"/>
              </w:rPr>
              <w:t>8 of 2012</w:t>
            </w:r>
          </w:p>
        </w:tc>
        <w:tc>
          <w:tcPr>
            <w:tcW w:w="1206" w:type="dxa"/>
            <w:gridSpan w:val="3"/>
            <w:tcBorders>
              <w:top w:val="nil"/>
              <w:bottom w:val="single" w:sz="4" w:space="0" w:color="auto"/>
            </w:tcBorders>
          </w:tcPr>
          <w:p>
            <w:pPr>
              <w:pStyle w:val="nTable"/>
              <w:spacing w:after="40"/>
              <w:rPr>
                <w:snapToGrid w:val="0"/>
              </w:rPr>
            </w:pPr>
            <w:r>
              <w:t>21 May 2012</w:t>
            </w:r>
          </w:p>
        </w:tc>
        <w:tc>
          <w:tcPr>
            <w:tcW w:w="2480"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Heading3"/>
      </w:pPr>
      <w:bookmarkStart w:id="34" w:name="_Toc166679218"/>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4 Div. 2</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35" w:name="_Toc166679219"/>
      <w:r>
        <w:lastRenderedPageBreak/>
        <w:t>Other notes</w:t>
      </w:r>
      <w:bookmarkEnd w:id="35"/>
    </w:p>
    <w:p>
      <w:pPr>
        <w:pStyle w:val="nNote"/>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vertAlign w:val="superscript"/>
        </w:rPr>
        <w:t>3</w:t>
      </w:r>
      <w:r>
        <w:tab/>
        <w:t xml:space="preserve">Now known as the </w:t>
      </w:r>
      <w:r>
        <w:rPr>
          <w:i/>
        </w:rPr>
        <w:t>Parks and Reserves Act 1895</w:t>
      </w:r>
      <w:r>
        <w:t>; short title changed (see note under s. 1).</w:t>
      </w:r>
    </w:p>
    <w:p>
      <w:pPr>
        <w:pStyle w:val="nNote"/>
      </w:pPr>
      <w:r>
        <w:rPr>
          <w:vertAlign w:val="superscript"/>
        </w:rPr>
        <w:t>4</w:t>
      </w:r>
      <w:r>
        <w:tab/>
        <w:t xml:space="preserve">The </w:t>
      </w:r>
      <w:r>
        <w:rPr>
          <w:i/>
        </w:rPr>
        <w:t xml:space="preserve">Parks and Reserves Amendment Act 1983 </w:t>
      </w:r>
      <w:r>
        <w:t>s. 4(2) is a transitional provision that is of no further effect.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7" w:name="_Toc166676777"/>
      <w:bookmarkStart w:id="38" w:name="_Toc166679220"/>
      <w:r>
        <w:rPr>
          <w:sz w:val="28"/>
        </w:rPr>
        <w:lastRenderedPageBreak/>
        <w:t>Defined terms</w:t>
      </w:r>
      <w:bookmarkEnd w:id="31"/>
      <w:bookmarkEnd w:id="32"/>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Board</w:t>
      </w:r>
      <w:r>
        <w:tab/>
        <w:t>2</w:t>
      </w:r>
    </w:p>
    <w:p>
      <w:pPr>
        <w:pStyle w:val="DefinedTerms"/>
      </w:pPr>
      <w:r>
        <w:t>child</w:t>
      </w:r>
      <w:r>
        <w:tab/>
        <w:t>12A(2)</w:t>
      </w:r>
    </w:p>
    <w:p>
      <w:pPr>
        <w:pStyle w:val="DefinedTerms"/>
      </w:pPr>
      <w:r>
        <w:t>dissolution</w:t>
      </w:r>
      <w:r>
        <w:tab/>
        <w:t>16(4)</w:t>
      </w:r>
    </w:p>
    <w:p>
      <w:pPr>
        <w:pStyle w:val="DefinedTerms"/>
      </w:pPr>
      <w:r>
        <w:t>function</w:t>
      </w:r>
      <w:r>
        <w:tab/>
        <w:t>2</w:t>
      </w:r>
    </w:p>
    <w:p>
      <w:pPr>
        <w:pStyle w:val="DefinedTerms"/>
      </w:pPr>
      <w:r>
        <w:t>liabilities</w:t>
      </w:r>
      <w:r>
        <w:tab/>
        <w:t>16(4)</w:t>
      </w:r>
    </w:p>
    <w:p>
      <w:pPr>
        <w:pStyle w:val="DefinedTerms"/>
      </w:pPr>
      <w:r>
        <w:t>owner</w:t>
      </w:r>
      <w:r>
        <w:tab/>
        <w:t>2</w:t>
      </w:r>
    </w:p>
    <w:p>
      <w:pPr>
        <w:pStyle w:val="DefinedTerms"/>
      </w:pPr>
      <w:r>
        <w:t>parent</w:t>
      </w:r>
      <w:r>
        <w:tab/>
        <w:t>12A(2)</w:t>
      </w:r>
    </w:p>
    <w:p>
      <w:pPr>
        <w:pStyle w:val="DefinedTerms"/>
      </w:pPr>
      <w:r>
        <w:t>rights</w:t>
      </w:r>
      <w:r>
        <w:tab/>
        <w:t>16(4)</w:t>
      </w:r>
    </w:p>
    <w:p>
      <w:pPr>
        <w:pStyle w:val="DefinedTerms"/>
      </w:pPr>
      <w:r>
        <w:t>speed measuring equipment</w:t>
      </w:r>
      <w:r>
        <w:tab/>
        <w:t>7C(1)</w:t>
      </w:r>
    </w:p>
    <w:p>
      <w:pPr>
        <w:pStyle w:val="DefinedTerms"/>
      </w:pPr>
      <w:r>
        <w:t>staff member</w:t>
      </w:r>
      <w:r>
        <w:tab/>
        <w:t>15(1)</w:t>
      </w:r>
    </w:p>
    <w:p>
      <w:pPr>
        <w:pStyle w:val="DefinedTerms"/>
      </w:pPr>
      <w:r>
        <w:t>State tax</w:t>
      </w:r>
      <w:r>
        <w:tab/>
        <w:t>17(1)</w:t>
      </w:r>
    </w:p>
    <w:p>
      <w:pPr>
        <w:pStyle w:val="DefinedTerms"/>
      </w:pPr>
      <w:r>
        <w:t>Treasurer</w:t>
      </w:r>
      <w:r>
        <w:tab/>
        <w:t>2</w:t>
      </w:r>
    </w:p>
    <w:p>
      <w:pPr>
        <w:pStyle w:val="DefinedTerms"/>
      </w:pPr>
      <w:r>
        <w:t>vehicle</w:t>
      </w:r>
      <w:r>
        <w:tab/>
        <w:t>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55052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3836A02" w14:textId="256299F9" w:rsidR="0093686F" w:rsidRDefault="009368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75B34">
                        <w:rPr>
                          <w:sz w:val="16"/>
                        </w:rPr>
                        <w:t>2024</w:t>
                      </w:r>
                      <w:r>
                        <w:rPr>
                          <w:sz w:val="16"/>
                        </w:rPr>
                        <w:fldChar w:fldCharType="end"/>
                      </w:r>
                      <w:r>
                        <w:rPr>
                          <w:sz w:val="16"/>
                        </w:rPr>
                        <w:t>.</w:t>
                      </w:r>
                    </w:p>
                    <w:p w14:paraId="1386B1DC" w14:textId="77777777" w:rsidR="0093686F" w:rsidRDefault="009368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620463" w14:textId="6017A6FB" w:rsidR="0093686F" w:rsidRDefault="009368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75B34">
                        <w:rPr>
                          <w:sz w:val="16"/>
                        </w:rPr>
                        <w:t>2024</w:t>
                      </w:r>
                      <w:r>
                        <w:rPr>
                          <w:sz w:val="16"/>
                        </w:rPr>
                        <w:fldChar w:fldCharType="end"/>
                      </w:r>
                      <w:r>
                        <w:rPr>
                          <w:sz w:val="16"/>
                        </w:rPr>
                        <w:t>.</w:t>
                      </w:r>
                    </w:p>
                    <w:p w14:paraId="184F1E0A" w14:textId="77777777" w:rsidR="0093686F" w:rsidRDefault="009368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746"/>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 w:name="WAFER_20240515093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3746_GUID" w:val="1d857134-2baf-498c-8f2b-2d684e33997b"/>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CEA7E-6194-4AB1-B325-07E18254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6964</Words>
  <Characters>31760</Characters>
  <Application>Microsoft Office Word</Application>
  <DocSecurity>0</DocSecurity>
  <Lines>962</Lines>
  <Paragraphs>523</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1895 - 05-d0-00</dc:title>
  <dc:subject/>
  <dc:creator/>
  <cp:keywords/>
  <dc:description/>
  <cp:lastModifiedBy>Master Repository Process</cp:lastModifiedBy>
  <cp:revision>4</cp:revision>
  <cp:lastPrinted>2011-07-19T06:22:00Z</cp:lastPrinted>
  <dcterms:created xsi:type="dcterms:W3CDTF">2025-06-19T01:46:00Z</dcterms:created>
  <dcterms:modified xsi:type="dcterms:W3CDTF">2025-06-19T01:46:00Z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DocumentType">
    <vt:lpwstr>Act</vt:lpwstr>
  </property>
  <property fmtid="{D5CDD505-2E9C-101B-9397-08002B2CF9AE}" pid="4" name="OwlsUID">
    <vt:i4>568</vt:i4>
  </property>
  <property fmtid="{D5CDD505-2E9C-101B-9397-08002B2CF9AE}" pid="5" name="ReprintNo">
    <vt:lpwstr>5</vt:lpwstr>
  </property>
  <property fmtid="{D5CDD505-2E9C-101B-9397-08002B2CF9AE}" pid="6" name="ReprintedAsAt">
    <vt:filetime>2011-06-30T16:00:00Z</vt:filetime>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05-d0-00</vt:lpwstr>
  </property>
  <property fmtid="{D5CDD505-2E9C-101B-9397-08002B2CF9AE}" pid="12" name="Official">
    <vt:lpwstr/>
  </property>
</Properties>
</file>