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_Toc166680372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_Toc166680373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_Toc166680374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_Toc166680375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traffic</w:t>
      </w:r>
    </w:p>
    <w:p>
      <w:pPr>
        <w:pStyle w:val="TOC4"/>
        <w:tabs>
          <w:tab w:val="right" w:leader="dot" w:pos="707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_Toc166680378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_Toc166680380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_Toc166680382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_Toc166680383 \h </w:instrText>
      </w:r>
      <w:r>
        <w:fldChar w:fldCharType="separate"/>
      </w:r>
      <w:r>
        <w:t>8</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_Toc166680384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_Toc166680385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_Toc166680386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_Toc166680387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_Toc166680388 \h </w:instrText>
      </w:r>
      <w:r>
        <w:fldChar w:fldCharType="separate"/>
      </w:r>
      <w:r>
        <w:t>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_Toc166680389 \h </w:instrText>
      </w:r>
      <w:r>
        <w:fldChar w:fldCharType="separate"/>
      </w:r>
      <w:r>
        <w:t>18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_Toc166680390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_Toc166680391 \h </w:instrText>
      </w:r>
      <w:r>
        <w:fldChar w:fldCharType="separate"/>
      </w:r>
      <w:r>
        <w:t>21</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_Toc166680392 \h </w:instrText>
      </w:r>
      <w:r>
        <w:fldChar w:fldCharType="separate"/>
      </w:r>
      <w:r>
        <w:t>23</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_Toc166680393 \h </w:instrText>
      </w:r>
      <w:r>
        <w:fldChar w:fldCharType="separate"/>
      </w:r>
      <w:r>
        <w:t>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_Toc166680394 \h </w:instrText>
      </w:r>
      <w:r>
        <w:fldChar w:fldCharType="separate"/>
      </w:r>
      <w:r>
        <w:t>26</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_Toc166680395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_Toc166680396 \h </w:instrText>
      </w:r>
      <w:r>
        <w:fldChar w:fldCharType="separate"/>
      </w:r>
      <w:r>
        <w:t>27</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_Toc166680397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_Toc166680398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_Toc166680399 \h </w:instrText>
      </w:r>
      <w:r>
        <w:fldChar w:fldCharType="separate"/>
      </w:r>
      <w:r>
        <w:t>30</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_Toc166680400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_Toc166680401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_Toc166680402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_Toc166680404 \h </w:instrText>
      </w:r>
      <w:r>
        <w:fldChar w:fldCharType="separate"/>
      </w:r>
      <w:r>
        <w:t>32</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_Toc166680405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drugs or alcohol and drugs</w:t>
      </w:r>
      <w:r>
        <w:tab/>
      </w:r>
      <w:r>
        <w:fldChar w:fldCharType="begin"/>
      </w:r>
      <w:r>
        <w:instrText xml:space="preserve"> PAGEREF _Toc166680407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_Toc166680408 \h </w:instrText>
      </w:r>
      <w:r>
        <w:fldChar w:fldCharType="separate"/>
      </w:r>
      <w:r>
        <w:t>41</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_Toc166680409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64A</w:t>
      </w:r>
      <w:r>
        <w:rPr>
          <w:snapToGrid w:val="0"/>
        </w:rPr>
        <w:t>.</w:t>
      </w:r>
      <w:r>
        <w:rPr>
          <w:snapToGrid w:val="0"/>
        </w:rPr>
        <w:tab/>
        <w:t>Certain persons driving with blood alcohol content of or above 0.02</w:t>
      </w:r>
      <w:r>
        <w:tab/>
      </w:r>
      <w:r>
        <w:fldChar w:fldCharType="begin"/>
      </w:r>
      <w:r>
        <w:instrText xml:space="preserve"> PAGEREF _Toc166680410 \h </w:instrText>
      </w:r>
      <w:r>
        <w:fldChar w:fldCharType="separate"/>
      </w:r>
      <w:r>
        <w:t>44</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_Toc166680411 \h </w:instrText>
      </w:r>
      <w:r>
        <w:fldChar w:fldCharType="separate"/>
      </w:r>
      <w:r>
        <w:t>48</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_Toc166680412 \h </w:instrText>
      </w:r>
      <w:r>
        <w:fldChar w:fldCharType="separate"/>
      </w:r>
      <w:r>
        <w:t>49</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_Toc166680413 \h </w:instrText>
      </w:r>
      <w:r>
        <w:fldChar w:fldCharType="separate"/>
      </w:r>
      <w:r>
        <w:t>51</w:t>
      </w:r>
      <w:r>
        <w:fldChar w:fldCharType="end"/>
      </w:r>
    </w:p>
    <w:p>
      <w:pPr>
        <w:pStyle w:val="TOC8"/>
        <w:rPr>
          <w:rFonts w:asciiTheme="minorHAnsi" w:eastAsiaTheme="minorEastAsia" w:hAnsiTheme="minorHAnsi" w:cstheme="minorBidi"/>
          <w:szCs w:val="22"/>
        </w:rPr>
      </w:pPr>
      <w:r>
        <w:t>64B.</w:t>
      </w:r>
      <w:r>
        <w:tab/>
      </w:r>
      <w:r>
        <w:rPr>
          <w:snapToGrid w:val="0"/>
        </w:rPr>
        <w:t>Driving with blood alcohol content of or above 0.05 with prescribed illicit drug in oral fluid or blood</w:t>
      </w:r>
      <w:r>
        <w:tab/>
      </w:r>
      <w:r>
        <w:fldChar w:fldCharType="begin"/>
      </w:r>
      <w:r>
        <w:instrText xml:space="preserve"> PAGEREF _Toc166680414 \h </w:instrText>
      </w:r>
      <w:r>
        <w:fldChar w:fldCharType="separate"/>
      </w:r>
      <w:r>
        <w:t>52</w:t>
      </w:r>
      <w:r>
        <w:fldChar w:fldCharType="end"/>
      </w:r>
    </w:p>
    <w:p>
      <w:pPr>
        <w:pStyle w:val="TOC8"/>
        <w:rPr>
          <w:rFonts w:asciiTheme="minorHAnsi" w:eastAsiaTheme="minorEastAsia" w:hAnsiTheme="minorHAnsi" w:cstheme="minorBidi"/>
          <w:szCs w:val="22"/>
        </w:rPr>
      </w:pPr>
      <w:r>
        <w:t>64C.</w:t>
      </w:r>
      <w:r>
        <w:tab/>
        <w:t>Certain persons d</w:t>
      </w:r>
      <w:r>
        <w:rPr>
          <w:snapToGrid w:val="0"/>
        </w:rPr>
        <w:t>riving with any blood alcohol content with prescribed illicit drug in oral fluid or blood</w:t>
      </w:r>
      <w:r>
        <w:tab/>
      </w:r>
      <w:r>
        <w:fldChar w:fldCharType="begin"/>
      </w:r>
      <w:r>
        <w:instrText xml:space="preserve"> PAGEREF _Toc166680415 \h </w:instrText>
      </w:r>
      <w:r>
        <w:fldChar w:fldCharType="separate"/>
      </w:r>
      <w:r>
        <w:t>55</w:t>
      </w:r>
      <w:r>
        <w:fldChar w:fldCharType="end"/>
      </w:r>
    </w:p>
    <w:p>
      <w:pPr>
        <w:pStyle w:val="TOC8"/>
        <w:rPr>
          <w:rFonts w:asciiTheme="minorHAnsi" w:eastAsiaTheme="minorEastAsia" w:hAnsiTheme="minorHAnsi" w:cstheme="minorBidi"/>
          <w:szCs w:val="22"/>
        </w:rPr>
      </w:pPr>
      <w:r>
        <w:t>64D.</w:t>
      </w:r>
      <w:r>
        <w:tab/>
        <w:t>Provisions for s. 64AC, 64B and 64C</w:t>
      </w:r>
      <w:r>
        <w:tab/>
      </w:r>
      <w:r>
        <w:fldChar w:fldCharType="begin"/>
      </w:r>
      <w:r>
        <w:instrText xml:space="preserve"> PAGEREF _Toc166680416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_Toc166680417 \h </w:instrText>
      </w:r>
      <w:r>
        <w:fldChar w:fldCharType="separate"/>
      </w:r>
      <w:r>
        <w:t>57</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_Toc166680418 \h </w:instrText>
      </w:r>
      <w:r>
        <w:fldChar w:fldCharType="separate"/>
      </w:r>
      <w:r>
        <w:t>60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r>
      <w:r>
        <w:t>Police powers to require breath or blood sample</w:t>
      </w:r>
      <w:r>
        <w:tab/>
      </w:r>
      <w:r>
        <w:fldChar w:fldCharType="begin"/>
      </w:r>
      <w:r>
        <w:instrText xml:space="preserve"> PAGEREF _Toc166680419 \h </w:instrText>
      </w:r>
      <w:r>
        <w:fldChar w:fldCharType="separate"/>
      </w:r>
      <w:r>
        <w:t>61</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_Toc166680420 \h </w:instrText>
      </w:r>
      <w:r>
        <w:fldChar w:fldCharType="separate"/>
      </w:r>
      <w:r>
        <w:t>68</w:t>
      </w:r>
      <w:r>
        <w:fldChar w:fldCharType="end"/>
      </w:r>
    </w:p>
    <w:p>
      <w:pPr>
        <w:pStyle w:val="TOC8"/>
        <w:rPr>
          <w:rFonts w:asciiTheme="minorHAnsi" w:eastAsiaTheme="minorEastAsia" w:hAnsiTheme="minorHAnsi" w:cstheme="minorBidi"/>
          <w:szCs w:val="22"/>
        </w:rPr>
      </w:pPr>
      <w:r>
        <w:t>66B.</w:t>
      </w:r>
      <w:r>
        <w:tab/>
        <w:t>Police powers to require blood sample for drug analysis</w:t>
      </w:r>
      <w:r>
        <w:tab/>
      </w:r>
      <w:r>
        <w:fldChar w:fldCharType="begin"/>
      </w:r>
      <w:r>
        <w:instrText xml:space="preserve"> PAGEREF _Toc166680421 \h </w:instrText>
      </w:r>
      <w:r>
        <w:fldChar w:fldCharType="separate"/>
      </w:r>
      <w:r>
        <w:t>69</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_Toc166680422 \h </w:instrText>
      </w:r>
      <w:r>
        <w:fldChar w:fldCharType="separate"/>
      </w:r>
      <w:r>
        <w:t>70</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_Toc166680423 \h </w:instrText>
      </w:r>
      <w:r>
        <w:fldChar w:fldCharType="separate"/>
      </w:r>
      <w:r>
        <w:t>72</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_Toc166680424 \h </w:instrText>
      </w:r>
      <w:r>
        <w:fldChar w:fldCharType="separate"/>
      </w:r>
      <w:r>
        <w:t>73</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_Toc166680425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_Toc166680426 \h </w:instrText>
      </w:r>
      <w:r>
        <w:fldChar w:fldCharType="separate"/>
      </w:r>
      <w:r>
        <w:t>74</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r>
      <w:r>
        <w:t>Failure to comply with s. 66A or 66B requirement to do driver assessment, provide blood sample or accompany police officer</w:t>
      </w:r>
      <w:r>
        <w:tab/>
      </w:r>
      <w:r>
        <w:fldChar w:fldCharType="begin"/>
      </w:r>
      <w:r>
        <w:instrText xml:space="preserve"> PAGEREF _Toc166680427 \h </w:instrText>
      </w:r>
      <w:r>
        <w:fldChar w:fldCharType="separate"/>
      </w:r>
      <w:r>
        <w:t>78</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blood sample</w:t>
      </w:r>
      <w:r>
        <w:t xml:space="preserve"> or accompany police officer</w:t>
      </w:r>
      <w:r>
        <w:tab/>
      </w:r>
      <w:r>
        <w:fldChar w:fldCharType="begin"/>
      </w:r>
      <w:r>
        <w:instrText xml:space="preserve"> PAGEREF _Toc166680428 \h </w:instrText>
      </w:r>
      <w:r>
        <w:fldChar w:fldCharType="separate"/>
      </w:r>
      <w:r>
        <w:t>80</w:t>
      </w:r>
      <w:r>
        <w:fldChar w:fldCharType="end"/>
      </w:r>
    </w:p>
    <w:p>
      <w:pPr>
        <w:pStyle w:val="TOC8"/>
        <w:rPr>
          <w:rFonts w:asciiTheme="minorHAnsi" w:eastAsiaTheme="minorEastAsia" w:hAnsiTheme="minorHAnsi" w:cstheme="minorBidi"/>
          <w:szCs w:val="22"/>
        </w:rPr>
      </w:pPr>
      <w:r>
        <w:t>67AC.</w:t>
      </w:r>
      <w:r>
        <w:tab/>
        <w:t>Failure to comply with drug test requirement for certain persons with any blood alcohol content</w:t>
      </w:r>
      <w:r>
        <w:tab/>
      </w:r>
      <w:r>
        <w:fldChar w:fldCharType="begin"/>
      </w:r>
      <w:r>
        <w:instrText xml:space="preserve"> PAGEREF _Toc166680429 \h </w:instrText>
      </w:r>
      <w:r>
        <w:fldChar w:fldCharType="separate"/>
      </w:r>
      <w:r>
        <w:t>81</w:t>
      </w:r>
      <w:r>
        <w:fldChar w:fldCharType="end"/>
      </w:r>
    </w:p>
    <w:p>
      <w:pPr>
        <w:pStyle w:val="TOC8"/>
        <w:rPr>
          <w:rFonts w:asciiTheme="minorHAnsi" w:eastAsiaTheme="minorEastAsia" w:hAnsiTheme="minorHAnsi" w:cstheme="minorBidi"/>
          <w:szCs w:val="22"/>
        </w:rPr>
      </w:pPr>
      <w:r>
        <w:lastRenderedPageBreak/>
        <w:t>67AD.</w:t>
      </w:r>
      <w:r>
        <w:tab/>
        <w:t>Failure to comply with drug test requirement for persons with blood alcohol content of or above 0.05</w:t>
      </w:r>
      <w:r>
        <w:tab/>
      </w:r>
      <w:r>
        <w:fldChar w:fldCharType="begin"/>
      </w:r>
      <w:r>
        <w:instrText xml:space="preserve"> PAGEREF _Toc166680430 \h </w:instrText>
      </w:r>
      <w:r>
        <w:fldChar w:fldCharType="separate"/>
      </w:r>
      <w:r>
        <w:t>83</w:t>
      </w:r>
      <w:r>
        <w:fldChar w:fldCharType="end"/>
      </w:r>
    </w:p>
    <w:p>
      <w:pPr>
        <w:pStyle w:val="TOC8"/>
        <w:rPr>
          <w:rFonts w:asciiTheme="minorHAnsi" w:eastAsiaTheme="minorEastAsia" w:hAnsiTheme="minorHAnsi" w:cstheme="minorBidi"/>
          <w:szCs w:val="22"/>
        </w:rPr>
      </w:pPr>
      <w:r>
        <w:t>67AE.</w:t>
      </w:r>
      <w:r>
        <w:tab/>
        <w:t>Provisions for s. 67AC and 67AD</w:t>
      </w:r>
      <w:r>
        <w:tab/>
      </w:r>
      <w:r>
        <w:fldChar w:fldCharType="begin"/>
      </w:r>
      <w:r>
        <w:instrText xml:space="preserve"> PAGEREF _Toc166680431 \h </w:instrText>
      </w:r>
      <w:r>
        <w:fldChar w:fldCharType="separate"/>
      </w:r>
      <w:r>
        <w:t>88</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_Toc166680432 \h </w:instrText>
      </w:r>
      <w:r>
        <w:fldChar w:fldCharType="separate"/>
      </w:r>
      <w:r>
        <w:t>89</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_Toc166680433 \h </w:instrText>
      </w:r>
      <w:r>
        <w:fldChar w:fldCharType="separate"/>
      </w:r>
      <w:r>
        <w:t>90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r>
      <w:r>
        <w:t>Analysis of breath sample</w:t>
      </w:r>
      <w:r>
        <w:tab/>
      </w:r>
      <w:r>
        <w:fldChar w:fldCharType="begin"/>
      </w:r>
      <w:r>
        <w:instrText xml:space="preserve"> PAGEREF _Toc166680434 \h </w:instrText>
      </w:r>
      <w:r>
        <w:fldChar w:fldCharType="separate"/>
      </w:r>
      <w:r>
        <w:t>91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Taking and analysis of blood sample</w:t>
      </w:r>
      <w:r>
        <w:tab/>
      </w:r>
      <w:r>
        <w:fldChar w:fldCharType="begin"/>
      </w:r>
      <w:r>
        <w:instrText xml:space="preserve"> PAGEREF _Toc166680435 \h </w:instrText>
      </w:r>
      <w:r>
        <w:fldChar w:fldCharType="separate"/>
      </w:r>
      <w:r>
        <w:t>92</w:t>
      </w:r>
      <w:r>
        <w:fldChar w:fldCharType="end"/>
      </w:r>
    </w:p>
    <w:p>
      <w:pPr>
        <w:pStyle w:val="TOC8"/>
        <w:rPr>
          <w:rFonts w:asciiTheme="minorHAnsi" w:eastAsiaTheme="minorEastAsia" w:hAnsiTheme="minorHAnsi" w:cstheme="minorBidi"/>
          <w:szCs w:val="22"/>
        </w:rPr>
      </w:pPr>
      <w:r>
        <w:t>69B.</w:t>
      </w:r>
      <w:r>
        <w:tab/>
        <w:t>Taking of oral fluid sample</w:t>
      </w:r>
      <w:r>
        <w:tab/>
      </w:r>
      <w:r>
        <w:fldChar w:fldCharType="begin"/>
      </w:r>
      <w:r>
        <w:instrText xml:space="preserve"> PAGEREF _Toc166680436 \h </w:instrText>
      </w:r>
      <w:r>
        <w:fldChar w:fldCharType="separate"/>
      </w:r>
      <w:r>
        <w:t>94</w:t>
      </w:r>
      <w:r>
        <w:fldChar w:fldCharType="end"/>
      </w:r>
    </w:p>
    <w:p>
      <w:pPr>
        <w:pStyle w:val="TOC8"/>
        <w:rPr>
          <w:rFonts w:asciiTheme="minorHAnsi" w:eastAsiaTheme="minorEastAsia" w:hAnsiTheme="minorHAnsi" w:cstheme="minorBidi"/>
          <w:szCs w:val="22"/>
        </w:rPr>
      </w:pPr>
      <w:r>
        <w:t>70A.</w:t>
      </w:r>
      <w:r>
        <w:tab/>
        <w:t>Delivery of person’s blood or oral fluid sample to Chemistry Centre (WA)</w:t>
      </w:r>
      <w:r>
        <w:tab/>
      </w:r>
      <w:r>
        <w:fldChar w:fldCharType="begin"/>
      </w:r>
      <w:r>
        <w:instrText xml:space="preserve"> PAGEREF _Toc166680437 \h </w:instrText>
      </w:r>
      <w:r>
        <w:fldChar w:fldCharType="separate"/>
      </w:r>
      <w:r>
        <w:t>95</w:t>
      </w:r>
      <w:r>
        <w:fldChar w:fldCharType="end"/>
      </w:r>
    </w:p>
    <w:p>
      <w:pPr>
        <w:pStyle w:val="TOC8"/>
        <w:rPr>
          <w:rFonts w:asciiTheme="minorHAnsi" w:eastAsiaTheme="minorEastAsia" w:hAnsiTheme="minorHAnsi" w:cstheme="minorBidi"/>
          <w:szCs w:val="22"/>
        </w:rPr>
      </w:pPr>
      <w:r>
        <w:t>70B.</w:t>
      </w:r>
      <w:r>
        <w:tab/>
        <w:t>Evidence of delivery of blood or oral fluid samples</w:t>
      </w:r>
      <w:r>
        <w:tab/>
      </w:r>
      <w:r>
        <w:fldChar w:fldCharType="begin"/>
      </w:r>
      <w:r>
        <w:instrText xml:space="preserve"> PAGEREF _Toc166680438 \h </w:instrText>
      </w:r>
      <w:r>
        <w:fldChar w:fldCharType="separate"/>
      </w:r>
      <w:r>
        <w:t>95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_Toc166680439 \h </w:instrText>
      </w:r>
      <w:r>
        <w:fldChar w:fldCharType="separate"/>
      </w:r>
      <w:r>
        <w:t>96</w:t>
      </w:r>
      <w:r>
        <w:fldChar w:fldCharType="end"/>
      </w:r>
    </w:p>
    <w:p>
      <w:pPr>
        <w:pStyle w:val="TOC8"/>
        <w:rPr>
          <w:rFonts w:asciiTheme="minorHAnsi" w:eastAsiaTheme="minorEastAsia" w:hAnsiTheme="minorHAnsi" w:cstheme="minorBidi"/>
          <w:szCs w:val="22"/>
        </w:rPr>
      </w:pPr>
      <w:r>
        <w:t>71.</w:t>
      </w:r>
      <w:r>
        <w:tab/>
      </w:r>
      <w:r>
        <w:rPr>
          <w:snapToGrid w:val="0"/>
        </w:rPr>
        <w:t>Evidence of blood alcohol content for particular offences</w:t>
      </w:r>
      <w:r>
        <w:tab/>
      </w:r>
      <w:r>
        <w:fldChar w:fldCharType="begin"/>
      </w:r>
      <w:r>
        <w:instrText xml:space="preserve"> PAGEREF _Toc166680440 \h </w:instrText>
      </w:r>
      <w:r>
        <w:fldChar w:fldCharType="separate"/>
      </w:r>
      <w:r>
        <w:t>105</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_Toc166680441 \h </w:instrText>
      </w:r>
      <w:r>
        <w:fldChar w:fldCharType="separate"/>
      </w:r>
      <w:r>
        <w:t>105</w:t>
      </w:r>
      <w:r>
        <w:fldChar w:fldCharType="end"/>
      </w:r>
    </w:p>
    <w:p>
      <w:pPr>
        <w:pStyle w:val="TOC8"/>
        <w:rPr>
          <w:rFonts w:asciiTheme="minorHAnsi" w:eastAsiaTheme="minorEastAsia" w:hAnsiTheme="minorHAnsi" w:cstheme="minorBidi"/>
          <w:szCs w:val="22"/>
        </w:rPr>
      </w:pPr>
      <w:r>
        <w:t>71B.</w:t>
      </w:r>
      <w:r>
        <w:tab/>
        <w:t>Police powers for preventing use of vehicle by alleged offender</w:t>
      </w:r>
      <w:r>
        <w:tab/>
      </w:r>
      <w:r>
        <w:fldChar w:fldCharType="begin"/>
      </w:r>
      <w:r>
        <w:instrText xml:space="preserve"> PAGEREF _Toc166680442 \h </w:instrText>
      </w:r>
      <w:r>
        <w:fldChar w:fldCharType="separate"/>
      </w:r>
      <w:r>
        <w:t>106</w:t>
      </w:r>
      <w:r>
        <w:fldChar w:fldCharType="end"/>
      </w:r>
    </w:p>
    <w:p>
      <w:pPr>
        <w:pStyle w:val="TOC8"/>
        <w:rPr>
          <w:rFonts w:asciiTheme="minorHAnsi" w:eastAsiaTheme="minorEastAsia" w:hAnsiTheme="minorHAnsi" w:cstheme="minorBidi"/>
          <w:szCs w:val="22"/>
        </w:rPr>
      </w:pPr>
      <w:r>
        <w:t>71BA.</w:t>
      </w:r>
      <w:r>
        <w:tab/>
        <w:t>Police officer may prohibit person from driving for 24 hours if prescribed illicit drug present in oral fluid</w:t>
      </w:r>
      <w:r>
        <w:tab/>
      </w:r>
      <w:r>
        <w:fldChar w:fldCharType="begin"/>
      </w:r>
      <w:r>
        <w:instrText xml:space="preserve"> PAGEREF _Toc166680443 \h </w:instrText>
      </w:r>
      <w:r>
        <w:fldChar w:fldCharType="separate"/>
      </w:r>
      <w:r>
        <w:t>108</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_Toc166680444 \h </w:instrText>
      </w:r>
      <w:r>
        <w:fldChar w:fldCharType="separate"/>
      </w:r>
      <w:r>
        <w:t>109</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_Toc166680445 \h </w:instrText>
      </w:r>
      <w:r>
        <w:fldChar w:fldCharType="separate"/>
      </w:r>
      <w:r>
        <w:t>111</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_Toc166680446 \h </w:instrText>
      </w:r>
      <w:r>
        <w:fldChar w:fldCharType="separate"/>
      </w:r>
      <w:r>
        <w:t>112</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_Toc166680447 \h </w:instrText>
      </w:r>
      <w:r>
        <w:fldChar w:fldCharType="separate"/>
      </w:r>
      <w:r>
        <w:t>112</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_Toc166680448 \h </w:instrText>
      </w:r>
      <w:r>
        <w:fldChar w:fldCharType="separate"/>
      </w:r>
      <w:r>
        <w:t>113</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_Toc166680449 \h </w:instrText>
      </w:r>
      <w:r>
        <w:fldChar w:fldCharType="separate"/>
      </w:r>
      <w:r>
        <w:t>114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_Toc166680450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_Toc166680452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Impounding and confiscation of vehicles for certain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_Toc166680455 \h </w:instrText>
      </w:r>
      <w:r>
        <w:fldChar w:fldCharType="separate"/>
      </w:r>
      <w:r>
        <w:t>118</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_Toc166680456 \h </w:instrText>
      </w:r>
      <w:r>
        <w:fldChar w:fldCharType="separate"/>
      </w:r>
      <w:r>
        <w:t>122</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_Toc166680457 \h </w:instrText>
      </w:r>
      <w:r>
        <w:fldChar w:fldCharType="separate"/>
      </w:r>
      <w:r>
        <w:t>123</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_Toc166680458 \h </w:instrText>
      </w:r>
      <w:r>
        <w:fldChar w:fldCharType="separate"/>
      </w:r>
      <w:r>
        <w:t>124</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_Toc166680459 \h </w:instrText>
      </w:r>
      <w:r>
        <w:fldChar w:fldCharType="separate"/>
      </w:r>
      <w:r>
        <w:t>125</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_Toc166680460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_Toc166680462 \h </w:instrText>
      </w:r>
      <w:r>
        <w:fldChar w:fldCharType="separate"/>
      </w:r>
      <w:r>
        <w:t>126</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_Toc166680463 \h </w:instrText>
      </w:r>
      <w:r>
        <w:fldChar w:fldCharType="separate"/>
      </w:r>
      <w:r>
        <w:t>127</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_Toc166680464 \h </w:instrText>
      </w:r>
      <w:r>
        <w:fldChar w:fldCharType="separate"/>
      </w:r>
      <w:r>
        <w:t>128</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_Toc166680465 \h </w:instrText>
      </w:r>
      <w:r>
        <w:fldChar w:fldCharType="separate"/>
      </w:r>
      <w:r>
        <w:t>130</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_Toc166680466 \h </w:instrText>
      </w:r>
      <w:r>
        <w:fldChar w:fldCharType="separate"/>
      </w:r>
      <w:r>
        <w:t>131</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_Toc166680467 \h </w:instrText>
      </w:r>
      <w:r>
        <w:fldChar w:fldCharType="separate"/>
      </w:r>
      <w:r>
        <w:t>133</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_Toc166680468 \h </w:instrText>
      </w:r>
      <w:r>
        <w:fldChar w:fldCharType="separate"/>
      </w:r>
      <w:r>
        <w:t>135</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_Toc166680469 \h </w:instrText>
      </w:r>
      <w:r>
        <w:fldChar w:fldCharType="separate"/>
      </w:r>
      <w:r>
        <w:t>136</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_Toc166680470 \h </w:instrText>
      </w:r>
      <w:r>
        <w:fldChar w:fldCharType="separate"/>
      </w:r>
      <w:r>
        <w:t>138</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_Toc166680471 \h </w:instrText>
      </w:r>
      <w:r>
        <w:fldChar w:fldCharType="separate"/>
      </w:r>
      <w:r>
        <w:t>139</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_Toc166680472 \h </w:instrText>
      </w:r>
      <w:r>
        <w:fldChar w:fldCharType="separate"/>
      </w:r>
      <w:r>
        <w:t>140</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_Toc166680473 \h </w:instrText>
      </w:r>
      <w:r>
        <w:fldChar w:fldCharType="separate"/>
      </w:r>
      <w:r>
        <w:t>141</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_Toc166680474 \h </w:instrText>
      </w:r>
      <w:r>
        <w:fldChar w:fldCharType="separate"/>
      </w:r>
      <w:r>
        <w:t>145</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_Toc166680475 \h </w:instrText>
      </w:r>
      <w:r>
        <w:fldChar w:fldCharType="separate"/>
      </w:r>
      <w:r>
        <w:t>147</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_Toc166680476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_Toc166680478 \h </w:instrText>
      </w:r>
      <w:r>
        <w:fldChar w:fldCharType="separate"/>
      </w:r>
      <w:r>
        <w:t>154</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_Toc166680479 \h </w:instrText>
      </w:r>
      <w:r>
        <w:fldChar w:fldCharType="separate"/>
      </w:r>
      <w:r>
        <w:t>155</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_Toc166680480 \h </w:instrText>
      </w:r>
      <w:r>
        <w:fldChar w:fldCharType="separate"/>
      </w:r>
      <w:r>
        <w:t>155</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_Toc166680481 \h </w:instrText>
      </w:r>
      <w:r>
        <w:fldChar w:fldCharType="separate"/>
      </w:r>
      <w:r>
        <w:t>156</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_Toc166680482 \h </w:instrText>
      </w:r>
      <w:r>
        <w:fldChar w:fldCharType="separate"/>
      </w:r>
      <w:r>
        <w:t>156</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_Toc166680483 \h </w:instrText>
      </w:r>
      <w:r>
        <w:fldChar w:fldCharType="separate"/>
      </w:r>
      <w:r>
        <w:t>156</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_Toc166680484 \h </w:instrText>
      </w:r>
      <w:r>
        <w:fldChar w:fldCharType="separate"/>
      </w:r>
      <w:r>
        <w:t>157</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_Toc166680485 \h </w:instrText>
      </w:r>
      <w:r>
        <w:fldChar w:fldCharType="separate"/>
      </w:r>
      <w:r>
        <w:t>157</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_Toc166680486 \h </w:instrText>
      </w:r>
      <w:r>
        <w:fldChar w:fldCharType="separate"/>
      </w:r>
      <w:r>
        <w:t>158</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_Toc166680487 \h </w:instrText>
      </w:r>
      <w:r>
        <w:fldChar w:fldCharType="separate"/>
      </w:r>
      <w:r>
        <w:t>158</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_Toc166680488 \h </w:instrText>
      </w:r>
      <w:r>
        <w:fldChar w:fldCharType="separate"/>
      </w:r>
      <w:r>
        <w:t>159</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_Toc166680489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_Toc166680491 \h </w:instrText>
      </w:r>
      <w:r>
        <w:fldChar w:fldCharType="separate"/>
      </w:r>
      <w:r>
        <w:t>162</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_Toc166680492 \h </w:instrText>
      </w:r>
      <w:r>
        <w:fldChar w:fldCharType="separate"/>
      </w:r>
      <w:r>
        <w:t>162</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_Toc166680493 \h </w:instrText>
      </w:r>
      <w:r>
        <w:fldChar w:fldCharType="separate"/>
      </w:r>
      <w:r>
        <w:t>164</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_Toc166680494 \h </w:instrText>
      </w:r>
      <w:r>
        <w:fldChar w:fldCharType="separate"/>
      </w:r>
      <w:r>
        <w:t>165</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_Toc166680495 \h </w:instrText>
      </w:r>
      <w:r>
        <w:fldChar w:fldCharType="separate"/>
      </w:r>
      <w:r>
        <w:t>167</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_Toc166680496 \h </w:instrText>
      </w:r>
      <w:r>
        <w:fldChar w:fldCharType="separate"/>
      </w:r>
      <w:r>
        <w:t>170</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_Toc166680497 \h </w:instrText>
      </w:r>
      <w:r>
        <w:fldChar w:fldCharType="separate"/>
      </w:r>
      <w:r>
        <w:t>171</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_Toc166680498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80M.</w:t>
      </w:r>
      <w:r>
        <w:tab/>
        <w:t>Compensation for certain vehicles or items disposed of under s. 80J</w:t>
      </w:r>
      <w:r>
        <w:tab/>
      </w:r>
      <w:r>
        <w:fldChar w:fldCharType="begin"/>
      </w:r>
      <w:r>
        <w:instrText xml:space="preserve"> PAGEREF _Toc166680499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_Toc166680501 \h </w:instrText>
      </w:r>
      <w:r>
        <w:fldChar w:fldCharType="separate"/>
      </w:r>
      <w:r>
        <w:t>174</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_Toc166680502 \h </w:instrText>
      </w:r>
      <w:r>
        <w:fldChar w:fldCharType="separate"/>
      </w:r>
      <w:r>
        <w:t>174</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_Toc166680503 \h </w:instrText>
      </w:r>
      <w:r>
        <w:fldChar w:fldCharType="separate"/>
      </w:r>
      <w:r>
        <w:t>175</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_Toc166680504 \h </w:instrText>
      </w:r>
      <w:r>
        <w:fldChar w:fldCharType="separate"/>
      </w:r>
      <w:r>
        <w:t>178</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_Toc166680505 \h </w:instrText>
      </w:r>
      <w:r>
        <w:fldChar w:fldCharType="separate"/>
      </w:r>
      <w:r>
        <w:t>178</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_Toc166680506 \h </w:instrText>
      </w:r>
      <w:r>
        <w:fldChar w:fldCharType="separate"/>
      </w:r>
      <w:r>
        <w:t>179</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_Toc166680507 \h </w:instrText>
      </w:r>
      <w:r>
        <w:fldChar w:fldCharType="separate"/>
      </w:r>
      <w:r>
        <w:t>180</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_Toc166680508 \h </w:instrText>
      </w:r>
      <w:r>
        <w:fldChar w:fldCharType="separate"/>
      </w:r>
      <w:r>
        <w:t>180</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_Toc166680509 \h </w:instrText>
      </w:r>
      <w:r>
        <w:fldChar w:fldCharType="separate"/>
      </w:r>
      <w:r>
        <w:t>181</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_Toc166680510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_Toc166680512 \h </w:instrText>
      </w:r>
      <w:r>
        <w:fldChar w:fldCharType="separate"/>
      </w:r>
      <w:r>
        <w:t>183</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_Toc166680513 \h </w:instrText>
      </w:r>
      <w:r>
        <w:fldChar w:fldCharType="separate"/>
      </w:r>
      <w:r>
        <w:t>183</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_Toc166680514 \h </w:instrText>
      </w:r>
      <w:r>
        <w:fldChar w:fldCharType="separate"/>
      </w:r>
      <w:r>
        <w:t>184</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_Toc166680515 \h </w:instrText>
      </w:r>
      <w:r>
        <w:fldChar w:fldCharType="separate"/>
      </w:r>
      <w:r>
        <w:t>185</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_Toc166680516 \h </w:instrText>
      </w:r>
      <w:r>
        <w:fldChar w:fldCharType="separate"/>
      </w:r>
      <w:r>
        <w:t>185</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_Toc166680517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5B — Radar detectors</w:t>
      </w:r>
    </w:p>
    <w:p>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_Toc166680519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Unlawful interference with motor vehicles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_Toc166680521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Immobilisation, towing and detention of motor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_Toc166680524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92.</w:t>
      </w:r>
      <w:r>
        <w:tab/>
        <w:t>Term used: consent</w:t>
      </w:r>
      <w:r>
        <w:tab/>
      </w:r>
      <w:r>
        <w:fldChar w:fldCharType="begin"/>
      </w:r>
      <w:r>
        <w:instrText xml:space="preserve"> PAGEREF _Toc166680525 \h </w:instrText>
      </w:r>
      <w:r>
        <w:fldChar w:fldCharType="separate"/>
      </w:r>
      <w:r>
        <w:t>193</w:t>
      </w:r>
      <w:r>
        <w:fldChar w:fldCharType="end"/>
      </w:r>
    </w:p>
    <w:p>
      <w:pPr>
        <w:pStyle w:val="TOC8"/>
        <w:rPr>
          <w:rFonts w:asciiTheme="minorHAnsi" w:eastAsiaTheme="minorEastAsia" w:hAnsiTheme="minorHAnsi" w:cstheme="minorBidi"/>
          <w:szCs w:val="22"/>
        </w:rPr>
      </w:pPr>
      <w:r>
        <w:t>93.</w:t>
      </w:r>
      <w:r>
        <w:tab/>
        <w:t>Term used: authorised enforcement action</w:t>
      </w:r>
      <w:r>
        <w:tab/>
      </w:r>
      <w:r>
        <w:fldChar w:fldCharType="begin"/>
      </w:r>
      <w:r>
        <w:instrText xml:space="preserve"> PAGEREF _Toc166680526 \h </w:instrText>
      </w:r>
      <w:r>
        <w:fldChar w:fldCharType="separate"/>
      </w:r>
      <w:r>
        <w:t>194</w:t>
      </w:r>
      <w:r>
        <w:fldChar w:fldCharType="end"/>
      </w:r>
    </w:p>
    <w:p>
      <w:pPr>
        <w:pStyle w:val="TOC8"/>
        <w:rPr>
          <w:rFonts w:asciiTheme="minorHAnsi" w:eastAsiaTheme="minorEastAsia" w:hAnsiTheme="minorHAnsi" w:cstheme="minorBidi"/>
          <w:szCs w:val="22"/>
        </w:rPr>
      </w:pPr>
      <w:r>
        <w:t>94.</w:t>
      </w:r>
      <w:r>
        <w:tab/>
        <w:t>Term used: towing arrangement</w:t>
      </w:r>
      <w:r>
        <w:tab/>
      </w:r>
      <w:r>
        <w:fldChar w:fldCharType="begin"/>
      </w:r>
      <w:r>
        <w:instrText xml:space="preserve"> PAGEREF _Toc166680527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Immobilisation of motor vehicles</w:t>
      </w:r>
    </w:p>
    <w:p>
      <w:pPr>
        <w:pStyle w:val="TOC8"/>
        <w:rPr>
          <w:rFonts w:asciiTheme="minorHAnsi" w:eastAsiaTheme="minorEastAsia" w:hAnsiTheme="minorHAnsi" w:cstheme="minorBidi"/>
          <w:szCs w:val="22"/>
        </w:rPr>
      </w:pPr>
      <w:r>
        <w:t>95.</w:t>
      </w:r>
      <w:r>
        <w:tab/>
        <w:t>Motor vehicles not to be immobilised</w:t>
      </w:r>
      <w:r>
        <w:tab/>
      </w:r>
      <w:r>
        <w:fldChar w:fldCharType="begin"/>
      </w:r>
      <w:r>
        <w:instrText xml:space="preserve"> PAGEREF _Toc166680529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3 — Towing of motor vehicles</w:t>
      </w:r>
    </w:p>
    <w:p>
      <w:pPr>
        <w:pStyle w:val="TOC6"/>
        <w:tabs>
          <w:tab w:val="right" w:leader="dot" w:pos="7077"/>
        </w:tabs>
        <w:rPr>
          <w:rFonts w:asciiTheme="minorHAnsi" w:eastAsiaTheme="minorEastAsia" w:hAnsiTheme="minorHAnsi" w:cstheme="minorBidi"/>
          <w:b w:val="0"/>
          <w:sz w:val="22"/>
          <w:szCs w:val="22"/>
        </w:rPr>
      </w:pPr>
      <w:r>
        <w:t>Subdivision 1 — Towing regulated by this Division</w:t>
      </w:r>
    </w:p>
    <w:p>
      <w:pPr>
        <w:pStyle w:val="TOC8"/>
        <w:rPr>
          <w:rFonts w:asciiTheme="minorHAnsi" w:eastAsiaTheme="minorEastAsia" w:hAnsiTheme="minorHAnsi" w:cstheme="minorBidi"/>
          <w:szCs w:val="22"/>
        </w:rPr>
      </w:pPr>
      <w:r>
        <w:t>96.</w:t>
      </w:r>
      <w:r>
        <w:tab/>
        <w:t>Application of Division</w:t>
      </w:r>
      <w:r>
        <w:tab/>
      </w:r>
      <w:r>
        <w:fldChar w:fldCharType="begin"/>
      </w:r>
      <w:r>
        <w:instrText xml:space="preserve"> PAGEREF _Toc166680532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Towing</w:t>
      </w:r>
    </w:p>
    <w:p>
      <w:pPr>
        <w:pStyle w:val="TOC8"/>
        <w:rPr>
          <w:rFonts w:asciiTheme="minorHAnsi" w:eastAsiaTheme="minorEastAsia" w:hAnsiTheme="minorHAnsi" w:cstheme="minorBidi"/>
          <w:szCs w:val="22"/>
        </w:rPr>
      </w:pPr>
      <w:r>
        <w:t>97.</w:t>
      </w:r>
      <w:r>
        <w:tab/>
        <w:t>Towing parked motor vehicles prohibited unless requirements satisfied</w:t>
      </w:r>
      <w:r>
        <w:tab/>
      </w:r>
      <w:r>
        <w:fldChar w:fldCharType="begin"/>
      </w:r>
      <w:r>
        <w:instrText xml:space="preserve"> PAGEREF _Toc166680534 \h </w:instrText>
      </w:r>
      <w:r>
        <w:fldChar w:fldCharType="separate"/>
      </w:r>
      <w:r>
        <w:t>197</w:t>
      </w:r>
      <w:r>
        <w:fldChar w:fldCharType="end"/>
      </w:r>
    </w:p>
    <w:p>
      <w:pPr>
        <w:pStyle w:val="TOC8"/>
        <w:rPr>
          <w:rFonts w:asciiTheme="minorHAnsi" w:eastAsiaTheme="minorEastAsia" w:hAnsiTheme="minorHAnsi" w:cstheme="minorBidi"/>
          <w:szCs w:val="22"/>
        </w:rPr>
      </w:pPr>
      <w:r>
        <w:t>98.</w:t>
      </w:r>
      <w:r>
        <w:tab/>
        <w:t>Regulations relating to towing requirements</w:t>
      </w:r>
      <w:r>
        <w:tab/>
      </w:r>
      <w:r>
        <w:fldChar w:fldCharType="begin"/>
      </w:r>
      <w:r>
        <w:instrText xml:space="preserve"> PAGEREF _Toc166680535 \h </w:instrText>
      </w:r>
      <w:r>
        <w:fldChar w:fldCharType="separate"/>
      </w:r>
      <w:r>
        <w:t>198</w:t>
      </w:r>
      <w:r>
        <w:fldChar w:fldCharType="end"/>
      </w:r>
    </w:p>
    <w:p>
      <w:pPr>
        <w:pStyle w:val="TOC8"/>
        <w:rPr>
          <w:rFonts w:asciiTheme="minorHAnsi" w:eastAsiaTheme="minorEastAsia" w:hAnsiTheme="minorHAnsi" w:cstheme="minorBidi"/>
          <w:szCs w:val="22"/>
        </w:rPr>
      </w:pPr>
      <w:r>
        <w:t>99.</w:t>
      </w:r>
      <w:r>
        <w:tab/>
        <w:t>Release of motor vehicle that is being loaded onto tow truck</w:t>
      </w:r>
      <w:r>
        <w:tab/>
      </w:r>
      <w:r>
        <w:fldChar w:fldCharType="begin"/>
      </w:r>
      <w:r>
        <w:instrText xml:space="preserve"> PAGEREF _Toc166680536 \h </w:instrText>
      </w:r>
      <w:r>
        <w:fldChar w:fldCharType="separate"/>
      </w:r>
      <w:r>
        <w:t>199</w:t>
      </w:r>
      <w:r>
        <w:fldChar w:fldCharType="end"/>
      </w:r>
    </w:p>
    <w:p>
      <w:pPr>
        <w:pStyle w:val="TOC8"/>
        <w:rPr>
          <w:rFonts w:asciiTheme="minorHAnsi" w:eastAsiaTheme="minorEastAsia" w:hAnsiTheme="minorHAnsi" w:cstheme="minorBidi"/>
          <w:szCs w:val="22"/>
        </w:rPr>
      </w:pPr>
      <w:r>
        <w:t>100.</w:t>
      </w:r>
      <w:r>
        <w:tab/>
        <w:t>Release of motor vehicle that has been loaded onto tow truck</w:t>
      </w:r>
      <w:r>
        <w:tab/>
      </w:r>
      <w:r>
        <w:fldChar w:fldCharType="begin"/>
      </w:r>
      <w:r>
        <w:instrText xml:space="preserve"> PAGEREF _Toc166680537 \h </w:instrText>
      </w:r>
      <w:r>
        <w:fldChar w:fldCharType="separate"/>
      </w:r>
      <w:r>
        <w:t>200</w:t>
      </w:r>
      <w:r>
        <w:fldChar w:fldCharType="end"/>
      </w:r>
    </w:p>
    <w:p>
      <w:pPr>
        <w:pStyle w:val="TOC8"/>
        <w:rPr>
          <w:rFonts w:asciiTheme="minorHAnsi" w:eastAsiaTheme="minorEastAsia" w:hAnsiTheme="minorHAnsi" w:cstheme="minorBidi"/>
          <w:szCs w:val="22"/>
        </w:rPr>
      </w:pPr>
      <w:r>
        <w:t>101.</w:t>
      </w:r>
      <w:r>
        <w:tab/>
        <w:t>Motor vehicle must be towed by most direct route to approved storage yard</w:t>
      </w:r>
      <w:r>
        <w:tab/>
      </w:r>
      <w:r>
        <w:fldChar w:fldCharType="begin"/>
      </w:r>
      <w:r>
        <w:instrText xml:space="preserve"> PAGEREF _Toc166680538 \h </w:instrText>
      </w:r>
      <w:r>
        <w:fldChar w:fldCharType="separate"/>
      </w:r>
      <w:r>
        <w:t>201</w:t>
      </w:r>
      <w:r>
        <w:fldChar w:fldCharType="end"/>
      </w:r>
    </w:p>
    <w:p>
      <w:pPr>
        <w:pStyle w:val="TOC8"/>
        <w:rPr>
          <w:rFonts w:asciiTheme="minorHAnsi" w:eastAsiaTheme="minorEastAsia" w:hAnsiTheme="minorHAnsi" w:cstheme="minorBidi"/>
          <w:szCs w:val="22"/>
        </w:rPr>
      </w:pPr>
      <w:r>
        <w:t>102.</w:t>
      </w:r>
      <w:r>
        <w:tab/>
        <w:t>Copy of towing arrangement must be given</w:t>
      </w:r>
      <w:r>
        <w:tab/>
      </w:r>
      <w:r>
        <w:fldChar w:fldCharType="begin"/>
      </w:r>
      <w:r>
        <w:instrText xml:space="preserve"> PAGEREF _Toc166680539 \h </w:instrText>
      </w:r>
      <w:r>
        <w:fldChar w:fldCharType="separate"/>
      </w:r>
      <w:r>
        <w:t>201</w:t>
      </w:r>
      <w:r>
        <w:fldChar w:fldCharType="end"/>
      </w:r>
    </w:p>
    <w:p>
      <w:pPr>
        <w:pStyle w:val="TOC8"/>
        <w:rPr>
          <w:rFonts w:asciiTheme="minorHAnsi" w:eastAsiaTheme="minorEastAsia" w:hAnsiTheme="minorHAnsi" w:cstheme="minorBidi"/>
          <w:szCs w:val="22"/>
        </w:rPr>
      </w:pPr>
      <w:r>
        <w:t>103.</w:t>
      </w:r>
      <w:r>
        <w:tab/>
        <w:t>Release from storage</w:t>
      </w:r>
      <w:r>
        <w:tab/>
      </w:r>
      <w:r>
        <w:fldChar w:fldCharType="begin"/>
      </w:r>
      <w:r>
        <w:instrText xml:space="preserve"> PAGEREF _Toc166680540 \h </w:instrText>
      </w:r>
      <w:r>
        <w:fldChar w:fldCharType="separate"/>
      </w:r>
      <w:r>
        <w:t>202</w:t>
      </w:r>
      <w:r>
        <w:fldChar w:fldCharType="end"/>
      </w:r>
    </w:p>
    <w:p>
      <w:pPr>
        <w:pStyle w:val="TOC8"/>
        <w:rPr>
          <w:rFonts w:asciiTheme="minorHAnsi" w:eastAsiaTheme="minorEastAsia" w:hAnsiTheme="minorHAnsi" w:cstheme="minorBidi"/>
          <w:szCs w:val="22"/>
        </w:rPr>
      </w:pPr>
      <w:r>
        <w:t>104.</w:t>
      </w:r>
      <w:r>
        <w:tab/>
        <w:t>Approval of storage yards</w:t>
      </w:r>
      <w:r>
        <w:tab/>
      </w:r>
      <w:r>
        <w:fldChar w:fldCharType="begin"/>
      </w:r>
      <w:r>
        <w:instrText xml:space="preserve"> PAGEREF _Toc166680541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Charges for towing and storage</w:t>
      </w:r>
    </w:p>
    <w:p>
      <w:pPr>
        <w:pStyle w:val="TOC8"/>
        <w:rPr>
          <w:rFonts w:asciiTheme="minorHAnsi" w:eastAsiaTheme="minorEastAsia" w:hAnsiTheme="minorHAnsi" w:cstheme="minorBidi"/>
          <w:szCs w:val="22"/>
        </w:rPr>
      </w:pPr>
      <w:r>
        <w:t>105.</w:t>
      </w:r>
      <w:r>
        <w:tab/>
        <w:t>Towing charges</w:t>
      </w:r>
      <w:r>
        <w:tab/>
      </w:r>
      <w:r>
        <w:fldChar w:fldCharType="begin"/>
      </w:r>
      <w:r>
        <w:instrText xml:space="preserve"> PAGEREF _Toc166680543 \h </w:instrText>
      </w:r>
      <w:r>
        <w:fldChar w:fldCharType="separate"/>
      </w:r>
      <w:r>
        <w:t>203</w:t>
      </w:r>
      <w:r>
        <w:fldChar w:fldCharType="end"/>
      </w:r>
    </w:p>
    <w:p>
      <w:pPr>
        <w:pStyle w:val="TOC8"/>
        <w:rPr>
          <w:rFonts w:asciiTheme="minorHAnsi" w:eastAsiaTheme="minorEastAsia" w:hAnsiTheme="minorHAnsi" w:cstheme="minorBidi"/>
          <w:szCs w:val="22"/>
        </w:rPr>
      </w:pPr>
      <w:r>
        <w:t>105A.</w:t>
      </w:r>
      <w:r>
        <w:tab/>
        <w:t>Storage charges</w:t>
      </w:r>
      <w:r>
        <w:tab/>
      </w:r>
      <w:r>
        <w:fldChar w:fldCharType="begin"/>
      </w:r>
      <w:r>
        <w:instrText xml:space="preserve"> PAGEREF _Toc166680544 \h </w:instrText>
      </w:r>
      <w:r>
        <w:fldChar w:fldCharType="separate"/>
      </w:r>
      <w:r>
        <w:t>204</w:t>
      </w:r>
      <w:r>
        <w:fldChar w:fldCharType="end"/>
      </w:r>
    </w:p>
    <w:p>
      <w:pPr>
        <w:pStyle w:val="TOC8"/>
        <w:rPr>
          <w:rFonts w:asciiTheme="minorHAnsi" w:eastAsiaTheme="minorEastAsia" w:hAnsiTheme="minorHAnsi" w:cstheme="minorBidi"/>
          <w:szCs w:val="22"/>
        </w:rPr>
      </w:pPr>
      <w:r>
        <w:t>105B.</w:t>
      </w:r>
      <w:r>
        <w:tab/>
        <w:t>Regulations may prohibit or restrict towing and storage charges</w:t>
      </w:r>
      <w:r>
        <w:tab/>
      </w:r>
      <w:r>
        <w:fldChar w:fldCharType="begin"/>
      </w:r>
      <w:r>
        <w:instrText xml:space="preserve"> PAGEREF _Toc166680545 \h </w:instrText>
      </w:r>
      <w:r>
        <w:fldChar w:fldCharType="separate"/>
      </w:r>
      <w:r>
        <w:t>204</w:t>
      </w:r>
      <w:r>
        <w:fldChar w:fldCharType="end"/>
      </w:r>
    </w:p>
    <w:p>
      <w:pPr>
        <w:pStyle w:val="TOC8"/>
        <w:rPr>
          <w:rFonts w:asciiTheme="minorHAnsi" w:eastAsiaTheme="minorEastAsia" w:hAnsiTheme="minorHAnsi" w:cstheme="minorBidi"/>
          <w:szCs w:val="22"/>
        </w:rPr>
      </w:pPr>
      <w:r>
        <w:t>105C.</w:t>
      </w:r>
      <w:r>
        <w:tab/>
        <w:t>Liability for towing and storage charges</w:t>
      </w:r>
      <w:r>
        <w:tab/>
      </w:r>
      <w:r>
        <w:fldChar w:fldCharType="begin"/>
      </w:r>
      <w:r>
        <w:instrText xml:space="preserve"> PAGEREF _Toc166680546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4 — Detention of motor vehicles</w:t>
      </w:r>
    </w:p>
    <w:p>
      <w:pPr>
        <w:pStyle w:val="TOC8"/>
        <w:rPr>
          <w:rFonts w:asciiTheme="minorHAnsi" w:eastAsiaTheme="minorEastAsia" w:hAnsiTheme="minorHAnsi" w:cstheme="minorBidi"/>
          <w:szCs w:val="22"/>
        </w:rPr>
      </w:pPr>
      <w:r>
        <w:t>105D.</w:t>
      </w:r>
      <w:r>
        <w:tab/>
        <w:t>Application of Division</w:t>
      </w:r>
      <w:r>
        <w:tab/>
      </w:r>
      <w:r>
        <w:fldChar w:fldCharType="begin"/>
      </w:r>
      <w:r>
        <w:instrText xml:space="preserve"> PAGEREF _Toc166680548 \h </w:instrText>
      </w:r>
      <w:r>
        <w:fldChar w:fldCharType="separate"/>
      </w:r>
      <w:r>
        <w:t>205</w:t>
      </w:r>
      <w:r>
        <w:fldChar w:fldCharType="end"/>
      </w:r>
    </w:p>
    <w:p>
      <w:pPr>
        <w:pStyle w:val="TOC8"/>
        <w:rPr>
          <w:rFonts w:asciiTheme="minorHAnsi" w:eastAsiaTheme="minorEastAsia" w:hAnsiTheme="minorHAnsi" w:cstheme="minorBidi"/>
          <w:szCs w:val="22"/>
        </w:rPr>
      </w:pPr>
      <w:r>
        <w:t>105E.</w:t>
      </w:r>
      <w:r>
        <w:tab/>
        <w:t>Motor vehicles not to be detained</w:t>
      </w:r>
      <w:r>
        <w:tab/>
      </w:r>
      <w:r>
        <w:fldChar w:fldCharType="begin"/>
      </w:r>
      <w:r>
        <w:instrText xml:space="preserve"> PAGEREF _Toc166680549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105F.</w:t>
      </w:r>
      <w:r>
        <w:tab/>
        <w:t>Abolition of distress damage feasant in relation to motor vehicles</w:t>
      </w:r>
      <w:r>
        <w:tab/>
      </w:r>
      <w:r>
        <w:fldChar w:fldCharType="begin"/>
      </w:r>
      <w:r>
        <w:instrText xml:space="preserve"> PAGEREF _Toc166680551 \h </w:instrText>
      </w:r>
      <w:r>
        <w:fldChar w:fldCharType="separate"/>
      </w:r>
      <w:r>
        <w:t>206</w:t>
      </w:r>
      <w:r>
        <w:fldChar w:fldCharType="end"/>
      </w:r>
    </w:p>
    <w:p>
      <w:pPr>
        <w:pStyle w:val="TOC8"/>
        <w:rPr>
          <w:rFonts w:asciiTheme="minorHAnsi" w:eastAsiaTheme="minorEastAsia" w:hAnsiTheme="minorHAnsi" w:cstheme="minorBidi"/>
          <w:szCs w:val="22"/>
        </w:rPr>
      </w:pPr>
      <w:r>
        <w:t>105G.</w:t>
      </w:r>
      <w:r>
        <w:tab/>
        <w:t>Part does not confer right to immobilise, tow or detain motor vehicle</w:t>
      </w:r>
      <w:r>
        <w:tab/>
      </w:r>
      <w:r>
        <w:fldChar w:fldCharType="begin"/>
      </w:r>
      <w:r>
        <w:instrText xml:space="preserve"> PAGEREF _Toc166680552 \h </w:instrText>
      </w:r>
      <w:r>
        <w:fldChar w:fldCharType="separate"/>
      </w:r>
      <w:r>
        <w:t>207</w:t>
      </w:r>
      <w:r>
        <w:fldChar w:fldCharType="end"/>
      </w:r>
    </w:p>
    <w:p>
      <w:pPr>
        <w:pStyle w:val="TOC8"/>
        <w:rPr>
          <w:rFonts w:asciiTheme="minorHAnsi" w:eastAsiaTheme="minorEastAsia" w:hAnsiTheme="minorHAnsi" w:cstheme="minorBidi"/>
          <w:szCs w:val="22"/>
        </w:rPr>
      </w:pPr>
      <w:r>
        <w:t>105H.</w:t>
      </w:r>
      <w:r>
        <w:tab/>
        <w:t>Agreements for prohibited immobilisation, towing and detention services</w:t>
      </w:r>
      <w:r>
        <w:tab/>
      </w:r>
      <w:r>
        <w:fldChar w:fldCharType="begin"/>
      </w:r>
      <w:r>
        <w:instrText xml:space="preserve"> PAGEREF _Toc166680553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_Toc166680555 \h </w:instrText>
      </w:r>
      <w:r>
        <w:fldChar w:fldCharType="separate"/>
      </w:r>
      <w:r>
        <w:t>209</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_Toc166680556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_Toc166680558 \h </w:instrText>
      </w:r>
      <w:r>
        <w:fldChar w:fldCharType="separate"/>
      </w:r>
      <w:r>
        <w:t>213</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_Toc166680559 \h </w:instrText>
      </w:r>
      <w:r>
        <w:fldChar w:fldCharType="separate"/>
      </w:r>
      <w:r>
        <w:t>213</w:t>
      </w:r>
      <w:r>
        <w:fldChar w:fldCharType="end"/>
      </w:r>
    </w:p>
    <w:p>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_Toc166680560 \h </w:instrText>
      </w:r>
      <w:r>
        <w:fldChar w:fldCharType="separate"/>
      </w:r>
      <w:r>
        <w:t>215</w:t>
      </w:r>
      <w:r>
        <w:fldChar w:fldCharType="end"/>
      </w:r>
    </w:p>
    <w:p>
      <w:pPr>
        <w:pStyle w:val="TOC8"/>
        <w:rPr>
          <w:rFonts w:asciiTheme="minorHAnsi" w:eastAsiaTheme="minorEastAsia" w:hAnsiTheme="minorHAnsi" w:cstheme="minorBidi"/>
          <w:szCs w:val="22"/>
        </w:rPr>
      </w:pPr>
      <w:r>
        <w:t>110A.</w:t>
      </w:r>
      <w:r>
        <w:tab/>
        <w:t xml:space="preserve">Transitional provision for the </w:t>
      </w:r>
      <w:r>
        <w:rPr>
          <w:i/>
        </w:rPr>
        <w:t>Road Traffic Amendment (Impaired Driving and Penalties) Act 2020</w:t>
      </w:r>
      <w:r>
        <w:tab/>
      </w:r>
      <w:r>
        <w:fldChar w:fldCharType="begin"/>
      </w:r>
      <w:r>
        <w:instrText xml:space="preserve"> PAGEREF _Toc166680561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_Toc166680563 \h </w:instrText>
      </w:r>
      <w:r>
        <w:fldChar w:fldCharType="separate"/>
      </w:r>
      <w:r>
        <w:t>217</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_Toc166680564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_Toc166680566 \h </w:instrText>
      </w:r>
      <w:r>
        <w:fldChar w:fldCharType="separate"/>
      </w:r>
      <w:r>
        <w:t>221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_Toc166680567 \h </w:instrText>
      </w:r>
      <w:r>
        <w:fldChar w:fldCharType="separate"/>
      </w:r>
      <w:r>
        <w:t>237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_Toc166680568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166659215"/>
      <w:bookmarkStart w:id="3" w:name="_Toc166679549"/>
      <w:bookmarkStart w:id="4" w:name="_Toc166679748"/>
      <w:bookmarkStart w:id="5" w:name="_Toc16668037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60"/>
        <w:rPr>
          <w:snapToGrid w:val="0"/>
        </w:rPr>
      </w:pPr>
      <w:bookmarkStart w:id="6" w:name="_Toc16668037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7" w:name="_Toc166680373"/>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8" w:name="_Toc166680374"/>
      <w:r>
        <w:rPr>
          <w:rStyle w:val="CharSectno"/>
        </w:rPr>
        <w:t>4</w:t>
      </w:r>
      <w:r>
        <w:rPr>
          <w:snapToGrid w:val="0"/>
        </w:rPr>
        <w:t>.</w:t>
      </w:r>
      <w:r>
        <w:rPr>
          <w:snapToGrid w:val="0"/>
        </w:rPr>
        <w:tab/>
        <w:t>Repeal</w:t>
      </w:r>
      <w:bookmarkEnd w:id="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9" w:name="_Toc166680375"/>
      <w:r>
        <w:rPr>
          <w:rStyle w:val="CharSectno"/>
        </w:rPr>
        <w:t>5</w:t>
      </w:r>
      <w:r>
        <w:t>.</w:t>
      </w:r>
      <w:r>
        <w:tab/>
        <w:t>Terms used</w:t>
      </w:r>
      <w:bookmarkEnd w:id="9"/>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r>
      <w:r>
        <w:lastRenderedPageBreak/>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0" w:name="_Toc166659220"/>
      <w:bookmarkStart w:id="11" w:name="_Toc166679554"/>
      <w:bookmarkStart w:id="12" w:name="_Toc166679753"/>
      <w:bookmarkStart w:id="13" w:name="_Toc166680376"/>
      <w:r>
        <w:rPr>
          <w:rStyle w:val="CharPartNo"/>
        </w:rPr>
        <w:lastRenderedPageBreak/>
        <w:t>Part V</w:t>
      </w:r>
      <w:r>
        <w:t> — </w:t>
      </w:r>
      <w:r>
        <w:rPr>
          <w:rStyle w:val="CharPartText"/>
        </w:rPr>
        <w:t>Regulation of traffic</w:t>
      </w:r>
      <w:bookmarkEnd w:id="10"/>
      <w:bookmarkEnd w:id="11"/>
      <w:bookmarkEnd w:id="12"/>
      <w:bookmarkEnd w:id="13"/>
    </w:p>
    <w:p>
      <w:pPr>
        <w:pStyle w:val="Footnoteheading"/>
        <w:spacing w:before="80"/>
      </w:pPr>
      <w:r>
        <w:tab/>
        <w:t>[Heading inserted: No. 76 of 1996 s. 11.]</w:t>
      </w:r>
    </w:p>
    <w:p>
      <w:pPr>
        <w:pStyle w:val="Heading3"/>
      </w:pPr>
      <w:bookmarkStart w:id="14" w:name="_Toc166659221"/>
      <w:bookmarkStart w:id="15" w:name="_Toc166679555"/>
      <w:bookmarkStart w:id="16" w:name="_Toc166679754"/>
      <w:bookmarkStart w:id="17" w:name="_Toc166680377"/>
      <w:r>
        <w:rPr>
          <w:rStyle w:val="CharDivNo"/>
        </w:rPr>
        <w:t>Division 1AA</w:t>
      </w:r>
      <w:r>
        <w:t> — </w:t>
      </w:r>
      <w:r>
        <w:rPr>
          <w:rStyle w:val="CharDivText"/>
        </w:rPr>
        <w:t>Terms used in this Part</w:t>
      </w:r>
      <w:bookmarkEnd w:id="14"/>
      <w:bookmarkEnd w:id="15"/>
      <w:bookmarkEnd w:id="16"/>
      <w:bookmarkEnd w:id="17"/>
    </w:p>
    <w:p>
      <w:pPr>
        <w:pStyle w:val="Footnoteheading"/>
      </w:pPr>
      <w:r>
        <w:tab/>
        <w:t>[Heading inserted: No. 25 of 2016 s. 42.]</w:t>
      </w:r>
    </w:p>
    <w:p>
      <w:pPr>
        <w:pStyle w:val="Heading5"/>
      </w:pPr>
      <w:bookmarkStart w:id="18" w:name="_Toc166680378"/>
      <w:r>
        <w:rPr>
          <w:rStyle w:val="CharSectno"/>
        </w:rPr>
        <w:t>49AAA</w:t>
      </w:r>
      <w:r>
        <w:t>.</w:t>
      </w:r>
      <w:r>
        <w:tab/>
        <w:t>Terms used</w:t>
      </w:r>
      <w:bookmarkEnd w:id="18"/>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lastRenderedPageBreak/>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9" w:name="_Toc166659223"/>
      <w:bookmarkStart w:id="20" w:name="_Toc166679557"/>
      <w:bookmarkStart w:id="21" w:name="_Toc166679756"/>
      <w:bookmarkStart w:id="22" w:name="_Toc166680379"/>
      <w:r>
        <w:rPr>
          <w:rStyle w:val="CharDivNo"/>
        </w:rPr>
        <w:t>Division 1A</w:t>
      </w:r>
      <w:r>
        <w:t> — </w:t>
      </w:r>
      <w:r>
        <w:rPr>
          <w:rStyle w:val="CharDivText"/>
        </w:rPr>
        <w:t>When person taken to be instructor or in charge of vehicle</w:t>
      </w:r>
      <w:bookmarkEnd w:id="19"/>
      <w:bookmarkEnd w:id="20"/>
      <w:bookmarkEnd w:id="21"/>
      <w:bookmarkEnd w:id="22"/>
    </w:p>
    <w:p>
      <w:pPr>
        <w:pStyle w:val="Footnoteheading"/>
      </w:pPr>
      <w:r>
        <w:tab/>
        <w:t>[Heading inserted: No. 25 of 2016 s. 42.]</w:t>
      </w:r>
    </w:p>
    <w:p>
      <w:pPr>
        <w:pStyle w:val="Heading5"/>
      </w:pPr>
      <w:bookmarkStart w:id="23" w:name="_Toc166680380"/>
      <w:r>
        <w:rPr>
          <w:rStyle w:val="CharSectno"/>
        </w:rPr>
        <w:t>49AA</w:t>
      </w:r>
      <w:r>
        <w:t>.</w:t>
      </w:r>
      <w:r>
        <w:tab/>
        <w:t>Circumstances in which person taken to be instructor or in charge of motor vehicle</w:t>
      </w:r>
      <w:bookmarkEnd w:id="23"/>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keepLines/>
      </w:pPr>
      <w:r>
        <w:lastRenderedPageBreak/>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4" w:name="_Toc166659225"/>
      <w:bookmarkStart w:id="25" w:name="_Toc166679559"/>
      <w:bookmarkStart w:id="26" w:name="_Toc166679758"/>
      <w:bookmarkStart w:id="27" w:name="_Toc166680381"/>
      <w:r>
        <w:rPr>
          <w:rStyle w:val="CharDivNo"/>
        </w:rPr>
        <w:t>Division 1</w:t>
      </w:r>
      <w:r>
        <w:t> — </w:t>
      </w:r>
      <w:r>
        <w:rPr>
          <w:rStyle w:val="CharDivText"/>
        </w:rPr>
        <w:t>Driving of vehicles: general offences</w:t>
      </w:r>
      <w:bookmarkEnd w:id="24"/>
      <w:bookmarkEnd w:id="25"/>
      <w:bookmarkEnd w:id="26"/>
      <w:bookmarkEnd w:id="27"/>
    </w:p>
    <w:p>
      <w:pPr>
        <w:pStyle w:val="Footnoteheading"/>
        <w:spacing w:before="80"/>
      </w:pPr>
      <w:r>
        <w:tab/>
        <w:t>[Heading inserted: No. 10 of 2004 s. 6.]</w:t>
      </w:r>
    </w:p>
    <w:p>
      <w:pPr>
        <w:pStyle w:val="Heading5"/>
        <w:spacing w:before="180"/>
      </w:pPr>
      <w:bookmarkStart w:id="28" w:name="_Toc166680382"/>
      <w:r>
        <w:rPr>
          <w:rStyle w:val="CharSectno"/>
        </w:rPr>
        <w:t>49AB</w:t>
      </w:r>
      <w:r>
        <w:t>.</w:t>
      </w:r>
      <w:r>
        <w:tab/>
        <w:t>Term used: circumstances of aggravation</w:t>
      </w:r>
      <w:bookmarkEnd w:id="28"/>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keepNext/>
      </w:pPr>
      <w:r>
        <w:lastRenderedPageBreak/>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29" w:name="_Toc166680383"/>
      <w:r>
        <w:rPr>
          <w:rStyle w:val="CharSectno"/>
        </w:rPr>
        <w:lastRenderedPageBreak/>
        <w:t>49</w:t>
      </w:r>
      <w:r>
        <w:t>.</w:t>
      </w:r>
      <w:r>
        <w:tab/>
        <w:t>Driving while unlicensed or disqualified</w:t>
      </w:r>
      <w:bookmarkEnd w:id="29"/>
    </w:p>
    <w:p>
      <w:pPr>
        <w:pStyle w:val="Subsection"/>
        <w:keepNext/>
        <w:keepLines/>
      </w:pPr>
      <w:r>
        <w:tab/>
        <w:t>(1)</w:t>
      </w:r>
      <w:r>
        <w:tab/>
        <w:t>A person who —</w:t>
      </w:r>
    </w:p>
    <w:p>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pPr>
        <w:pStyle w:val="Indenta"/>
        <w:keepNext/>
        <w:keepLines/>
      </w:pPr>
      <w:r>
        <w:tab/>
        <w:t>(b)</w:t>
      </w:r>
      <w:r>
        <w:tab/>
        <w:t>employs or permits another person to drive a motor vehicle as described in paragraph (a),</w:t>
      </w:r>
    </w:p>
    <w:p>
      <w:pPr>
        <w:pStyle w:val="Subsection"/>
        <w:keepNext/>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lastRenderedPageBreak/>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lastRenderedPageBreak/>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 xml:space="preserve">Road </w:t>
      </w:r>
      <w:r>
        <w:rPr>
          <w:i/>
        </w:rPr>
        <w:lastRenderedPageBreak/>
        <w:t>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30" w:name="_Toc166680384"/>
      <w:r>
        <w:rPr>
          <w:rStyle w:val="CharSectno"/>
        </w:rPr>
        <w:t>49A</w:t>
      </w:r>
      <w:r>
        <w:t>.</w:t>
      </w:r>
      <w:r>
        <w:tab/>
        <w:t>Person breaching s. 49(1)(a) having lost licence etc. due to penalty enforcement laws, police may caution etc.</w:t>
      </w:r>
      <w:bookmarkEnd w:id="30"/>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lastRenderedPageBreak/>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31" w:name="_Toc166680385"/>
      <w:r>
        <w:rPr>
          <w:rStyle w:val="CharSectno"/>
        </w:rPr>
        <w:t>50A</w:t>
      </w:r>
      <w:r>
        <w:t>.</w:t>
      </w:r>
      <w:r>
        <w:tab/>
        <w:t>Driver using foreign country’s driver’s licence etc. to carry it etc.</w:t>
      </w:r>
      <w:bookmarkEnd w:id="31"/>
    </w:p>
    <w:p>
      <w:pPr>
        <w:pStyle w:val="Subsection"/>
      </w:pPr>
      <w:r>
        <w:tab/>
        <w:t>(1)</w:t>
      </w:r>
      <w:r>
        <w:tab/>
        <w:t xml:space="preserve">A person whose authority to drive depends on a licence or authorisation granted under the law of an external licensing </w:t>
      </w:r>
      <w:r>
        <w:lastRenderedPageBreak/>
        <w:t xml:space="preserve">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32" w:name="_Toc166680386"/>
      <w:r>
        <w:rPr>
          <w:rStyle w:val="CharSectno"/>
        </w:rPr>
        <w:t>54</w:t>
      </w:r>
      <w:r>
        <w:rPr>
          <w:snapToGrid w:val="0"/>
        </w:rPr>
        <w:t>.</w:t>
      </w:r>
      <w:r>
        <w:rPr>
          <w:snapToGrid w:val="0"/>
        </w:rPr>
        <w:tab/>
        <w:t>Driver in incident occasioning bodily harm to stop, ensure assistance and give information</w:t>
      </w:r>
      <w:bookmarkEnd w:id="32"/>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lastRenderedPageBreak/>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w:t>
      </w:r>
      <w:r>
        <w:rPr>
          <w:snapToGrid w:val="0"/>
        </w:rPr>
        <w:lastRenderedPageBreak/>
        <w:t xml:space="preserve">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33" w:name="_Toc166680387"/>
      <w:r>
        <w:rPr>
          <w:rStyle w:val="CharSectno"/>
        </w:rPr>
        <w:t>55</w:t>
      </w:r>
      <w:r>
        <w:rPr>
          <w:snapToGrid w:val="0"/>
        </w:rPr>
        <w:t>.</w:t>
      </w:r>
      <w:r>
        <w:rPr>
          <w:snapToGrid w:val="0"/>
        </w:rPr>
        <w:tab/>
        <w:t>Driver in incident occasioning property damage to stop and give information</w:t>
      </w:r>
      <w:bookmarkEnd w:id="3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lastRenderedPageBreak/>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34" w:name="_Toc166680388"/>
      <w:r>
        <w:rPr>
          <w:rStyle w:val="CharSectno"/>
        </w:rPr>
        <w:t>56</w:t>
      </w:r>
      <w:r>
        <w:t>.</w:t>
      </w:r>
      <w:r>
        <w:tab/>
        <w:t>Driver in incident occasioning bodily harm or property damage to report incident to police</w:t>
      </w:r>
      <w:bookmarkEnd w:id="34"/>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lastRenderedPageBreak/>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5" w:name="_Toc166680389"/>
      <w:r>
        <w:rPr>
          <w:rStyle w:val="CharSectno"/>
        </w:rPr>
        <w:lastRenderedPageBreak/>
        <w:t>57</w:t>
      </w:r>
      <w:r>
        <w:rPr>
          <w:snapToGrid w:val="0"/>
        </w:rPr>
        <w:t>.</w:t>
      </w:r>
      <w:r>
        <w:rPr>
          <w:snapToGrid w:val="0"/>
        </w:rPr>
        <w:tab/>
        <w:t>Owner etc. of vehicle occasioning bodily harm etc. to help police identify driver etc.</w:t>
      </w:r>
      <w:bookmarkEnd w:id="35"/>
    </w:p>
    <w:p>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36" w:name="_Toc166680390"/>
      <w:r>
        <w:rPr>
          <w:rStyle w:val="CharSectno"/>
        </w:rPr>
        <w:t>59</w:t>
      </w:r>
      <w:r>
        <w:rPr>
          <w:snapToGrid w:val="0"/>
        </w:rPr>
        <w:t>.</w:t>
      </w:r>
      <w:r>
        <w:rPr>
          <w:snapToGrid w:val="0"/>
        </w:rPr>
        <w:tab/>
        <w:t>Dangerous driving causing death or grievous bodily harm</w:t>
      </w:r>
      <w:bookmarkEnd w:id="36"/>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lastRenderedPageBreak/>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lastRenderedPageBreak/>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 xml:space="preserve">On the summary trial of a person charged with an offence against this section the person may, instead of being convicted of that </w:t>
      </w:r>
      <w:r>
        <w:rPr>
          <w:snapToGrid w:val="0"/>
          <w:spacing w:val="-4"/>
        </w:rPr>
        <w:lastRenderedPageBreak/>
        <w:t>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7" w:name="_Toc166680391"/>
      <w:r>
        <w:rPr>
          <w:rStyle w:val="CharSectno"/>
        </w:rPr>
        <w:t>59A</w:t>
      </w:r>
      <w:r>
        <w:rPr>
          <w:snapToGrid w:val="0"/>
        </w:rPr>
        <w:t>.</w:t>
      </w:r>
      <w:r>
        <w:rPr>
          <w:snapToGrid w:val="0"/>
        </w:rPr>
        <w:tab/>
        <w:t>Dangerous driving causing bodily harm</w:t>
      </w:r>
      <w:bookmarkEnd w:id="37"/>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lastRenderedPageBreak/>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lastRenderedPageBreak/>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38" w:name="_Toc166680392"/>
      <w:r>
        <w:rPr>
          <w:rStyle w:val="CharSectno"/>
        </w:rPr>
        <w:t>59BA</w:t>
      </w:r>
      <w:r>
        <w:t>.</w:t>
      </w:r>
      <w:r>
        <w:tab/>
        <w:t>Careless driving causing death, grievous bodily harm or bodily harm</w:t>
      </w:r>
      <w:bookmarkEnd w:id="38"/>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lastRenderedPageBreak/>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39" w:name="_Toc166680393"/>
      <w:r>
        <w:rPr>
          <w:rStyle w:val="CharSectno"/>
        </w:rPr>
        <w:t>59B</w:t>
      </w:r>
      <w:r>
        <w:t>.</w:t>
      </w:r>
      <w:r>
        <w:tab/>
        <w:t>Ancillary matters and defences for sections 59, 59A and 59BA</w:t>
      </w:r>
      <w:bookmarkEnd w:id="39"/>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w:t>
      </w:r>
      <w:r>
        <w:rPr>
          <w:snapToGrid w:val="0"/>
        </w:rPr>
        <w:lastRenderedPageBreak/>
        <w:t>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40" w:name="_Toc166680394"/>
      <w:r>
        <w:rPr>
          <w:rStyle w:val="CharSectno"/>
        </w:rPr>
        <w:lastRenderedPageBreak/>
        <w:t>60</w:t>
      </w:r>
      <w:r>
        <w:rPr>
          <w:snapToGrid w:val="0"/>
        </w:rPr>
        <w:t>.</w:t>
      </w:r>
      <w:r>
        <w:rPr>
          <w:snapToGrid w:val="0"/>
        </w:rPr>
        <w:tab/>
        <w:t>Driving in reckless manner</w:t>
      </w:r>
      <w:bookmarkEnd w:id="40"/>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41" w:name="_Toc166680395"/>
      <w:r>
        <w:rPr>
          <w:rStyle w:val="CharSectno"/>
        </w:rPr>
        <w:t>60A</w:t>
      </w:r>
      <w:r>
        <w:t>.</w:t>
      </w:r>
      <w:r>
        <w:tab/>
        <w:t>Driving at reckless speed</w:t>
      </w:r>
      <w:bookmarkEnd w:id="41"/>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keepNext/>
      </w:pPr>
      <w:r>
        <w:lastRenderedPageBreak/>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42" w:name="_Toc166680396"/>
      <w:r>
        <w:rPr>
          <w:rStyle w:val="CharSectno"/>
        </w:rPr>
        <w:t>60B</w:t>
      </w:r>
      <w:r>
        <w:t>.</w:t>
      </w:r>
      <w:r>
        <w:tab/>
        <w:t>Penalties for offences against sections 60 and 60A</w:t>
      </w:r>
      <w:bookmarkEnd w:id="42"/>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lastRenderedPageBreak/>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43" w:name="_Toc166680397"/>
      <w:r>
        <w:rPr>
          <w:rStyle w:val="CharSectno"/>
        </w:rPr>
        <w:t>60C</w:t>
      </w:r>
      <w:r>
        <w:t>.</w:t>
      </w:r>
      <w:r>
        <w:tab/>
        <w:t>Arrest without warrant for driving in reckless manner or at reckless speed</w:t>
      </w:r>
      <w:bookmarkEnd w:id="43"/>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44" w:name="_Toc166680398"/>
      <w:r>
        <w:rPr>
          <w:rStyle w:val="CharSectno"/>
        </w:rPr>
        <w:t>61</w:t>
      </w:r>
      <w:r>
        <w:rPr>
          <w:snapToGrid w:val="0"/>
        </w:rPr>
        <w:t>.</w:t>
      </w:r>
      <w:r>
        <w:rPr>
          <w:snapToGrid w:val="0"/>
        </w:rPr>
        <w:tab/>
        <w:t>Dangerous driving</w:t>
      </w:r>
      <w:bookmarkEnd w:id="4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lastRenderedPageBreak/>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pPr>
      <w:bookmarkStart w:id="45" w:name="_Toc166680399"/>
      <w:r>
        <w:rPr>
          <w:rStyle w:val="CharSectno"/>
        </w:rPr>
        <w:lastRenderedPageBreak/>
        <w:t>61A</w:t>
      </w:r>
      <w:r>
        <w:t>.</w:t>
      </w:r>
      <w:r>
        <w:tab/>
        <w:t>Defence for police officers driving in reckless manner in certain circumstances</w:t>
      </w:r>
      <w:bookmarkEnd w:id="45"/>
    </w:p>
    <w:p>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46" w:name="_Toc166680400"/>
      <w:r>
        <w:rPr>
          <w:rStyle w:val="CharSectno"/>
        </w:rPr>
        <w:t>61B</w:t>
      </w:r>
      <w:r>
        <w:t>.</w:t>
      </w:r>
      <w:r>
        <w:tab/>
        <w:t>Defence for certain officers driving at reckless speed</w:t>
      </w:r>
      <w:bookmarkEnd w:id="46"/>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lastRenderedPageBreak/>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rPr>
          <w:snapToGrid w:val="0"/>
        </w:rPr>
      </w:pPr>
      <w:bookmarkStart w:id="47" w:name="_Toc166680401"/>
      <w:r>
        <w:rPr>
          <w:rStyle w:val="CharSectno"/>
        </w:rPr>
        <w:t>62</w:t>
      </w:r>
      <w:r>
        <w:rPr>
          <w:snapToGrid w:val="0"/>
        </w:rPr>
        <w:t>.</w:t>
      </w:r>
      <w:r>
        <w:rPr>
          <w:snapToGrid w:val="0"/>
        </w:rPr>
        <w:tab/>
        <w:t>Careless driving</w:t>
      </w:r>
      <w:bookmarkEnd w:id="4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48" w:name="_Toc166680402"/>
      <w:r>
        <w:rPr>
          <w:rStyle w:val="CharSectno"/>
        </w:rPr>
        <w:t>62A</w:t>
      </w:r>
      <w:r>
        <w:t>.</w:t>
      </w:r>
      <w:r>
        <w:tab/>
        <w:t>Causing excessive noise or smoke from vehicle’s tyres</w:t>
      </w:r>
      <w:bookmarkEnd w:id="48"/>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lastRenderedPageBreak/>
        <w:tab/>
        <w:t>[Section 62A inserted: No. 51 of 2016 s. 12.]</w:t>
      </w:r>
    </w:p>
    <w:p>
      <w:pPr>
        <w:pStyle w:val="Heading3"/>
      </w:pPr>
      <w:bookmarkStart w:id="49" w:name="_Toc166659247"/>
      <w:bookmarkStart w:id="50" w:name="_Toc166679581"/>
      <w:bookmarkStart w:id="51" w:name="_Toc166679780"/>
      <w:bookmarkStart w:id="52" w:name="_Toc166680403"/>
      <w:r>
        <w:rPr>
          <w:rStyle w:val="CharDivNo"/>
        </w:rPr>
        <w:t>Division 2A</w:t>
      </w:r>
      <w:r>
        <w:t> — </w:t>
      </w:r>
      <w:r>
        <w:rPr>
          <w:rStyle w:val="CharDivText"/>
        </w:rPr>
        <w:t>Providing driving instruction to learner drivers: alcohol and drug related offences</w:t>
      </w:r>
      <w:bookmarkEnd w:id="49"/>
      <w:bookmarkEnd w:id="50"/>
      <w:bookmarkEnd w:id="51"/>
      <w:bookmarkEnd w:id="52"/>
    </w:p>
    <w:p>
      <w:pPr>
        <w:pStyle w:val="Footnoteheading"/>
      </w:pPr>
      <w:r>
        <w:tab/>
        <w:t>[Heading inserted: No. 25 of 2016 s. 44.]</w:t>
      </w:r>
    </w:p>
    <w:p>
      <w:pPr>
        <w:pStyle w:val="Heading5"/>
      </w:pPr>
      <w:bookmarkStart w:id="53" w:name="_Toc166680404"/>
      <w:r>
        <w:rPr>
          <w:rStyle w:val="CharSectno"/>
        </w:rPr>
        <w:t>62B</w:t>
      </w:r>
      <w:r>
        <w:t>.</w:t>
      </w:r>
      <w:r>
        <w:tab/>
        <w:t>Providing driving instruction: blood alcohol content</w:t>
      </w:r>
      <w:bookmarkEnd w:id="53"/>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15 PU or more than 25</w:t>
      </w:r>
      <w:r>
        <w:rPr>
          <w:szCs w:val="24"/>
        </w:rPr>
        <w:t>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pPr>
        <w:pStyle w:val="Indenta"/>
        <w:keepNext/>
      </w:pPr>
      <w:r>
        <w:tab/>
        <w:t>(d)</w:t>
      </w:r>
      <w:r>
        <w:tab/>
        <w:t xml:space="preserve">is a member of a class of persons prescribed for the purposes of section 64A(2)(g) by regulations made for </w:t>
      </w:r>
      <w:r>
        <w:lastRenderedPageBreak/>
        <w:t xml:space="preserve">the purposes of the </w:t>
      </w:r>
      <w:r>
        <w:rPr>
          <w:i/>
        </w:rPr>
        <w:t>Road Traffic (Authorisation to Drive) Act 2008</w:t>
      </w:r>
      <w:r>
        <w:t xml:space="preserve"> section 5A.</w:t>
      </w:r>
    </w:p>
    <w:p>
      <w:pPr>
        <w:pStyle w:val="Subsection"/>
        <w:keepNext/>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15 PU or more than 25</w:t>
      </w:r>
      <w:r>
        <w:rPr>
          <w:szCs w:val="24"/>
        </w:rPr>
        <w:t xml:space="preserve">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15 PU or more than 25</w:t>
      </w:r>
      <w:r>
        <w:rPr>
          <w:szCs w:val="24"/>
        </w:rPr>
        <w:t xml:space="preserve">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keepNext/>
        <w:spacing w:before="180"/>
      </w:pPr>
      <w:r>
        <w:tab/>
        <w:t>(7)</w:t>
      </w:r>
      <w:r>
        <w:tab/>
        <w:t xml:space="preserve">A person charged with an offence against subsection (1) may, instead of being convicted of that offence, be convicted of an offence against subsection (4) or (5) if, at the time of the alleged </w:t>
      </w:r>
      <w:r>
        <w:lastRenderedPageBreak/>
        <w:t>offence, the person was a person to whom subsection (4) or (5) applied.</w:t>
      </w:r>
    </w:p>
    <w:p>
      <w:pPr>
        <w:pStyle w:val="Footnotesection"/>
      </w:pPr>
      <w:r>
        <w:tab/>
        <w:t>[Section 62B inserted: No. 25 of 2016 s. 44; amended: No. 25 of 2016 s. 45; No. 27 of 2020 s. 4.]</w:t>
      </w:r>
    </w:p>
    <w:p>
      <w:pPr>
        <w:pStyle w:val="Heading5"/>
      </w:pPr>
      <w:bookmarkStart w:id="54" w:name="_Toc166680405"/>
      <w:r>
        <w:rPr>
          <w:rStyle w:val="CharSectno"/>
        </w:rPr>
        <w:t>62C</w:t>
      </w:r>
      <w:r>
        <w:t>.</w:t>
      </w:r>
      <w:r>
        <w:tab/>
        <w:t>Providing driving instruction with prescribed illicit drug in oral fluid or blood</w:t>
      </w:r>
      <w:bookmarkEnd w:id="54"/>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15 PU or more than 25</w:t>
      </w:r>
      <w:r>
        <w:rPr>
          <w:szCs w:val="24"/>
        </w:rPr>
        <w:t>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 No. 27 of 2020 s. 5.]</w:t>
      </w:r>
    </w:p>
    <w:p>
      <w:pPr>
        <w:pStyle w:val="Heading3"/>
        <w:keepLines/>
        <w:spacing w:before="220"/>
      </w:pPr>
      <w:bookmarkStart w:id="55" w:name="_Toc166659250"/>
      <w:bookmarkStart w:id="56" w:name="_Toc166679584"/>
      <w:bookmarkStart w:id="57" w:name="_Toc166679783"/>
      <w:bookmarkStart w:id="58" w:name="_Toc166680406"/>
      <w:r>
        <w:rPr>
          <w:rStyle w:val="CharDivNo"/>
        </w:rPr>
        <w:lastRenderedPageBreak/>
        <w:t>Division 2</w:t>
      </w:r>
      <w:r>
        <w:t> — </w:t>
      </w:r>
      <w:r>
        <w:rPr>
          <w:rStyle w:val="CharDivText"/>
        </w:rPr>
        <w:t>Driving of vehicles: alcohol and drug related offences</w:t>
      </w:r>
      <w:bookmarkEnd w:id="55"/>
      <w:bookmarkEnd w:id="56"/>
      <w:bookmarkEnd w:id="57"/>
      <w:bookmarkEnd w:id="58"/>
    </w:p>
    <w:p>
      <w:pPr>
        <w:pStyle w:val="Footnoteheading"/>
        <w:keepNext/>
        <w:keepLines/>
        <w:spacing w:before="80"/>
      </w:pPr>
      <w:r>
        <w:tab/>
        <w:t>[Heading inserted: No. 10 of 2004 s. 9.]</w:t>
      </w:r>
    </w:p>
    <w:p>
      <w:pPr>
        <w:pStyle w:val="Heading5"/>
        <w:rPr>
          <w:snapToGrid w:val="0"/>
        </w:rPr>
      </w:pPr>
      <w:bookmarkStart w:id="59" w:name="_Toc166680407"/>
      <w:r>
        <w:rPr>
          <w:rStyle w:val="CharSectno"/>
        </w:rPr>
        <w:t>63</w:t>
      </w:r>
      <w:r>
        <w:rPr>
          <w:snapToGrid w:val="0"/>
        </w:rPr>
        <w:t>.</w:t>
      </w:r>
      <w:r>
        <w:rPr>
          <w:snapToGrid w:val="0"/>
        </w:rPr>
        <w:tab/>
        <w:t>Driving under the influence of alcohol, drugs or alcohol and drugs</w:t>
      </w:r>
      <w:bookmarkEnd w:id="59"/>
    </w:p>
    <w:p>
      <w:pPr>
        <w:pStyle w:val="Subsection"/>
        <w:keepNext/>
        <w:keepLines/>
      </w:pPr>
      <w:r>
        <w:tab/>
        <w:t>(1)</w:t>
      </w:r>
      <w:r>
        <w:tab/>
        <w:t xml:space="preserve">A person who drives or attempts to drive a motor vehicle — </w:t>
      </w:r>
    </w:p>
    <w:p>
      <w:pPr>
        <w:pStyle w:val="Indenta"/>
        <w:keepNext/>
        <w:keepLines/>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w:t>
      </w:r>
    </w:p>
    <w:p>
      <w:pPr>
        <w:pStyle w:val="Ednotepara"/>
        <w:rPr>
          <w:snapToGrid w:val="0"/>
        </w:rPr>
      </w:pPr>
      <w:r>
        <w:rPr>
          <w:snapToGrid w:val="0"/>
        </w:rPr>
        <w:tab/>
        <w:t>[(c)</w:t>
      </w:r>
      <w:r>
        <w:rPr>
          <w:snapToGrid w:val="0"/>
        </w:rPr>
        <w:tab/>
        <w:t>deleted]</w:t>
      </w:r>
    </w:p>
    <w:p>
      <w:pPr>
        <w:pStyle w:val="Subsection"/>
      </w:pPr>
      <w:r>
        <w:tab/>
      </w:r>
      <w:r>
        <w:tab/>
        <w:t>commits an offence.</w:t>
      </w:r>
    </w:p>
    <w:p>
      <w:pPr>
        <w:pStyle w:val="Penstart"/>
      </w:pPr>
      <w:r>
        <w:tab/>
        <w:t>Penalty for this subsection:</w:t>
      </w:r>
    </w:p>
    <w:p>
      <w:pPr>
        <w:pStyle w:val="Penpara"/>
      </w:pPr>
      <w:r>
        <w:tab/>
        <w:t>(a)</w:t>
      </w:r>
      <w:r>
        <w:tab/>
        <w:t xml:space="preserve">for a first offence, if the person has committed the offence under paragraph (a) and has been previously convicted of an offence against section 64 — </w:t>
      </w:r>
    </w:p>
    <w:p>
      <w:pPr>
        <w:pStyle w:val="Pensubpara"/>
      </w:pPr>
      <w:r>
        <w:tab/>
        <w:t>(i)</w:t>
      </w:r>
      <w:r>
        <w:tab/>
        <w:t>a fine of not less than 48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keepNext/>
      </w:pPr>
      <w:r>
        <w:tab/>
        <w:t>(b)</w:t>
      </w:r>
      <w:r>
        <w:tab/>
        <w:t xml:space="preserve">for a first offence, if the person has committed the offence under paragraph (a) and has been previously </w:t>
      </w:r>
      <w:r>
        <w:lastRenderedPageBreak/>
        <w:t xml:space="preserve">convicted of an offence against section 64B(3), or offences against sections 64 and 64B(3) — </w:t>
      </w:r>
    </w:p>
    <w:p>
      <w:pPr>
        <w:pStyle w:val="Pensubpara"/>
      </w:pPr>
      <w:r>
        <w:tab/>
        <w:t>(i)</w:t>
      </w:r>
      <w:r>
        <w:tab/>
        <w:t>a fine of not less than 54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(d)</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(e)</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 xml:space="preserve">the court convicting the person must, in any event, order that the person be permanently </w:t>
      </w:r>
      <w:r>
        <w:lastRenderedPageBreak/>
        <w:t>disqualified from holding or obtaining a driver’s licence.</w:t>
      </w:r>
    </w:p>
    <w:p>
      <w:pPr>
        <w:pStyle w:val="Subsection"/>
      </w:pPr>
      <w:r>
        <w:tab/>
        <w:t>(1A)</w:t>
      </w:r>
      <w:r>
        <w:tab/>
        <w:t>For the purposes of subsection (1), a previous conviction for an offence against subsection (2) or section 64AB, 67, 67AA or 67AD(6) is taken to be a previous offence against subsection (1).</w:t>
      </w:r>
    </w:p>
    <w:p>
      <w:pPr>
        <w:pStyle w:val="Subsection"/>
      </w:pPr>
      <w:r>
        <w:tab/>
        <w:t>(2)</w:t>
      </w:r>
      <w:r>
        <w:tab/>
        <w:t>A person who drives or attempts to drive a motor vehicle while under the influence of alcohol and a drug to such an extent as to be incapable of having proper control of the vehicle commits an offence.</w:t>
      </w:r>
    </w:p>
    <w:p>
      <w:pPr>
        <w:pStyle w:val="Penstar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 xml:space="preserve">the court convicting the person must, in any event, order that the person be disqualified from holding or obtaining a driver’s licence for a period of not less than the minimum </w:t>
      </w:r>
      <w:r>
        <w:lastRenderedPageBreak/>
        <w:t>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(3)</w:t>
      </w:r>
      <w:r>
        <w:tab/>
        <w:t>For the purposes of subsection (2), a previous conviction for an offence against section 64AB, 67, 67AA or 67AD(6) is taken to be a previous offence against subsection (2).</w:t>
      </w:r>
    </w:p>
    <w:p>
      <w:pPr>
        <w:pStyle w:val="Subsection"/>
      </w:pPr>
      <w:r>
        <w:tab/>
        <w:t>(3A)</w:t>
      </w:r>
      <w:r>
        <w:tab/>
        <w:t>A person who commits an offence against subsection (1) or (2) may be arrested without warrant.</w:t>
      </w:r>
    </w:p>
    <w:p>
      <w:pPr>
        <w:pStyle w:val="Subsection"/>
        <w:keepNext/>
        <w:rPr>
          <w:snapToGrid w:val="0"/>
        </w:rPr>
      </w:pPr>
      <w:r>
        <w:rPr>
          <w:snapToGrid w:val="0"/>
        </w:rPr>
        <w:lastRenderedPageBreak/>
        <w:tab/>
        <w:t>(4)</w:t>
      </w:r>
      <w:r>
        <w:rPr>
          <w:snapToGrid w:val="0"/>
        </w:rPr>
        <w:tab/>
        <w:t xml:space="preserve">The charging of a person with an offence against this section </w:t>
      </w:r>
      <w:r>
        <w:t>must</w:t>
      </w:r>
      <w:r>
        <w:rPr>
          <w:snapToGrid w:val="0"/>
        </w:rPr>
        <w:t xml:space="preserve"> not limit the operation of section 66, but the person charged </w:t>
      </w:r>
      <w:r>
        <w:t>must</w:t>
      </w:r>
      <w:r>
        <w:rPr>
          <w:snapToGrid w:val="0"/>
        </w:rPr>
        <w:t xml:space="preserve"> immediately be told by the person laying the charge that —</w:t>
      </w:r>
    </w:p>
    <w:p>
      <w:pPr>
        <w:pStyle w:val="Indenta"/>
        <w:rPr>
          <w:snapToGrid w:val="0"/>
        </w:rPr>
      </w:pPr>
      <w:r>
        <w:rPr>
          <w:snapToGrid w:val="0"/>
        </w:rPr>
        <w:tab/>
        <w:t>(a)</w:t>
      </w:r>
      <w:r>
        <w:rPr>
          <w:snapToGrid w:val="0"/>
        </w:rPr>
        <w:tab/>
      </w:r>
      <w:r>
        <w:t>the person charged</w:t>
      </w:r>
      <w:r>
        <w:rPr>
          <w:snapToGrid w:val="0"/>
        </w:rPr>
        <w:t xml:space="preserve"> has the right to be examined by a medical practitioner nominated by </w:t>
      </w:r>
      <w:r>
        <w:t>them,</w:t>
      </w:r>
      <w:r>
        <w:rPr>
          <w:snapToGrid w:val="0"/>
        </w:rPr>
        <w:t xml:space="preserve"> if one is available; and</w:t>
      </w:r>
    </w:p>
    <w:p>
      <w:pPr>
        <w:pStyle w:val="Indenta"/>
        <w:rPr>
          <w:snapToGrid w:val="0"/>
        </w:rPr>
      </w:pPr>
      <w:r>
        <w:rPr>
          <w:snapToGrid w:val="0"/>
        </w:rPr>
        <w:tab/>
        <w:t>(b)</w:t>
      </w:r>
      <w:r>
        <w:rPr>
          <w:snapToGrid w:val="0"/>
        </w:rPr>
        <w:tab/>
      </w:r>
      <w:r>
        <w:t>the person charged</w:t>
      </w:r>
      <w:r>
        <w:rPr>
          <w:snapToGrid w:val="0"/>
        </w:rPr>
        <w:t xml:space="preserve"> has the right to communicate with a legal practitioner and another person nominated by </w:t>
      </w:r>
      <w:r>
        <w:t>them,</w:t>
      </w:r>
    </w:p>
    <w:p>
      <w:pPr>
        <w:pStyle w:val="Subsection"/>
        <w:rPr>
          <w:snapToGrid w:val="0"/>
        </w:rPr>
      </w:pPr>
      <w:r>
        <w:rPr>
          <w:snapToGrid w:val="0"/>
        </w:rPr>
        <w:tab/>
      </w:r>
      <w:r>
        <w:rPr>
          <w:snapToGrid w:val="0"/>
        </w:rPr>
        <w:tab/>
        <w:t xml:space="preserve">and if </w:t>
      </w:r>
      <w:r>
        <w:t>the person charged</w:t>
      </w:r>
      <w:r>
        <w:rPr>
          <w:snapToGrid w:val="0"/>
        </w:rPr>
        <w:t xml:space="preserve"> desires to exercise any of those rights, every reasonable facility to do so </w:t>
      </w:r>
      <w:r>
        <w:t>must be afforded them.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t>must</w:t>
      </w:r>
      <w:r>
        <w:rPr>
          <w:snapToGrid w:val="0"/>
        </w:rPr>
        <w:t xml:space="preserve">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subsection (1)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lastRenderedPageBreak/>
        <w:tab/>
        <w:t>(c)</w:t>
      </w:r>
      <w:r>
        <w:tab/>
        <w:t>an offence against section 64A(4) or 64AAA(2) if, at the time of the alleged offence, the motor vehicle concerned was a motor vehicle to which section 64A(4) applied.</w:t>
      </w:r>
    </w:p>
    <w:p>
      <w:pPr>
        <w:pStyle w:val="Subsection"/>
      </w:pPr>
      <w:r>
        <w:tab/>
        <w:t>(6A)</w:t>
      </w:r>
      <w:r>
        <w:tab/>
        <w:t xml:space="preserve">A person charged with an offence against subsection (2) may, instead of being convicted of that offence, be convicted of — </w:t>
      </w:r>
    </w:p>
    <w:p>
      <w:pPr>
        <w:pStyle w:val="Indenta"/>
      </w:pPr>
      <w:r>
        <w:tab/>
        <w:t>(a)</w:t>
      </w:r>
      <w:r>
        <w:tab/>
        <w:t>an offence against subsection (1) or section 64, 64AA, 64AB, 64AC or 64B; or</w:t>
      </w:r>
    </w:p>
    <w:p>
      <w:pPr>
        <w:pStyle w:val="Indenta"/>
      </w:pPr>
      <w:r>
        <w:tab/>
        <w:t>(b)</w:t>
      </w:r>
      <w:r>
        <w:tab/>
        <w:t>an offence against section 64A(1), 64AAA(1) or 64C if, at the time of the alleged offence, the person was a person to whom section 64A(1) applied; or</w:t>
      </w:r>
    </w:p>
    <w:p>
      <w:pPr>
        <w:pStyle w:val="Indenta"/>
      </w:pPr>
      <w:r>
        <w:tab/>
        <w:t>(c)</w:t>
      </w:r>
      <w:r>
        <w:tab/>
        <w:t xml:space="preserve">an offence against section 64A(4), 64AAA(2) or 64C if, at the time of the alleged offence, the motor vehicle concerned was a motor vehicle to which section 64A(4) applied. </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the accused pursuant to a prescription of a medical practitioner, nurse practitioner or dentist; or</w:t>
      </w:r>
    </w:p>
    <w:p>
      <w:pPr>
        <w:pStyle w:val="Indenti"/>
        <w:keepNext/>
      </w:pPr>
      <w:r>
        <w:tab/>
        <w:t>(ii)</w:t>
      </w:r>
      <w:r>
        <w:tab/>
        <w:t>administered to the accused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 xml:space="preserve">that </w:t>
      </w:r>
      <w:r>
        <w:t>the accused</w:t>
      </w:r>
      <w:r>
        <w:rPr>
          <w:snapToGrid w:val="0"/>
        </w:rPr>
        <w:t xml:space="preserve"> was not aware, and could not reasonably have been expected to be aware, that those drugs were likely to render them incapable of having proper control of a motor vehicle.</w:t>
      </w:r>
    </w:p>
    <w:p>
      <w:pPr>
        <w:pStyle w:val="Footnotesection"/>
        <w:keepLines w:val="0"/>
        <w:ind w:left="890" w:hanging="890"/>
      </w:pPr>
      <w:r>
        <w:tab/>
        <w:t xml:space="preserve">[Section 63 amended: No. 82 of 1982 s. 11; No. 11 of 1988 s. 24; No. 13 of 1992 s. 7; No. 50 of 1997 s. 13; No. 9 of 2003 s. 54; No. 50 of 2003 s. 92(2); No. 84 of 2004 s. 82; No. 50 of 2006 Sch. 3 cl. 20(2); No. 54 of 2006 s. 14 and 17(3) and (4); No. 6 of 2007 s. 5; No. 39 of 2007 s. 5 and 31; No. 35 of 2010 </w:t>
      </w:r>
      <w:r>
        <w:lastRenderedPageBreak/>
        <w:t>s. 151; No. 14 of 2011 s. 5; No. 2 of 2015 s. 6; No. 27 of 2020 s. 6.]</w:t>
      </w:r>
    </w:p>
    <w:p>
      <w:pPr>
        <w:pStyle w:val="Heading5"/>
        <w:keepLines w:val="0"/>
        <w:rPr>
          <w:snapToGrid w:val="0"/>
        </w:rPr>
      </w:pPr>
      <w:bookmarkStart w:id="60" w:name="_Toc166680408"/>
      <w:r>
        <w:rPr>
          <w:rStyle w:val="CharSectno"/>
        </w:rPr>
        <w:t>64</w:t>
      </w:r>
      <w:r>
        <w:rPr>
          <w:snapToGrid w:val="0"/>
        </w:rPr>
        <w:t>.</w:t>
      </w:r>
      <w:r>
        <w:rPr>
          <w:snapToGrid w:val="0"/>
        </w:rPr>
        <w:tab/>
        <w:t>Driving with blood alcohol content of or above 0.08</w:t>
      </w:r>
      <w:bookmarkEnd w:id="6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a fine of not less than the minimum fine or more than the maximum fine in the Table to this subsection; and</w:t>
      </w:r>
    </w:p>
    <w:p>
      <w:pPr>
        <w:pStyle w:val="Indenta"/>
      </w:pPr>
      <w:r>
        <w:tab/>
        <w:t>(b)</w:t>
      </w:r>
      <w:r>
        <w:tab/>
        <w:t>the court convicting the person must, in any event,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pPr>
              <w:pStyle w:val="TableNAm"/>
              <w:rPr>
                <w:sz w:val="18"/>
                <w:szCs w:val="18"/>
              </w:rPr>
            </w:pPr>
            <w:r>
              <w:rPr>
                <w:sz w:val="18"/>
                <w:szCs w:val="18"/>
              </w:rPr>
              <w:t>32 PU</w:t>
            </w:r>
            <w:r>
              <w:rPr>
                <w:sz w:val="18"/>
                <w:szCs w:val="18"/>
              </w:rPr>
              <w:br/>
              <w:t>45 PU</w:t>
            </w:r>
            <w:r>
              <w:rPr>
                <w:sz w:val="18"/>
                <w:szCs w:val="18"/>
              </w:rPr>
              <w:br/>
              <w:t>10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pPr>
              <w:pStyle w:val="TableNAm"/>
              <w:rPr>
                <w:sz w:val="18"/>
                <w:szCs w:val="18"/>
              </w:rPr>
            </w:pPr>
            <w:r>
              <w:rPr>
                <w:sz w:val="18"/>
                <w:szCs w:val="18"/>
              </w:rPr>
              <w:t>34 PU</w:t>
            </w:r>
            <w:r>
              <w:rPr>
                <w:sz w:val="18"/>
                <w:szCs w:val="18"/>
              </w:rPr>
              <w:br/>
              <w:t>45 PU</w:t>
            </w:r>
            <w:r>
              <w:rPr>
                <w:sz w:val="18"/>
                <w:szCs w:val="18"/>
              </w:rPr>
              <w:br/>
              <w:t>13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pPr>
              <w:pStyle w:val="TableNAm"/>
              <w:rPr>
                <w:sz w:val="18"/>
                <w:szCs w:val="18"/>
              </w:rPr>
            </w:pPr>
            <w:r>
              <w:rPr>
                <w:sz w:val="18"/>
                <w:szCs w:val="18"/>
              </w:rPr>
              <w:t>36 PU</w:t>
            </w:r>
            <w:r>
              <w:rPr>
                <w:sz w:val="18"/>
                <w:szCs w:val="18"/>
              </w:rPr>
              <w:br/>
              <w:t>60 PU</w:t>
            </w:r>
            <w:r>
              <w:rPr>
                <w:sz w:val="18"/>
                <w:szCs w:val="18"/>
              </w:rPr>
              <w:br/>
              <w:t>17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pPr>
              <w:pStyle w:val="TableNAm"/>
              <w:rPr>
                <w:sz w:val="18"/>
                <w:szCs w:val="18"/>
              </w:rPr>
            </w:pPr>
            <w:r>
              <w:rPr>
                <w:sz w:val="18"/>
                <w:szCs w:val="18"/>
              </w:rPr>
              <w:t>48 PU</w:t>
            </w:r>
            <w:r>
              <w:rPr>
                <w:sz w:val="18"/>
                <w:szCs w:val="18"/>
              </w:rPr>
              <w:br/>
              <w:t>90 PU</w:t>
            </w:r>
            <w:r>
              <w:rPr>
                <w:sz w:val="18"/>
                <w:szCs w:val="18"/>
              </w:rPr>
              <w:br/>
              <w:t>30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lastRenderedPageBreak/>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keepNext/>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 No. 27 of 2020 s. 7.]</w:t>
      </w:r>
    </w:p>
    <w:p>
      <w:pPr>
        <w:pStyle w:val="Heading5"/>
        <w:rPr>
          <w:snapToGrid w:val="0"/>
        </w:rPr>
      </w:pPr>
      <w:bookmarkStart w:id="61" w:name="_Toc166680409"/>
      <w:r>
        <w:rPr>
          <w:rStyle w:val="CharSectno"/>
        </w:rPr>
        <w:lastRenderedPageBreak/>
        <w:t>64AA</w:t>
      </w:r>
      <w:r>
        <w:rPr>
          <w:snapToGrid w:val="0"/>
        </w:rPr>
        <w:t>.</w:t>
      </w:r>
      <w:r>
        <w:rPr>
          <w:snapToGrid w:val="0"/>
        </w:rPr>
        <w:tab/>
        <w:t>Driving with blood alcohol content of or above 0.05</w:t>
      </w:r>
      <w:bookmarkEnd w:id="6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25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 xml:space="preserve">the person is liable to </w:t>
      </w:r>
      <w:r>
        <w:t>a fine of not less than the minimum fine or more than the maximum fine</w:t>
      </w:r>
      <w:r>
        <w:rPr>
          <w:snapToGrid w:val="0"/>
        </w:rPr>
        <w:t xml:space="preserve"> in the Table to this subsection; and</w:t>
      </w:r>
    </w:p>
    <w:p>
      <w:pPr>
        <w:pStyle w:val="Indenta"/>
        <w:keepNext/>
        <w:keepLines/>
        <w:rPr>
          <w:snapToGrid w:val="0"/>
        </w:rPr>
      </w:pPr>
      <w:r>
        <w:rPr>
          <w:snapToGrid w:val="0"/>
        </w:rPr>
        <w:tab/>
        <w:t>(b)</w:t>
      </w:r>
      <w:r>
        <w:rPr>
          <w:snapToGrid w:val="0"/>
        </w:rPr>
        <w:tab/>
        <w:t xml:space="preserve">the court </w:t>
      </w:r>
      <w:r>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967" w:type="dxa"/>
            <w:noWrap/>
          </w:tcPr>
          <w:p>
            <w:pPr>
              <w:pStyle w:val="TableNAm"/>
              <w:spacing w:before="0"/>
              <w:rPr>
                <w:b/>
                <w:sz w:val="18"/>
                <w:szCs w:val="18"/>
              </w:rPr>
            </w:pPr>
            <w:r>
              <w:rPr>
                <w:b/>
                <w:sz w:val="18"/>
                <w:szCs w:val="18"/>
              </w:rPr>
              <w:t>Second offence</w:t>
            </w:r>
          </w:p>
        </w:tc>
        <w:tc>
          <w:tcPr>
            <w:tcW w:w="1827"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pPr>
              <w:pStyle w:val="TableNAm"/>
              <w:rPr>
                <w:sz w:val="18"/>
                <w:szCs w:val="18"/>
              </w:rPr>
            </w:pPr>
            <w:r>
              <w:rPr>
                <w:sz w:val="18"/>
                <w:szCs w:val="18"/>
              </w:rPr>
              <w:t>25 PU</w:t>
            </w:r>
            <w:r>
              <w:rPr>
                <w:sz w:val="18"/>
                <w:szCs w:val="18"/>
              </w:rPr>
              <w:br/>
              <w:t>40 PU</w:t>
            </w:r>
            <w:r>
              <w:rPr>
                <w:sz w:val="18"/>
                <w:szCs w:val="18"/>
              </w:rPr>
              <w:br/>
              <w:t>8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pPr>
              <w:pStyle w:val="TableNAm"/>
              <w:rPr>
                <w:sz w:val="18"/>
                <w:szCs w:val="18"/>
              </w:rPr>
            </w:pPr>
            <w:r>
              <w:rPr>
                <w:sz w:val="18"/>
                <w:szCs w:val="18"/>
              </w:rPr>
              <w:t>30 PU</w:t>
            </w:r>
            <w:r>
              <w:rPr>
                <w:sz w:val="18"/>
                <w:szCs w:val="18"/>
              </w:rPr>
              <w:br/>
              <w:t>40 PU</w:t>
            </w:r>
            <w:r>
              <w:rPr>
                <w:sz w:val="18"/>
                <w:szCs w:val="18"/>
              </w:rPr>
              <w:br/>
              <w:t>10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(2b)</w:t>
      </w:r>
      <w:r>
        <w:tab/>
        <w:t xml:space="preserve">For the purposes of this section, an offence is a second or subsequent offence against this section irrespective of the blood </w:t>
      </w:r>
      <w:r>
        <w:lastRenderedPageBreak/>
        <w:t>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64B, 67 or 67AD must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 No. 27 of 2020 s. 8.]</w:t>
      </w:r>
    </w:p>
    <w:p>
      <w:pPr>
        <w:pStyle w:val="Heading5"/>
        <w:spacing w:before="240"/>
        <w:rPr>
          <w:snapToGrid w:val="0"/>
        </w:rPr>
      </w:pPr>
      <w:bookmarkStart w:id="62" w:name="_Toc166680410"/>
      <w:r>
        <w:rPr>
          <w:rStyle w:val="CharSectno"/>
        </w:rPr>
        <w:t>64A</w:t>
      </w:r>
      <w:r>
        <w:rPr>
          <w:snapToGrid w:val="0"/>
        </w:rPr>
        <w:t>.</w:t>
      </w:r>
      <w:r>
        <w:rPr>
          <w:snapToGrid w:val="0"/>
        </w:rPr>
        <w:tab/>
        <w:t>Certain persons driving with blood alcohol content of or above 0.02</w:t>
      </w:r>
      <w:bookmarkEnd w:id="6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lastRenderedPageBreak/>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is subject to an order disqualifying the person from holding or obtaining a driver’s licence imposed for an offence against section 63, 67 or 67AD(6), or for a second or subsequent offence against section 64, 64B(3) or 67AD(4);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w:t>
      </w:r>
      <w:r>
        <w:lastRenderedPageBreak/>
        <w:t xml:space="preserve">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an order disqualifying the person from holding or obtaining a driver’s licence imposed for an offence against section 63, 67 or 67AD(6), or for a second or subsequent offence against section 64, 64B(3) or 67AD(4).</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lastRenderedPageBreak/>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 No. 27 of 2020 s. 9.]</w:t>
      </w:r>
    </w:p>
    <w:p>
      <w:pPr>
        <w:pStyle w:val="Heading5"/>
      </w:pPr>
      <w:bookmarkStart w:id="63" w:name="_Toc166680411"/>
      <w:r>
        <w:rPr>
          <w:rStyle w:val="CharSectno"/>
        </w:rPr>
        <w:lastRenderedPageBreak/>
        <w:t>64AAA</w:t>
      </w:r>
      <w:r>
        <w:t>.</w:t>
      </w:r>
      <w:r>
        <w:tab/>
        <w:t>Certain persons driving with any blood alcohol content</w:t>
      </w:r>
      <w:bookmarkEnd w:id="63"/>
    </w:p>
    <w:p>
      <w:pPr>
        <w:pStyle w:val="Subsection"/>
      </w:pPr>
      <w:r>
        <w:tab/>
        <w:t>(1)</w:t>
      </w:r>
      <w:r>
        <w:tab/>
        <w:t>A person to whom section 64A(1) applies who drives or attempts to drive a motor vehicle while having any blood alcohol content commits an offence.</w:t>
      </w:r>
    </w:p>
    <w:p>
      <w:pPr>
        <w:pStyle w:val="Penstart"/>
      </w:pPr>
      <w:r>
        <w:tab/>
        <w:t xml:space="preserve">Penalty for this subsection: </w:t>
      </w:r>
      <w:r>
        <w:rPr>
          <w:szCs w:val="24"/>
        </w:rPr>
        <w:t>a fine of not less than 8 PU or more than 15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for this subsection: </w:t>
      </w:r>
      <w:r>
        <w:rPr>
          <w:szCs w:val="24"/>
        </w:rPr>
        <w:t>a fine of not less than 8 PU or more than 15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 No. 27 of 2020 s. 10.]</w:t>
      </w:r>
    </w:p>
    <w:p>
      <w:pPr>
        <w:pStyle w:val="Heading5"/>
        <w:rPr>
          <w:snapToGrid w:val="0"/>
        </w:rPr>
      </w:pPr>
      <w:bookmarkStart w:id="64" w:name="_Toc166680412"/>
      <w:r>
        <w:rPr>
          <w:rStyle w:val="CharSectno"/>
        </w:rPr>
        <w:lastRenderedPageBreak/>
        <w:t>64AB</w:t>
      </w:r>
      <w:r>
        <w:t>.</w:t>
      </w:r>
      <w:r>
        <w:tab/>
      </w:r>
      <w:r>
        <w:rPr>
          <w:snapToGrid w:val="0"/>
        </w:rPr>
        <w:t>Driving while impaired by drugs</w:t>
      </w:r>
      <w:bookmarkEnd w:id="6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 xml:space="preserve">for a first offence, to a fine of not less than </w:t>
      </w:r>
      <w:r>
        <w:rPr>
          <w:szCs w:val="24"/>
        </w:rPr>
        <w:t>34 PU or more than 75 PU;</w:t>
      </w:r>
      <w:r>
        <w:t xml:space="preserve"> </w:t>
      </w:r>
      <w:r>
        <w:rPr>
          <w:szCs w:val="24"/>
        </w:rPr>
        <w:t>and the court convicting the person must</w:t>
      </w:r>
      <w:r>
        <w:t>, in any event, order that the person be disqualified from holding or obtaining a driver’s licence for a period of not less than 10 months; and</w:t>
      </w:r>
    </w:p>
    <w:p>
      <w:pPr>
        <w:pStyle w:val="Indenta"/>
      </w:pPr>
      <w:r>
        <w:tab/>
        <w:t>(b)</w:t>
      </w:r>
      <w:r>
        <w:tab/>
        <w:t xml:space="preserve">for a second offence, to a fine of not less than </w:t>
      </w:r>
      <w:r>
        <w:rPr>
          <w:szCs w:val="24"/>
        </w:rPr>
        <w:t>63 PU or more than 105 PU or to imprisonment for 9 months; and the court convicting the person must, in any event,</w:t>
      </w:r>
      <w:r>
        <w:t xml:space="preserve"> order that the person be disqualified from holding or obtaining a driver’s licence for a period of not less than 30 months; and</w:t>
      </w:r>
    </w:p>
    <w:p>
      <w:pPr>
        <w:pStyle w:val="Indenta"/>
      </w:pPr>
      <w:r>
        <w:tab/>
        <w:t>(c)</w:t>
      </w:r>
      <w:r>
        <w:tab/>
        <w:t xml:space="preserve">for a third or subsequent offence, to a fine of not less than </w:t>
      </w:r>
      <w:r>
        <w:rPr>
          <w:szCs w:val="24"/>
        </w:rPr>
        <w:t>63 PU or more than 150 PU or to imprisonment for 18 months; and the court convicting the person must, in any event,</w:t>
      </w:r>
      <w:r>
        <w:t xml:space="preserve"> order that the person be permanently disqualified from holding or obtaining a driver’s licence.</w:t>
      </w:r>
    </w:p>
    <w:p>
      <w:pPr>
        <w:pStyle w:val="Subsection"/>
        <w:keepLines/>
      </w:pPr>
      <w:r>
        <w:tab/>
        <w:t>(3)</w:t>
      </w:r>
      <w:r>
        <w:tab/>
        <w:t>For the purposes of subsection (2), where a person is convicted of an offence against this section any offence previously committed by the person against section 63, 67, 67AA or 67AD(6) must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lastRenderedPageBreak/>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lastRenderedPageBreak/>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 No. 27 of 2020 s. 11.]</w:t>
      </w:r>
    </w:p>
    <w:p>
      <w:pPr>
        <w:pStyle w:val="Heading5"/>
        <w:spacing w:before="180"/>
        <w:rPr>
          <w:snapToGrid w:val="0"/>
        </w:rPr>
      </w:pPr>
      <w:bookmarkStart w:id="65" w:name="_Toc166680413"/>
      <w:r>
        <w:rPr>
          <w:rStyle w:val="CharSectno"/>
        </w:rPr>
        <w:t>64AC</w:t>
      </w:r>
      <w:r>
        <w:t>.</w:t>
      </w:r>
      <w:r>
        <w:tab/>
      </w:r>
      <w:r>
        <w:rPr>
          <w:snapToGrid w:val="0"/>
        </w:rPr>
        <w:t>Driving with prescribed illicit drug in oral fluid or blood</w:t>
      </w:r>
      <w:bookmarkEnd w:id="6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25 PU; and</w:t>
      </w:r>
    </w:p>
    <w:p>
      <w:pPr>
        <w:pStyle w:val="Indenta"/>
      </w:pPr>
      <w:r>
        <w:tab/>
        <w:t>(b)</w:t>
      </w:r>
      <w:r>
        <w:tab/>
        <w:t>for a second or subsequent offence, to a fine of not less than 25 PU or more than 40 PU; and</w:t>
      </w:r>
      <w:r>
        <w:rPr>
          <w:szCs w:val="24"/>
        </w:rPr>
        <w:t xml:space="preserve"> the court convicting the person must</w:t>
      </w:r>
      <w:r>
        <w:t>, in any event,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64AB, 64B, 64C, 67AB or 67AD must</w:t>
      </w:r>
      <w:r>
        <w:rPr>
          <w:snapToGrid w:val="0"/>
        </w:rPr>
        <w:t xml:space="preserve"> be taken into account and be deemed to have been an offence against this section (but not to the exclusion of any other previous offence against this section) in </w:t>
      </w:r>
      <w:r>
        <w:rPr>
          <w:snapToGrid w:val="0"/>
        </w:rPr>
        <w:lastRenderedPageBreak/>
        <w:t>determining whether that first</w:t>
      </w:r>
      <w:r>
        <w:noBreakHyphen/>
      </w:r>
      <w:r>
        <w:rPr>
          <w:snapToGrid w:val="0"/>
        </w:rPr>
        <w:t>mentioned offence is a first, second or subsequent offence.</w:t>
      </w:r>
    </w:p>
    <w:p>
      <w:pPr>
        <w:pStyle w:val="Ednotesubsection"/>
        <w:spacing w:before="80"/>
      </w:pPr>
      <w:r>
        <w:tab/>
        <w:t>[(4), (5)</w:t>
      </w:r>
      <w:r>
        <w:tab/>
        <w:t>deleted]</w:t>
      </w:r>
    </w:p>
    <w:p>
      <w:pPr>
        <w:pStyle w:val="Footnotesection"/>
        <w:spacing w:before="80"/>
        <w:ind w:left="890" w:hanging="890"/>
      </w:pPr>
      <w:r>
        <w:tab/>
        <w:t>[Section 64AC inserted: No. 6 of 2007 s. 6; amended: No. 14 of 2011 s. 11; No. 25 of 2016 s. 32; No. 27 of 2020 s. 12.]</w:t>
      </w:r>
    </w:p>
    <w:p>
      <w:pPr>
        <w:pStyle w:val="Heading5"/>
      </w:pPr>
      <w:bookmarkStart w:id="66" w:name="_Toc166680414"/>
      <w:r>
        <w:rPr>
          <w:rStyle w:val="CharSectno"/>
        </w:rPr>
        <w:t>64B</w:t>
      </w:r>
      <w:r>
        <w:t>.</w:t>
      </w:r>
      <w:r>
        <w:tab/>
      </w:r>
      <w:r>
        <w:rPr>
          <w:snapToGrid w:val="0"/>
        </w:rPr>
        <w:t>Driving with blood alcohol content of or above 0.05 with prescribed illicit drug in oral fluid or blood</w:t>
      </w:r>
      <w:bookmarkEnd w:id="66"/>
    </w:p>
    <w:p>
      <w:pPr>
        <w:pStyle w:val="Subsection"/>
      </w:pPr>
      <w:r>
        <w:tab/>
        <w:t>(1)</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0.05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45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lastRenderedPageBreak/>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w:t>
      </w:r>
      <w:r>
        <w:tab/>
        <w:t>For the purposes of subsection (1), a previous conviction for an offence against subsection (3) or section 63, 64, 64AA, 64AB, 64AC, 67, 67AA or 67AD is taken to be a previous offence against subsection (1).</w:t>
      </w:r>
    </w:p>
    <w:p>
      <w:pPr>
        <w:pStyle w:val="Subsection"/>
      </w:pPr>
      <w:r>
        <w:tab/>
        <w:t>(3)</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0.08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trPr>
          <w:trHeight w:val="691"/>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bCs/>
                <w:sz w:val="18"/>
                <w:szCs w:val="18"/>
              </w:rPr>
            </w:pPr>
            <w:r>
              <w:rPr>
                <w:b/>
                <w:sz w:val="18"/>
                <w:szCs w:val="18"/>
              </w:rPr>
              <w:t>(g/100 ml)</w:t>
            </w:r>
          </w:p>
        </w:tc>
        <w:tc>
          <w:tcPr>
            <w:tcW w:w="709" w:type="dxa"/>
            <w:noWrap/>
          </w:tcPr>
          <w:p>
            <w:pPr>
              <w:pStyle w:val="TableNAm"/>
              <w:spacing w:before="0"/>
              <w:rPr>
                <w:b/>
                <w:bCs/>
                <w:sz w:val="18"/>
                <w:szCs w:val="18"/>
              </w:rPr>
            </w:pPr>
          </w:p>
        </w:tc>
        <w:tc>
          <w:tcPr>
            <w:tcW w:w="1275" w:type="dxa"/>
            <w:noWrap/>
          </w:tcPr>
          <w:p>
            <w:pPr>
              <w:pStyle w:val="TableNAm"/>
              <w:spacing w:before="0"/>
              <w:rPr>
                <w:b/>
                <w:bCs/>
                <w:sz w:val="18"/>
                <w:szCs w:val="18"/>
              </w:rPr>
            </w:pPr>
            <w:r>
              <w:rPr>
                <w:b/>
                <w:sz w:val="18"/>
                <w:szCs w:val="18"/>
              </w:rPr>
              <w:t xml:space="preserve">First offence </w:t>
            </w:r>
          </w:p>
        </w:tc>
        <w:tc>
          <w:tcPr>
            <w:tcW w:w="1276" w:type="dxa"/>
            <w:noWrap/>
          </w:tcPr>
          <w:p>
            <w:pPr>
              <w:pStyle w:val="TableNAm"/>
              <w:spacing w:before="0"/>
              <w:rPr>
                <w:b/>
                <w:bCs/>
                <w:sz w:val="18"/>
                <w:szCs w:val="18"/>
              </w:rPr>
            </w:pPr>
            <w:r>
              <w:rPr>
                <w:b/>
                <w:sz w:val="18"/>
                <w:szCs w:val="18"/>
              </w:rPr>
              <w:t>Second offence</w:t>
            </w:r>
          </w:p>
        </w:tc>
        <w:tc>
          <w:tcPr>
            <w:tcW w:w="1276" w:type="dxa"/>
            <w:noWrap/>
          </w:tcPr>
          <w:p>
            <w:pPr>
              <w:pStyle w:val="TableNAm"/>
              <w:spacing w:before="0"/>
              <w:rPr>
                <w:b/>
                <w:bCs/>
                <w:sz w:val="18"/>
                <w:szCs w:val="18"/>
              </w:rPr>
            </w:pPr>
            <w:r>
              <w:rPr>
                <w:b/>
                <w:sz w:val="18"/>
                <w:szCs w:val="18"/>
              </w:rPr>
              <w:t xml:space="preserve">Subsequent offence </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rPr>
          <w:cantSplit/>
        </w:trP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20 months</w:t>
            </w:r>
          </w:p>
        </w:tc>
      </w:tr>
      <w:t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lastRenderedPageBreak/>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(4)</w:t>
      </w:r>
      <w:r>
        <w:tab/>
        <w:t xml:space="preserve">For the purposes of subsection (3), a previous conviction for an offence against section 63, 64, 64AB, 67, 67AA or 67AD(4) or (6) is taken to be a previous offence against subsection (3). </w:t>
      </w:r>
    </w:p>
    <w:p>
      <w:pPr>
        <w:pStyle w:val="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pPr>
        <w:pStyle w:val="Subsection"/>
      </w:pPr>
      <w:r>
        <w:tab/>
        <w:t>(6)</w:t>
      </w:r>
      <w:r>
        <w:tab/>
        <w:t>A person who commits an offence against subsection (1) or (3) may be arrested without warrant.</w:t>
      </w:r>
    </w:p>
    <w:p>
      <w:pPr>
        <w:pStyle w:val="Subsection"/>
      </w:pPr>
      <w:r>
        <w:tab/>
        <w:t>(7)</w:t>
      </w:r>
      <w:r>
        <w:tab/>
        <w:t xml:space="preserve">A person charged with an offence against subsection (1) or (3) may, instead of being convicted of that offence, be convicted of an offence against — </w:t>
      </w:r>
    </w:p>
    <w:p>
      <w:pPr>
        <w:pStyle w:val="Indenta"/>
      </w:pPr>
      <w:r>
        <w:tab/>
        <w:t>(a)</w:t>
      </w:r>
      <w:r>
        <w:tab/>
        <w:t>section 64, 64AA or 64AC; or</w:t>
      </w:r>
    </w:p>
    <w:p>
      <w:pPr>
        <w:pStyle w:val="Indenta"/>
      </w:pPr>
      <w:r>
        <w:tab/>
        <w:t>(b)</w:t>
      </w:r>
      <w:r>
        <w:tab/>
        <w:t>section 64A(1), 64AAA(1) or 64C if, at the time of the alleged offence, the person was a person to whom section 64A(1) applied; or</w:t>
      </w:r>
    </w:p>
    <w:p>
      <w:pPr>
        <w:pStyle w:val="Indenta"/>
      </w:pPr>
      <w:r>
        <w:tab/>
        <w:t>(c)</w:t>
      </w:r>
      <w:r>
        <w:tab/>
        <w:t>section 64A(4), 64AAA(2) or 64C if, at the time of the alleged offence, the motor vehicle concerned was a motor vehicle to which section 64A(4) applied.</w:t>
      </w:r>
    </w:p>
    <w:p>
      <w:pPr>
        <w:pStyle w:val="Subsection"/>
      </w:pPr>
      <w:r>
        <w:tab/>
        <w:t>(8)</w:t>
      </w:r>
      <w:r>
        <w:tab/>
        <w:t>A person charged with an offence against subsection (3) may, instead of being convicted of that offence, be convicted of an offence against subsection (1).</w:t>
      </w:r>
    </w:p>
    <w:p>
      <w:pPr>
        <w:pStyle w:val="Footnotesection"/>
        <w:spacing w:before="80"/>
        <w:ind w:left="890" w:hanging="890"/>
      </w:pPr>
      <w:r>
        <w:lastRenderedPageBreak/>
        <w:tab/>
        <w:t>[Section 64B inserted: No. 27 of 2020 s. 13.]</w:t>
      </w:r>
    </w:p>
    <w:p>
      <w:pPr>
        <w:pStyle w:val="Heading5"/>
        <w:rPr>
          <w:snapToGrid w:val="0"/>
        </w:rPr>
      </w:pPr>
      <w:bookmarkStart w:id="67" w:name="_Toc166680415"/>
      <w:r>
        <w:rPr>
          <w:rStyle w:val="CharSectno"/>
        </w:rPr>
        <w:t>64C</w:t>
      </w:r>
      <w:r>
        <w:t>.</w:t>
      </w:r>
      <w:r>
        <w:tab/>
        <w:t>Certain persons d</w:t>
      </w:r>
      <w:r>
        <w:rPr>
          <w:snapToGrid w:val="0"/>
        </w:rPr>
        <w:t>riving with any blood alcohol content with prescribed illicit drug in oral fluid or blood</w:t>
      </w:r>
      <w:bookmarkEnd w:id="67"/>
    </w:p>
    <w:p>
      <w:pPr>
        <w:pStyle w:val="Subsection"/>
      </w:pPr>
      <w:r>
        <w:tab/>
        <w:t>(1)</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any blood alcohol content;</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keepNex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(2)</w:t>
      </w:r>
      <w:r>
        <w:tab/>
        <w:t xml:space="preserve">It is a defence to a charge of an offence against subsection (1) for the accused to prove that the accused’s blood alcohol content was not to any extent caused by any of the following — </w:t>
      </w:r>
    </w:p>
    <w:p>
      <w:pPr>
        <w:pStyle w:val="Indenta"/>
      </w:pPr>
      <w:r>
        <w:lastRenderedPageBreak/>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pPr>
        <w:pStyle w:val="Subsection"/>
      </w:pPr>
      <w:r>
        <w:tab/>
        <w:t>(4)</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 blood alcohol content of or above 0.02 g of alcohol per 100 ml of blood;</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lastRenderedPageBreak/>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 64AAA, 64AB, 64AC, 64B, 67, 67AA, 67AB, 67AC or 67AD is taken to be a previous offence against subsection (4).</w:t>
      </w:r>
    </w:p>
    <w:p>
      <w:pPr>
        <w:pStyle w:val="Subsection"/>
      </w:pPr>
      <w:r>
        <w:tab/>
        <w:t>(6)</w:t>
      </w:r>
      <w:r>
        <w:tab/>
        <w:t>A person charged with an offence against subsection (1) or (4) may, instead of being convicted of that offence, be convicted of an offence against section 64A(1), 64AAA(1) or 64AC.</w:t>
      </w:r>
    </w:p>
    <w:p>
      <w:pPr>
        <w:pStyle w:val="Footnotesection"/>
        <w:spacing w:before="80"/>
        <w:ind w:left="890" w:hanging="890"/>
      </w:pPr>
      <w:r>
        <w:tab/>
        <w:t>[Section 64C inserted: No. 27 of 2020 s. 13.]</w:t>
      </w:r>
    </w:p>
    <w:p>
      <w:pPr>
        <w:pStyle w:val="Heading5"/>
      </w:pPr>
      <w:bookmarkStart w:id="68" w:name="_Toc166680416"/>
      <w:r>
        <w:rPr>
          <w:rStyle w:val="CharSectno"/>
        </w:rPr>
        <w:t>64D</w:t>
      </w:r>
      <w:r>
        <w:t>.</w:t>
      </w:r>
      <w:r>
        <w:tab/>
        <w:t>Provisions for s. 64AC, 64B and 64C</w:t>
      </w:r>
      <w:bookmarkEnd w:id="68"/>
      <w:r>
        <w:t xml:space="preserve"> </w:t>
      </w:r>
    </w:p>
    <w:p>
      <w:pPr>
        <w:pStyle w:val="Subsection"/>
      </w:pPr>
      <w:r>
        <w:tab/>
        <w:t>(1)</w:t>
      </w:r>
      <w:r>
        <w:tab/>
        <w:t>If in any proceeding for an offence against section 64AC, 64B or 64C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64D inserted: No. 27 of 2020 s. 13.]</w:t>
      </w:r>
    </w:p>
    <w:p>
      <w:pPr>
        <w:pStyle w:val="Heading5"/>
        <w:spacing w:before="180"/>
        <w:rPr>
          <w:snapToGrid w:val="0"/>
        </w:rPr>
      </w:pPr>
      <w:bookmarkStart w:id="69" w:name="_Toc166680417"/>
      <w:r>
        <w:rPr>
          <w:rStyle w:val="CharSectno"/>
        </w:rPr>
        <w:t>65</w:t>
      </w:r>
      <w:r>
        <w:rPr>
          <w:snapToGrid w:val="0"/>
        </w:rPr>
        <w:t>.</w:t>
      </w:r>
      <w:r>
        <w:rPr>
          <w:snapToGrid w:val="0"/>
        </w:rPr>
        <w:tab/>
        <w:t>Terms used in s. 59 to 73</w:t>
      </w:r>
      <w:bookmarkEnd w:id="69"/>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lastRenderedPageBreak/>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lastRenderedPageBreak/>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lastRenderedPageBreak/>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 No. 27 of 2020 s. 14.]</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70" w:name="_Toc166680418"/>
      <w:r>
        <w:rPr>
          <w:rStyle w:val="CharSectno"/>
        </w:rPr>
        <w:t>65A</w:t>
      </w:r>
      <w:r>
        <w:t>.</w:t>
      </w:r>
      <w:r>
        <w:tab/>
        <w:t>Using breath sample to find blood alcohol content</w:t>
      </w:r>
      <w:bookmarkEnd w:id="70"/>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lastRenderedPageBreak/>
        <w:tab/>
        <w:t>[Section 65A inserted: No. 39 of 2007 s. 10; amended: No. 25 of 2016 s. 9.]</w:t>
      </w:r>
    </w:p>
    <w:p>
      <w:pPr>
        <w:pStyle w:val="Heading5"/>
        <w:keepNext w:val="0"/>
        <w:keepLines w:val="0"/>
        <w:rPr>
          <w:snapToGrid w:val="0"/>
        </w:rPr>
      </w:pPr>
      <w:bookmarkStart w:id="71" w:name="_Toc166680419"/>
      <w:r>
        <w:rPr>
          <w:rStyle w:val="CharSectno"/>
        </w:rPr>
        <w:t>66</w:t>
      </w:r>
      <w:r>
        <w:rPr>
          <w:snapToGrid w:val="0"/>
        </w:rPr>
        <w:t>.</w:t>
      </w:r>
      <w:r>
        <w:rPr>
          <w:snapToGrid w:val="0"/>
        </w:rPr>
        <w:tab/>
      </w:r>
      <w:r>
        <w:t>Police powers to require breath or blood sample</w:t>
      </w:r>
      <w:bookmarkEnd w:id="71"/>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w:t>
      </w:r>
      <w:r>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lastRenderedPageBreak/>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person having provided a sample of </w:t>
      </w:r>
      <w:r>
        <w:t>the person’s</w:t>
      </w:r>
      <w:r>
        <w:rPr>
          <w:snapToGrid w:val="0"/>
        </w:rPr>
        <w:t xml:space="preserve">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t>the person’s</w:t>
      </w:r>
      <w:r>
        <w:rPr>
          <w:snapToGrid w:val="0"/>
        </w:rPr>
        <w:t xml:space="preserve">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lastRenderedPageBreak/>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t>the person was, they have</w:t>
      </w:r>
      <w:r>
        <w:rPr>
          <w:snapToGrid w:val="0"/>
        </w:rPr>
        <w:t xml:space="preserve"> committed an offence against section </w:t>
      </w:r>
      <w:r>
        <w:t>63; or</w:t>
      </w:r>
    </w:p>
    <w:p>
      <w:pPr>
        <w:pStyle w:val="Indenta"/>
        <w:keepNext/>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lastRenderedPageBreak/>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or to allow a sample of blood to be so taken </w:t>
      </w:r>
      <w:r>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w:t>
      </w:r>
      <w:r>
        <w:t>the person’s breath for a preliminary test or for analysis must comply with 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w:t>
      </w:r>
      <w:r>
        <w:t>must not be required under subsection (2) to provide a sample of the person’s</w:t>
      </w:r>
      <w:r>
        <w:rPr>
          <w:snapToGrid w:val="0"/>
        </w:rPr>
        <w:t xml:space="preserve">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 xml:space="preserve">because of </w:t>
      </w:r>
      <w:r>
        <w:t>the person’s physical condition they are</w:t>
      </w:r>
      <w:r>
        <w:rPr>
          <w:snapToGrid w:val="0"/>
        </w:rPr>
        <w:t xml:space="preserve"> incapable of providing the specimen of breath or a specimen of breath in sufficient quantity for analysis.</w:t>
      </w:r>
    </w:p>
    <w:p>
      <w:pPr>
        <w:pStyle w:val="Subsection"/>
        <w:keepNext/>
        <w:rPr>
          <w:snapToGrid w:val="0"/>
        </w:rPr>
      </w:pPr>
      <w:r>
        <w:rPr>
          <w:snapToGrid w:val="0"/>
        </w:rPr>
        <w:lastRenderedPageBreak/>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t>the person’s</w:t>
      </w:r>
      <w:r>
        <w:rPr>
          <w:snapToGrid w:val="0"/>
        </w:rPr>
        <w:t xml:space="preserve">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t>the person’s</w:t>
      </w:r>
      <w:r>
        <w:rPr>
          <w:snapToGrid w:val="0"/>
        </w:rPr>
        <w:t xml:space="preserve"> breath for a preliminary test but it appears to the </w:t>
      </w:r>
      <w:r>
        <w:t>police officer</w:t>
      </w:r>
      <w:r>
        <w:rPr>
          <w:snapToGrid w:val="0"/>
        </w:rPr>
        <w:t xml:space="preserve"> that the physical condition of the person is such as to render </w:t>
      </w:r>
      <w:r>
        <w:t>the person</w:t>
      </w:r>
      <w:r>
        <w:rPr>
          <w:snapToGrid w:val="0"/>
        </w:rPr>
        <w:t xml:space="preserve"> incapable of providing a sample of </w:t>
      </w:r>
      <w:r>
        <w:t>the person’s</w:t>
      </w:r>
      <w:r>
        <w:rPr>
          <w:snapToGrid w:val="0"/>
        </w:rPr>
        <w:t xml:space="preserve">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w:t>
      </w:r>
      <w:r>
        <w:t>must not be required to allow a prescribed sample taker to take a sample of the person’s blood, and a prescribed sample taker must</w:t>
      </w:r>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Ednotesubsection"/>
        <w:spacing w:before="80"/>
      </w:pPr>
      <w:r>
        <w:tab/>
        <w:t>[(6a)</w:t>
      </w:r>
      <w:r>
        <w:tab/>
        <w:t>deleted]</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casualty; and</w:t>
      </w:r>
    </w:p>
    <w:p>
      <w:pPr>
        <w:pStyle w:val="Indenta"/>
      </w:pPr>
      <w:r>
        <w:lastRenderedPageBreak/>
        <w:tab/>
        <w:t>(b)</w:t>
      </w:r>
      <w:r>
        <w:tab/>
        <w:t>a person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casualty,, means bodily harm that the police officer has reasonable grounds to believe is likely to require the attendance of the casualty at a hospital (whether or not that is practicable).</w:t>
      </w:r>
    </w:p>
    <w:p>
      <w:pPr>
        <w:pStyle w:val="Subsection"/>
      </w:pPr>
      <w:r>
        <w:tab/>
        <w:t>(8B)</w:t>
      </w:r>
      <w:r>
        <w:tab/>
        <w:t xml:space="preserve">If this subsection applies, a police officer may — </w:t>
      </w:r>
    </w:p>
    <w:p>
      <w:pPr>
        <w:pStyle w:val="Indenta"/>
      </w:pPr>
      <w:r>
        <w:tab/>
        <w:t>(a)</w:t>
      </w:r>
      <w:r>
        <w:tab/>
        <w:t>require the person to allow a prescribed sample taker to take a sample of the person’s blood for analysis; 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t>must</w:t>
      </w:r>
      <w:r>
        <w:rPr>
          <w:snapToGrid w:val="0"/>
        </w:rPr>
        <w:t xml:space="preserve"> facilitate the provision of medical assistance for that person.</w:t>
      </w:r>
    </w:p>
    <w:p>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lastRenderedPageBreak/>
        <w:tab/>
        <w:t>(a)</w:t>
      </w:r>
      <w:r>
        <w:tab/>
        <w:t xml:space="preserve">the person provides a sample of their breath for analysis pursuant to a requirement made under subsection (2)(c), (ca), (cb), (d) or (e); and </w:t>
      </w:r>
    </w:p>
    <w:p>
      <w:pPr>
        <w:pStyle w:val="Indenta"/>
      </w:pPr>
      <w:r>
        <w:tab/>
        <w:t>(b)</w:t>
      </w:r>
      <w:r>
        <w:tab/>
        <w:t xml:space="preserve">the analysis result obtained pursuant to section 68 indicates — </w:t>
      </w:r>
    </w:p>
    <w:p>
      <w:pPr>
        <w:pStyle w:val="Indenti"/>
      </w:pPr>
      <w:r>
        <w:tab/>
        <w:t>(i)</w:t>
      </w:r>
      <w:r>
        <w:tab/>
        <w:t>that there is no alcohol present in the blood of the person; or</w:t>
      </w:r>
    </w:p>
    <w:p>
      <w:pPr>
        <w:pStyle w:val="Indenti"/>
      </w:pPr>
      <w:r>
        <w:tab/>
        <w:t>(ii)</w:t>
      </w:r>
      <w:r>
        <w:tab/>
        <w:t>that the person’s blood alcohol content is such that it does not reasonably explain the conduct, condition or appearance of the person by reason of which the requirement was made.</w:t>
      </w:r>
    </w:p>
    <w:p>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requirement under subsection (11)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Pr>
          <w:i/>
        </w:rPr>
        <w:t>; No. 27 of 2020 s. 15</w:t>
      </w:r>
      <w:r>
        <w:rPr>
          <w:i/>
          <w:snapToGrid w:val="0"/>
        </w:rP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72" w:name="_Toc166680420"/>
      <w:r>
        <w:rPr>
          <w:rStyle w:val="CharSectno"/>
        </w:rPr>
        <w:lastRenderedPageBreak/>
        <w:t>66A</w:t>
      </w:r>
      <w:r>
        <w:t>.</w:t>
      </w:r>
      <w:r>
        <w:tab/>
        <w:t>Drug impairment, police powers to require driver assessment for etc.</w:t>
      </w:r>
      <w:bookmarkEnd w:id="72"/>
    </w:p>
    <w:p>
      <w:pPr>
        <w:pStyle w:val="Subsection"/>
        <w:keepNext/>
        <w:keepLines/>
      </w:pPr>
      <w:r>
        <w:tab/>
        <w:t>(1A)</w:t>
      </w:r>
      <w:r>
        <w:tab/>
        <w:t>In this section an instructor providing driving instruction to a learner driver is not to be taken, under section 49AA, to be in charge of the motor vehicle driven by the learner driver.</w:t>
      </w:r>
    </w:p>
    <w:p>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lastRenderedPageBreak/>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pPr>
      <w:bookmarkStart w:id="73" w:name="_Toc166680421"/>
      <w:r>
        <w:rPr>
          <w:rStyle w:val="CharSectno"/>
        </w:rPr>
        <w:t>66B</w:t>
      </w:r>
      <w:r>
        <w:t>.</w:t>
      </w:r>
      <w:r>
        <w:tab/>
        <w:t>Police powers to require blood sample for drug analysis</w:t>
      </w:r>
      <w:bookmarkEnd w:id="73"/>
    </w:p>
    <w:p>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lastRenderedPageBreak/>
        <w:tab/>
        <w:t>(a)</w:t>
      </w:r>
      <w:r>
        <w:tab/>
        <w:t>the person underwent a driver assessment and it appears to a police officer that the assessment indicates that the person is drug impaired; or</w:t>
      </w:r>
    </w:p>
    <w:p>
      <w:pPr>
        <w:pStyle w:val="Indenta"/>
      </w:pPr>
      <w:r>
        <w:tab/>
        <w:t>(b)</w:t>
      </w:r>
      <w:r>
        <w:tab/>
        <w:t xml:space="preserve">the person refuses or fails to undergo a driver assessment having been required to do so; or </w:t>
      </w:r>
    </w:p>
    <w:p>
      <w:pPr>
        <w:pStyle w:val="Indenta"/>
      </w:pPr>
      <w:r>
        <w:tab/>
        <w:t>(c)</w:t>
      </w:r>
      <w:r>
        <w:tab/>
        <w:t>a police officer might require a person to undergo a driver assessment but is precluded from doing so by section 66A(6)(b).</w:t>
      </w:r>
    </w:p>
    <w:p>
      <w:pPr>
        <w:pStyle w:val="Subsection"/>
      </w:pPr>
      <w:r>
        <w:tab/>
        <w:t>(2)</w:t>
      </w:r>
      <w:r>
        <w:tab/>
        <w:t>If a person is incapable of complying with a requirement under subsection (1), a police officer may cause a prescribed sample taker to take a sample of the person’s blood for analysis.</w:t>
      </w:r>
    </w:p>
    <w:p>
      <w:pPr>
        <w:pStyle w:val="Subsection"/>
      </w:pPr>
      <w:r>
        <w:tab/>
        <w:t>(3)</w:t>
      </w:r>
      <w:r>
        <w:tab/>
        <w:t>If a person is apparently unconscious or seriously injured a police officer must facilitate the provision of medical assistance for the person.</w:t>
      </w:r>
    </w:p>
    <w:p>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Footnotesection"/>
      </w:pPr>
      <w:r>
        <w:tab/>
        <w:t>[Section 66B inserted: No. 27 of 2020 s. 16.]</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74" w:name="_Toc166680422"/>
      <w:r>
        <w:rPr>
          <w:rStyle w:val="CharSectno"/>
        </w:rPr>
        <w:t>66C</w:t>
      </w:r>
      <w:r>
        <w:t>.</w:t>
      </w:r>
      <w:r>
        <w:tab/>
        <w:t>P</w:t>
      </w:r>
      <w:r>
        <w:rPr>
          <w:snapToGrid w:val="0"/>
        </w:rPr>
        <w:t>reliminary oral fluid test, police powers to require etc.</w:t>
      </w:r>
      <w:bookmarkEnd w:id="74"/>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w:t>
      </w:r>
      <w:r>
        <w:rPr>
          <w:snapToGrid w:val="0"/>
        </w:rPr>
        <w:lastRenderedPageBreak/>
        <w:t>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lastRenderedPageBreak/>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75" w:name="_Toc166680423"/>
      <w:r>
        <w:rPr>
          <w:rStyle w:val="CharSectno"/>
        </w:rPr>
        <w:t>66D</w:t>
      </w:r>
      <w:r>
        <w:t>.</w:t>
      </w:r>
      <w:r>
        <w:tab/>
        <w:t>Oral fluid sample, police powers to require etc.</w:t>
      </w:r>
      <w:bookmarkEnd w:id="75"/>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lastRenderedPageBreak/>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76" w:name="_Toc166680424"/>
      <w:r>
        <w:rPr>
          <w:rStyle w:val="CharSectno"/>
        </w:rPr>
        <w:t>66E</w:t>
      </w:r>
      <w:r>
        <w:t>.</w:t>
      </w:r>
      <w:r>
        <w:tab/>
        <w:t>Blood sample instead of oral fluid sample, police powers to require etc.</w:t>
      </w:r>
      <w:bookmarkEnd w:id="76"/>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w:t>
      </w:r>
      <w:r>
        <w:rPr>
          <w:snapToGrid w:val="0"/>
        </w:rPr>
        <w:lastRenderedPageBreak/>
        <w:t xml:space="preserve">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77" w:name="_Toc166680425"/>
      <w:r>
        <w:rPr>
          <w:rStyle w:val="CharSectno"/>
        </w:rPr>
        <w:t>66F</w:t>
      </w:r>
      <w:r>
        <w:t>.</w:t>
      </w:r>
      <w:r>
        <w:tab/>
        <w:t>Prescribed sample takers authorised to take blood samples</w:t>
      </w:r>
      <w:bookmarkEnd w:id="77"/>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78" w:name="_Toc166680426"/>
      <w:r>
        <w:rPr>
          <w:rStyle w:val="CharSectno"/>
        </w:rPr>
        <w:t>67</w:t>
      </w:r>
      <w:r>
        <w:rPr>
          <w:snapToGrid w:val="0"/>
        </w:rPr>
        <w:t>.</w:t>
      </w:r>
      <w:r>
        <w:rPr>
          <w:snapToGrid w:val="0"/>
        </w:rPr>
        <w:tab/>
        <w:t>Failure to comply with s. 66 requirement to provide sample, allow sample to be taken or to accompany police officer</w:t>
      </w:r>
      <w:bookmarkEnd w:id="78"/>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under section 66 to do one or more of the following — </w:t>
      </w:r>
    </w:p>
    <w:p>
      <w:pPr>
        <w:pStyle w:val="Defpara"/>
      </w:pPr>
      <w:r>
        <w:tab/>
        <w:t>(a)</w:t>
      </w:r>
      <w:r>
        <w:tab/>
        <w:t>provide a sample of the person’s breath for analysis;</w:t>
      </w:r>
    </w:p>
    <w:p>
      <w:pPr>
        <w:pStyle w:val="Defpara"/>
      </w:pPr>
      <w:r>
        <w:lastRenderedPageBreak/>
        <w:tab/>
        <w:t>(b)</w:t>
      </w:r>
      <w:r>
        <w:tab/>
        <w:t>allow a prescribed sample taker to take a sample of the person’s blood for analysis;</w:t>
      </w:r>
    </w:p>
    <w:p>
      <w:pPr>
        <w:pStyle w:val="Defpara"/>
      </w:pPr>
      <w:r>
        <w:tab/>
        <w:t>(c)</w:t>
      </w:r>
      <w:r>
        <w:tab/>
        <w:t>accompany a police officer to a police station or some other place, and to wait at that place.</w:t>
      </w:r>
    </w:p>
    <w:p>
      <w:pPr>
        <w:pStyle w:val="Subsection"/>
      </w:pPr>
      <w:r>
        <w:tab/>
        <w:t>(2)</w:t>
      </w:r>
      <w:r>
        <w:tab/>
        <w:t xml:space="preserve">A person, other than a person to whom section 68A(3) applies, commits an offence if the person fails to comply with a requirement. </w:t>
      </w:r>
    </w:p>
    <w:p>
      <w:pPr>
        <w:pStyle w:val="Penstart"/>
      </w:pPr>
      <w:r>
        <w:tab/>
        <w:t>Penalty for this subsection:</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 xml:space="preserve">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w:t>
      </w:r>
      <w:r>
        <w:lastRenderedPageBreak/>
        <w:t>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(2A)</w:t>
      </w:r>
      <w:r>
        <w:tab/>
        <w:t>For the purposes of subsection (2), a previous conviction for an offence against subsection (3) or section 63 or 67AD(6) is taken to be a previous offence against subsection (2).</w:t>
      </w:r>
    </w:p>
    <w:p>
      <w:pPr>
        <w:pStyle w:val="Subsection"/>
      </w:pPr>
      <w:r>
        <w:tab/>
        <w:t>(3)</w:t>
      </w:r>
      <w:r>
        <w:tab/>
        <w:t xml:space="preserve">A person, other than a person to whom section 68A(3) applies, commits a crime if — </w:t>
      </w:r>
    </w:p>
    <w:p>
      <w:pPr>
        <w:pStyle w:val="Indenta"/>
      </w:pPr>
      <w:r>
        <w:tab/>
        <w:t>(a)</w:t>
      </w:r>
      <w:r>
        <w:tab/>
        <w:t>a police officer makes a requirement of the person; and</w:t>
      </w:r>
    </w:p>
    <w:p>
      <w:pPr>
        <w:pStyle w:val="Indenta"/>
      </w:pPr>
      <w:r>
        <w:tab/>
        <w:t>(b)</w:t>
      </w:r>
      <w:r>
        <w:tab/>
        <w:t xml:space="preserve">when the police officer makes the requirement of the person, the police officer — </w:t>
      </w:r>
    </w:p>
    <w:p>
      <w:pPr>
        <w:pStyle w:val="Indenti"/>
      </w:pPr>
      <w:r>
        <w:lastRenderedPageBreak/>
        <w:tab/>
        <w:t>(i)</w:t>
      </w:r>
      <w:r>
        <w:tab/>
        <w:t>advises the person concerned that the police officer believes that the motor vehicle of which the person was, or is believed to have been, the driver has been involved in an incident occasioning the death of, or grievous bodily harm or bodily harm to, another person; and</w:t>
      </w:r>
    </w:p>
    <w:p>
      <w:pPr>
        <w:pStyle w:val="Indenti"/>
      </w:pPr>
      <w:r>
        <w:tab/>
        <w:t>(ii)</w:t>
      </w:r>
      <w:r>
        <w:tab/>
        <w:t>explains to the person the consequences under this subsection of failing to comply with the requirement;</w:t>
      </w:r>
    </w:p>
    <w:p>
      <w:pPr>
        <w:pStyle w:val="Indenta"/>
      </w:pPr>
      <w:r>
        <w:tab/>
      </w:r>
      <w:r>
        <w:tab/>
        <w:t>and</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imprisonment for 14 years;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pPr>
        <w:pStyle w:val="Penstart"/>
      </w:pPr>
      <w:r>
        <w:tab/>
        <w:t>Summary conviction penalty for this subsection in a case in which the incident does not occasion the death of another person:</w:t>
      </w:r>
    </w:p>
    <w:p>
      <w:pPr>
        <w:pStyle w:val="Penpara"/>
      </w:pPr>
      <w:r>
        <w:tab/>
        <w:t>(a)</w:t>
      </w:r>
      <w:r>
        <w:tab/>
        <w:t>imprisonment for 18 months or a fine of 160 PU;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pPr>
        <w:pStyle w:val="Subsection"/>
      </w:pPr>
      <w:r>
        <w:tab/>
        <w:t>(3A)</w:t>
      </w:r>
      <w:r>
        <w:tab/>
        <w:t>A person who commits an offence against subsection (2) or (3) may be arrested without warrant.</w:t>
      </w:r>
    </w:p>
    <w:p>
      <w:pPr>
        <w:pStyle w:val="Subsection"/>
      </w:pPr>
      <w:r>
        <w:tab/>
        <w:t>(3B)</w:t>
      </w:r>
      <w:r>
        <w:tab/>
        <w:t>A person charged with an offence against subsection (3) may, instead of being convicted of that offence, be convicted of an offence against subsection (2).</w:t>
      </w:r>
    </w:p>
    <w:p>
      <w:pPr>
        <w:pStyle w:val="Ednotesubsection"/>
        <w:spacing w:before="80"/>
      </w:pPr>
      <w:r>
        <w:tab/>
        <w:t>[(4)</w:t>
      </w:r>
      <w:r>
        <w:tab/>
        <w:t>deleted]</w:t>
      </w:r>
    </w:p>
    <w:p>
      <w:pPr>
        <w:pStyle w:val="Subsection"/>
        <w:rPr>
          <w:snapToGrid w:val="0"/>
        </w:rPr>
      </w:pPr>
      <w:r>
        <w:rPr>
          <w:snapToGrid w:val="0"/>
        </w:rPr>
        <w:lastRenderedPageBreak/>
        <w:tab/>
        <w:t>(5)</w:t>
      </w:r>
      <w:r>
        <w:rPr>
          <w:snapToGrid w:val="0"/>
        </w:rPr>
        <w:tab/>
        <w:t xml:space="preserve">It </w:t>
      </w:r>
      <w:r>
        <w:t>is</w:t>
      </w:r>
      <w:r>
        <w:rPr>
          <w:snapToGrid w:val="0"/>
        </w:rPr>
        <w:t xml:space="preserve"> a defence to a prosecution for an offence against this section if the accused satisfies the court that there was some substantial reason for </w:t>
      </w:r>
      <w:r>
        <w:t>the accused’s</w:t>
      </w:r>
      <w:r>
        <w:rPr>
          <w:snapToGrid w:val="0"/>
        </w:rPr>
        <w:t xml:space="preserve"> failure to comply other than a desire to avoid providing information that might be used as evidence.</w:t>
      </w:r>
    </w:p>
    <w:p>
      <w:pPr>
        <w:pStyle w:val="Ednotesubsection"/>
        <w:spacing w:before="80"/>
      </w:pPr>
      <w:r>
        <w:tab/>
        <w:t>[(6)</w:t>
      </w:r>
      <w:r>
        <w:tab/>
        <w:t>deleted]</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 No. 27 of 2020 s. 17.]</w:t>
      </w:r>
    </w:p>
    <w:p>
      <w:pPr>
        <w:pStyle w:val="Heading5"/>
        <w:spacing w:before="180"/>
        <w:rPr>
          <w:snapToGrid w:val="0"/>
        </w:rPr>
      </w:pPr>
      <w:bookmarkStart w:id="79" w:name="_Toc166680427"/>
      <w:r>
        <w:rPr>
          <w:rStyle w:val="CharSectno"/>
        </w:rPr>
        <w:t>67AA</w:t>
      </w:r>
      <w:r>
        <w:rPr>
          <w:snapToGrid w:val="0"/>
        </w:rPr>
        <w:t>.</w:t>
      </w:r>
      <w:r>
        <w:rPr>
          <w:snapToGrid w:val="0"/>
        </w:rPr>
        <w:tab/>
      </w:r>
      <w:r>
        <w:t>Failure to comply with s. 66A or 66B requirement to do driver assessment, provide blood sample or accompany police officer</w:t>
      </w:r>
      <w:bookmarkEnd w:id="79"/>
    </w:p>
    <w:p>
      <w:pPr>
        <w:pStyle w:val="Subsection"/>
        <w:rPr>
          <w:snapToGrid w:val="0"/>
        </w:rPr>
      </w:pPr>
      <w:r>
        <w:tab/>
        <w:t>(1)</w:t>
      </w:r>
      <w:r>
        <w:tab/>
        <w:t xml:space="preserve">A person </w:t>
      </w:r>
      <w:r>
        <w:rPr>
          <w:snapToGrid w:val="0"/>
        </w:rPr>
        <w:t xml:space="preserve">commits an offence if the person fails to comply with a requirement — </w:t>
      </w:r>
    </w:p>
    <w:p>
      <w:pPr>
        <w:pStyle w:val="Indenta"/>
      </w:pPr>
      <w:r>
        <w:tab/>
        <w:t>(a)</w:t>
      </w:r>
      <w:r>
        <w:tab/>
        <w:t>to undergo a driver assessment; or</w:t>
      </w:r>
    </w:p>
    <w:p>
      <w:pPr>
        <w:pStyle w:val="Indenta"/>
      </w:pPr>
      <w:r>
        <w:tab/>
        <w:t>(b)</w:t>
      </w:r>
      <w:r>
        <w:tab/>
        <w:t>to allow a prescribed sample taker to take a sample of the person’s blood for analysis under section 66B(1); or</w:t>
      </w:r>
    </w:p>
    <w:p>
      <w:pPr>
        <w:pStyle w:val="Indenta"/>
      </w:pPr>
      <w:r>
        <w:tab/>
        <w:t>(c)</w:t>
      </w:r>
      <w:r>
        <w:tab/>
        <w:t>to accompany a police officer to a place and to wait at that place under section 66B(1).</w:t>
      </w:r>
    </w:p>
    <w:p>
      <w:pPr>
        <w:pStyle w:val="Penstart"/>
        <w:keepNext/>
      </w:pPr>
      <w:r>
        <w:tab/>
        <w:t xml:space="preserve">Penalty for this subsection: </w:t>
      </w:r>
    </w:p>
    <w:p>
      <w:pPr>
        <w:pStyle w:val="Penpara"/>
        <w:keepNext/>
      </w:pPr>
      <w:r>
        <w:tab/>
        <w:t>(a)</w:t>
      </w:r>
      <w:r>
        <w:tab/>
        <w:t xml:space="preserve">for a first offence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(b)</w:t>
      </w:r>
      <w:r>
        <w:tab/>
        <w:t xml:space="preserve">for a second offence — </w:t>
      </w:r>
    </w:p>
    <w:p>
      <w:pPr>
        <w:pStyle w:val="Pensubpara"/>
      </w:pPr>
      <w:r>
        <w:lastRenderedPageBreak/>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(c)</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lastRenderedPageBreak/>
        <w:tab/>
        <w:t>[Section 67AA inserted: No. 6 of 2007 s. 10; amended: No. 14 of 2011 s. 14; No. 8 of 2012 s. 37; No. 25 of 2016 s. 40; No. 27 of 2020 s. 18.]</w:t>
      </w:r>
    </w:p>
    <w:p>
      <w:pPr>
        <w:pStyle w:val="Heading5"/>
        <w:rPr>
          <w:snapToGrid w:val="0"/>
        </w:rPr>
      </w:pPr>
      <w:bookmarkStart w:id="80" w:name="_Toc166680428"/>
      <w:r>
        <w:rPr>
          <w:rStyle w:val="CharSectno"/>
        </w:rPr>
        <w:t>67AB</w:t>
      </w:r>
      <w:r>
        <w:rPr>
          <w:snapToGrid w:val="0"/>
        </w:rPr>
        <w:t>.</w:t>
      </w:r>
      <w:r>
        <w:rPr>
          <w:snapToGrid w:val="0"/>
        </w:rPr>
        <w:tab/>
        <w:t>Failure to comply with s. 66D or 66E requirement to provide oral fluid, blood sample</w:t>
      </w:r>
      <w:r>
        <w:t xml:space="preserve"> or accompany police officer</w:t>
      </w:r>
      <w:bookmarkEnd w:id="80"/>
    </w:p>
    <w:p>
      <w:pPr>
        <w:pStyle w:val="Subsection"/>
      </w:pPr>
      <w:r>
        <w:tab/>
        <w:t>(1)</w:t>
      </w:r>
      <w:r>
        <w:tab/>
        <w:t xml:space="preserve">A person, other than a person to whom section 68A(3) applies, commits an offence if the person fails to comply with a requirement made by a police officer — </w:t>
      </w:r>
    </w:p>
    <w:p>
      <w:pPr>
        <w:pStyle w:val="Indenta"/>
      </w:pPr>
      <w:r>
        <w:tab/>
        <w:t>(a)</w:t>
      </w:r>
      <w:r>
        <w:tab/>
        <w:t>to provide a sample of oral fluid under section 66D; or</w:t>
      </w:r>
    </w:p>
    <w:p>
      <w:pPr>
        <w:pStyle w:val="Indenta"/>
      </w:pPr>
      <w:r>
        <w:tab/>
        <w:t>(b)</w:t>
      </w:r>
      <w:r>
        <w:tab/>
        <w:t>to allow a sample of blood to be taken under section 66E; or</w:t>
      </w:r>
    </w:p>
    <w:p>
      <w:pPr>
        <w:pStyle w:val="Indenta"/>
      </w:pPr>
      <w:r>
        <w:tab/>
        <w:t>(c)</w:t>
      </w:r>
      <w:r>
        <w:tab/>
        <w:t>to accompany a police officer to a place and to wait at that place under section 66D or 66E.</w:t>
      </w:r>
    </w:p>
    <w:p>
      <w:pPr>
        <w:pStyle w:val="Penstart"/>
      </w:pPr>
      <w:r>
        <w:tab/>
        <w:t>Penalty for this subsection:</w:t>
      </w:r>
    </w:p>
    <w:p>
      <w:pPr>
        <w:pStyle w:val="Penpara"/>
      </w:pPr>
      <w:r>
        <w:tab/>
        <w:t>(a)</w:t>
      </w:r>
      <w:r>
        <w:tab/>
        <w:t xml:space="preserve">for a first offence, a fine of not more than 25 PU; </w:t>
      </w:r>
    </w:p>
    <w:p>
      <w:pPr>
        <w:pStyle w:val="Penpara"/>
      </w:pPr>
      <w:r>
        <w:tab/>
        <w:t>(b)</w:t>
      </w:r>
      <w:r>
        <w:tab/>
        <w:t xml:space="preserve">for a second or subsequent offence — </w:t>
      </w:r>
    </w:p>
    <w:p>
      <w:pPr>
        <w:pStyle w:val="Pensubpara"/>
      </w:pPr>
      <w:r>
        <w:tab/>
        <w:t>(i)</w:t>
      </w:r>
      <w:r>
        <w:tab/>
        <w:t>a fine of not less than 25 PU or more than 40 PU; and</w:t>
      </w:r>
    </w:p>
    <w:p>
      <w:pPr>
        <w:pStyle w:val="Pensubpara"/>
      </w:pPr>
      <w:r>
        <w:tab/>
        <w:t>(ii)</w:t>
      </w:r>
      <w:r>
        <w:tab/>
        <w:t>the court convicting the person must, in any event, order that the person be disqualified from holding or obtaining a driver’s licence for a period of not less than 6 months.</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64AC, 64B, 64C, 67, 67AA, 67AC or 67AD must</w:t>
      </w:r>
      <w:r>
        <w:rPr>
          <w:snapToGrid w:val="0"/>
        </w:rPr>
        <w:t xml:space="preserve"> be taken into account and be deemed to have been an offence against this section (but not to the exclusion of any other previous offence against this </w:t>
      </w:r>
      <w:r>
        <w:rPr>
          <w:snapToGrid w:val="0"/>
        </w:rPr>
        <w:lastRenderedPageBreak/>
        <w:t>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 No. 27 of 2020 s. 19.]</w:t>
      </w:r>
    </w:p>
    <w:p>
      <w:pPr>
        <w:pStyle w:val="Heading5"/>
      </w:pPr>
      <w:bookmarkStart w:id="81" w:name="_Toc166680429"/>
      <w:r>
        <w:rPr>
          <w:rStyle w:val="CharSectno"/>
        </w:rPr>
        <w:t>67AC</w:t>
      </w:r>
      <w:r>
        <w:t>.</w:t>
      </w:r>
      <w:r>
        <w:tab/>
        <w:t>Failure to comply with drug test requirement for certain persons with any blood alcohol content</w:t>
      </w:r>
      <w:bookmarkEnd w:id="81"/>
      <w:r>
        <w:t xml:space="preserve"> </w:t>
      </w:r>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any blood alcohol content;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lastRenderedPageBreak/>
        <w:tab/>
        <w:t>(c)</w:t>
      </w:r>
      <w:r>
        <w:tab/>
        <w:t>the police officer makes a requirement of the person; and</w:t>
      </w:r>
    </w:p>
    <w:p>
      <w:pPr>
        <w:pStyle w:val="Indenta"/>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(3)</w:t>
      </w:r>
      <w:r>
        <w:tab/>
        <w:t>For the purposes of subsection (2), a previous conviction for an offence against subsection (4) or section 63, 64, 64AA, 64AB, 64B, 67, 67AA, 67AB or 67AD is taken to be a previous offence against subsection (2).</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lastRenderedPageBreak/>
        <w:tab/>
        <w:t>(c)</w:t>
      </w:r>
      <w:r>
        <w:tab/>
        <w:t>the police officer makes a requirement of the person; and</w:t>
      </w:r>
    </w:p>
    <w:p>
      <w:pPr>
        <w:pStyle w:val="Indenta"/>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64AB, 64B, 67, 67AA, 67AB or 67AD is taken to be a previous offence against subsection (4).</w:t>
      </w:r>
    </w:p>
    <w:p>
      <w:pPr>
        <w:pStyle w:val="Footnotesection"/>
      </w:pPr>
      <w:r>
        <w:tab/>
        <w:t>[Section 67AC inserted: No. 27 of 2020 s. 20.]</w:t>
      </w:r>
    </w:p>
    <w:p>
      <w:pPr>
        <w:pStyle w:val="Heading5"/>
      </w:pPr>
      <w:bookmarkStart w:id="82" w:name="_Toc166680430"/>
      <w:r>
        <w:rPr>
          <w:rStyle w:val="CharSectno"/>
        </w:rPr>
        <w:t>67AD</w:t>
      </w:r>
      <w:r>
        <w:t>.</w:t>
      </w:r>
      <w:r>
        <w:tab/>
        <w:t>Failure to comply with drug test requirement for persons with blood alcohol content of or above 0.05</w:t>
      </w:r>
      <w:bookmarkEnd w:id="82"/>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lastRenderedPageBreak/>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pPr>
      <w:r>
        <w:tab/>
        <w:t xml:space="preserve">Penalty for this subsection: </w:t>
      </w:r>
      <w:r>
        <w:tab/>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lastRenderedPageBreak/>
        <w:tab/>
        <w:t>(3)</w:t>
      </w:r>
      <w:r>
        <w:tab/>
        <w:t xml:space="preserve">For the purposes of subsection (2), a previous conviction for an offence against subsection (4) or (6) or section 63, 64AB, 64B, 67 or 67AA is taken to be a previous offence against subsection (2). </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pPr>
        <w:pStyle w:val="Indenta"/>
      </w:pPr>
      <w:r>
        <w:tab/>
        <w:t>(b)</w:t>
      </w:r>
      <w:r>
        <w:tab/>
        <w:t xml:space="preserve">the police officer makes a requirement of the person; and </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pPr>
              <w:pStyle w:val="TableNAm"/>
              <w:rPr>
                <w:sz w:val="18"/>
                <w:szCs w:val="18"/>
              </w:rPr>
            </w:pPr>
            <w:r>
              <w:rPr>
                <w:sz w:val="18"/>
                <w:szCs w:val="18"/>
              </w:rPr>
              <w:t>51 PU</w:t>
            </w:r>
            <w:r>
              <w:rPr>
                <w:sz w:val="18"/>
                <w:szCs w:val="18"/>
              </w:rPr>
              <w:br/>
              <w:t>68 PU</w:t>
            </w:r>
            <w:r>
              <w:rPr>
                <w:sz w:val="18"/>
                <w:szCs w:val="18"/>
              </w:rPr>
              <w:br/>
              <w:t>20 months</w:t>
            </w:r>
          </w:p>
        </w:tc>
      </w:tr>
      <w:tr>
        <w:trPr>
          <w:cantSplit/>
        </w:trP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lastRenderedPageBreak/>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(5)</w:t>
      </w:r>
      <w:r>
        <w:tab/>
        <w:t xml:space="preserve">For the purposes of subsection (4), a previous conviction for an offence against subsection (6) or section 63, 64AB, 64B(3), 67 or 67AA is taken to be a previous offence against subsection (4). </w:t>
      </w:r>
    </w:p>
    <w:p>
      <w:pPr>
        <w:pStyle w:val="Subsection"/>
      </w:pPr>
      <w:r>
        <w:tab/>
        <w:t>(6)</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keepNex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 xml:space="preserve">the court convicting the person must, in any event, order that the person be disqualified from holding or obtaining a driver’s licence for a period of not less than the minimum period of disqualification that would apply if </w:t>
      </w:r>
      <w:r>
        <w:lastRenderedPageBreak/>
        <w:t>the offence were against section 64 instead of this section;</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 xml:space="preserve">the court convicting the person must, in any event, order that the person be permanently </w:t>
      </w:r>
      <w:r>
        <w:lastRenderedPageBreak/>
        <w:t>disqualified from holding or obtaining a driver’s licence.</w:t>
      </w:r>
    </w:p>
    <w:p>
      <w:pPr>
        <w:pStyle w:val="Subsection"/>
      </w:pPr>
      <w:r>
        <w:tab/>
        <w:t>(7)</w:t>
      </w:r>
      <w:r>
        <w:tab/>
        <w:t xml:space="preserve">For the purposes of subsection (6), a previous conviction for an offence against section 63, 64AB, 67 or 67AA is taken to be a previous offence against subsection (6). </w:t>
      </w:r>
    </w:p>
    <w:p>
      <w:pPr>
        <w:pStyle w:val="Footnotesection"/>
      </w:pPr>
      <w:r>
        <w:tab/>
        <w:t>[Section 67AD inserted: No. 27 of 2020 s. 20.]</w:t>
      </w:r>
    </w:p>
    <w:p>
      <w:pPr>
        <w:pStyle w:val="Heading5"/>
      </w:pPr>
      <w:bookmarkStart w:id="83" w:name="_Toc166680431"/>
      <w:r>
        <w:rPr>
          <w:rStyle w:val="CharSectno"/>
        </w:rPr>
        <w:t>67AE</w:t>
      </w:r>
      <w:r>
        <w:t>.</w:t>
      </w:r>
      <w:r>
        <w:tab/>
        <w:t>Provisions for s. 67AC and 67AD</w:t>
      </w:r>
      <w:bookmarkEnd w:id="83"/>
      <w:r>
        <w:t xml:space="preserve"> </w:t>
      </w:r>
    </w:p>
    <w:p>
      <w:pPr>
        <w:pStyle w:val="Subsection"/>
      </w:pPr>
      <w:r>
        <w:tab/>
        <w:t>(1)</w:t>
      </w:r>
      <w:r>
        <w:tab/>
        <w:t>A person who commits an offence against section 67AC or 67AD may be arrested without warrant.</w:t>
      </w:r>
    </w:p>
    <w:p>
      <w:pPr>
        <w:pStyle w:val="Subsection"/>
      </w:pPr>
      <w:r>
        <w:tab/>
        <w:t>(2)</w:t>
      </w:r>
      <w:r>
        <w:tab/>
        <w:t xml:space="preserve">A person charged with an offence against section 67AC or 67AD may, instead of being convicted of that offence, be convicted of — </w:t>
      </w:r>
    </w:p>
    <w:p>
      <w:pPr>
        <w:pStyle w:val="Indenta"/>
      </w:pPr>
      <w:r>
        <w:tab/>
        <w:t>(a)</w:t>
      </w:r>
      <w:r>
        <w:tab/>
        <w:t>an offence against section 67, 67AA or 67AB; or</w:t>
      </w:r>
    </w:p>
    <w:p>
      <w:pPr>
        <w:pStyle w:val="Indenta"/>
      </w:pPr>
      <w:r>
        <w:tab/>
        <w:t>(b)</w:t>
      </w:r>
      <w:r>
        <w:tab/>
        <w:t>another offence against section 67AC or 67AD.</w:t>
      </w:r>
    </w:p>
    <w:p>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pPr>
        <w:pStyle w:val="Footnotesection"/>
      </w:pPr>
      <w:r>
        <w:tab/>
        <w:t>[Section 67AE inserted: No. 27 of 2020 s. 20.]</w:t>
      </w:r>
    </w:p>
    <w:p>
      <w:pPr>
        <w:pStyle w:val="Heading5"/>
        <w:rPr>
          <w:snapToGrid w:val="0"/>
        </w:rPr>
      </w:pPr>
      <w:bookmarkStart w:id="84" w:name="_Toc166680432"/>
      <w:r>
        <w:rPr>
          <w:rStyle w:val="CharSectno"/>
        </w:rPr>
        <w:lastRenderedPageBreak/>
        <w:t>67A</w:t>
      </w:r>
      <w:r>
        <w:rPr>
          <w:snapToGrid w:val="0"/>
        </w:rPr>
        <w:t>.</w:t>
      </w:r>
      <w:r>
        <w:rPr>
          <w:snapToGrid w:val="0"/>
        </w:rPr>
        <w:tab/>
        <w:t>Failure to comply with other requirements of police officer</w:t>
      </w:r>
      <w:bookmarkEnd w:id="84"/>
    </w:p>
    <w:p>
      <w:pPr>
        <w:pStyle w:val="Subsection"/>
        <w:keepNext/>
        <w:keepLines/>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w:t>
      </w:r>
      <w:r>
        <w:t xml:space="preserve">67(1), </w:t>
      </w:r>
      <w:r>
        <w:rPr>
          <w:snapToGrid w:val="0"/>
        </w:rPr>
        <w:t xml:space="preserve">67AA(1), </w:t>
      </w:r>
      <w:r>
        <w:t>67AB(1), 67AC or 67AD,</w:t>
      </w:r>
      <w:r>
        <w:rPr>
          <w:snapToGrid w:val="0"/>
        </w:rPr>
        <w:t xml:space="preserve">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t>their</w:t>
      </w:r>
      <w:r>
        <w:rPr>
          <w:snapToGrid w:val="0"/>
        </w:rPr>
        <w:t xml:space="preserve"> failing to co</w:t>
      </w:r>
      <w:r>
        <w:rPr>
          <w:snapToGrid w:val="0"/>
        </w:rPr>
        <w:noBreakHyphen/>
        <w:t xml:space="preserve">operate in the taking of a sample of a person’s blood for </w:t>
      </w:r>
      <w:r>
        <w:t>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9 PU or more than 24 PU; and the court convicting that person must, in any event, order that the person</w:t>
      </w:r>
      <w:r>
        <w:rPr>
          <w:snapToGrid w:val="0"/>
        </w:rPr>
        <w:t xml:space="preserve"> be disqualified from holding or obtaining a driver’s licence for a period of not less than 3 months;</w:t>
      </w:r>
    </w:p>
    <w:p>
      <w:pPr>
        <w:pStyle w:val="Indenta"/>
        <w:rPr>
          <w:snapToGrid w:val="0"/>
        </w:rPr>
      </w:pPr>
      <w:r>
        <w:rPr>
          <w:snapToGrid w:val="0"/>
        </w:rPr>
        <w:tab/>
        <w:t>(b)</w:t>
      </w:r>
      <w:r>
        <w:rPr>
          <w:snapToGrid w:val="0"/>
        </w:rPr>
        <w:tab/>
        <w:t xml:space="preserve">for any subsequent offence, to a fine of not less than </w:t>
      </w:r>
      <w:r>
        <w:t>18 PU or more than 42 PU; and the court convicting that person must, in any event, order that the person</w:t>
      </w:r>
      <w:r>
        <w:rPr>
          <w:snapToGrid w:val="0"/>
        </w:rPr>
        <w:t xml:space="preserv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 xml:space="preserve">It </w:t>
      </w:r>
      <w:r>
        <w:t>is a defence to a prosecution for an offence against this section if the accused satisfies the court that there was some substantial reason for the accused’s</w:t>
      </w:r>
      <w:r>
        <w:rPr>
          <w:snapToGrid w:val="0"/>
        </w:rPr>
        <w:t xml:space="preserve"> failure to comply other than </w:t>
      </w:r>
      <w:r>
        <w:rPr>
          <w:snapToGrid w:val="0"/>
        </w:rPr>
        <w:lastRenderedPageBreak/>
        <w:t>a desire to avoid providing information that might be used as evidence.</w:t>
      </w:r>
    </w:p>
    <w:p>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t xml:space="preserve">their breath for a preliminary test it is a defence to the prosecution if the accused satisfies the court that they complied, in accordance with section 66, with a requirement mentioned in paragraph (a) or (b) of the definition of </w:t>
      </w:r>
      <w:r>
        <w:rPr>
          <w:b/>
          <w:bCs/>
          <w:i/>
          <w:iCs/>
        </w:rPr>
        <w:t>requirement</w:t>
      </w:r>
      <w:r>
        <w:t xml:space="preserve"> in section 67(1) </w:t>
      </w:r>
      <w:r>
        <w:rPr>
          <w:snapToGrid w:val="0"/>
        </w:rPr>
        <w:t>that arose out of —</w:t>
      </w:r>
    </w:p>
    <w:p>
      <w:pPr>
        <w:pStyle w:val="Indenta"/>
        <w:rPr>
          <w:snapToGrid w:val="0"/>
        </w:rPr>
      </w:pPr>
      <w:r>
        <w:rPr>
          <w:snapToGrid w:val="0"/>
        </w:rPr>
        <w:tab/>
        <w:t>(a)</w:t>
      </w:r>
      <w:r>
        <w:rPr>
          <w:snapToGrid w:val="0"/>
        </w:rPr>
        <w:tab/>
      </w:r>
      <w:r>
        <w:t>the accused’s</w:t>
      </w:r>
      <w:r>
        <w:rPr>
          <w:snapToGrid w:val="0"/>
        </w:rPr>
        <w:t xml:space="preserve">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 No. 27 of 2020 s. 21.]</w:t>
      </w:r>
    </w:p>
    <w:p>
      <w:pPr>
        <w:pStyle w:val="Heading5"/>
      </w:pPr>
      <w:bookmarkStart w:id="85" w:name="_Toc166680433"/>
      <w:r>
        <w:rPr>
          <w:rStyle w:val="CharSectno"/>
        </w:rPr>
        <w:t>68A</w:t>
      </w:r>
      <w:r>
        <w:t>.</w:t>
      </w:r>
      <w:r>
        <w:tab/>
        <w:t>Failure to comply with s. 66, 66C, 66D or 66E requirement: instructors</w:t>
      </w:r>
      <w:bookmarkEnd w:id="85"/>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50 PU.</w:t>
      </w:r>
    </w:p>
    <w:p>
      <w:pPr>
        <w:pStyle w:val="Subsection"/>
      </w:pPr>
      <w:r>
        <w:lastRenderedPageBreak/>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Ednotesubsection"/>
        <w:spacing w:before="80"/>
      </w:pPr>
      <w:r>
        <w:tab/>
        <w:t>[(6)</w:t>
      </w:r>
      <w:r>
        <w:tab/>
        <w:t>deleted]</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 amended: No. 27 of 2020 s. 22.]</w:t>
      </w:r>
    </w:p>
    <w:p>
      <w:pPr>
        <w:pStyle w:val="Heading5"/>
        <w:rPr>
          <w:snapToGrid w:val="0"/>
        </w:rPr>
      </w:pPr>
      <w:bookmarkStart w:id="86" w:name="_Toc166680434"/>
      <w:r>
        <w:rPr>
          <w:rStyle w:val="CharSectno"/>
        </w:rPr>
        <w:t>68</w:t>
      </w:r>
      <w:r>
        <w:rPr>
          <w:snapToGrid w:val="0"/>
        </w:rPr>
        <w:t>.</w:t>
      </w:r>
      <w:r>
        <w:rPr>
          <w:snapToGrid w:val="0"/>
        </w:rPr>
        <w:tab/>
      </w:r>
      <w:r>
        <w:t>Analysis of breath sample</w:t>
      </w:r>
      <w:bookmarkEnd w:id="86"/>
    </w:p>
    <w:p>
      <w:pPr>
        <w:pStyle w:val="Subsection"/>
        <w:rPr>
          <w:snapToGrid w:val="0"/>
        </w:rPr>
      </w:pPr>
      <w:r>
        <w:rPr>
          <w:snapToGrid w:val="0"/>
        </w:rPr>
        <w:tab/>
        <w:t>(1)</w:t>
      </w:r>
      <w:r>
        <w:rPr>
          <w:snapToGrid w:val="0"/>
        </w:rPr>
        <w:tab/>
        <w:t xml:space="preserve">Where, pursuant to section 66, a person provides a sample of </w:t>
      </w:r>
      <w:r>
        <w:t>the person’s breath for analysis the analysis must</w:t>
      </w:r>
      <w:r>
        <w:rPr>
          <w:snapToGrid w:val="0"/>
        </w:rPr>
        <w:t xml:space="preserve"> be made by breath analysing equipment.</w:t>
      </w:r>
    </w:p>
    <w:p>
      <w:pPr>
        <w:pStyle w:val="Ednotesubsection"/>
        <w:spacing w:before="80"/>
      </w:pPr>
      <w:r>
        <w:tab/>
        <w:t>[(1a)</w:t>
      </w:r>
      <w:r>
        <w:noBreakHyphen/>
        <w:t>(5)</w:t>
      </w:r>
      <w:r>
        <w:tab/>
        <w:t>deleted]</w:t>
      </w:r>
    </w:p>
    <w:p>
      <w:pPr>
        <w:pStyle w:val="Subsection"/>
        <w:rPr>
          <w:snapToGrid w:val="0"/>
        </w:rPr>
      </w:pPr>
      <w:r>
        <w:rPr>
          <w:snapToGrid w:val="0"/>
        </w:rPr>
        <w:tab/>
        <w:t>(6)</w:t>
      </w:r>
      <w:r>
        <w:rPr>
          <w:snapToGrid w:val="0"/>
        </w:rPr>
        <w:tab/>
        <w:t xml:space="preserve">The breath analysing equipment </w:t>
      </w:r>
      <w:r>
        <w:t>must be operated by an authorised person and must</w:t>
      </w:r>
      <w:r>
        <w:rPr>
          <w:snapToGrid w:val="0"/>
        </w:rPr>
        <w:t xml:space="preserve"> be operated in accordance with the regulations relating to analysis by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t>the person’s</w:t>
      </w:r>
      <w:r>
        <w:rPr>
          <w:snapToGrid w:val="0"/>
        </w:rPr>
        <w:t xml:space="preserve"> breath for analysis or </w:t>
      </w:r>
      <w:r>
        <w:rPr>
          <w:snapToGrid w:val="0"/>
        </w:rPr>
        <w:lastRenderedPageBreak/>
        <w:t xml:space="preserve">to allow a </w:t>
      </w:r>
      <w:r>
        <w:t>prescribed sample taker</w:t>
      </w:r>
      <w:r>
        <w:rPr>
          <w:snapToGrid w:val="0"/>
        </w:rPr>
        <w:t xml:space="preserve"> to take a sample of </w:t>
      </w:r>
      <w:r>
        <w:t>the person’s</w:t>
      </w:r>
      <w:r>
        <w:rPr>
          <w:snapToGrid w:val="0"/>
        </w:rPr>
        <w:t xml:space="preserve"> blood for analysis under section 66(2).</w:t>
      </w:r>
    </w:p>
    <w:p>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t>is the analysis</w:t>
      </w:r>
      <w:r>
        <w:rPr>
          <w:snapToGrid w:val="0"/>
        </w:rPr>
        <w:t xml:space="preserve"> result and</w:t>
      </w:r>
      <w:r>
        <w:t xml:space="preserve"> the person’s blood alcohol content given by or derived under section 65A from the analysis result</w:t>
      </w:r>
      <w:r>
        <w:rPr>
          <w:snapToGrid w:val="0"/>
        </w:rPr>
        <w:t xml:space="preserve"> </w:t>
      </w:r>
      <w:r>
        <w:t>is deemed</w:t>
      </w:r>
      <w:r>
        <w:rPr>
          <w:snapToGrid w:val="0"/>
        </w:rPr>
        <w:t xml:space="preserve">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 xml:space="preserve">Subject to subsection (10), the authorised person </w:t>
      </w:r>
      <w:r>
        <w:t>must</w:t>
      </w:r>
      <w:r>
        <w:rPr>
          <w:snapToGrid w:val="0"/>
        </w:rPr>
        <w:t xml:space="preserve">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 xml:space="preserve">If the person has provided 2 samples of </w:t>
      </w:r>
      <w:r>
        <w:t>the person’s</w:t>
      </w:r>
      <w:r>
        <w:rPr>
          <w:snapToGrid w:val="0"/>
        </w:rPr>
        <w:t xml:space="preserve"> breath for analysis under section 66(2) and the analysis of each sample has failed, the person must not be required to provide another sample of </w:t>
      </w:r>
      <w:r>
        <w:t>the person’s</w:t>
      </w:r>
      <w:r>
        <w:rPr>
          <w:snapToGrid w:val="0"/>
        </w:rPr>
        <w:t xml:space="preserve"> breath for analysis under section 66(2).</w:t>
      </w:r>
    </w:p>
    <w:p>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 No. 27 of 2020 s. 23.]</w:t>
      </w:r>
    </w:p>
    <w:p>
      <w:pPr>
        <w:pStyle w:val="Heading5"/>
        <w:rPr>
          <w:snapToGrid w:val="0"/>
        </w:rPr>
      </w:pPr>
      <w:bookmarkStart w:id="87" w:name="_Toc166680435"/>
      <w:r>
        <w:rPr>
          <w:rStyle w:val="CharSectno"/>
        </w:rPr>
        <w:t>69</w:t>
      </w:r>
      <w:r>
        <w:rPr>
          <w:snapToGrid w:val="0"/>
        </w:rPr>
        <w:t>.</w:t>
      </w:r>
      <w:r>
        <w:rPr>
          <w:snapToGrid w:val="0"/>
        </w:rPr>
        <w:tab/>
        <w:t>Taking and analysis of blood sample</w:t>
      </w:r>
      <w:bookmarkEnd w:id="87"/>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w:t>
      </w:r>
      <w:r>
        <w:rPr>
          <w:snapToGrid w:val="0"/>
        </w:rPr>
        <w:lastRenderedPageBreak/>
        <w:t xml:space="preserve">divided into 2 parts, each of which </w:t>
      </w:r>
      <w:r>
        <w:t>is deemed</w:t>
      </w:r>
      <w:r>
        <w:rPr>
          <w:snapToGrid w:val="0"/>
        </w:rPr>
        <w:t xml:space="preserve">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 No. 27 of 2020 s. 24.]</w:t>
      </w:r>
    </w:p>
    <w:p>
      <w:pPr>
        <w:pStyle w:val="Ednotesection"/>
      </w:pPr>
      <w:r>
        <w:t>[</w:t>
      </w:r>
      <w:r>
        <w:rPr>
          <w:b/>
        </w:rPr>
        <w:t>69A.</w:t>
      </w:r>
      <w:r>
        <w:tab/>
        <w:t>Deleted: No. 27 of 2020 s. 25.]</w:t>
      </w:r>
    </w:p>
    <w:p>
      <w:pPr>
        <w:pStyle w:val="Heading5"/>
        <w:spacing w:before="240"/>
      </w:pPr>
      <w:bookmarkStart w:id="88" w:name="_Toc166680436"/>
      <w:r>
        <w:rPr>
          <w:rStyle w:val="CharSectno"/>
        </w:rPr>
        <w:lastRenderedPageBreak/>
        <w:t>69B</w:t>
      </w:r>
      <w:r>
        <w:t>.</w:t>
      </w:r>
      <w:r>
        <w:tab/>
        <w:t>Taking of oral fluid sample</w:t>
      </w:r>
      <w:bookmarkEnd w:id="88"/>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Subsection"/>
        <w:keepNext/>
      </w:pPr>
      <w:r>
        <w:tab/>
        <w:t>(6)</w:t>
      </w:r>
      <w:r>
        <w:tab/>
        <w:t xml:space="preserve">For the purposes of subsection (5) an analysis of a sample of oral fluid will be regarded as having failed only if the analysis is made by an approved device and — </w:t>
      </w:r>
    </w:p>
    <w:p>
      <w:pPr>
        <w:pStyle w:val="Indenta"/>
      </w:pPr>
      <w:r>
        <w:tab/>
        <w:t>(a)</w:t>
      </w:r>
      <w:r>
        <w:tab/>
        <w:t>the device is determined not to be in proper working order; or</w:t>
      </w:r>
    </w:p>
    <w:p>
      <w:pPr>
        <w:pStyle w:val="Indenta"/>
      </w:pPr>
      <w:r>
        <w:tab/>
        <w:t>(b)</w:t>
      </w:r>
      <w:r>
        <w:tab/>
        <w:t>the device does not indicate a positive or negative result.</w:t>
      </w:r>
    </w:p>
    <w:p>
      <w:pPr>
        <w:pStyle w:val="Footnotesection"/>
        <w:ind w:left="890" w:hanging="890"/>
      </w:pPr>
      <w:r>
        <w:tab/>
        <w:t>[Section 69B inserted: No. 6 of 2007 s. 14; amended: No. 8 of 2012 s. 37; No. 25 of 2016 s. 37; No. 27 of 2020 s. 26.]</w:t>
      </w:r>
    </w:p>
    <w:p>
      <w:pPr>
        <w:pStyle w:val="Heading5"/>
      </w:pPr>
      <w:bookmarkStart w:id="89" w:name="_Toc166680437"/>
      <w:r>
        <w:rPr>
          <w:rStyle w:val="CharSectno"/>
        </w:rPr>
        <w:lastRenderedPageBreak/>
        <w:t>70A</w:t>
      </w:r>
      <w:r>
        <w:t>.</w:t>
      </w:r>
      <w:r>
        <w:tab/>
        <w:t>Delivery of person’s blood or oral fluid sample to Chemistry Centre (WA)</w:t>
      </w:r>
      <w:bookmarkEnd w:id="89"/>
    </w:p>
    <w:p>
      <w:pPr>
        <w:pStyle w:val="Subsection"/>
      </w:pPr>
      <w:r>
        <w:tab/>
        <w:t>(1)</w:t>
      </w:r>
      <w:r>
        <w:tab/>
        <w:t>A sample of blood or oral fluid delivered to the Chemistry Centre (WA) on behalf of a person under section 69(2B)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 No. 27 of 2020 s. 27.]</w:t>
      </w:r>
    </w:p>
    <w:p>
      <w:pPr>
        <w:pStyle w:val="Heading5"/>
      </w:pPr>
      <w:bookmarkStart w:id="90" w:name="_Toc166680438"/>
      <w:r>
        <w:rPr>
          <w:rStyle w:val="CharSectno"/>
        </w:rPr>
        <w:t>70B</w:t>
      </w:r>
      <w:r>
        <w:t>.</w:t>
      </w:r>
      <w:r>
        <w:tab/>
        <w:t>Evidence of delivery of blood or oral fluid samples</w:t>
      </w:r>
      <w:bookmarkEnd w:id="90"/>
    </w:p>
    <w:p>
      <w:pPr>
        <w:pStyle w:val="Subsection"/>
      </w:pPr>
      <w:r>
        <w:tab/>
        <w:t>(1)</w:t>
      </w:r>
      <w:r>
        <w:tab/>
        <w:t>In proceedings for an offence against section 62B, 62C, 63, 64, 64AA, 64A, 64AAA, 64AB, 64AC, 64B or 64C,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 xml:space="preserve">Except with the consent of the accused, evidence of the delivery of a sample to a person in the form of a certificate cannot be </w:t>
      </w:r>
      <w:r>
        <w:lastRenderedPageBreak/>
        <w:t>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 No. 27 of 2020 s. 28.]</w:t>
      </w:r>
    </w:p>
    <w:p>
      <w:pPr>
        <w:pStyle w:val="Heading5"/>
        <w:spacing w:before="120"/>
        <w:rPr>
          <w:snapToGrid w:val="0"/>
        </w:rPr>
      </w:pPr>
      <w:bookmarkStart w:id="91" w:name="_Toc166680439"/>
      <w:r>
        <w:rPr>
          <w:rStyle w:val="CharSectno"/>
        </w:rPr>
        <w:t>70</w:t>
      </w:r>
      <w:r>
        <w:rPr>
          <w:snapToGrid w:val="0"/>
        </w:rPr>
        <w:t>.</w:t>
      </w:r>
      <w:r>
        <w:rPr>
          <w:snapToGrid w:val="0"/>
        </w:rPr>
        <w:tab/>
        <w:t>Evidentiary provisions</w:t>
      </w:r>
      <w:bookmarkEnd w:id="91"/>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64AAA,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Ednotepara"/>
        <w:rPr>
          <w:snapToGrid w:val="0"/>
        </w:rPr>
      </w:pPr>
      <w:r>
        <w:rPr>
          <w:snapToGrid w:val="0"/>
        </w:rPr>
        <w:tab/>
        <w:t>[(c)</w:t>
      </w:r>
      <w:r>
        <w:rPr>
          <w:snapToGrid w:val="0"/>
        </w:rPr>
        <w:tab/>
        <w:t>deleted]</w:t>
      </w:r>
    </w:p>
    <w:p>
      <w:pPr>
        <w:pStyle w:val="Indenta"/>
        <w:widowControl w:val="0"/>
        <w:rPr>
          <w:snapToGrid w:val="0"/>
        </w:rPr>
      </w:pPr>
      <w:r>
        <w:rPr>
          <w:snapToGrid w:val="0"/>
        </w:rPr>
        <w:tab/>
        <w:t>(ca)</w:t>
      </w:r>
      <w:r>
        <w:rPr>
          <w:snapToGrid w:val="0"/>
        </w:rPr>
        <w:tab/>
        <w:t>the manner in which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lastRenderedPageBreak/>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Ednotepara"/>
        <w:rPr>
          <w:snapToGrid w:val="0"/>
        </w:rPr>
      </w:pPr>
      <w:r>
        <w:rPr>
          <w:snapToGrid w:val="0"/>
        </w:rPr>
        <w:tab/>
        <w:t>[(ba)</w:t>
      </w:r>
      <w:r>
        <w:rPr>
          <w:snapToGrid w:val="0"/>
        </w:rPr>
        <w:tab/>
        <w:t>deleted]</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 xml:space="preserve">certifying that the sample of breath so provided was analysed by apparatus operated by </w:t>
      </w:r>
      <w:r>
        <w:t>the authorised person and that apparatus was</w:t>
      </w:r>
      <w:r>
        <w:rPr>
          <w:snapToGrid w:val="0"/>
        </w:rPr>
        <w:t xml:space="preserve"> breath analysing equipment within the meaning of section 65; and</w:t>
      </w:r>
    </w:p>
    <w:p>
      <w:pPr>
        <w:pStyle w:val="Indenti"/>
        <w:rPr>
          <w:snapToGrid w:val="0"/>
        </w:rPr>
      </w:pPr>
      <w:r>
        <w:rPr>
          <w:snapToGrid w:val="0"/>
        </w:rPr>
        <w:tab/>
        <w:t>(iii)</w:t>
      </w:r>
      <w:r>
        <w:rPr>
          <w:snapToGrid w:val="0"/>
        </w:rPr>
        <w:tab/>
        <w:t xml:space="preserve">certifying that the breath analysing equipment was operated by </w:t>
      </w:r>
      <w:r>
        <w:t>the authorised person in the prescribed manner and that the regulations relating to analysis by</w:t>
      </w:r>
      <w:r>
        <w:rPr>
          <w:snapToGrid w:val="0"/>
        </w:rPr>
        <w:t xml:space="preserve"> breath analysing equipment of the relevant type were complied with; and</w:t>
      </w:r>
    </w:p>
    <w:p>
      <w:pPr>
        <w:pStyle w:val="Indenti"/>
        <w:rPr>
          <w:snapToGrid w:val="0"/>
        </w:rPr>
      </w:pPr>
      <w:r>
        <w:rPr>
          <w:snapToGrid w:val="0"/>
        </w:rPr>
        <w:lastRenderedPageBreak/>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 xml:space="preserve">certifying that in accordance with section 68(9) </w:t>
      </w:r>
      <w:r>
        <w:t>the authorised person</w:t>
      </w:r>
      <w:r>
        <w:rPr>
          <w:snapToGrid w:val="0"/>
        </w:rPr>
        <w:t xml:space="preserve"> completed, signed, and handed to the person by whom the sample of breath was provided, a statement as required by that subsection, or that </w:t>
      </w:r>
      <w:r>
        <w:t>the authorised person</w:t>
      </w:r>
      <w:r>
        <w:rPr>
          <w:snapToGrid w:val="0"/>
        </w:rPr>
        <w:t xml:space="preserv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 xml:space="preserve">certifying that </w:t>
      </w:r>
      <w:r>
        <w:t>the authorised person</w:t>
      </w:r>
      <w:r>
        <w:rPr>
          <w:snapToGrid w:val="0"/>
        </w:rPr>
        <w:t xml:space="preserv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lastRenderedPageBreak/>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Ednotesubsection"/>
        <w:spacing w:before="80"/>
      </w:pPr>
      <w:r>
        <w:tab/>
        <w:t>[(2a)</w:t>
      </w:r>
      <w:r>
        <w:tab/>
        <w:t>deleted]</w:t>
      </w:r>
    </w:p>
    <w:p>
      <w:pPr>
        <w:pStyle w:val="Subsection"/>
        <w:rPr>
          <w:snapToGrid w:val="0"/>
        </w:rPr>
      </w:pPr>
      <w:r>
        <w:tab/>
        <w:t>(3)</w:t>
      </w:r>
      <w:r>
        <w:tab/>
      </w:r>
      <w:r>
        <w:rPr>
          <w:snapToGrid w:val="0"/>
        </w:rPr>
        <w:t xml:space="preserve">In any proceeding for an offence against a provision mentioned in subsection (1), evidence by an authorised person of any of the following is prima facie evidence of that fact — </w:t>
      </w:r>
    </w:p>
    <w:p>
      <w:pPr>
        <w:pStyle w:val="Indenta"/>
      </w:pPr>
      <w:r>
        <w:tab/>
        <w:t>(a)</w:t>
      </w:r>
      <w:r>
        <w:tab/>
        <w:t>the apparatus operated by the authorised person pursuant to section 68 was breath analysing equipment;</w:t>
      </w:r>
    </w:p>
    <w:p>
      <w:pPr>
        <w:pStyle w:val="Indenta"/>
      </w:pPr>
      <w:r>
        <w:tab/>
        <w:t>(b)</w:t>
      </w:r>
      <w:r>
        <w:tab/>
        <w:t>breath analysing equipment was operated by the authorised person in the prescribed manner and the regulations relating to analysis by breath analysing equipment of the relevant type were complied with;</w:t>
      </w:r>
    </w:p>
    <w:p>
      <w:pPr>
        <w:pStyle w:val="Indenta"/>
      </w:pPr>
      <w:r>
        <w:tab/>
        <w:t>(c)</w:t>
      </w:r>
      <w:r>
        <w:tab/>
        <w:t>breath analysing equipment indicated a result in the prescribed manner on the occasion of its operation.</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t>section 62C, 64AC,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Ednotepara"/>
        <w:rPr>
          <w:snapToGrid w:val="0"/>
        </w:rPr>
      </w:pPr>
      <w:r>
        <w:rPr>
          <w:snapToGrid w:val="0"/>
        </w:rPr>
        <w:tab/>
        <w:t>[(b)</w:t>
      </w:r>
      <w:r>
        <w:rPr>
          <w:snapToGrid w:val="0"/>
        </w:rPr>
        <w:tab/>
        <w:t>deleted]</w:t>
      </w:r>
    </w:p>
    <w:p>
      <w:pPr>
        <w:pStyle w:val="Indenta"/>
        <w:rPr>
          <w:snapToGrid w:val="0"/>
        </w:rPr>
      </w:pPr>
      <w:r>
        <w:rPr>
          <w:snapToGrid w:val="0"/>
        </w:rPr>
        <w:lastRenderedPageBreak/>
        <w:tab/>
        <w:t>(c)</w:t>
      </w:r>
      <w:r>
        <w:rPr>
          <w:snapToGrid w:val="0"/>
        </w:rPr>
        <w:tab/>
        <w:t>the analysis of a sample of blood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Ednotepara"/>
        <w:rPr>
          <w:snapToGrid w:val="0"/>
        </w:rPr>
      </w:pPr>
      <w:r>
        <w:rPr>
          <w:snapToGrid w:val="0"/>
        </w:rPr>
        <w:tab/>
        <w:t>[(c)</w:t>
      </w:r>
      <w:r>
        <w:rPr>
          <w:snapToGrid w:val="0"/>
        </w:rPr>
        <w:tab/>
        <w:t>deleted]</w:t>
      </w:r>
    </w:p>
    <w:p>
      <w:pPr>
        <w:pStyle w:val="Indenta"/>
        <w:rPr>
          <w:snapToGrid w:val="0"/>
        </w:rPr>
      </w:pPr>
      <w:r>
        <w:rPr>
          <w:snapToGrid w:val="0"/>
        </w:rPr>
        <w:lastRenderedPageBreak/>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Ednotepara"/>
        <w:rPr>
          <w:snapToGrid w:val="0"/>
        </w:rPr>
      </w:pPr>
      <w:r>
        <w:rPr>
          <w:snapToGrid w:val="0"/>
        </w:rPr>
        <w:tab/>
        <w:t>[(e)</w:t>
      </w:r>
      <w:r>
        <w:rPr>
          <w:snapToGrid w:val="0"/>
        </w:rPr>
        <w:tab/>
        <w:t>deleted]</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w:t>
      </w:r>
      <w:r>
        <w:t>blood</w:t>
      </w:r>
      <w:r>
        <w:rPr>
          <w:rFonts w:eastAsia="Arial Unicode MS"/>
        </w:rPr>
        <w:t xml:space="preserv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lastRenderedPageBreak/>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w:t>
      </w:r>
      <w:r>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67AC, 67AD,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w:t>
      </w:r>
      <w:r>
        <w:lastRenderedPageBreak/>
        <w:t>person purporting to have signed it or proof that the purported signatory was the Commissioner of Police.</w:t>
      </w:r>
    </w:p>
    <w:p>
      <w:pPr>
        <w:pStyle w:val="Subsection"/>
        <w:rPr>
          <w:snapToGrid w:val="0"/>
        </w:rPr>
      </w:pPr>
      <w:r>
        <w:rPr>
          <w:snapToGrid w:val="0"/>
        </w:rPr>
        <w:tab/>
        <w:t>(4)</w:t>
      </w:r>
      <w:r>
        <w:rPr>
          <w:snapToGrid w:val="0"/>
        </w:rPr>
        <w:tab/>
        <w:t xml:space="preserve">Nothing in this section </w:t>
      </w:r>
      <w:r>
        <w:t>is to</w:t>
      </w:r>
      <w:r>
        <w:rPr>
          <w:snapToGrid w:val="0"/>
        </w:rPr>
        <w:t xml:space="preserve">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must not be adduced, and if adduced must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must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pPr>
        <w:pStyle w:val="Subsection"/>
      </w:pPr>
      <w:r>
        <w:tab/>
        <w:t>(5d)</w:t>
      </w:r>
      <w:r>
        <w:tab/>
        <w:t xml:space="preserve">Except as provided by subsection (3a) or (3b) or at the instance, or with the consent, of that person, evidence that a person </w:t>
      </w:r>
      <w:r>
        <w:lastRenderedPageBreak/>
        <w:t>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than proceedings for an offence against section 67AB, 67AC, 67AD, 67A, 68A or 71BA.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t>the person’s</w:t>
      </w:r>
      <w:r>
        <w:rPr>
          <w:snapToGrid w:val="0"/>
        </w:rPr>
        <w:t xml:space="preserve"> breath for a preliminary test and of any indication provided by such a test </w:t>
      </w:r>
      <w:r>
        <w:t>must</w:t>
      </w:r>
      <w:r>
        <w:rPr>
          <w:snapToGrid w:val="0"/>
        </w:rPr>
        <w:t xml:space="preserve"> not be adduced, and if adduced </w:t>
      </w:r>
      <w:r>
        <w:t>must</w:t>
      </w:r>
      <w:r>
        <w:rPr>
          <w:snapToGrid w:val="0"/>
        </w:rPr>
        <w:t xml:space="preserve"> not be admitted, in any proceedings other than proceedings for unlawful arrest or for an offence against section 64AB, 67, </w:t>
      </w:r>
      <w:r>
        <w:t>67AA, 67AC, 67AD,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pPr>
        <w:pStyle w:val="Heading5"/>
      </w:pPr>
      <w:bookmarkStart w:id="92" w:name="_Toc166680440"/>
      <w:r>
        <w:rPr>
          <w:rStyle w:val="CharSectno"/>
        </w:rPr>
        <w:lastRenderedPageBreak/>
        <w:t>71</w:t>
      </w:r>
      <w:r>
        <w:t>.</w:t>
      </w:r>
      <w:r>
        <w:tab/>
      </w:r>
      <w:r>
        <w:rPr>
          <w:snapToGrid w:val="0"/>
        </w:rPr>
        <w:t>Evidence of blood alcohol content for particular offences</w:t>
      </w:r>
      <w:bookmarkEnd w:id="92"/>
    </w:p>
    <w:p>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64AAA, 64B, 64C, 67AC or 67AD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 amended: No. 27 of 2020 s. 30.]</w:t>
      </w:r>
    </w:p>
    <w:p>
      <w:pPr>
        <w:pStyle w:val="Heading5"/>
        <w:keepNext w:val="0"/>
        <w:keepLines w:val="0"/>
      </w:pPr>
      <w:bookmarkStart w:id="93" w:name="_Toc166680441"/>
      <w:r>
        <w:rPr>
          <w:rStyle w:val="CharSectno"/>
        </w:rPr>
        <w:t>71A</w:t>
      </w:r>
      <w:r>
        <w:t>.</w:t>
      </w:r>
      <w:r>
        <w:tab/>
        <w:t>Samples not to be used to obtain DNA</w:t>
      </w:r>
      <w:bookmarkEnd w:id="93"/>
    </w:p>
    <w:p>
      <w:pPr>
        <w:pStyle w:val="Subsection"/>
      </w:pPr>
      <w:r>
        <w:tab/>
        <w:t>(1)</w:t>
      </w:r>
      <w:r>
        <w:tab/>
        <w:t xml:space="preserve">In this section — </w:t>
      </w:r>
    </w:p>
    <w:p>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pPr>
        <w:pStyle w:val="Subsection"/>
        <w:keepNext/>
        <w:keepLines/>
      </w:pPr>
      <w:r>
        <w:tab/>
        <w:t>(2)</w:t>
      </w:r>
      <w:r>
        <w:tab/>
        <w:t>A person must not use a sample to obtain the subject’s DNA.</w:t>
      </w:r>
    </w:p>
    <w:p>
      <w:pPr>
        <w:pStyle w:val="Penstart"/>
      </w:pPr>
      <w:r>
        <w:tab/>
        <w:t>Penalty for this subsection: imprisonment for 12 months.</w:t>
      </w:r>
    </w:p>
    <w:p>
      <w:pPr>
        <w:pStyle w:val="Footnotesection"/>
      </w:pPr>
      <w:r>
        <w:lastRenderedPageBreak/>
        <w:tab/>
        <w:t>[Section 71A inserted: No. 6 of 2007 s. 16; amended: No. 8 of 2012 s. 37; No. 27 of 2020 s. 31.]</w:t>
      </w:r>
    </w:p>
    <w:p>
      <w:pPr>
        <w:pStyle w:val="Heading5"/>
        <w:keepLines w:val="0"/>
      </w:pPr>
      <w:bookmarkStart w:id="94" w:name="_Toc166680442"/>
      <w:r>
        <w:rPr>
          <w:rStyle w:val="CharSectno"/>
        </w:rPr>
        <w:t>71B</w:t>
      </w:r>
      <w:r>
        <w:t>.</w:t>
      </w:r>
      <w:r>
        <w:tab/>
        <w:t>Police powers for preventing use of vehicle by alleged offender</w:t>
      </w:r>
      <w:bookmarkEnd w:id="94"/>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64AB, 64AC, 64B or 64C,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keepLines/>
        <w:spacing w:before="180"/>
      </w:pPr>
      <w:r>
        <w:lastRenderedPageBreak/>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pPr>
      <w:r>
        <w:tab/>
        <w:t>Penalty for this subsection: a fine of 12 PU.</w:t>
      </w:r>
    </w:p>
    <w:p>
      <w:pPr>
        <w:pStyle w:val="Footnotesection"/>
        <w:ind w:left="890" w:hanging="890"/>
      </w:pPr>
      <w:r>
        <w:tab/>
        <w:t>[Section 71B inserted: No. 6 of 2007 s. 16; amended: No. 39 of 2007 s. 38 (correction to reprint: Gazette 19 Oct 2010 p. 5202); No. 8 of 2012 s. 37; No. 27 of 2020 s. 32.]</w:t>
      </w:r>
    </w:p>
    <w:p>
      <w:pPr>
        <w:pStyle w:val="Heading5"/>
      </w:pPr>
      <w:bookmarkStart w:id="95" w:name="_Toc166680443"/>
      <w:r>
        <w:rPr>
          <w:rStyle w:val="CharSectno"/>
        </w:rPr>
        <w:lastRenderedPageBreak/>
        <w:t>71BA</w:t>
      </w:r>
      <w:r>
        <w:t>.</w:t>
      </w:r>
      <w:r>
        <w:tab/>
        <w:t>Police officer may prohibit person from driving for 24 hours if prescribed illicit drug present in oral fluid</w:t>
      </w:r>
      <w:bookmarkEnd w:id="95"/>
    </w:p>
    <w:p>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pPr>
        <w:pStyle w:val="Indenta"/>
        <w:keepNext/>
      </w:pPr>
      <w:r>
        <w:tab/>
        <w:t>(b)</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police officer is precluded from requiring the person to provide a sample of oral fluid by section 66D(3)(b); </w:t>
      </w:r>
    </w:p>
    <w:p>
      <w:pPr>
        <w:pStyle w:val="Indenti"/>
      </w:pPr>
      <w:r>
        <w:tab/>
        <w:t>(iii)</w:t>
      </w:r>
      <w:r>
        <w:tab/>
        <w:t xml:space="preserve">the police officer requires the person to allow a prescribed sample taker to take the person’s blood for analysis under section 66E; </w:t>
      </w:r>
    </w:p>
    <w:p>
      <w:pPr>
        <w:pStyle w:val="Indenta"/>
      </w:pPr>
      <w:r>
        <w:tab/>
      </w:r>
      <w:r>
        <w:tab/>
        <w:t>or</w:t>
      </w:r>
    </w:p>
    <w:p>
      <w:pPr>
        <w:pStyle w:val="Indenta"/>
        <w:keepNext/>
      </w:pPr>
      <w:r>
        <w:tab/>
        <w:t>(c)</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person is not required to provide another sample of oral fluid for analysis under section 69B(5); </w:t>
      </w:r>
    </w:p>
    <w:p>
      <w:pPr>
        <w:pStyle w:val="Indenta"/>
      </w:pPr>
      <w:r>
        <w:tab/>
      </w:r>
      <w:r>
        <w:tab/>
        <w:t>or</w:t>
      </w:r>
    </w:p>
    <w:p>
      <w:pPr>
        <w:pStyle w:val="Indenta"/>
      </w:pPr>
      <w:r>
        <w:tab/>
        <w:t>(d)</w:t>
      </w:r>
      <w:r>
        <w:tab/>
        <w:t>the person refuses or fails to undergo a test having been required to do so under section 66C, 66D or 66E.</w:t>
      </w:r>
    </w:p>
    <w:p>
      <w:pPr>
        <w:pStyle w:val="Subsection"/>
        <w:keepNext/>
      </w:pPr>
      <w:r>
        <w:lastRenderedPageBreak/>
        <w:tab/>
        <w:t>(2)</w:t>
      </w:r>
      <w:r>
        <w:tab/>
        <w:t xml:space="preserve">The prohibition notice must — </w:t>
      </w:r>
    </w:p>
    <w:p>
      <w:pPr>
        <w:pStyle w:val="Indenta"/>
      </w:pPr>
      <w:r>
        <w:tab/>
        <w:t>(a)</w:t>
      </w:r>
      <w:r>
        <w:tab/>
        <w:t xml:space="preserve">specify the grounds on which the notice is given, including when and where </w:t>
      </w:r>
      <w:r>
        <w:rPr>
          <w:snapToGrid w:val="0"/>
        </w:rPr>
        <w:t>subsection (1) applies to the person</w:t>
      </w:r>
      <w:r>
        <w:t>; and</w:t>
      </w:r>
    </w:p>
    <w:p>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pPr>
        <w:pStyle w:val="Indenta"/>
      </w:pPr>
      <w:r>
        <w:tab/>
        <w:t>(c)</w:t>
      </w:r>
      <w:r>
        <w:tab/>
        <w:t>specify when the person receives the prohibition notice and when the 24</w:t>
      </w:r>
      <w:r>
        <w:noBreakHyphen/>
        <w:t>hour period ends.</w:t>
      </w:r>
    </w:p>
    <w:p>
      <w:pPr>
        <w:pStyle w:val="Subsection"/>
      </w:pPr>
      <w:r>
        <w:tab/>
        <w:t>(3)</w:t>
      </w:r>
      <w:r>
        <w:tab/>
        <w:t>A person who has been given a prohibition notice under this section must not contravene the notice.</w:t>
      </w:r>
    </w:p>
    <w:p>
      <w:pPr>
        <w:pStyle w:val="Penstart"/>
      </w:pPr>
      <w:r>
        <w:tab/>
        <w:t>Penalty for this subsection:</w:t>
      </w:r>
    </w:p>
    <w:p>
      <w:pPr>
        <w:pStyle w:val="Penpara"/>
      </w:pPr>
      <w:r>
        <w:tab/>
        <w:t>(a)</w:t>
      </w:r>
      <w:r>
        <w:tab/>
        <w:t>for a first offence, a fine of 25 PU;</w:t>
      </w:r>
    </w:p>
    <w:p>
      <w:pPr>
        <w:pStyle w:val="Penpara"/>
        <w:keepNext/>
      </w:pPr>
      <w:r>
        <w:tab/>
        <w:t>(b)</w:t>
      </w:r>
      <w:r>
        <w:tab/>
        <w:t>for a second or subsequent offence, a fine of 40 PU.</w:t>
      </w:r>
    </w:p>
    <w:p>
      <w:pPr>
        <w:pStyle w:val="Footnotesection"/>
      </w:pPr>
      <w:r>
        <w:tab/>
        <w:t>[Section 71BA inserted: No. 27 of 2020 s. 33.]</w:t>
      </w:r>
    </w:p>
    <w:p>
      <w:pPr>
        <w:pStyle w:val="Heading5"/>
        <w:keepNext w:val="0"/>
        <w:keepLines w:val="0"/>
      </w:pPr>
      <w:bookmarkStart w:id="96" w:name="_Toc166680444"/>
      <w:r>
        <w:rPr>
          <w:rStyle w:val="CharSectno"/>
        </w:rPr>
        <w:t>71C</w:t>
      </w:r>
      <w:r>
        <w:t>.</w:t>
      </w:r>
      <w:r>
        <w:tab/>
        <w:t>Disqualification by police officer</w:t>
      </w:r>
      <w:bookmarkEnd w:id="96"/>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done either of the following (the </w:t>
      </w:r>
      <w:r>
        <w:rPr>
          <w:rStyle w:val="CharDefText"/>
        </w:rPr>
        <w:t>alleged conduct</w:t>
      </w:r>
      <w:r>
        <w:t xml:space="preserve">) — </w:t>
      </w:r>
    </w:p>
    <w:p>
      <w:pPr>
        <w:pStyle w:val="Indenti"/>
      </w:pPr>
      <w:r>
        <w:tab/>
        <w:t>(i)</w:t>
      </w:r>
      <w:r>
        <w:tab/>
        <w:t>committed an offence against section 63;</w:t>
      </w:r>
    </w:p>
    <w:p>
      <w:pPr>
        <w:pStyle w:val="Indenti"/>
      </w:pPr>
      <w:r>
        <w:tab/>
        <w:t>(ii)</w:t>
      </w:r>
      <w:r>
        <w:tab/>
        <w:t>driven or attempted to drive a motor vehicle while having a blood alcohol content of or above 0.08 g of alcohol per 100 ml of blood;</w:t>
      </w:r>
    </w:p>
    <w:p>
      <w:pPr>
        <w:pStyle w:val="Indenta"/>
      </w:pPr>
      <w:r>
        <w:tab/>
      </w:r>
      <w:r>
        <w:tab/>
        <w:t>or</w:t>
      </w:r>
    </w:p>
    <w:p>
      <w:pPr>
        <w:pStyle w:val="Indenta"/>
      </w:pPr>
    </w:p>
    <w:p>
      <w:pPr>
        <w:pStyle w:val="Indenta"/>
      </w:pPr>
      <w:r>
        <w:lastRenderedPageBreak/>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or 67AD(4) or (6)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or alleged conduct occurred; and</w:t>
      </w:r>
    </w:p>
    <w:p>
      <w:pPr>
        <w:pStyle w:val="Indenta"/>
      </w:pPr>
      <w:r>
        <w:tab/>
        <w:t>(d)</w:t>
      </w:r>
      <w:r>
        <w:tab/>
        <w:t>identify where the alleged offence was committed or alleged conduct occurred; and</w:t>
      </w:r>
    </w:p>
    <w:p>
      <w:pPr>
        <w:pStyle w:val="Indenta"/>
      </w:pPr>
      <w:r>
        <w:tab/>
        <w:t>(e)</w:t>
      </w:r>
      <w:r>
        <w:tab/>
        <w:t>describe the alleged offence or alleged conduct with reasonable clarity; and</w:t>
      </w:r>
    </w:p>
    <w:p>
      <w:pPr>
        <w:pStyle w:val="Indenta"/>
      </w:pPr>
      <w:r>
        <w:tab/>
        <w:t>(f)</w:t>
      </w:r>
      <w:r>
        <w:tab/>
        <w:t>identify the offence, or offences, that the alleged offender is suspected of committing.</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keepNext/>
      </w:pPr>
      <w:r>
        <w:lastRenderedPageBreak/>
        <w:tab/>
        <w:t>(6)</w:t>
      </w:r>
      <w:r>
        <w:tab/>
        <w:t xml:space="preserve">A disqualification notice cannot be given to an alleged offender — </w:t>
      </w:r>
    </w:p>
    <w:p>
      <w:pPr>
        <w:pStyle w:val="Indenta"/>
      </w:pPr>
      <w:r>
        <w:tab/>
        <w:t>(a)</w:t>
      </w:r>
      <w:r>
        <w:tab/>
        <w:t xml:space="preserve">if the alleged offender engaged in alleged conduct, more than 10 days after the later of — </w:t>
      </w:r>
    </w:p>
    <w:p>
      <w:pPr>
        <w:pStyle w:val="Indenti"/>
      </w:pPr>
      <w:r>
        <w:tab/>
        <w:t>(i)</w:t>
      </w:r>
      <w:r>
        <w:tab/>
        <w:t>the day of the alleged conduct; or</w:t>
      </w:r>
    </w:p>
    <w:p>
      <w:pPr>
        <w:pStyle w:val="Indenti"/>
      </w:pPr>
      <w:r>
        <w:tab/>
        <w:t>(ii)</w:t>
      </w:r>
      <w:r>
        <w:tab/>
        <w:t>if a sample of the alleged offender’s blood was taken under section 66 in connection with the alleged conduct, the day on which a police officer receives an analysis result of the sample;</w:t>
      </w:r>
    </w:p>
    <w:p>
      <w:pPr>
        <w:pStyle w:val="Indenta"/>
      </w:pPr>
      <w:r>
        <w:tab/>
      </w:r>
      <w:r>
        <w:tab/>
        <w:t>or</w:t>
      </w:r>
    </w:p>
    <w:p>
      <w:pPr>
        <w:pStyle w:val="Indenta"/>
      </w:pPr>
      <w:r>
        <w:tab/>
        <w:t>(b)</w:t>
      </w:r>
      <w:r>
        <w:tab/>
        <w:t>if the alleged offence is an offence under section 67 or 67AD(4) or (6),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 No. 27 of 2020 s. 34.]</w:t>
      </w:r>
    </w:p>
    <w:p>
      <w:pPr>
        <w:pStyle w:val="Heading5"/>
      </w:pPr>
      <w:bookmarkStart w:id="97" w:name="_Toc166680445"/>
      <w:r>
        <w:rPr>
          <w:rStyle w:val="CharSectno"/>
        </w:rPr>
        <w:t>71D</w:t>
      </w:r>
      <w:r>
        <w:t>.</w:t>
      </w:r>
      <w:r>
        <w:tab/>
        <w:t>Disqualification notice (s. 71C), consequences of</w:t>
      </w:r>
      <w:bookmarkEnd w:id="97"/>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lastRenderedPageBreak/>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98" w:name="_Toc166680446"/>
      <w:r>
        <w:rPr>
          <w:rStyle w:val="CharSectno"/>
        </w:rPr>
        <w:t>71E</w:t>
      </w:r>
      <w:r>
        <w:t>.</w:t>
      </w:r>
      <w:r>
        <w:tab/>
        <w:t>Revocation of disqualification notice by police officer</w:t>
      </w:r>
      <w:bookmarkEnd w:id="98"/>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an offence to which the notice relates was faulty at the time of the analysis; or</w:t>
      </w:r>
    </w:p>
    <w:p>
      <w:pPr>
        <w:pStyle w:val="Indenta"/>
      </w:pPr>
      <w:r>
        <w:tab/>
        <w:t>(b)</w:t>
      </w:r>
      <w:r>
        <w:tab/>
        <w:t>a charge for an offence to which the notice relates has not been laid within 1 month after the time when the notice was given; or</w:t>
      </w:r>
    </w:p>
    <w:p>
      <w:pPr>
        <w:pStyle w:val="Indenta"/>
      </w:pPr>
      <w:r>
        <w:tab/>
        <w:t>(c)</w:t>
      </w:r>
      <w:r>
        <w:tab/>
        <w:t>a charge for an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 No. 27 of 2020 s. 35.]</w:t>
      </w:r>
    </w:p>
    <w:p>
      <w:pPr>
        <w:pStyle w:val="Heading5"/>
      </w:pPr>
      <w:bookmarkStart w:id="99" w:name="_Toc166680447"/>
      <w:r>
        <w:rPr>
          <w:rStyle w:val="CharSectno"/>
        </w:rPr>
        <w:t>71F</w:t>
      </w:r>
      <w:r>
        <w:t>.</w:t>
      </w:r>
      <w:r>
        <w:tab/>
        <w:t>Disqualification notice (s. 71C), court may order police to revoke</w:t>
      </w:r>
      <w:bookmarkEnd w:id="99"/>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lastRenderedPageBreak/>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00" w:name="_Toc166680448"/>
      <w:r>
        <w:rPr>
          <w:rStyle w:val="CharSectno"/>
        </w:rPr>
        <w:t>71G</w:t>
      </w:r>
      <w:r>
        <w:t>.</w:t>
      </w:r>
      <w:r>
        <w:tab/>
        <w:t>Disqualification notice (s. 71C) automatically revoked on acquittal etc.</w:t>
      </w:r>
      <w:bookmarkEnd w:id="100"/>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lastRenderedPageBreak/>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101" w:name="_Toc166680449"/>
      <w:r>
        <w:rPr>
          <w:rStyle w:val="CharSectno"/>
        </w:rPr>
        <w:t>71H</w:t>
      </w:r>
      <w:r>
        <w:t>.</w:t>
      </w:r>
      <w:r>
        <w:tab/>
        <w:t>Period of disqualification under s. 71C notice to be taken into account in sentencing</w:t>
      </w:r>
      <w:bookmarkEnd w:id="101"/>
    </w:p>
    <w:p>
      <w:pPr>
        <w:pStyle w:val="Subsection"/>
      </w:pPr>
      <w:r>
        <w:tab/>
        <w:t>(1)</w:t>
      </w:r>
      <w:r>
        <w:tab/>
        <w:t>This section applies if a court convicts a person of an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 No. 27 of 2020 s. 36.]</w:t>
      </w:r>
    </w:p>
    <w:p>
      <w:pPr>
        <w:pStyle w:val="Heading5"/>
        <w:rPr>
          <w:snapToGrid w:val="0"/>
        </w:rPr>
      </w:pPr>
      <w:bookmarkStart w:id="102" w:name="_Toc166680450"/>
      <w:r>
        <w:rPr>
          <w:rStyle w:val="CharSectno"/>
        </w:rPr>
        <w:t>72</w:t>
      </w:r>
      <w:r>
        <w:rPr>
          <w:snapToGrid w:val="0"/>
        </w:rPr>
        <w:t>.</w:t>
      </w:r>
      <w:r>
        <w:rPr>
          <w:snapToGrid w:val="0"/>
        </w:rPr>
        <w:tab/>
        <w:t>Taking and testing samples: regulations for s. 59 to 73, and approval of apparatus and persons</w:t>
      </w:r>
      <w:bookmarkEnd w:id="10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t>blood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lastRenderedPageBreak/>
        <w:tab/>
        <w:t>(ac)</w:t>
      </w:r>
      <w:r>
        <w:rPr>
          <w:snapToGrid w:val="0"/>
        </w:rPr>
        <w:tab/>
        <w:t>prescribing the manner and methods by which samples of blood and oral fluid may be analysed for drugs; and</w:t>
      </w:r>
    </w:p>
    <w:p>
      <w:pPr>
        <w:pStyle w:val="Indenta"/>
        <w:rPr>
          <w:snapToGrid w:val="0"/>
        </w:rPr>
      </w:pPr>
      <w:r>
        <w:rPr>
          <w:snapToGrid w:val="0"/>
        </w:rPr>
        <w:tab/>
        <w:t>(b)</w:t>
      </w:r>
      <w:r>
        <w:rPr>
          <w:snapToGrid w:val="0"/>
        </w:rPr>
        <w:tab/>
        <w:t xml:space="preserve">prescribing the manner of operation of breath analysing equipment and of determining breath analysing </w:t>
      </w:r>
      <w:r>
        <w:t>equipment</w:t>
      </w:r>
      <w:r>
        <w:rPr>
          <w:snapToGrid w:val="0"/>
        </w:rPr>
        <w:t xml:space="preserve">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lastRenderedPageBreak/>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Ednotesubsection"/>
        <w:spacing w:before="80"/>
      </w:pPr>
      <w:r>
        <w:tab/>
        <w:t>[(2a)</w:t>
      </w:r>
      <w:r>
        <w:tab/>
        <w:t>deleted]</w:t>
      </w:r>
    </w:p>
    <w:p>
      <w:pPr>
        <w:pStyle w:val="Subsection"/>
        <w:keepNext/>
      </w:pPr>
      <w:r>
        <w:tab/>
        <w:t>(3A)</w:t>
      </w:r>
      <w:r>
        <w:tab/>
        <w:t xml:space="preserve">In subsection (2)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lastRenderedPageBreak/>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 No. 27 of 2020 s. 37.]</w:t>
      </w:r>
    </w:p>
    <w:p>
      <w:pPr>
        <w:pStyle w:val="Ednotesection"/>
      </w:pPr>
      <w:r>
        <w:t>[</w:t>
      </w:r>
      <w:r>
        <w:rPr>
          <w:b/>
        </w:rPr>
        <w:t>72A.</w:t>
      </w:r>
      <w:r>
        <w:tab/>
        <w:t>Deleted: No. 27 of 2020 s. 38.]</w:t>
      </w:r>
    </w:p>
    <w:p>
      <w:pPr>
        <w:pStyle w:val="Heading3"/>
        <w:keepLines/>
      </w:pPr>
      <w:bookmarkStart w:id="103" w:name="_Toc166659295"/>
      <w:bookmarkStart w:id="104" w:name="_Toc166679629"/>
      <w:bookmarkStart w:id="105" w:name="_Toc166679828"/>
      <w:bookmarkStart w:id="106" w:name="_Toc166680451"/>
      <w:r>
        <w:rPr>
          <w:rStyle w:val="CharDivNo"/>
        </w:rPr>
        <w:t>Division 3</w:t>
      </w:r>
      <w:r>
        <w:t> — </w:t>
      </w:r>
      <w:r>
        <w:rPr>
          <w:rStyle w:val="CharDivText"/>
        </w:rPr>
        <w:t>General matters as to driving offences</w:t>
      </w:r>
      <w:bookmarkEnd w:id="103"/>
      <w:bookmarkEnd w:id="104"/>
      <w:bookmarkEnd w:id="105"/>
      <w:bookmarkEnd w:id="106"/>
    </w:p>
    <w:p>
      <w:pPr>
        <w:pStyle w:val="Footnoteheading"/>
        <w:keepNext/>
        <w:keepLines/>
      </w:pPr>
      <w:r>
        <w:tab/>
        <w:t>[Heading inserted: No. 10 of 2004 s. 10.]</w:t>
      </w:r>
    </w:p>
    <w:p>
      <w:pPr>
        <w:pStyle w:val="Heading5"/>
        <w:rPr>
          <w:snapToGrid w:val="0"/>
        </w:rPr>
      </w:pPr>
      <w:bookmarkStart w:id="107" w:name="_Toc166680452"/>
      <w:r>
        <w:rPr>
          <w:rStyle w:val="CharSectno"/>
        </w:rPr>
        <w:t>73</w:t>
      </w:r>
      <w:r>
        <w:rPr>
          <w:snapToGrid w:val="0"/>
        </w:rPr>
        <w:t>.</w:t>
      </w:r>
      <w:r>
        <w:rPr>
          <w:snapToGrid w:val="0"/>
        </w:rPr>
        <w:tab/>
        <w:t>Certain offences extend to driving or attempting to drive in public places</w:t>
      </w:r>
      <w:bookmarkEnd w:id="10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w:t>
      </w:r>
      <w:r>
        <w:rPr>
          <w:snapToGrid w:val="0"/>
        </w:rPr>
        <w:lastRenderedPageBreak/>
        <w:t>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08" w:name="_Toc166659297"/>
      <w:bookmarkStart w:id="109" w:name="_Toc166679631"/>
      <w:bookmarkStart w:id="110" w:name="_Toc166679830"/>
      <w:bookmarkStart w:id="111" w:name="_Toc166680453"/>
      <w:r>
        <w:rPr>
          <w:rStyle w:val="CharDivNo"/>
        </w:rPr>
        <w:t>Division 4</w:t>
      </w:r>
      <w:r>
        <w:t> — </w:t>
      </w:r>
      <w:r>
        <w:rPr>
          <w:rStyle w:val="CharDivText"/>
        </w:rPr>
        <w:t>Impounding and confiscation of vehicles for certain offences</w:t>
      </w:r>
      <w:bookmarkEnd w:id="108"/>
      <w:bookmarkEnd w:id="109"/>
      <w:bookmarkEnd w:id="110"/>
      <w:bookmarkEnd w:id="111"/>
    </w:p>
    <w:p>
      <w:pPr>
        <w:pStyle w:val="Footnoteheading"/>
        <w:keepNext/>
        <w:keepLines/>
      </w:pPr>
      <w:r>
        <w:tab/>
        <w:t>[Heading inserted: No. 10 of 2004 s. 13; amended: No. 4 of 2007 s. 12.]</w:t>
      </w:r>
    </w:p>
    <w:p>
      <w:pPr>
        <w:pStyle w:val="Heading4"/>
        <w:spacing w:before="200"/>
      </w:pPr>
      <w:bookmarkStart w:id="112" w:name="_Toc166659298"/>
      <w:bookmarkStart w:id="113" w:name="_Toc166679632"/>
      <w:bookmarkStart w:id="114" w:name="_Toc166679831"/>
      <w:bookmarkStart w:id="115" w:name="_Toc166680454"/>
      <w:r>
        <w:t>Subdivision 1 — Preliminary</w:t>
      </w:r>
      <w:bookmarkEnd w:id="112"/>
      <w:bookmarkEnd w:id="113"/>
      <w:bookmarkEnd w:id="114"/>
      <w:bookmarkEnd w:id="115"/>
    </w:p>
    <w:p>
      <w:pPr>
        <w:pStyle w:val="Footnoteheading"/>
      </w:pPr>
      <w:r>
        <w:tab/>
        <w:t>[Heading inserted: No. 10 of 2004 s. 13.]</w:t>
      </w:r>
    </w:p>
    <w:p>
      <w:pPr>
        <w:pStyle w:val="Heading5"/>
        <w:spacing w:before="180"/>
      </w:pPr>
      <w:bookmarkStart w:id="116" w:name="_Toc166680455"/>
      <w:r>
        <w:rPr>
          <w:rStyle w:val="CharSectno"/>
        </w:rPr>
        <w:t>78A</w:t>
      </w:r>
      <w:r>
        <w:t>.</w:t>
      </w:r>
      <w:r>
        <w:tab/>
        <w:t>Terms used</w:t>
      </w:r>
      <w:bookmarkEnd w:id="116"/>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lastRenderedPageBreak/>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lastRenderedPageBreak/>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lastRenderedPageBreak/>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keepNext/>
      </w:pPr>
      <w:r>
        <w:lastRenderedPageBreak/>
        <w:tab/>
        <w:t>(5)</w:t>
      </w:r>
      <w:r>
        <w:tab/>
        <w:t>In this Division, section 62A, as in force from time to time, is the offence for which a vehicle was impounded if —</w:t>
      </w:r>
    </w:p>
    <w:p>
      <w:pPr>
        <w:pStyle w:val="Indenta"/>
        <w:keepNext/>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17" w:name="_Toc166680456"/>
      <w:r>
        <w:rPr>
          <w:rStyle w:val="CharSectno"/>
        </w:rPr>
        <w:t>78B</w:t>
      </w:r>
      <w:r>
        <w:t>.</w:t>
      </w:r>
      <w:r>
        <w:tab/>
        <w:t>Penalties etc. not affected by impounding etc.</w:t>
      </w:r>
      <w:bookmarkEnd w:id="117"/>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keepNext/>
      </w:pPr>
      <w:r>
        <w:lastRenderedPageBreak/>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18" w:name="_Toc166680457"/>
      <w:r>
        <w:rPr>
          <w:rStyle w:val="CharSectno"/>
        </w:rPr>
        <w:t>78C</w:t>
      </w:r>
      <w:r>
        <w:rPr>
          <w:snapToGrid w:val="0"/>
        </w:rPr>
        <w:t>.</w:t>
      </w:r>
      <w:r>
        <w:rPr>
          <w:snapToGrid w:val="0"/>
        </w:rPr>
        <w:tab/>
        <w:t>Police powers for this Division</w:t>
      </w:r>
      <w:bookmarkEnd w:id="118"/>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lastRenderedPageBreak/>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19" w:name="_Toc166680458"/>
      <w:r>
        <w:rPr>
          <w:rStyle w:val="CharSectno"/>
        </w:rPr>
        <w:t>78D</w:t>
      </w:r>
      <w:r>
        <w:t>.</w:t>
      </w:r>
      <w:r>
        <w:tab/>
        <w:t>Contracts for conveying, storing etc. impounded etc. vehicles</w:t>
      </w:r>
      <w:bookmarkEnd w:id="11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lastRenderedPageBreak/>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20" w:name="_Toc166680459"/>
      <w:r>
        <w:rPr>
          <w:rStyle w:val="CharSectno"/>
        </w:rPr>
        <w:t>78E</w:t>
      </w:r>
      <w:r>
        <w:t>.</w:t>
      </w:r>
      <w:r>
        <w:tab/>
        <w:t>Expenses owed to Commissioner, recovery of</w:t>
      </w:r>
      <w:bookmarkEnd w:id="120"/>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121" w:name="_Toc166680460"/>
      <w:r>
        <w:rPr>
          <w:rStyle w:val="CharSectno"/>
        </w:rPr>
        <w:t>78F</w:t>
      </w:r>
      <w:r>
        <w:t>.</w:t>
      </w:r>
      <w:r>
        <w:tab/>
        <w:t>Right of Commissioner of Police to be heard in proceedings under this Division</w:t>
      </w:r>
      <w:bookmarkEnd w:id="12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122" w:name="_Toc166659305"/>
      <w:bookmarkStart w:id="123" w:name="_Toc166679639"/>
      <w:bookmarkStart w:id="124" w:name="_Toc166679838"/>
      <w:bookmarkStart w:id="125" w:name="_Toc166680461"/>
      <w:r>
        <w:lastRenderedPageBreak/>
        <w:t>Subdivision 2 — Impounding of vehicles by police for certain offences</w:t>
      </w:r>
      <w:bookmarkEnd w:id="122"/>
      <w:bookmarkEnd w:id="123"/>
      <w:bookmarkEnd w:id="124"/>
      <w:bookmarkEnd w:id="125"/>
    </w:p>
    <w:p>
      <w:pPr>
        <w:pStyle w:val="Footnoteheading"/>
        <w:keepNext/>
        <w:keepLines/>
      </w:pPr>
      <w:r>
        <w:tab/>
        <w:t>[Heading inserted: No. 10 of 2004 s. 13; amended: No. 51 of 2016 s. 19.]</w:t>
      </w:r>
    </w:p>
    <w:p>
      <w:pPr>
        <w:pStyle w:val="Heading5"/>
        <w:spacing w:before="180"/>
      </w:pPr>
      <w:bookmarkStart w:id="126" w:name="_Toc166680462"/>
      <w:r>
        <w:rPr>
          <w:rStyle w:val="CharSectno"/>
        </w:rPr>
        <w:t>79</w:t>
      </w:r>
      <w:r>
        <w:t>.</w:t>
      </w:r>
      <w:r>
        <w:tab/>
        <w:t>Impounding offence (driving), police powers to impound vehicle used in</w:t>
      </w:r>
      <w:bookmarkEnd w:id="12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lastRenderedPageBreak/>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27" w:name="_Toc166680463"/>
      <w:r>
        <w:rPr>
          <w:rStyle w:val="CharSectno"/>
        </w:rPr>
        <w:t>79A</w:t>
      </w:r>
      <w:r>
        <w:t>.</w:t>
      </w:r>
      <w:r>
        <w:tab/>
        <w:t>Impounding offence (driver’s licence), police powers to impound vehicle used in</w:t>
      </w:r>
      <w:bookmarkEnd w:id="127"/>
    </w:p>
    <w:p>
      <w:pPr>
        <w:pStyle w:val="Subsection"/>
        <w:spacing w:before="120"/>
      </w:pPr>
      <w:r>
        <w:tab/>
        <w:t>(1)</w:t>
      </w:r>
      <w:r>
        <w:tab/>
        <w:t xml:space="preserve">If a police officer reasonably suspects that, while driving a vehicle, the driver has committed an impounding offence (driver’s licence), the police officer must, unless in the circumstances it is impracticable to do so, seize and impound </w:t>
      </w:r>
      <w:r>
        <w:lastRenderedPageBreak/>
        <w:t>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28" w:name="_Toc166680464"/>
      <w:r>
        <w:rPr>
          <w:rStyle w:val="CharSectno"/>
        </w:rPr>
        <w:t>79BA</w:t>
      </w:r>
      <w:r>
        <w:t>.</w:t>
      </w:r>
      <w:r>
        <w:tab/>
        <w:t>Notice to surrender vehicle for impoundment, issue of etc.</w:t>
      </w:r>
      <w:bookmarkEnd w:id="128"/>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lastRenderedPageBreak/>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lastRenderedPageBreak/>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29" w:name="_Toc166680465"/>
      <w:r>
        <w:rPr>
          <w:rStyle w:val="CharSectno"/>
        </w:rPr>
        <w:t>79BB</w:t>
      </w:r>
      <w:r>
        <w:t>.</w:t>
      </w:r>
      <w:r>
        <w:tab/>
        <w:t>Consequences of surrender notice</w:t>
      </w:r>
      <w:bookmarkEnd w:id="129"/>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lastRenderedPageBreak/>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30" w:name="_Toc166680466"/>
      <w:r>
        <w:rPr>
          <w:rStyle w:val="CharSectno"/>
        </w:rPr>
        <w:t>79BCA</w:t>
      </w:r>
      <w:r>
        <w:t>.</w:t>
      </w:r>
      <w:r>
        <w:tab/>
        <w:t>Surrender substitute vehicle notice</w:t>
      </w:r>
      <w:bookmarkEnd w:id="130"/>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lastRenderedPageBreak/>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 xml:space="preserve">if section 79(1) was the impounding provision for the initially impounded vehicle, either 28 days or 3 months according to which of those periods was the impounding period for which </w:t>
      </w:r>
      <w:r>
        <w:lastRenderedPageBreak/>
        <w:t>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31" w:name="_Toc166680467"/>
      <w:r>
        <w:rPr>
          <w:rStyle w:val="CharSectno"/>
        </w:rPr>
        <w:t>79BCB</w:t>
      </w:r>
      <w:r>
        <w:t>.</w:t>
      </w:r>
      <w:r>
        <w:tab/>
        <w:t>Consequences of surrender substitute vehicle notice</w:t>
      </w:r>
      <w:bookmarkEnd w:id="131"/>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lastRenderedPageBreak/>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32" w:name="_Toc166680468"/>
      <w:r>
        <w:rPr>
          <w:rStyle w:val="CharSectno"/>
        </w:rPr>
        <w:lastRenderedPageBreak/>
        <w:t>79BCC</w:t>
      </w:r>
      <w:r>
        <w:t>.</w:t>
      </w:r>
      <w:r>
        <w:tab/>
        <w:t>Cancelling notice under s. 79BA, 79BCA or 79BCD</w:t>
      </w:r>
      <w:bookmarkEnd w:id="13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33" w:name="_Toc166680469"/>
      <w:r>
        <w:rPr>
          <w:rStyle w:val="CharSectno"/>
        </w:rPr>
        <w:lastRenderedPageBreak/>
        <w:t>79BCD</w:t>
      </w:r>
      <w:r>
        <w:t>.</w:t>
      </w:r>
      <w:r>
        <w:tab/>
        <w:t>Surrender alternative vehicle notice</w:t>
      </w:r>
      <w:bookmarkEnd w:id="13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lastRenderedPageBreak/>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 xml:space="preserve">If the alleged offender is a responsible person for 2 or more other vehicles, the surrender alternative vehicle notice must </w:t>
      </w:r>
      <w:r>
        <w:lastRenderedPageBreak/>
        <w:t>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34" w:name="_Toc166680470"/>
      <w:r>
        <w:rPr>
          <w:rStyle w:val="CharSectno"/>
        </w:rPr>
        <w:t>79BCE</w:t>
      </w:r>
      <w:r>
        <w:t>.</w:t>
      </w:r>
      <w:r>
        <w:tab/>
        <w:t>Consequences of surrender alternative vehicle notice</w:t>
      </w:r>
      <w:bookmarkEnd w:id="134"/>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lastRenderedPageBreak/>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35" w:name="_Toc166680471"/>
      <w:r>
        <w:rPr>
          <w:rStyle w:val="CharSectno"/>
        </w:rPr>
        <w:t>79BC</w:t>
      </w:r>
      <w:r>
        <w:t>.</w:t>
      </w:r>
      <w:r>
        <w:tab/>
        <w:t>Acquittal etc. of pending charge of impounding offence (driving), effect of</w:t>
      </w:r>
      <w:bookmarkEnd w:id="135"/>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w:t>
      </w:r>
      <w:r>
        <w:lastRenderedPageBreak/>
        <w:t xml:space="preserve">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36" w:name="_Toc166680472"/>
      <w:r>
        <w:rPr>
          <w:rStyle w:val="CharSectno"/>
        </w:rPr>
        <w:t>79BD</w:t>
      </w:r>
      <w:r>
        <w:t>.</w:t>
      </w:r>
      <w:r>
        <w:tab/>
        <w:t>Suspension of vehicle licence on Commissioner’s request</w:t>
      </w:r>
      <w:bookmarkEnd w:id="136"/>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 xml:space="preserve">a responsible person for a vehicle who is given a surrender alternative vehicle notice under </w:t>
      </w:r>
      <w:r>
        <w:lastRenderedPageBreak/>
        <w:t>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37" w:name="_Toc166680473"/>
      <w:r>
        <w:rPr>
          <w:rStyle w:val="CharSectno"/>
        </w:rPr>
        <w:t>79B</w:t>
      </w:r>
      <w:r>
        <w:t>.</w:t>
      </w:r>
      <w:r>
        <w:tab/>
        <w:t>Notice of impounding, police to issue etc.</w:t>
      </w:r>
      <w:bookmarkEnd w:id="13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lastRenderedPageBreak/>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lastRenderedPageBreak/>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lastRenderedPageBreak/>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lastRenderedPageBreak/>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38" w:name="_Toc166680474"/>
      <w:r>
        <w:rPr>
          <w:rStyle w:val="CharSectno"/>
        </w:rPr>
        <w:t>79C</w:t>
      </w:r>
      <w:r>
        <w:t>.</w:t>
      </w:r>
      <w:r>
        <w:tab/>
        <w:t>Senior officer to be informed etc. if vehicle impounded</w:t>
      </w:r>
      <w:bookmarkEnd w:id="138"/>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lastRenderedPageBreak/>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 xml:space="preserve">if a substitute vehicle has been impounded under section 79BCB, or an alternative vehicle has been impounded under section 79BCE, the senior police officer and the police officer are to take measures to </w:t>
      </w:r>
      <w:r>
        <w:lastRenderedPageBreak/>
        <w:t>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39" w:name="_Toc166680475"/>
      <w:r>
        <w:rPr>
          <w:rStyle w:val="CharSectno"/>
        </w:rPr>
        <w:t>79D</w:t>
      </w:r>
      <w:r>
        <w:t>.</w:t>
      </w:r>
      <w:r>
        <w:tab/>
        <w:t>Release of impounded vehicle</w:t>
      </w:r>
      <w:bookmarkEnd w:id="139"/>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lastRenderedPageBreak/>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keepNext/>
      </w:pPr>
      <w:r>
        <w:lastRenderedPageBreak/>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lastRenderedPageBreak/>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lastRenderedPageBreak/>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lastRenderedPageBreak/>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 xml:space="preserve">if the offence in respect of which the vehicle was impounded was an impounding offence (driver’s </w:t>
      </w:r>
      <w:r>
        <w:lastRenderedPageBreak/>
        <w:t>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40" w:name="_Toc166680476"/>
      <w:r>
        <w:rPr>
          <w:rStyle w:val="CharSectno"/>
        </w:rPr>
        <w:t>79E</w:t>
      </w:r>
      <w:r>
        <w:t>.</w:t>
      </w:r>
      <w:r>
        <w:tab/>
        <w:t>Liability for police expenses for impounding</w:t>
      </w:r>
      <w:bookmarkEnd w:id="14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lastRenderedPageBreak/>
        <w:tab/>
        <w:t>[Section 79E inserted: No. 23 of 2009 s. 16; amended: No. 20 of 2010 s. 11; No. 51 of 2016 s. 30.]</w:t>
      </w:r>
    </w:p>
    <w:p>
      <w:pPr>
        <w:pStyle w:val="Heading4"/>
        <w:keepLines/>
      </w:pPr>
      <w:bookmarkStart w:id="141" w:name="_Toc166659321"/>
      <w:bookmarkStart w:id="142" w:name="_Toc166679655"/>
      <w:bookmarkStart w:id="143" w:name="_Toc166679854"/>
      <w:bookmarkStart w:id="144" w:name="_Toc166680477"/>
      <w:r>
        <w:t>Subdivision 3 — Impounding and confiscation of vehicles by court order</w:t>
      </w:r>
      <w:bookmarkEnd w:id="141"/>
      <w:bookmarkEnd w:id="142"/>
      <w:bookmarkEnd w:id="143"/>
      <w:bookmarkEnd w:id="144"/>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45" w:name="_Toc166680478"/>
      <w:r>
        <w:rPr>
          <w:rStyle w:val="CharSectno"/>
        </w:rPr>
        <w:t>80A</w:t>
      </w:r>
      <w:r>
        <w:t>.</w:t>
      </w:r>
      <w:r>
        <w:tab/>
        <w:t>Confiscation of vehicles used in certain impounding offences (driving)</w:t>
      </w:r>
      <w:bookmarkEnd w:id="14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lastRenderedPageBreak/>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46" w:name="_Toc166680479"/>
      <w:r>
        <w:rPr>
          <w:rStyle w:val="CharSectno"/>
        </w:rPr>
        <w:t>80B</w:t>
      </w:r>
      <w:r>
        <w:t>.</w:t>
      </w:r>
      <w:r>
        <w:tab/>
      </w:r>
      <w:r>
        <w:rPr>
          <w:snapToGrid w:val="0"/>
        </w:rPr>
        <w:t>Impounding offence (driver’s licence) by previous offender, court may impound vehicle of</w:t>
      </w:r>
      <w:bookmarkEnd w:id="146"/>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47" w:name="_Toc166680480"/>
      <w:r>
        <w:rPr>
          <w:rStyle w:val="CharSectno"/>
        </w:rPr>
        <w:t>80C</w:t>
      </w:r>
      <w:r>
        <w:t>.</w:t>
      </w:r>
      <w:r>
        <w:tab/>
        <w:t>Impounding offence (</w:t>
      </w:r>
      <w:r>
        <w:rPr>
          <w:snapToGrid w:val="0"/>
        </w:rPr>
        <w:t>driver’s licence) by previous offender, court may confiscate vehicle of</w:t>
      </w:r>
      <w:bookmarkEnd w:id="14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148" w:name="_Toc166680481"/>
      <w:r>
        <w:rPr>
          <w:rStyle w:val="CharSectno"/>
        </w:rPr>
        <w:lastRenderedPageBreak/>
        <w:t>80CA</w:t>
      </w:r>
      <w:r>
        <w:t>.</w:t>
      </w:r>
      <w:r>
        <w:tab/>
        <w:t>Road rage offence, court may impound offender’s vehicle for</w:t>
      </w:r>
      <w:bookmarkEnd w:id="148"/>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49" w:name="_Toc166680482"/>
      <w:r>
        <w:rPr>
          <w:rStyle w:val="CharSectno"/>
        </w:rPr>
        <w:t>80CB</w:t>
      </w:r>
      <w:r>
        <w:t>.</w:t>
      </w:r>
      <w:r>
        <w:tab/>
        <w:t>Road rage offence, court may confiscate offender’s vehicle for</w:t>
      </w:r>
      <w:bookmarkEnd w:id="149"/>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50" w:name="_Toc166680483"/>
      <w:r>
        <w:rPr>
          <w:rStyle w:val="CharSectno"/>
        </w:rPr>
        <w:t>80D</w:t>
      </w:r>
      <w:r>
        <w:t>.</w:t>
      </w:r>
      <w:r>
        <w:tab/>
        <w:t>Effect of confiscation under s. 80A, 80C or 80CB</w:t>
      </w:r>
      <w:bookmarkEnd w:id="150"/>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51" w:name="_Toc166680484"/>
      <w:r>
        <w:rPr>
          <w:rStyle w:val="CharSectno"/>
        </w:rPr>
        <w:lastRenderedPageBreak/>
        <w:t>80E</w:t>
      </w:r>
      <w:r>
        <w:t>.</w:t>
      </w:r>
      <w:r>
        <w:tab/>
        <w:t>Confiscation under s. 80A not to be of stolen, hired or lent vehicle</w:t>
      </w:r>
      <w:bookmarkEnd w:id="151"/>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52" w:name="_Toc166680485"/>
      <w:r>
        <w:rPr>
          <w:rStyle w:val="CharSectno"/>
        </w:rPr>
        <w:t>80FA</w:t>
      </w:r>
      <w:r>
        <w:t>.</w:t>
      </w:r>
      <w:r>
        <w:tab/>
        <w:t>When court may order impounding instead of confiscation</w:t>
      </w:r>
      <w:bookmarkEnd w:id="152"/>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53" w:name="_Toc166680486"/>
      <w:r>
        <w:rPr>
          <w:rStyle w:val="CharSectno"/>
        </w:rPr>
        <w:lastRenderedPageBreak/>
        <w:t>80F</w:t>
      </w:r>
      <w:r>
        <w:t>.</w:t>
      </w:r>
      <w:r>
        <w:tab/>
        <w:t>Impounding or confiscation order to specify time and place for surrender of vehicle</w:t>
      </w:r>
      <w:bookmarkEnd w:id="15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54" w:name="_Toc166680487"/>
      <w:r>
        <w:rPr>
          <w:rStyle w:val="CharSectno"/>
        </w:rPr>
        <w:t>80GA</w:t>
      </w:r>
      <w:r>
        <w:t>.</w:t>
      </w:r>
      <w:r>
        <w:tab/>
        <w:t>Application for s. 80B to 80CB order, which vehicle can be subject of</w:t>
      </w:r>
      <w:bookmarkEnd w:id="15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 xml:space="preserve">If the alleged offender is not a responsible person for the vehicle to which subsection (1)(b) would, if the Commissioner did not nominate a substitute vehicle, refer, the Commissioner may nominate as a substitute vehicle a motor vehicle for which the </w:t>
      </w:r>
      <w:r>
        <w:lastRenderedPageBreak/>
        <w:t>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55" w:name="_Toc166680488"/>
      <w:r>
        <w:rPr>
          <w:rStyle w:val="CharSectno"/>
        </w:rPr>
        <w:t>80G</w:t>
      </w:r>
      <w:r>
        <w:t>.</w:t>
      </w:r>
      <w:r>
        <w:tab/>
        <w:t>Procedure and grounds for making orders under s. 80A to 80CB</w:t>
      </w:r>
      <w:bookmarkEnd w:id="15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lastRenderedPageBreak/>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lastRenderedPageBreak/>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56" w:name="_Toc166680489"/>
      <w:r>
        <w:rPr>
          <w:rStyle w:val="CharSectno"/>
        </w:rPr>
        <w:lastRenderedPageBreak/>
        <w:t>80H</w:t>
      </w:r>
      <w:r>
        <w:t>.</w:t>
      </w:r>
      <w:r>
        <w:tab/>
        <w:t>Liability for police expenses for court</w:t>
      </w:r>
      <w:r>
        <w:noBreakHyphen/>
        <w:t>ordered impounding</w:t>
      </w:r>
      <w:bookmarkEnd w:id="156"/>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57" w:name="_Toc166659334"/>
      <w:bookmarkStart w:id="158" w:name="_Toc166679668"/>
      <w:bookmarkStart w:id="159" w:name="_Toc166679867"/>
      <w:bookmarkStart w:id="160" w:name="_Toc166680490"/>
      <w:r>
        <w:t>Subdivision 4 — Vehicles impounded or confiscated under Subdivision 2 or 3</w:t>
      </w:r>
      <w:bookmarkEnd w:id="157"/>
      <w:bookmarkEnd w:id="158"/>
      <w:bookmarkEnd w:id="159"/>
      <w:bookmarkEnd w:id="160"/>
    </w:p>
    <w:p>
      <w:pPr>
        <w:pStyle w:val="Footnoteheading"/>
      </w:pPr>
      <w:r>
        <w:tab/>
        <w:t>[Heading inserted: No. 51 of 2016 s. 37.]</w:t>
      </w:r>
    </w:p>
    <w:p>
      <w:pPr>
        <w:pStyle w:val="Heading5"/>
      </w:pPr>
      <w:bookmarkStart w:id="161" w:name="_Toc166680491"/>
      <w:r>
        <w:rPr>
          <w:rStyle w:val="CharSectno"/>
        </w:rPr>
        <w:t>80IA</w:t>
      </w:r>
      <w:r>
        <w:t>.</w:t>
      </w:r>
      <w:r>
        <w:tab/>
        <w:t>Release of vehicle after impounding period</w:t>
      </w:r>
      <w:bookmarkEnd w:id="161"/>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62" w:name="_Toc166680492"/>
      <w:r>
        <w:rPr>
          <w:rStyle w:val="CharSectno"/>
        </w:rPr>
        <w:t>80IB</w:t>
      </w:r>
      <w:r>
        <w:t>.</w:t>
      </w:r>
      <w:r>
        <w:tab/>
        <w:t>Impounding expenses, payment of before vehicle released</w:t>
      </w:r>
      <w:bookmarkEnd w:id="162"/>
    </w:p>
    <w:p>
      <w:pPr>
        <w:pStyle w:val="Subsection"/>
      </w:pPr>
      <w:r>
        <w:tab/>
        <w:t>(1)</w:t>
      </w:r>
      <w:r>
        <w:tab/>
        <w:t xml:space="preserve">When a vehicle has been impounded under Subdivision 2 or on an impounding order and the impounding period ends, the Commissioner may refuse to release the vehicle until the Commissioner has been paid an amount specified by the </w:t>
      </w:r>
      <w:r>
        <w:lastRenderedPageBreak/>
        <w:t>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 xml:space="preserve">during the period described in paragraph (a) a person is charged with committing the offence but the person is </w:t>
      </w:r>
      <w:r>
        <w:lastRenderedPageBreak/>
        <w:t>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63" w:name="_Toc166680493"/>
      <w:r>
        <w:rPr>
          <w:rStyle w:val="CharSectno"/>
        </w:rPr>
        <w:t>80I</w:t>
      </w:r>
      <w:r>
        <w:rPr>
          <w:snapToGrid w:val="0"/>
        </w:rPr>
        <w:t>.</w:t>
      </w:r>
      <w:r>
        <w:rPr>
          <w:snapToGrid w:val="0"/>
        </w:rPr>
        <w:tab/>
        <w:t>Storage expenses after impounding period ends</w:t>
      </w:r>
      <w:bookmarkEnd w:id="163"/>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64" w:name="_Toc166680494"/>
      <w:r>
        <w:rPr>
          <w:rStyle w:val="CharSectno"/>
        </w:rPr>
        <w:lastRenderedPageBreak/>
        <w:t>80JA</w:t>
      </w:r>
      <w:r>
        <w:t>.</w:t>
      </w:r>
      <w:r>
        <w:tab/>
        <w:t>Disposal, with consent, of vehicles impounded under s. 79 or 79A</w:t>
      </w:r>
      <w:bookmarkEnd w:id="164"/>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lastRenderedPageBreak/>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lastRenderedPageBreak/>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65" w:name="_Toc166680495"/>
      <w:r>
        <w:rPr>
          <w:rStyle w:val="CharSectno"/>
        </w:rPr>
        <w:t>80J</w:t>
      </w:r>
      <w:r>
        <w:t>.</w:t>
      </w:r>
      <w:r>
        <w:tab/>
        <w:t>Sale of confiscated and uncollected vehicles and items</w:t>
      </w:r>
      <w:bookmarkEnd w:id="16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lastRenderedPageBreak/>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lastRenderedPageBreak/>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lastRenderedPageBreak/>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166" w:name="_Toc166680496"/>
      <w:r>
        <w:rPr>
          <w:rStyle w:val="CharSectno"/>
        </w:rPr>
        <w:t>80K</w:t>
      </w:r>
      <w:r>
        <w:t>.</w:t>
      </w:r>
      <w:r>
        <w:tab/>
        <w:t>Police expenses more than sale proceeds, liability for</w:t>
      </w:r>
      <w:bookmarkEnd w:id="166"/>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67" w:name="_Toc166680497"/>
      <w:r>
        <w:rPr>
          <w:rStyle w:val="CharSectno"/>
        </w:rPr>
        <w:lastRenderedPageBreak/>
        <w:t>80LA</w:t>
      </w:r>
      <w:r>
        <w:t>.</w:t>
      </w:r>
      <w:r>
        <w:tab/>
        <w:t>Liability for police expenses for uncollected vehicle more than sale proceeds</w:t>
      </w:r>
      <w:bookmarkEnd w:id="16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168" w:name="_Toc166680498"/>
      <w:r>
        <w:rPr>
          <w:rStyle w:val="CharSectno"/>
        </w:rPr>
        <w:t>80L</w:t>
      </w:r>
      <w:r>
        <w:t>.</w:t>
      </w:r>
      <w:r>
        <w:tab/>
        <w:t>Transfer of vehicle licence to State in some cases</w:t>
      </w:r>
      <w:bookmarkEnd w:id="168"/>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69" w:name="_Toc166680499"/>
      <w:r>
        <w:rPr>
          <w:rStyle w:val="CharSectno"/>
        </w:rPr>
        <w:t>80M</w:t>
      </w:r>
      <w:r>
        <w:t>.</w:t>
      </w:r>
      <w:r>
        <w:tab/>
        <w:t>Compensation for certain vehicles or items disposed of under s. 80J</w:t>
      </w:r>
      <w:bookmarkEnd w:id="169"/>
    </w:p>
    <w:p>
      <w:pPr>
        <w:pStyle w:val="Subsection"/>
      </w:pPr>
      <w:r>
        <w:tab/>
        <w:t>(1)</w:t>
      </w:r>
      <w:r>
        <w:tab/>
        <w:t xml:space="preserve">In this section — </w:t>
      </w:r>
    </w:p>
    <w:p>
      <w:pPr>
        <w:pStyle w:val="Defstart"/>
      </w:pPr>
      <w:r>
        <w:lastRenderedPageBreak/>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lastRenderedPageBreak/>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70" w:name="_Toc166659344"/>
      <w:bookmarkStart w:id="171" w:name="_Toc166679678"/>
      <w:bookmarkStart w:id="172" w:name="_Toc166679877"/>
      <w:bookmarkStart w:id="173" w:name="_Toc166680500"/>
      <w:r>
        <w:t>Subdivision 5 — Impounding and confiscation of unlicensed motor cycles used on roads</w:t>
      </w:r>
      <w:bookmarkEnd w:id="170"/>
      <w:bookmarkEnd w:id="171"/>
      <w:bookmarkEnd w:id="172"/>
      <w:bookmarkEnd w:id="173"/>
    </w:p>
    <w:p>
      <w:pPr>
        <w:pStyle w:val="Footnoteheading"/>
      </w:pPr>
      <w:r>
        <w:tab/>
        <w:t>[Heading inserted: No. 51 of 2016 s. 45.]</w:t>
      </w:r>
    </w:p>
    <w:p>
      <w:pPr>
        <w:pStyle w:val="Heading5"/>
      </w:pPr>
      <w:bookmarkStart w:id="174" w:name="_Toc166680501"/>
      <w:r>
        <w:rPr>
          <w:rStyle w:val="CharSectno"/>
        </w:rPr>
        <w:lastRenderedPageBreak/>
        <w:t>80N</w:t>
      </w:r>
      <w:r>
        <w:t>.</w:t>
      </w:r>
      <w:r>
        <w:tab/>
        <w:t>Terms used</w:t>
      </w:r>
      <w:bookmarkEnd w:id="174"/>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75" w:name="_Toc166680502"/>
      <w:r>
        <w:rPr>
          <w:rStyle w:val="CharSectno"/>
        </w:rPr>
        <w:t>80O</w:t>
      </w:r>
      <w:r>
        <w:t>.</w:t>
      </w:r>
      <w:r>
        <w:tab/>
        <w:t>Police power to impound unlicensed motor cycle used on road</w:t>
      </w:r>
      <w:bookmarkEnd w:id="175"/>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lastRenderedPageBreak/>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76" w:name="_Toc166680503"/>
      <w:r>
        <w:rPr>
          <w:rStyle w:val="CharSectno"/>
        </w:rPr>
        <w:t>80P</w:t>
      </w:r>
      <w:r>
        <w:t>.</w:t>
      </w:r>
      <w:r>
        <w:tab/>
        <w:t>Surrender notice</w:t>
      </w:r>
      <w:bookmarkEnd w:id="176"/>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lastRenderedPageBreak/>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lastRenderedPageBreak/>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77" w:name="_Toc166680504"/>
      <w:r>
        <w:rPr>
          <w:rStyle w:val="CharSectno"/>
        </w:rPr>
        <w:lastRenderedPageBreak/>
        <w:t>80Q</w:t>
      </w:r>
      <w:r>
        <w:t>.</w:t>
      </w:r>
      <w:r>
        <w:tab/>
        <w:t>Consequences of surrender notice</w:t>
      </w:r>
      <w:bookmarkEnd w:id="177"/>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78" w:name="_Toc166680505"/>
      <w:r>
        <w:rPr>
          <w:rStyle w:val="CharSectno"/>
        </w:rPr>
        <w:t>80R</w:t>
      </w:r>
      <w:r>
        <w:t>.</w:t>
      </w:r>
      <w:r>
        <w:tab/>
        <w:t>Senior police officer to be informed if vehicle impounded</w:t>
      </w:r>
      <w:bookmarkEnd w:id="178"/>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lastRenderedPageBreak/>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79" w:name="_Toc166680506"/>
      <w:r>
        <w:rPr>
          <w:rStyle w:val="CharSectno"/>
        </w:rPr>
        <w:t>80S</w:t>
      </w:r>
      <w:r>
        <w:t>.</w:t>
      </w:r>
      <w:r>
        <w:tab/>
        <w:t>Claims of right to possession</w:t>
      </w:r>
      <w:bookmarkEnd w:id="179"/>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lastRenderedPageBreak/>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80" w:name="_Toc166680507"/>
      <w:r>
        <w:rPr>
          <w:rStyle w:val="CharSectno"/>
        </w:rPr>
        <w:t>80T</w:t>
      </w:r>
      <w:r>
        <w:t>.</w:t>
      </w:r>
      <w:r>
        <w:tab/>
        <w:t>Confiscation</w:t>
      </w:r>
      <w:bookmarkEnd w:id="180"/>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81" w:name="_Toc166680508"/>
      <w:r>
        <w:rPr>
          <w:rStyle w:val="CharSectno"/>
        </w:rPr>
        <w:t>80U</w:t>
      </w:r>
      <w:r>
        <w:t>.</w:t>
      </w:r>
      <w:r>
        <w:tab/>
        <w:t>Liability for police expenses</w:t>
      </w:r>
      <w:bookmarkEnd w:id="181"/>
      <w:r>
        <w:t xml:space="preserve"> </w:t>
      </w:r>
    </w:p>
    <w:p>
      <w:pPr>
        <w:pStyle w:val="Subsection"/>
      </w:pPr>
      <w:r>
        <w:tab/>
      </w:r>
      <w:r>
        <w:tab/>
        <w:t xml:space="preserve">If a motor cycle is confiscated under section 80T(1), the driver of the motor cycle at the time of its suspected use is liable to </w:t>
      </w:r>
      <w:r>
        <w:lastRenderedPageBreak/>
        <w:t xml:space="preserve">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82" w:name="_Toc166680509"/>
      <w:r>
        <w:rPr>
          <w:rStyle w:val="CharSectno"/>
        </w:rPr>
        <w:t>80V</w:t>
      </w:r>
      <w:r>
        <w:t>.</w:t>
      </w:r>
      <w:r>
        <w:tab/>
        <w:t>Sale or other disposal of confiscated motor cycle and items on it</w:t>
      </w:r>
      <w:bookmarkEnd w:id="182"/>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lastRenderedPageBreak/>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83" w:name="_Toc166680510"/>
      <w:r>
        <w:rPr>
          <w:rStyle w:val="CharSectno"/>
        </w:rPr>
        <w:t>80W</w:t>
      </w:r>
      <w:r>
        <w:t>.</w:t>
      </w:r>
      <w:r>
        <w:tab/>
        <w:t>Liability for police expenses exceeding sale proceeds</w:t>
      </w:r>
      <w:bookmarkEnd w:id="183"/>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84" w:name="_Toc166659355"/>
      <w:bookmarkStart w:id="185" w:name="_Toc166679689"/>
      <w:bookmarkStart w:id="186" w:name="_Toc166679888"/>
      <w:bookmarkStart w:id="187" w:name="_Toc166680511"/>
      <w:r>
        <w:rPr>
          <w:rStyle w:val="CharPartNo"/>
        </w:rPr>
        <w:lastRenderedPageBreak/>
        <w:t>Part VA</w:t>
      </w:r>
      <w:r>
        <w:rPr>
          <w:rStyle w:val="CharDivNo"/>
        </w:rPr>
        <w:t> </w:t>
      </w:r>
      <w:r>
        <w:t>—</w:t>
      </w:r>
      <w:r>
        <w:rPr>
          <w:rStyle w:val="CharDivText"/>
        </w:rPr>
        <w:t> </w:t>
      </w:r>
      <w:r>
        <w:rPr>
          <w:rStyle w:val="CharPartText"/>
        </w:rPr>
        <w:t>Events on roads</w:t>
      </w:r>
      <w:bookmarkEnd w:id="184"/>
      <w:bookmarkEnd w:id="185"/>
      <w:bookmarkEnd w:id="186"/>
      <w:bookmarkEnd w:id="187"/>
    </w:p>
    <w:p>
      <w:pPr>
        <w:pStyle w:val="Footnoteheading"/>
        <w:tabs>
          <w:tab w:val="left" w:pos="840"/>
        </w:tabs>
      </w:pPr>
      <w:r>
        <w:tab/>
        <w:t>[Heading inserted: No. 64 of 1988 s. 4.]</w:t>
      </w:r>
    </w:p>
    <w:p>
      <w:pPr>
        <w:pStyle w:val="Heading5"/>
        <w:rPr>
          <w:snapToGrid w:val="0"/>
        </w:rPr>
      </w:pPr>
      <w:bookmarkStart w:id="188" w:name="_Toc166680512"/>
      <w:r>
        <w:rPr>
          <w:rStyle w:val="CharSectno"/>
        </w:rPr>
        <w:t>81A</w:t>
      </w:r>
      <w:r>
        <w:rPr>
          <w:snapToGrid w:val="0"/>
        </w:rPr>
        <w:t>.</w:t>
      </w:r>
      <w:r>
        <w:rPr>
          <w:snapToGrid w:val="0"/>
        </w:rPr>
        <w:tab/>
        <w:t>Terms used</w:t>
      </w:r>
      <w:bookmarkEnd w:id="18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89" w:name="_Toc166680513"/>
      <w:r>
        <w:rPr>
          <w:rStyle w:val="CharSectno"/>
        </w:rPr>
        <w:t>81B</w:t>
      </w:r>
      <w:r>
        <w:rPr>
          <w:snapToGrid w:val="0"/>
        </w:rPr>
        <w:t>.</w:t>
      </w:r>
      <w:r>
        <w:rPr>
          <w:snapToGrid w:val="0"/>
        </w:rPr>
        <w:tab/>
        <w:t>Order for road closure for event, application for</w:t>
      </w:r>
      <w:bookmarkEnd w:id="18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90" w:name="_Toc166680514"/>
      <w:r>
        <w:rPr>
          <w:rStyle w:val="CharSectno"/>
        </w:rPr>
        <w:lastRenderedPageBreak/>
        <w:t>81C</w:t>
      </w:r>
      <w:r>
        <w:rPr>
          <w:snapToGrid w:val="0"/>
        </w:rPr>
        <w:t>.</w:t>
      </w:r>
      <w:r>
        <w:rPr>
          <w:snapToGrid w:val="0"/>
        </w:rPr>
        <w:tab/>
        <w:t>Order for road closure for event, making</w:t>
      </w:r>
      <w:bookmarkEnd w:id="19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91" w:name="_Toc166680515"/>
      <w:r>
        <w:rPr>
          <w:rStyle w:val="CharSectno"/>
        </w:rPr>
        <w:lastRenderedPageBreak/>
        <w:t>81D</w:t>
      </w:r>
      <w:r>
        <w:rPr>
          <w:snapToGrid w:val="0"/>
        </w:rPr>
        <w:t>.</w:t>
      </w:r>
      <w:r>
        <w:rPr>
          <w:snapToGrid w:val="0"/>
        </w:rPr>
        <w:tab/>
        <w:t>Road closure, how effected by local government</w:t>
      </w:r>
      <w:bookmarkEnd w:id="191"/>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92" w:name="_Toc166680516"/>
      <w:r>
        <w:rPr>
          <w:rStyle w:val="CharSectno"/>
        </w:rPr>
        <w:t>81E</w:t>
      </w:r>
      <w:r>
        <w:rPr>
          <w:snapToGrid w:val="0"/>
        </w:rPr>
        <w:t>.</w:t>
      </w:r>
      <w:r>
        <w:rPr>
          <w:snapToGrid w:val="0"/>
        </w:rPr>
        <w:tab/>
        <w:t>Road closure order, effect of</w:t>
      </w:r>
      <w:bookmarkEnd w:id="192"/>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lastRenderedPageBreak/>
        <w:tab/>
        <w:t>[Section 81E inserted: No. 64 of 1988 s. 4; amended: No. 70 of 2004 s. 82.]</w:t>
      </w:r>
    </w:p>
    <w:p>
      <w:pPr>
        <w:pStyle w:val="Heading5"/>
        <w:rPr>
          <w:snapToGrid w:val="0"/>
        </w:rPr>
      </w:pPr>
      <w:bookmarkStart w:id="193" w:name="_Toc166680517"/>
      <w:r>
        <w:rPr>
          <w:rStyle w:val="CharSectno"/>
        </w:rPr>
        <w:t>81F</w:t>
      </w:r>
      <w:r>
        <w:rPr>
          <w:snapToGrid w:val="0"/>
        </w:rPr>
        <w:t>.</w:t>
      </w:r>
      <w:r>
        <w:rPr>
          <w:snapToGrid w:val="0"/>
        </w:rPr>
        <w:tab/>
        <w:t>Offences</w:t>
      </w:r>
      <w:bookmarkEnd w:id="193"/>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lastRenderedPageBreak/>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94" w:name="_Toc166659362"/>
      <w:bookmarkStart w:id="195" w:name="_Toc166679696"/>
      <w:bookmarkStart w:id="196" w:name="_Toc166679895"/>
      <w:bookmarkStart w:id="197" w:name="_Toc166680518"/>
      <w:r>
        <w:rPr>
          <w:rStyle w:val="CharPartNo"/>
        </w:rPr>
        <w:lastRenderedPageBreak/>
        <w:t>Part 5B</w:t>
      </w:r>
      <w:r>
        <w:rPr>
          <w:rStyle w:val="CharDivNo"/>
        </w:rPr>
        <w:t> </w:t>
      </w:r>
      <w:r>
        <w:t>—</w:t>
      </w:r>
      <w:r>
        <w:rPr>
          <w:rStyle w:val="CharDivText"/>
        </w:rPr>
        <w:t> </w:t>
      </w:r>
      <w:r>
        <w:rPr>
          <w:rStyle w:val="CharPartText"/>
        </w:rPr>
        <w:t>Radar detectors</w:t>
      </w:r>
      <w:bookmarkEnd w:id="194"/>
      <w:bookmarkEnd w:id="195"/>
      <w:bookmarkEnd w:id="196"/>
      <w:bookmarkEnd w:id="197"/>
    </w:p>
    <w:p>
      <w:pPr>
        <w:pStyle w:val="Footnoteheading"/>
        <w:spacing w:before="80"/>
      </w:pPr>
      <w:r>
        <w:tab/>
        <w:t>[Heading inserted: No. 27 of 2020 s. 39.]</w:t>
      </w:r>
    </w:p>
    <w:p>
      <w:pPr>
        <w:pStyle w:val="Heading5"/>
      </w:pPr>
      <w:bookmarkStart w:id="198" w:name="_Toc166680519"/>
      <w:r>
        <w:rPr>
          <w:rStyle w:val="CharSectno"/>
        </w:rPr>
        <w:t>81G</w:t>
      </w:r>
      <w:r>
        <w:t>.</w:t>
      </w:r>
      <w:r>
        <w:tab/>
        <w:t>Offence to drive motor vehicle with radar detector fitted to, within or on vehicle</w:t>
      </w:r>
      <w:bookmarkEnd w:id="198"/>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w:t>
      </w:r>
    </w:p>
    <w:p>
      <w:pPr>
        <w:pStyle w:val="Heading2"/>
      </w:pPr>
      <w:bookmarkStart w:id="199" w:name="_Toc166659364"/>
      <w:bookmarkStart w:id="200" w:name="_Toc166679698"/>
      <w:bookmarkStart w:id="201" w:name="_Toc166679897"/>
      <w:bookmarkStart w:id="202" w:name="_Toc166680520"/>
      <w:r>
        <w:rPr>
          <w:rStyle w:val="CharPartNo"/>
        </w:rPr>
        <w:lastRenderedPageBreak/>
        <w:t>Part 6</w:t>
      </w:r>
      <w:r>
        <w:rPr>
          <w:b w:val="0"/>
        </w:rPr>
        <w:t> </w:t>
      </w:r>
      <w:r>
        <w:t>—</w:t>
      </w:r>
      <w:r>
        <w:rPr>
          <w:b w:val="0"/>
        </w:rPr>
        <w:t> </w:t>
      </w:r>
      <w:r>
        <w:rPr>
          <w:rStyle w:val="CharPartText"/>
        </w:rPr>
        <w:t>Unlawful interference with motor vehicles</w:t>
      </w:r>
      <w:bookmarkEnd w:id="199"/>
      <w:bookmarkEnd w:id="200"/>
      <w:bookmarkEnd w:id="201"/>
      <w:bookmarkEnd w:id="202"/>
    </w:p>
    <w:p>
      <w:pPr>
        <w:pStyle w:val="Footnoteheading"/>
      </w:pPr>
      <w:r>
        <w:tab/>
        <w:t>[Heading inserted: No. 38 of 2020 s. 4.]</w:t>
      </w:r>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203" w:name="_Toc166680521"/>
      <w:r>
        <w:rPr>
          <w:rStyle w:val="CharSectno"/>
        </w:rPr>
        <w:t>90</w:t>
      </w:r>
      <w:r>
        <w:rPr>
          <w:snapToGrid w:val="0"/>
        </w:rPr>
        <w:t>.</w:t>
      </w:r>
      <w:r>
        <w:rPr>
          <w:snapToGrid w:val="0"/>
        </w:rPr>
        <w:tab/>
        <w:t>Unlawfully interfering with parts of motor vehicles</w:t>
      </w:r>
      <w:bookmarkEnd w:id="203"/>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Heading2"/>
      </w:pPr>
      <w:bookmarkStart w:id="204" w:name="_Toc166659366"/>
      <w:bookmarkStart w:id="205" w:name="_Toc166679700"/>
      <w:bookmarkStart w:id="206" w:name="_Toc166679899"/>
      <w:bookmarkStart w:id="207" w:name="_Toc166680522"/>
      <w:r>
        <w:rPr>
          <w:rStyle w:val="CharPartNo"/>
        </w:rPr>
        <w:lastRenderedPageBreak/>
        <w:t>Part 6A</w:t>
      </w:r>
      <w:r>
        <w:rPr>
          <w:b w:val="0"/>
        </w:rPr>
        <w:t> </w:t>
      </w:r>
      <w:r>
        <w:t>—</w:t>
      </w:r>
      <w:r>
        <w:rPr>
          <w:b w:val="0"/>
        </w:rPr>
        <w:t> </w:t>
      </w:r>
      <w:r>
        <w:rPr>
          <w:rStyle w:val="CharPartText"/>
        </w:rPr>
        <w:t>Immobilisation, towing and detention of motor vehicles</w:t>
      </w:r>
      <w:bookmarkEnd w:id="204"/>
      <w:bookmarkEnd w:id="205"/>
      <w:bookmarkEnd w:id="206"/>
      <w:bookmarkEnd w:id="207"/>
    </w:p>
    <w:p>
      <w:pPr>
        <w:pStyle w:val="Footnoteheading"/>
      </w:pPr>
      <w:r>
        <w:tab/>
        <w:t>[Heading inserted: No. 38 of 2020 s. 5.]</w:t>
      </w:r>
    </w:p>
    <w:p>
      <w:pPr>
        <w:pStyle w:val="Heading3"/>
      </w:pPr>
      <w:bookmarkStart w:id="208" w:name="_Toc166659367"/>
      <w:bookmarkStart w:id="209" w:name="_Toc166679701"/>
      <w:bookmarkStart w:id="210" w:name="_Toc166679900"/>
      <w:bookmarkStart w:id="211" w:name="_Toc166680523"/>
      <w:r>
        <w:rPr>
          <w:rStyle w:val="CharDivNo"/>
        </w:rPr>
        <w:t>Division 1</w:t>
      </w:r>
      <w:r>
        <w:t> — </w:t>
      </w:r>
      <w:r>
        <w:rPr>
          <w:rStyle w:val="CharDivText"/>
        </w:rPr>
        <w:t>Preliminary</w:t>
      </w:r>
      <w:bookmarkEnd w:id="208"/>
      <w:bookmarkEnd w:id="209"/>
      <w:bookmarkEnd w:id="210"/>
      <w:bookmarkEnd w:id="211"/>
    </w:p>
    <w:p>
      <w:pPr>
        <w:pStyle w:val="Footnoteheading"/>
      </w:pPr>
      <w:r>
        <w:tab/>
        <w:t>[Heading inserted: No. 38 of 2020 s. 5.]</w:t>
      </w:r>
    </w:p>
    <w:p>
      <w:pPr>
        <w:pStyle w:val="Heading5"/>
      </w:pPr>
      <w:bookmarkStart w:id="212" w:name="_Toc166680524"/>
      <w:r>
        <w:rPr>
          <w:rStyle w:val="CharSectno"/>
        </w:rPr>
        <w:t>91</w:t>
      </w:r>
      <w:r>
        <w:t>.</w:t>
      </w:r>
      <w:r>
        <w:tab/>
        <w:t>Terms used</w:t>
      </w:r>
      <w:bookmarkEnd w:id="212"/>
    </w:p>
    <w:p>
      <w:pPr>
        <w:pStyle w:val="Subsection"/>
      </w:pPr>
      <w:r>
        <w:tab/>
      </w:r>
      <w:r>
        <w:tab/>
        <w:t xml:space="preserve">In this Part — </w:t>
      </w:r>
    </w:p>
    <w:p>
      <w:pPr>
        <w:pStyle w:val="Defstart"/>
      </w:pPr>
      <w:r>
        <w:tab/>
      </w:r>
      <w:r>
        <w:rPr>
          <w:rStyle w:val="CharDefText"/>
        </w:rPr>
        <w:t>authorised enforcement action</w:t>
      </w:r>
      <w:r>
        <w:t xml:space="preserve"> has the meaning given in section 93;</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pPr>
        <w:pStyle w:val="Defstart"/>
      </w:pPr>
      <w:r>
        <w:tab/>
      </w:r>
      <w:r>
        <w:rPr>
          <w:rStyle w:val="CharDefText"/>
        </w:rPr>
        <w:t>consent</w:t>
      </w:r>
      <w:r>
        <w:t xml:space="preserve"> has the meaning given in section 92;</w:t>
      </w:r>
    </w:p>
    <w:p>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pPr>
        <w:pStyle w:val="Defstart"/>
      </w:pPr>
      <w:r>
        <w:tab/>
      </w:r>
      <w:r>
        <w:rPr>
          <w:rStyle w:val="CharDefText"/>
        </w:rPr>
        <w:t>on</w:t>
      </w:r>
      <w:r>
        <w:rPr>
          <w:rStyle w:val="CharDefText"/>
        </w:rPr>
        <w:noBreakHyphen/>
        <w:t>site release charge</w:t>
      </w:r>
      <w:r>
        <w:t xml:space="preserve"> has the meaning given in section 100(2);</w:t>
      </w:r>
    </w:p>
    <w:p>
      <w:pPr>
        <w:pStyle w:val="Defstart"/>
      </w:pPr>
      <w:r>
        <w:tab/>
      </w:r>
      <w:r>
        <w:rPr>
          <w:rStyle w:val="CharDefText"/>
        </w:rPr>
        <w:t>parked</w:t>
      </w:r>
      <w:r>
        <w:t>, in relation to a motor vehicle, means parked, stood or left at premises;</w:t>
      </w:r>
    </w:p>
    <w:p>
      <w:pPr>
        <w:pStyle w:val="Defstart"/>
      </w:pPr>
      <w:r>
        <w:tab/>
      </w:r>
      <w:r>
        <w:rPr>
          <w:rStyle w:val="CharDefText"/>
        </w:rPr>
        <w:t>parking agreement</w:t>
      </w:r>
      <w:r>
        <w:t xml:space="preserve"> — </w:t>
      </w:r>
    </w:p>
    <w:p>
      <w:pPr>
        <w:pStyle w:val="Defpara"/>
      </w:pPr>
      <w:r>
        <w:tab/>
        <w:t>(a)</w:t>
      </w:r>
      <w:r>
        <w:tab/>
        <w:t>means an agreement, however formed, for the terms and conditions on which a motor vehicle may be parked at premises; but</w:t>
      </w:r>
    </w:p>
    <w:p>
      <w:pPr>
        <w:pStyle w:val="Defpara"/>
      </w:pPr>
      <w:r>
        <w:lastRenderedPageBreak/>
        <w:tab/>
        <w:t>(b)</w:t>
      </w:r>
      <w:r>
        <w:tab/>
        <w:t>does not include an agreement that deals with parking only as a matter that is ancillary or incidental to the main purpose of the agreement;</w:t>
      </w:r>
    </w:p>
    <w:p>
      <w:pPr>
        <w:pStyle w:val="Defstart"/>
      </w:pPr>
      <w:r>
        <w:tab/>
      </w:r>
      <w:r>
        <w:rPr>
          <w:rStyle w:val="CharDefText"/>
        </w:rPr>
        <w:t>parking facility</w:t>
      </w:r>
      <w:r>
        <w:t xml:space="preserve"> means a facility for the parking of motor vehicles where entry to, or exit from, the facility is controlled by permanent infrastructure;</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employed in, authorised by or engaged for the purposes of, a person or body referred to in paragraphs (a) to (c); or</w:t>
      </w:r>
    </w:p>
    <w:p>
      <w:pPr>
        <w:pStyle w:val="Defpara"/>
      </w:pPr>
      <w:r>
        <w:tab/>
        <w:t>(e)</w:t>
      </w:r>
      <w:r>
        <w:tab/>
        <w:t xml:space="preserve">a person or body, or a person or body in a class of persons or bodies, prescribed by the regulations; </w:t>
      </w:r>
    </w:p>
    <w:p>
      <w:pPr>
        <w:pStyle w:val="Defstart"/>
      </w:pPr>
      <w:r>
        <w:tab/>
      </w:r>
      <w:r>
        <w:rPr>
          <w:rStyle w:val="CharDefText"/>
        </w:rPr>
        <w:t>relevant person</w:t>
      </w:r>
      <w:r>
        <w:t xml:space="preserve">, for a motor vehicle, means each of the following — </w:t>
      </w:r>
    </w:p>
    <w:p>
      <w:pPr>
        <w:pStyle w:val="Defpara"/>
      </w:pPr>
      <w:r>
        <w:tab/>
        <w:t>(a)</w:t>
      </w:r>
      <w:r>
        <w:tab/>
        <w:t>a person who is entitled to the immediate possession of the vehicle;</w:t>
      </w:r>
    </w:p>
    <w:p>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pPr>
        <w:pStyle w:val="Defstart"/>
      </w:pPr>
      <w:r>
        <w:tab/>
      </w:r>
      <w:r>
        <w:rPr>
          <w:rStyle w:val="CharDefText"/>
        </w:rPr>
        <w:t>security interest</w:t>
      </w:r>
      <w:r>
        <w:t xml:space="preserve">, in a motor vehicle — </w:t>
      </w:r>
    </w:p>
    <w:p>
      <w:pPr>
        <w:pStyle w:val="Defpara"/>
      </w:pPr>
      <w:r>
        <w:tab/>
        <w:t>(a)</w:t>
      </w:r>
      <w:r>
        <w:tab/>
        <w:t xml:space="preserve">means a security interest (as defined in the </w:t>
      </w:r>
      <w:r>
        <w:rPr>
          <w:i/>
        </w:rPr>
        <w:t>Personal Property Securities Act 2009</w:t>
      </w:r>
      <w:r>
        <w:t xml:space="preserve"> (Commonwealth) section 12) in the vehicle; and</w:t>
      </w:r>
    </w:p>
    <w:p>
      <w:pPr>
        <w:pStyle w:val="Defpara"/>
      </w:pPr>
      <w:r>
        <w:lastRenderedPageBreak/>
        <w:tab/>
        <w:t>(b)</w:t>
      </w:r>
      <w:r>
        <w:tab/>
        <w:t>includes a possessory lien or pledge over the vehicle; and</w:t>
      </w:r>
    </w:p>
    <w:p>
      <w:pPr>
        <w:pStyle w:val="Defpara"/>
      </w:pPr>
      <w:r>
        <w:tab/>
        <w:t>(c)</w:t>
      </w:r>
      <w:r>
        <w:tab/>
        <w:t>despite paragraphs (a) and (b), does not include anything referred to in those paragraphs that arises only under a parking agreement or only in connection with a motor vehicle being parked at premises;</w:t>
      </w:r>
    </w:p>
    <w:p>
      <w:pPr>
        <w:pStyle w:val="Defstart"/>
      </w:pPr>
      <w:r>
        <w:tab/>
      </w:r>
      <w:r>
        <w:rPr>
          <w:rStyle w:val="CharDefText"/>
        </w:rPr>
        <w:t>security power</w:t>
      </w:r>
      <w:r>
        <w:t>, in relation to a motor vehicle, means a power over the vehicle that a person is entitled to exercise as the holder of a security interest in the vehicle;</w:t>
      </w:r>
    </w:p>
    <w:p>
      <w:pPr>
        <w:pStyle w:val="Defstart"/>
      </w:pPr>
      <w:r>
        <w:tab/>
      </w:r>
      <w:r>
        <w:rPr>
          <w:rStyle w:val="CharDefText"/>
        </w:rPr>
        <w:t>storage charges</w:t>
      </w:r>
      <w:r>
        <w:t xml:space="preserve"> means any charges imposed on a relevant person for a motor vehicle for or in relation to any of the following —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means premises used for storing motor vehicles that have been towed;</w:t>
      </w:r>
    </w:p>
    <w:p>
      <w:pPr>
        <w:pStyle w:val="Defstart"/>
      </w:pPr>
      <w:r>
        <w:rPr>
          <w:b/>
        </w:rPr>
        <w:tab/>
      </w:r>
      <w:r>
        <w:rPr>
          <w:rStyle w:val="CharDefText"/>
        </w:rPr>
        <w:t>tow</w:t>
      </w:r>
      <w:r>
        <w:rPr>
          <w:b/>
          <w:i/>
        </w:rPr>
        <w:t xml:space="preserve"> </w:t>
      </w:r>
      <w:r>
        <w:t xml:space="preserve">includes to — </w:t>
      </w:r>
    </w:p>
    <w:p>
      <w:pPr>
        <w:pStyle w:val="Defpara"/>
      </w:pPr>
      <w:r>
        <w:tab/>
        <w:t>(a)</w:t>
      </w:r>
      <w:r>
        <w:tab/>
        <w:t>carry; and</w:t>
      </w:r>
    </w:p>
    <w:p>
      <w:pPr>
        <w:pStyle w:val="Defpara"/>
      </w:pPr>
      <w:r>
        <w:tab/>
        <w:t>(b)</w:t>
      </w:r>
      <w:r>
        <w:tab/>
        <w:t>lift and tow; and</w:t>
      </w:r>
    </w:p>
    <w:p>
      <w:pPr>
        <w:pStyle w:val="Defpara"/>
      </w:pPr>
      <w:r>
        <w:tab/>
        <w:t>(c)</w:t>
      </w:r>
      <w:r>
        <w:tab/>
        <w:t>lift and carry; and</w:t>
      </w:r>
    </w:p>
    <w:p>
      <w:pPr>
        <w:pStyle w:val="Defpara"/>
      </w:pPr>
      <w:r>
        <w:tab/>
        <w:t>(d)</w:t>
      </w:r>
      <w:r>
        <w:tab/>
        <w:t>lift for the purpose of towing;</w:t>
      </w:r>
    </w:p>
    <w:p>
      <w:pPr>
        <w:pStyle w:val="Defstart"/>
      </w:pPr>
      <w:r>
        <w:tab/>
      </w:r>
      <w:r>
        <w:rPr>
          <w:rStyle w:val="CharDefText"/>
        </w:rPr>
        <w:t>towing arrangement</w:t>
      </w:r>
      <w:r>
        <w:t xml:space="preserve"> has the meaning given in section 94;</w:t>
      </w:r>
    </w:p>
    <w:p>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pPr>
        <w:pStyle w:val="Defpara"/>
      </w:pPr>
      <w:r>
        <w:tab/>
        <w:t>(a)</w:t>
      </w:r>
      <w:r>
        <w:tab/>
        <w:t>anything done in preparation for towing the vehicle, including travelling to premises and taking steps to find a relevant person for the vehicle;</w:t>
      </w:r>
    </w:p>
    <w:p>
      <w:pPr>
        <w:pStyle w:val="Defpara"/>
      </w:pPr>
      <w:r>
        <w:lastRenderedPageBreak/>
        <w:tab/>
        <w:t>(b)</w:t>
      </w:r>
      <w:r>
        <w:tab/>
        <w:t>loading the vehicle onto a tow truck;</w:t>
      </w:r>
    </w:p>
    <w:p>
      <w:pPr>
        <w:pStyle w:val="Defpara"/>
      </w:pPr>
      <w:r>
        <w:tab/>
        <w:t>(c)</w:t>
      </w:r>
      <w:r>
        <w:tab/>
        <w:t>towing the vehicle;</w:t>
      </w:r>
    </w:p>
    <w:p>
      <w:pPr>
        <w:pStyle w:val="Defstart"/>
      </w:pPr>
      <w:r>
        <w:tab/>
      </w:r>
      <w:r>
        <w:rPr>
          <w:rStyle w:val="CharDefText"/>
        </w:rPr>
        <w:t>towing service provider</w:t>
      </w:r>
      <w:r>
        <w:t xml:space="preserve"> has the meaning given in section 94;</w:t>
      </w:r>
    </w:p>
    <w:p>
      <w:pPr>
        <w:pStyle w:val="Defstart"/>
      </w:pPr>
      <w:r>
        <w:rPr>
          <w:b/>
        </w:rPr>
        <w:tab/>
      </w:r>
      <w:r>
        <w:rPr>
          <w:rStyle w:val="CharDefText"/>
        </w:rPr>
        <w:t>tow truck</w:t>
      </w:r>
      <w:r>
        <w:t xml:space="preserve"> means a motor vehicle used or intended to be used to tow another motor vehicle;</w:t>
      </w:r>
    </w:p>
    <w:p>
      <w:pPr>
        <w:pStyle w:val="Defstart"/>
      </w:pPr>
      <w:r>
        <w:tab/>
      </w:r>
      <w:r>
        <w:rPr>
          <w:rStyle w:val="CharDefText"/>
        </w:rPr>
        <w:t>tow truck driver</w:t>
      </w:r>
      <w:r>
        <w:t xml:space="preserve"> means a person who drives a tow truck for the purpose of towing motor vehicles.</w:t>
      </w:r>
    </w:p>
    <w:p>
      <w:pPr>
        <w:pStyle w:val="Footnotesection"/>
      </w:pPr>
      <w:r>
        <w:tab/>
        <w:t>[Section 91 inserted: No. 38 of 2020 s. 5.]</w:t>
      </w:r>
    </w:p>
    <w:p>
      <w:pPr>
        <w:pStyle w:val="Heading5"/>
      </w:pPr>
      <w:bookmarkStart w:id="213" w:name="_Toc166680525"/>
      <w:r>
        <w:rPr>
          <w:rStyle w:val="CharSectno"/>
        </w:rPr>
        <w:t>92</w:t>
      </w:r>
      <w:r>
        <w:t>.</w:t>
      </w:r>
      <w:r>
        <w:tab/>
        <w:t>Term used: consent</w:t>
      </w:r>
      <w:bookmarkEnd w:id="213"/>
    </w:p>
    <w:p>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pPr>
        <w:pStyle w:val="Indenta"/>
      </w:pPr>
      <w:r>
        <w:tab/>
        <w:t>(a)</w:t>
      </w:r>
      <w:r>
        <w:tab/>
        <w:t>a relevant person or a person who appears to be a relevant person gives express consent to the immobilisation, towing or detention; or</w:t>
      </w:r>
    </w:p>
    <w:p>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pPr>
        <w:pStyle w:val="Subsection"/>
      </w:pPr>
      <w:r>
        <w:tab/>
        <w:t>(2)</w:t>
      </w:r>
      <w:r>
        <w:tab/>
        <w:t xml:space="preserve">For the purposes of subsection (1)(a), the express consent of the relevant person or the person who appears to be a relevant person must — </w:t>
      </w:r>
    </w:p>
    <w:p>
      <w:pPr>
        <w:pStyle w:val="Indenta"/>
      </w:pPr>
      <w:r>
        <w:tab/>
        <w:t>(a)</w:t>
      </w:r>
      <w:r>
        <w:tab/>
        <w:t>be given by express words; and</w:t>
      </w:r>
    </w:p>
    <w:p>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pPr>
        <w:pStyle w:val="Footnotesection"/>
      </w:pPr>
      <w:r>
        <w:tab/>
        <w:t>[Section 92 inserted: No. 38 of 2020 s. 5.]</w:t>
      </w:r>
    </w:p>
    <w:p>
      <w:pPr>
        <w:pStyle w:val="Heading5"/>
      </w:pPr>
      <w:bookmarkStart w:id="214" w:name="_Toc166680526"/>
      <w:r>
        <w:rPr>
          <w:rStyle w:val="CharSectno"/>
        </w:rPr>
        <w:lastRenderedPageBreak/>
        <w:t>93</w:t>
      </w:r>
      <w:r>
        <w:t>.</w:t>
      </w:r>
      <w:r>
        <w:tab/>
        <w:t>Term used: authorised enforcement action</w:t>
      </w:r>
      <w:bookmarkEnd w:id="214"/>
    </w:p>
    <w:p>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pPr>
        <w:pStyle w:val="Indenta"/>
      </w:pPr>
      <w:r>
        <w:tab/>
        <w:t>(a)</w:t>
      </w:r>
      <w:r>
        <w:tab/>
        <w:t>by a police officer exercising a function of the officer or by a person assisting a police officer in the exercise of a function of the officer; or</w:t>
      </w:r>
    </w:p>
    <w:p>
      <w:pPr>
        <w:pStyle w:val="Indenta"/>
      </w:pPr>
      <w:r>
        <w:tab/>
        <w:t>(b)</w:t>
      </w:r>
      <w:r>
        <w:tab/>
        <w:t xml:space="preserve">under and in accordance with an enforcement warrant issued under the </w:t>
      </w:r>
      <w:r>
        <w:rPr>
          <w:i/>
        </w:rPr>
        <w:t>Fines, Penalties and Infringement Notices Enforcement Act 1994</w:t>
      </w:r>
      <w:r>
        <w:t>; or</w:t>
      </w:r>
    </w:p>
    <w:p>
      <w:pPr>
        <w:pStyle w:val="Indenta"/>
      </w:pPr>
      <w:r>
        <w:tab/>
        <w:t>(c)</w:t>
      </w:r>
      <w:r>
        <w:tab/>
        <w:t>under and in accordance with an order or warrant issued by a court; or</w:t>
      </w:r>
    </w:p>
    <w:p>
      <w:pPr>
        <w:pStyle w:val="Indenta"/>
      </w:pPr>
      <w:r>
        <w:tab/>
        <w:t>(d)</w:t>
      </w:r>
      <w:r>
        <w:tab/>
        <w:t>under and in accordance with an Act, or subsidiary legislation, of the Commonwealth.</w:t>
      </w:r>
    </w:p>
    <w:p>
      <w:pPr>
        <w:pStyle w:val="Footnotesection"/>
      </w:pPr>
      <w:r>
        <w:tab/>
        <w:t>[Section 93 inserted: No. 38 of 2020 s. 5.]</w:t>
      </w:r>
    </w:p>
    <w:p>
      <w:pPr>
        <w:pStyle w:val="Heading5"/>
      </w:pPr>
      <w:bookmarkStart w:id="215" w:name="_Toc166680527"/>
      <w:r>
        <w:rPr>
          <w:rStyle w:val="CharSectno"/>
        </w:rPr>
        <w:t>94</w:t>
      </w:r>
      <w:r>
        <w:t>.</w:t>
      </w:r>
      <w:r>
        <w:tab/>
        <w:t>Term used: towing arrangement</w:t>
      </w:r>
      <w:bookmarkEnd w:id="215"/>
    </w:p>
    <w:p>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pPr>
        <w:pStyle w:val="Indenta"/>
      </w:pPr>
      <w:r>
        <w:tab/>
        <w:t>(a)</w:t>
      </w:r>
      <w:r>
        <w:tab/>
        <w:t>by which the controller requests or permits the towing of 1 or more motor vehicles parked at the premises by the towing service provider or a tow truck driver authorised by the towing service provider; and</w:t>
      </w:r>
    </w:p>
    <w:p>
      <w:pPr>
        <w:pStyle w:val="Indenta"/>
      </w:pPr>
      <w:r>
        <w:tab/>
        <w:t>(b)</w:t>
      </w:r>
      <w:r>
        <w:tab/>
        <w:t xml:space="preserve">that — </w:t>
      </w:r>
    </w:p>
    <w:p>
      <w:pPr>
        <w:pStyle w:val="Indenti"/>
      </w:pPr>
      <w:r>
        <w:tab/>
        <w:t>(i)</w:t>
      </w:r>
      <w:r>
        <w:tab/>
        <w:t>meets the requirements of subsection (2); or</w:t>
      </w:r>
    </w:p>
    <w:p>
      <w:pPr>
        <w:pStyle w:val="Indenti"/>
      </w:pPr>
      <w:r>
        <w:tab/>
        <w:t>(ii)</w:t>
      </w:r>
      <w:r>
        <w:tab/>
        <w:t>is approved, or in a class of agreements approved, under subsection (3).</w:t>
      </w:r>
    </w:p>
    <w:p>
      <w:pPr>
        <w:pStyle w:val="Subsection"/>
      </w:pPr>
      <w:r>
        <w:tab/>
        <w:t>(2)</w:t>
      </w:r>
      <w:r>
        <w:tab/>
        <w:t xml:space="preserve">For the purposes of subsection (1)(b)(i), the agreement must — </w:t>
      </w:r>
    </w:p>
    <w:p>
      <w:pPr>
        <w:pStyle w:val="Indenta"/>
      </w:pPr>
      <w:r>
        <w:tab/>
        <w:t>(a)</w:t>
      </w:r>
      <w:r>
        <w:tab/>
        <w:t>be in the form approved by the CEO; and</w:t>
      </w:r>
    </w:p>
    <w:p>
      <w:pPr>
        <w:pStyle w:val="Indenta"/>
      </w:pPr>
      <w:r>
        <w:tab/>
        <w:t>(b)</w:t>
      </w:r>
      <w:r>
        <w:tab/>
        <w:t>be signed by or on behalf of the controller; and</w:t>
      </w:r>
    </w:p>
    <w:p>
      <w:pPr>
        <w:pStyle w:val="Indenta"/>
      </w:pPr>
      <w:r>
        <w:lastRenderedPageBreak/>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pPr>
        <w:pStyle w:val="Subsection"/>
      </w:pPr>
      <w:r>
        <w:tab/>
        <w:t>(3)</w:t>
      </w:r>
      <w:r>
        <w:tab/>
        <w:t>The CEO may, in writing, approve for the purposes of subsection (1)(b)(ii) an agreement, or a class of agreements, made before commencement day in relation to towing.</w:t>
      </w:r>
    </w:p>
    <w:p>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pPr>
        <w:pStyle w:val="Footnotesection"/>
      </w:pPr>
      <w:r>
        <w:tab/>
        <w:t>[Section 94 inserted: No. 38 of 2020 s. 5.]</w:t>
      </w:r>
    </w:p>
    <w:p>
      <w:pPr>
        <w:pStyle w:val="Heading3"/>
      </w:pPr>
      <w:bookmarkStart w:id="216" w:name="_Toc166659372"/>
      <w:bookmarkStart w:id="217" w:name="_Toc166679706"/>
      <w:bookmarkStart w:id="218" w:name="_Toc166679905"/>
      <w:bookmarkStart w:id="219" w:name="_Toc166680528"/>
      <w:r>
        <w:rPr>
          <w:rStyle w:val="CharDivNo"/>
        </w:rPr>
        <w:t>Division 2</w:t>
      </w:r>
      <w:r>
        <w:t> — </w:t>
      </w:r>
      <w:r>
        <w:rPr>
          <w:rStyle w:val="CharDivText"/>
        </w:rPr>
        <w:t>Immobilisation of motor vehicles</w:t>
      </w:r>
      <w:bookmarkEnd w:id="216"/>
      <w:bookmarkEnd w:id="217"/>
      <w:bookmarkEnd w:id="218"/>
      <w:bookmarkEnd w:id="219"/>
    </w:p>
    <w:p>
      <w:pPr>
        <w:pStyle w:val="Footnoteheading"/>
      </w:pPr>
      <w:r>
        <w:tab/>
        <w:t>[Heading inserted: No. 38 of 2020 s. 5.]</w:t>
      </w:r>
    </w:p>
    <w:p>
      <w:pPr>
        <w:pStyle w:val="Heading5"/>
      </w:pPr>
      <w:bookmarkStart w:id="220" w:name="_Toc166680529"/>
      <w:r>
        <w:rPr>
          <w:rStyle w:val="CharSectno"/>
        </w:rPr>
        <w:t>95</w:t>
      </w:r>
      <w:r>
        <w:t>.</w:t>
      </w:r>
      <w:r>
        <w:tab/>
        <w:t>Motor vehicles not to be immobilised</w:t>
      </w:r>
      <w:bookmarkEnd w:id="220"/>
    </w:p>
    <w:p>
      <w:pPr>
        <w:pStyle w:val="Subsection"/>
      </w:pPr>
      <w:r>
        <w:tab/>
        <w:t>(1)</w:t>
      </w:r>
      <w:r>
        <w:tab/>
        <w:t xml:space="preserve">A person must not immobilise a parked motor vehicle by attaching to, or placing near, the vehicle — </w:t>
      </w:r>
    </w:p>
    <w:p>
      <w:pPr>
        <w:pStyle w:val="Indenta"/>
      </w:pPr>
      <w:r>
        <w:tab/>
        <w:t>(a)</w:t>
      </w:r>
      <w:r>
        <w:tab/>
        <w:t>a wheel clamp; or</w:t>
      </w:r>
    </w:p>
    <w:p>
      <w:pPr>
        <w:pStyle w:val="Indenta"/>
      </w:pPr>
      <w:r>
        <w:tab/>
        <w:t>(b)</w:t>
      </w:r>
      <w:r>
        <w:tab/>
        <w:t>another device that effectively immobilises the vehicle, including by making it unsafe or impracticable for a person to drive the vehicle.</w:t>
      </w:r>
    </w:p>
    <w:p>
      <w:pPr>
        <w:pStyle w:val="Penstart"/>
      </w:pPr>
      <w:r>
        <w:tab/>
        <w:t>Penalty for this subsection: a fine of 100 PU.</w:t>
      </w:r>
    </w:p>
    <w:p>
      <w:pPr>
        <w:pStyle w:val="Subsection"/>
      </w:pPr>
      <w:r>
        <w:tab/>
        <w:t>(2)</w:t>
      </w:r>
      <w:r>
        <w:tab/>
        <w:t xml:space="preserve">Subsection (1) does not apply if the vehicle is immobilised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by a public entity in the exercise of a function under and in accordance with a written law.</w:t>
      </w:r>
    </w:p>
    <w:p>
      <w:pPr>
        <w:pStyle w:val="Footnotesection"/>
      </w:pPr>
      <w:r>
        <w:lastRenderedPageBreak/>
        <w:tab/>
        <w:t>[Section 95 inserted: No. 38 of 2020 s. 5.]</w:t>
      </w:r>
    </w:p>
    <w:p>
      <w:pPr>
        <w:pStyle w:val="Heading3"/>
      </w:pPr>
      <w:bookmarkStart w:id="221" w:name="_Toc166659374"/>
      <w:bookmarkStart w:id="222" w:name="_Toc166679708"/>
      <w:bookmarkStart w:id="223" w:name="_Toc166679907"/>
      <w:bookmarkStart w:id="224" w:name="_Toc166680530"/>
      <w:r>
        <w:rPr>
          <w:rStyle w:val="CharDivNo"/>
        </w:rPr>
        <w:t>Division 3</w:t>
      </w:r>
      <w:r>
        <w:t> — </w:t>
      </w:r>
      <w:r>
        <w:rPr>
          <w:rStyle w:val="CharDivText"/>
        </w:rPr>
        <w:t>Towing of motor vehicles</w:t>
      </w:r>
      <w:bookmarkEnd w:id="221"/>
      <w:bookmarkEnd w:id="222"/>
      <w:bookmarkEnd w:id="223"/>
      <w:bookmarkEnd w:id="224"/>
    </w:p>
    <w:p>
      <w:pPr>
        <w:pStyle w:val="Footnoteheading"/>
      </w:pPr>
      <w:r>
        <w:tab/>
        <w:t>[Heading inserted: No. 38 of 2020 s. 5.]</w:t>
      </w:r>
    </w:p>
    <w:p>
      <w:pPr>
        <w:pStyle w:val="Heading4"/>
      </w:pPr>
      <w:bookmarkStart w:id="225" w:name="_Toc166659375"/>
      <w:bookmarkStart w:id="226" w:name="_Toc166679709"/>
      <w:bookmarkStart w:id="227" w:name="_Toc166679908"/>
      <w:bookmarkStart w:id="228" w:name="_Toc166680531"/>
      <w:r>
        <w:t>Subdivision 1 — Towing regulated by this Division</w:t>
      </w:r>
      <w:bookmarkEnd w:id="225"/>
      <w:bookmarkEnd w:id="226"/>
      <w:bookmarkEnd w:id="227"/>
      <w:bookmarkEnd w:id="228"/>
    </w:p>
    <w:p>
      <w:pPr>
        <w:pStyle w:val="Footnoteheading"/>
      </w:pPr>
      <w:r>
        <w:tab/>
        <w:t>[Heading inserted: No. 38 of 2020 s. 5.]</w:t>
      </w:r>
    </w:p>
    <w:p>
      <w:pPr>
        <w:pStyle w:val="Heading5"/>
      </w:pPr>
      <w:bookmarkStart w:id="229" w:name="_Toc166680532"/>
      <w:r>
        <w:rPr>
          <w:rStyle w:val="CharSectno"/>
        </w:rPr>
        <w:t>96</w:t>
      </w:r>
      <w:r>
        <w:t>.</w:t>
      </w:r>
      <w:r>
        <w:tab/>
        <w:t>Application of Division</w:t>
      </w:r>
      <w:bookmarkEnd w:id="229"/>
    </w:p>
    <w:p>
      <w:pPr>
        <w:pStyle w:val="Subsection"/>
      </w:pPr>
      <w:r>
        <w:tab/>
        <w:t>(1)</w:t>
      </w:r>
      <w:r>
        <w:tab/>
        <w:t xml:space="preserve">This Division applies in relation to — </w:t>
      </w:r>
    </w:p>
    <w:p>
      <w:pPr>
        <w:pStyle w:val="Indenta"/>
      </w:pPr>
      <w:r>
        <w:tab/>
        <w:t>(a)</w:t>
      </w:r>
      <w:r>
        <w:tab/>
        <w:t>the towing of a parked motor vehicle if the towing is at the request of, or otherwise permitted by, a controller of the premises at which the vehicle is parked; and</w:t>
      </w:r>
    </w:p>
    <w:p>
      <w:pPr>
        <w:pStyle w:val="Indenta"/>
      </w:pPr>
      <w:r>
        <w:tab/>
        <w:t>(b)</w:t>
      </w:r>
      <w:r>
        <w:tab/>
        <w:t>anything done in preparation for towing of the kind referred to in paragraph (a); and</w:t>
      </w:r>
    </w:p>
    <w:p>
      <w:pPr>
        <w:pStyle w:val="Indenta"/>
      </w:pPr>
      <w:r>
        <w:tab/>
        <w:t>(c)</w:t>
      </w:r>
      <w:r>
        <w:tab/>
        <w:t>the storage and release of a motor vehicle towed or to be towed as referred to in paragraph (a); and</w:t>
      </w:r>
    </w:p>
    <w:p>
      <w:pPr>
        <w:pStyle w:val="Indenta"/>
      </w:pPr>
      <w:r>
        <w:tab/>
        <w:t>(d)</w:t>
      </w:r>
      <w:r>
        <w:tab/>
        <w:t>charges for or in relation to anything referred to in paragraph (a), (b) or (c).</w:t>
      </w:r>
    </w:p>
    <w:p>
      <w:pPr>
        <w:pStyle w:val="Subsection"/>
      </w:pPr>
      <w:r>
        <w:tab/>
        <w:t>(2)</w:t>
      </w:r>
      <w:r>
        <w:tab/>
        <w:t xml:space="preserve">This Division does not apply in relation to — </w:t>
      </w:r>
    </w:p>
    <w:p>
      <w:pPr>
        <w:pStyle w:val="Indenta"/>
      </w:pPr>
      <w:r>
        <w:tab/>
        <w:t>(a)</w:t>
      </w:r>
      <w:r>
        <w:tab/>
        <w:t xml:space="preserve">the towing of a motor vehicle — </w:t>
      </w:r>
    </w:p>
    <w:p>
      <w:pPr>
        <w:pStyle w:val="Indenti"/>
      </w:pPr>
      <w:r>
        <w:tab/>
        <w:t>(i)</w:t>
      </w:r>
      <w:r>
        <w:tab/>
        <w:t>away from the site of an accident or breakdown on a road; or</w:t>
      </w:r>
    </w:p>
    <w:p>
      <w:pPr>
        <w:pStyle w:val="Indenti"/>
      </w:pPr>
      <w:r>
        <w:tab/>
        <w:t>(ii)</w:t>
      </w:r>
      <w:r>
        <w:tab/>
        <w:t>by, or with the consent of, a relevant person for the vehicle; or</w:t>
      </w:r>
    </w:p>
    <w:p>
      <w:pPr>
        <w:pStyle w:val="Indenti"/>
      </w:pPr>
      <w:r>
        <w:tab/>
        <w:t>(iii)</w:t>
      </w:r>
      <w:r>
        <w:tab/>
        <w:t>in the exercise of authorised enforcement action; or</w:t>
      </w:r>
    </w:p>
    <w:p>
      <w:pPr>
        <w:pStyle w:val="Indenti"/>
      </w:pPr>
      <w:r>
        <w:tab/>
        <w:t>(iv)</w:t>
      </w:r>
      <w:r>
        <w:tab/>
        <w:t>in the exercise of a security power; or</w:t>
      </w:r>
    </w:p>
    <w:p>
      <w:pPr>
        <w:pStyle w:val="Indenti"/>
      </w:pPr>
      <w:r>
        <w:tab/>
        <w:t>(v)</w:t>
      </w:r>
      <w:r>
        <w:tab/>
        <w:t>under and in accordance with a written law; or</w:t>
      </w:r>
    </w:p>
    <w:p>
      <w:pPr>
        <w:pStyle w:val="Indenti"/>
      </w:pPr>
      <w:r>
        <w:tab/>
        <w:t>(vi)</w:t>
      </w:r>
      <w:r>
        <w:tab/>
        <w:t>in circumstances prescribed by the regulations;</w:t>
      </w:r>
    </w:p>
    <w:p>
      <w:pPr>
        <w:pStyle w:val="Indenta"/>
      </w:pPr>
      <w:r>
        <w:tab/>
      </w:r>
      <w:r>
        <w:tab/>
        <w:t>or</w:t>
      </w:r>
    </w:p>
    <w:p>
      <w:pPr>
        <w:pStyle w:val="Indenta"/>
      </w:pPr>
      <w:r>
        <w:lastRenderedPageBreak/>
        <w:tab/>
        <w:t>(b)</w:t>
      </w:r>
      <w:r>
        <w:tab/>
        <w:t>anything done in preparation for towing of the kind referred to in paragraph (a); or</w:t>
      </w:r>
    </w:p>
    <w:p>
      <w:pPr>
        <w:pStyle w:val="Indenta"/>
      </w:pPr>
      <w:r>
        <w:tab/>
        <w:t>(c)</w:t>
      </w:r>
      <w:r>
        <w:tab/>
        <w:t>the storage and release of a motor vehicle towed or to be towed as referred to in paragraph (a); or</w:t>
      </w:r>
    </w:p>
    <w:p>
      <w:pPr>
        <w:pStyle w:val="Indenta"/>
      </w:pPr>
      <w:r>
        <w:tab/>
        <w:t>(d)</w:t>
      </w:r>
      <w:r>
        <w:tab/>
        <w:t>charges for or in relation to anything referred to in paragraph (a), (b) or (c).</w:t>
      </w:r>
    </w:p>
    <w:p>
      <w:pPr>
        <w:pStyle w:val="Subsection"/>
      </w:pPr>
      <w:r>
        <w:tab/>
        <w:t>(3)</w:t>
      </w:r>
      <w:r>
        <w:tab/>
        <w:t>Subsection (1) is subject to subsection (2).</w:t>
      </w:r>
    </w:p>
    <w:p>
      <w:pPr>
        <w:pStyle w:val="Footnotesection"/>
      </w:pPr>
      <w:r>
        <w:tab/>
        <w:t>[Section 96 inserted: No. 38 of 2020 s. 5.]</w:t>
      </w:r>
    </w:p>
    <w:p>
      <w:pPr>
        <w:pStyle w:val="Heading4"/>
      </w:pPr>
      <w:bookmarkStart w:id="230" w:name="_Toc166659377"/>
      <w:bookmarkStart w:id="231" w:name="_Toc166679711"/>
      <w:bookmarkStart w:id="232" w:name="_Toc166679910"/>
      <w:bookmarkStart w:id="233" w:name="_Toc166680533"/>
      <w:r>
        <w:t>Subdivision 2 — Towing</w:t>
      </w:r>
      <w:bookmarkEnd w:id="230"/>
      <w:bookmarkEnd w:id="231"/>
      <w:bookmarkEnd w:id="232"/>
      <w:bookmarkEnd w:id="233"/>
    </w:p>
    <w:p>
      <w:pPr>
        <w:pStyle w:val="Footnoteheading"/>
      </w:pPr>
      <w:r>
        <w:tab/>
        <w:t>[Heading inserted: No. 38 of 2020 s. 5.]</w:t>
      </w:r>
    </w:p>
    <w:p>
      <w:pPr>
        <w:pStyle w:val="Heading5"/>
      </w:pPr>
      <w:bookmarkStart w:id="234" w:name="_Toc166680534"/>
      <w:r>
        <w:rPr>
          <w:rStyle w:val="CharSectno"/>
        </w:rPr>
        <w:t>97</w:t>
      </w:r>
      <w:r>
        <w:t>.</w:t>
      </w:r>
      <w:r>
        <w:tab/>
        <w:t>Towing parked motor vehicles prohibited unless requirements satisfied</w:t>
      </w:r>
      <w:bookmarkEnd w:id="234"/>
    </w:p>
    <w:p>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pPr>
        <w:pStyle w:val="Indenta"/>
      </w:pPr>
      <w:r>
        <w:tab/>
        <w:t>(a)</w:t>
      </w:r>
      <w:r>
        <w:tab/>
        <w:t>there is a towing arrangement in effect requesting or permitting the tow truck driver to tow the vehicle; and</w:t>
      </w:r>
    </w:p>
    <w:p>
      <w:pPr>
        <w:pStyle w:val="Indenta"/>
      </w:pPr>
      <w:r>
        <w:tab/>
        <w:t>(b)</w:t>
      </w:r>
      <w:r>
        <w:tab/>
        <w:t xml:space="preserve">the tow truck driver has notified the CEO, in a manner and form approved by the CEO — </w:t>
      </w:r>
    </w:p>
    <w:p>
      <w:pPr>
        <w:pStyle w:val="Indenti"/>
      </w:pPr>
      <w:r>
        <w:tab/>
        <w:t>(i)</w:t>
      </w:r>
      <w:r>
        <w:tab/>
        <w:t>that the vehicle is to be towed; and</w:t>
      </w:r>
    </w:p>
    <w:p>
      <w:pPr>
        <w:pStyle w:val="Indenti"/>
      </w:pPr>
      <w:r>
        <w:tab/>
        <w:t>(ii)</w:t>
      </w:r>
      <w:r>
        <w:tab/>
        <w:t>of the details prescribed by the regulations in relation to the vehicle;</w:t>
      </w:r>
    </w:p>
    <w:p>
      <w:pPr>
        <w:pStyle w:val="Indenta"/>
      </w:pPr>
      <w:r>
        <w:tab/>
      </w:r>
      <w:r>
        <w:tab/>
        <w:t>and</w:t>
      </w:r>
    </w:p>
    <w:p>
      <w:pPr>
        <w:pStyle w:val="Indenta"/>
      </w:pPr>
      <w:r>
        <w:tab/>
        <w:t>(c)</w:t>
      </w:r>
      <w:r>
        <w:tab/>
        <w:t>the tow truck driver has recorded the details prescribed by the regulations in relation to the vehicle in accordance with the requirements of the regulations; and</w:t>
      </w:r>
    </w:p>
    <w:p>
      <w:pPr>
        <w:pStyle w:val="Indenta"/>
      </w:pPr>
      <w:r>
        <w:tab/>
        <w:t>(d)</w:t>
      </w:r>
      <w:r>
        <w:tab/>
        <w:t>if the regulations require a sign to be displayed at the relevant premises — a sign complying with the requirements of the regulations was displayed at the relevant premises when the vehicle was parked; and</w:t>
      </w:r>
    </w:p>
    <w:p>
      <w:pPr>
        <w:pStyle w:val="Indenta"/>
      </w:pPr>
      <w:r>
        <w:lastRenderedPageBreak/>
        <w:tab/>
        <w:t>(e)</w:t>
      </w:r>
      <w:r>
        <w:tab/>
        <w:t>the vehicle has been parked at the relevant premises for a period that is no shorter than the waiting period prescribed by the regulations; and</w:t>
      </w:r>
    </w:p>
    <w:p>
      <w:pPr>
        <w:pStyle w:val="Indenta"/>
      </w:pPr>
      <w:r>
        <w:tab/>
        <w:t>(f)</w:t>
      </w:r>
      <w:r>
        <w:tab/>
        <w:t xml:space="preserve">either — </w:t>
      </w:r>
    </w:p>
    <w:p>
      <w:pPr>
        <w:pStyle w:val="Indenti"/>
      </w:pPr>
      <w:r>
        <w:tab/>
        <w:t>(i)</w:t>
      </w:r>
      <w:r>
        <w:tab/>
        <w:t>the tow truck driver cannot, after taking reasonable steps, find a relevant person for the vehicle; or</w:t>
      </w:r>
    </w:p>
    <w:p>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pPr>
        <w:pStyle w:val="Penstart"/>
      </w:pPr>
      <w:r>
        <w:tab/>
        <w:t>Penalty for this subsection: a fine of 100 PU.</w:t>
      </w:r>
    </w:p>
    <w:p>
      <w:pPr>
        <w:pStyle w:val="Subsection"/>
      </w:pPr>
      <w:r>
        <w:tab/>
        <w:t>(2)</w:t>
      </w:r>
      <w:r>
        <w:tab/>
        <w:t>Despite subsection (1), if the vehicle is parked in a position where it is causing a hazard or unreasonable obstruction, the requirements in subsection (1)(d), (e) and (f) do not apply.</w:t>
      </w:r>
    </w:p>
    <w:p>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pPr>
        <w:pStyle w:val="Subsection"/>
      </w:pPr>
      <w:r>
        <w:tab/>
        <w:t>(4)</w:t>
      </w:r>
      <w:r>
        <w:tab/>
        <w:t>A controller of premises must not give any information to a tow truck driver in relation to a matter referred to in subsection (1) that the controller knows is false or misleading in a material particular.</w:t>
      </w:r>
    </w:p>
    <w:p>
      <w:pPr>
        <w:pStyle w:val="Penstart"/>
      </w:pPr>
      <w:r>
        <w:tab/>
        <w:t>Penalty for this subsection: a fine of 100 PU.</w:t>
      </w:r>
    </w:p>
    <w:p>
      <w:pPr>
        <w:pStyle w:val="Footnotesection"/>
      </w:pPr>
      <w:r>
        <w:tab/>
        <w:t>[Section 97 inserted: No. 38 of 2020 s. 5.]</w:t>
      </w:r>
    </w:p>
    <w:p>
      <w:pPr>
        <w:pStyle w:val="Heading5"/>
      </w:pPr>
      <w:bookmarkStart w:id="235" w:name="_Toc166680535"/>
      <w:r>
        <w:rPr>
          <w:rStyle w:val="CharSectno"/>
        </w:rPr>
        <w:t>98</w:t>
      </w:r>
      <w:r>
        <w:t>.</w:t>
      </w:r>
      <w:r>
        <w:tab/>
        <w:t>Regulations relating to towing requirements</w:t>
      </w:r>
      <w:bookmarkEnd w:id="235"/>
    </w:p>
    <w:p>
      <w:pPr>
        <w:pStyle w:val="Subsection"/>
      </w:pPr>
      <w:r>
        <w:tab/>
        <w:t>(1)</w:t>
      </w:r>
      <w:r>
        <w:tab/>
        <w:t xml:space="preserve">Regulations may make provision for or in relation to the following — </w:t>
      </w:r>
    </w:p>
    <w:p>
      <w:pPr>
        <w:pStyle w:val="Indenta"/>
      </w:pPr>
      <w:r>
        <w:lastRenderedPageBreak/>
        <w:tab/>
        <w:t>(a)</w:t>
      </w:r>
      <w:r>
        <w:tab/>
        <w:t>the disclosure or publication of information obtained by the CEO under section 97(1)(b);</w:t>
      </w:r>
    </w:p>
    <w:p>
      <w:pPr>
        <w:pStyle w:val="Indenta"/>
      </w:pPr>
      <w:r>
        <w:tab/>
        <w:t>(b)</w:t>
      </w:r>
      <w:r>
        <w:tab/>
        <w:t>requirements to retain and produce records made in accordance with section 97(1)(c).</w:t>
      </w:r>
    </w:p>
    <w:p>
      <w:pPr>
        <w:pStyle w:val="Subsection"/>
      </w:pPr>
      <w:r>
        <w:tab/>
        <w:t>(2)</w:t>
      </w:r>
      <w:r>
        <w:tab/>
        <w:t xml:space="preserve">Regulations made for the purposes of section 97(1)(d) may provide — </w:t>
      </w:r>
    </w:p>
    <w:p>
      <w:pPr>
        <w:pStyle w:val="Indenta"/>
      </w:pPr>
      <w:r>
        <w:tab/>
        <w:t>(a)</w:t>
      </w:r>
      <w:r>
        <w:tab/>
        <w:t>that motor vehicles must not be towed from premises of a prescribed kind unless a sign is displayed; and</w:t>
      </w:r>
    </w:p>
    <w:p>
      <w:pPr>
        <w:pStyle w:val="Indenta"/>
      </w:pPr>
      <w:r>
        <w:tab/>
        <w:t>(b)</w:t>
      </w:r>
      <w:r>
        <w:tab/>
        <w:t>for requirements that apply to signs referred to in paragraph (a).</w:t>
      </w:r>
    </w:p>
    <w:p>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pPr>
        <w:pStyle w:val="Footnotesection"/>
      </w:pPr>
      <w:r>
        <w:tab/>
        <w:t>[Section 98 inserted: No. 38 of 2020 s. 5.]</w:t>
      </w:r>
    </w:p>
    <w:p>
      <w:pPr>
        <w:pStyle w:val="Heading5"/>
      </w:pPr>
      <w:bookmarkStart w:id="236" w:name="_Toc166680536"/>
      <w:r>
        <w:rPr>
          <w:rStyle w:val="CharSectno"/>
        </w:rPr>
        <w:t>99</w:t>
      </w:r>
      <w:r>
        <w:t>.</w:t>
      </w:r>
      <w:r>
        <w:tab/>
        <w:t>Release of motor vehicle that is being loaded onto tow truck</w:t>
      </w:r>
      <w:bookmarkEnd w:id="236"/>
    </w:p>
    <w:p>
      <w:pPr>
        <w:pStyle w:val="Subsection"/>
      </w:pPr>
      <w:r>
        <w:tab/>
        <w:t>(1)</w:t>
      </w:r>
      <w:r>
        <w:tab/>
        <w:t xml:space="preserve">This section applies if — </w:t>
      </w:r>
    </w:p>
    <w:p>
      <w:pPr>
        <w:pStyle w:val="Indenta"/>
      </w:pPr>
      <w:r>
        <w:tab/>
        <w:t>(a)</w:t>
      </w:r>
      <w:r>
        <w:tab/>
        <w:t>the process of loading a motor vehicle that was parked at premises onto a tow truck has begun but has not been completed; and</w:t>
      </w:r>
    </w:p>
    <w:p>
      <w:pPr>
        <w:pStyle w:val="Indenta"/>
      </w:pPr>
      <w:r>
        <w:tab/>
        <w:t>(b)</w:t>
      </w:r>
      <w:r>
        <w:tab/>
        <w:t>a relevant person for the vehicle agrees to remove the vehicle from the premises within a reasonable time.</w:t>
      </w:r>
    </w:p>
    <w:p>
      <w:pPr>
        <w:pStyle w:val="Subsection"/>
      </w:pPr>
      <w:r>
        <w:tab/>
        <w:t>(2)</w:t>
      </w:r>
      <w:r>
        <w:tab/>
        <w:t>The tow truck driver for the tow truck must immediately release the vehicle to the relevant person without charge.</w:t>
      </w:r>
    </w:p>
    <w:p>
      <w:pPr>
        <w:pStyle w:val="Penstart"/>
      </w:pPr>
      <w:r>
        <w:tab/>
        <w:t>Penalty for this subsection: a fine of 100 PU.</w:t>
      </w:r>
    </w:p>
    <w:p>
      <w:pPr>
        <w:pStyle w:val="Footnotesection"/>
      </w:pPr>
      <w:r>
        <w:lastRenderedPageBreak/>
        <w:tab/>
        <w:t>[Section 99 inserted: No. 38 of 2020 s. 5.]</w:t>
      </w:r>
    </w:p>
    <w:p>
      <w:pPr>
        <w:pStyle w:val="Heading5"/>
      </w:pPr>
      <w:bookmarkStart w:id="237" w:name="_Toc166680537"/>
      <w:r>
        <w:rPr>
          <w:rStyle w:val="CharSectno"/>
        </w:rPr>
        <w:t>100</w:t>
      </w:r>
      <w:r>
        <w:t>.</w:t>
      </w:r>
      <w:r>
        <w:tab/>
        <w:t>Release of motor vehicle that has been loaded onto tow truck</w:t>
      </w:r>
      <w:bookmarkEnd w:id="237"/>
    </w:p>
    <w:p>
      <w:pPr>
        <w:pStyle w:val="Subsection"/>
        <w:keepNext/>
      </w:pPr>
      <w:r>
        <w:tab/>
        <w:t>(1)</w:t>
      </w:r>
      <w:r>
        <w:tab/>
        <w:t xml:space="preserve">This section applies if — </w:t>
      </w:r>
    </w:p>
    <w:p>
      <w:pPr>
        <w:pStyle w:val="Indenta"/>
      </w:pPr>
      <w:r>
        <w:tab/>
        <w:t>(a)</w:t>
      </w:r>
      <w:r>
        <w:tab/>
        <w:t xml:space="preserve">a motor vehicle that was parked at premises (the </w:t>
      </w:r>
      <w:r>
        <w:rPr>
          <w:rStyle w:val="CharDefText"/>
        </w:rPr>
        <w:t>relevant premises</w:t>
      </w:r>
      <w:r>
        <w:t xml:space="preserve">) — </w:t>
      </w:r>
    </w:p>
    <w:p>
      <w:pPr>
        <w:pStyle w:val="Indenti"/>
      </w:pPr>
      <w:r>
        <w:tab/>
        <w:t>(i)</w:t>
      </w:r>
      <w:r>
        <w:tab/>
        <w:t>has been loaded onto a tow truck; but</w:t>
      </w:r>
    </w:p>
    <w:p>
      <w:pPr>
        <w:pStyle w:val="Indenti"/>
      </w:pPr>
      <w:r>
        <w:tab/>
        <w:t>(ii)</w:t>
      </w:r>
      <w:r>
        <w:tab/>
        <w:t>has not been removed from the relevant premises;</w:t>
      </w:r>
    </w:p>
    <w:p>
      <w:pPr>
        <w:pStyle w:val="Indenta"/>
      </w:pPr>
      <w:r>
        <w:tab/>
      </w:r>
      <w:r>
        <w:tab/>
        <w:t>and</w:t>
      </w:r>
    </w:p>
    <w:p>
      <w:pPr>
        <w:pStyle w:val="Indenta"/>
      </w:pPr>
      <w:r>
        <w:tab/>
        <w:t>(b)</w:t>
      </w:r>
      <w:r>
        <w:tab/>
        <w:t>a relevant person for the vehicle is present.</w:t>
      </w:r>
    </w:p>
    <w:p>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pPr>
        <w:pStyle w:val="Penstart"/>
      </w:pPr>
      <w:r>
        <w:tab/>
        <w:t>Penalty for this subsection: a fine of 100 PU.</w:t>
      </w:r>
    </w:p>
    <w:p>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pPr>
        <w:pStyle w:val="Penstart"/>
      </w:pPr>
      <w:r>
        <w:tab/>
        <w:t>Penalty for this subsection: a fine of 100 PU.</w:t>
      </w:r>
    </w:p>
    <w:p>
      <w:pPr>
        <w:pStyle w:val="Subsection"/>
      </w:pPr>
      <w:r>
        <w:tab/>
        <w:t>(4)</w:t>
      </w:r>
      <w:r>
        <w:tab/>
        <w:t>The tow truck driver must not state an amount for an on</w:t>
      </w:r>
      <w:r>
        <w:noBreakHyphen/>
        <w:t>site release charge that exceeds the amount determined in accordance with the regulations.</w:t>
      </w:r>
    </w:p>
    <w:p>
      <w:pPr>
        <w:pStyle w:val="Penstart"/>
      </w:pPr>
      <w:r>
        <w:tab/>
        <w:t>Penalty for this subsection: a fine of 100 PU.</w:t>
      </w:r>
    </w:p>
    <w:p>
      <w:pPr>
        <w:pStyle w:val="Subsection"/>
      </w:pPr>
      <w:r>
        <w:tab/>
        <w:t>(5)</w:t>
      </w:r>
      <w:r>
        <w:tab/>
        <w:t>If a motor vehicle is released under subsection (3), a person must not impose any further towing charges in relation to the vehicle.</w:t>
      </w:r>
    </w:p>
    <w:p>
      <w:pPr>
        <w:pStyle w:val="Penstart"/>
      </w:pPr>
      <w:r>
        <w:tab/>
        <w:t>Penalty for this subsection: a fine of 100 PU.</w:t>
      </w:r>
    </w:p>
    <w:p>
      <w:pPr>
        <w:pStyle w:val="Footnotesection"/>
      </w:pPr>
      <w:r>
        <w:tab/>
        <w:t>[Section 100 inserted: No. 38 of 2020 s. 5.]</w:t>
      </w:r>
    </w:p>
    <w:p>
      <w:pPr>
        <w:pStyle w:val="Heading5"/>
      </w:pPr>
      <w:bookmarkStart w:id="238" w:name="_Toc166680538"/>
      <w:r>
        <w:rPr>
          <w:rStyle w:val="CharSectno"/>
        </w:rPr>
        <w:lastRenderedPageBreak/>
        <w:t>101</w:t>
      </w:r>
      <w:r>
        <w:t>.</w:t>
      </w:r>
      <w:r>
        <w:tab/>
        <w:t>Motor vehicle must be towed by most direct route to approved storage yard</w:t>
      </w:r>
      <w:bookmarkEnd w:id="238"/>
    </w:p>
    <w:p>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pPr>
        <w:pStyle w:val="Penstart"/>
      </w:pPr>
      <w:r>
        <w:tab/>
        <w:t>Penalty: a fine of 40 PU.</w:t>
      </w:r>
    </w:p>
    <w:p>
      <w:pPr>
        <w:pStyle w:val="Footnotesection"/>
      </w:pPr>
      <w:r>
        <w:tab/>
        <w:t>[Section 101 inserted: No. 38 of 2020 s. 5.]</w:t>
      </w:r>
    </w:p>
    <w:p>
      <w:pPr>
        <w:pStyle w:val="Heading5"/>
      </w:pPr>
      <w:bookmarkStart w:id="239" w:name="_Toc166680539"/>
      <w:r>
        <w:rPr>
          <w:rStyle w:val="CharSectno"/>
        </w:rPr>
        <w:t>102</w:t>
      </w:r>
      <w:r>
        <w:t>.</w:t>
      </w:r>
      <w:r>
        <w:tab/>
        <w:t>Copy of towing arrangement must be given</w:t>
      </w:r>
      <w:bookmarkEnd w:id="239"/>
    </w:p>
    <w:p>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pPr>
        <w:pStyle w:val="Indenta"/>
      </w:pPr>
      <w:r>
        <w:tab/>
        <w:t>(a)</w:t>
      </w:r>
      <w:r>
        <w:tab/>
        <w:t xml:space="preserve">the tow truck driver; </w:t>
      </w:r>
    </w:p>
    <w:p>
      <w:pPr>
        <w:pStyle w:val="Indenta"/>
      </w:pPr>
      <w:r>
        <w:tab/>
        <w:t>(b)</w:t>
      </w:r>
      <w:r>
        <w:tab/>
        <w:t xml:space="preserve">if the tow truck driver is not the towing service provider who is party to the towing arrangement — that towing service provider; </w:t>
      </w:r>
    </w:p>
    <w:p>
      <w:pPr>
        <w:pStyle w:val="Indenta"/>
      </w:pPr>
      <w:r>
        <w:tab/>
        <w:t>(c)</w:t>
      </w:r>
      <w:r>
        <w:tab/>
        <w:t>if the vehicle is or was stored in a storage yard after being towed — the person in charge of the storage yard.</w:t>
      </w:r>
    </w:p>
    <w:p>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pPr>
        <w:pStyle w:val="Penstart"/>
      </w:pPr>
      <w:r>
        <w:tab/>
        <w:t>Penalty for this subsection: a fine of 100 PU.</w:t>
      </w:r>
    </w:p>
    <w:p>
      <w:pPr>
        <w:pStyle w:val="Subsection"/>
      </w:pPr>
      <w:r>
        <w:tab/>
        <w:t>(3)</w:t>
      </w:r>
      <w:r>
        <w:tab/>
        <w:t>A request under subsection (1) may be made whether or not the vehicle has been released.</w:t>
      </w:r>
    </w:p>
    <w:p>
      <w:pPr>
        <w:pStyle w:val="Subsection"/>
        <w:keepNext/>
      </w:pPr>
      <w:r>
        <w:tab/>
        <w:t>(4)</w:t>
      </w:r>
      <w:r>
        <w:tab/>
        <w:t xml:space="preserve">A towing service provider must, for each towing arrangement to which the towing service provider is a party, ensure that the </w:t>
      </w:r>
      <w:r>
        <w:lastRenderedPageBreak/>
        <w:t xml:space="preserve">following persons are given, or have access to, the towing arrangement — </w:t>
      </w:r>
    </w:p>
    <w:p>
      <w:pPr>
        <w:pStyle w:val="Indenta"/>
      </w:pPr>
      <w:r>
        <w:tab/>
        <w:t>(a)</w:t>
      </w:r>
      <w:r>
        <w:tab/>
        <w:t>each tow truck driver requested or permitted to tow motor vehicles under the towing arrangement;</w:t>
      </w:r>
    </w:p>
    <w:p>
      <w:pPr>
        <w:pStyle w:val="Indenta"/>
      </w:pPr>
      <w:r>
        <w:tab/>
        <w:t>(b)</w:t>
      </w:r>
      <w:r>
        <w:tab/>
        <w:t>the person in charge of each storage yard that is approved under section 104(3) for a tow truck driver referred to in paragraph (a).</w:t>
      </w:r>
    </w:p>
    <w:p>
      <w:pPr>
        <w:pStyle w:val="Penstart"/>
      </w:pPr>
      <w:r>
        <w:tab/>
        <w:t>Penalty for this subsection: a fine of 40 PU.</w:t>
      </w:r>
    </w:p>
    <w:p>
      <w:pPr>
        <w:pStyle w:val="Subsection"/>
      </w:pPr>
      <w:r>
        <w:tab/>
        <w:t>(5)</w:t>
      </w:r>
      <w:r>
        <w:tab/>
        <w:t>Regulations may make provision for or in relation to the disclosure or publication of towing arrangements or the information contained in towing arrangements.</w:t>
      </w:r>
    </w:p>
    <w:p>
      <w:pPr>
        <w:pStyle w:val="Footnotesection"/>
      </w:pPr>
      <w:r>
        <w:tab/>
        <w:t>[Section 102 inserted: No. 38 of 2020 s. 5.]</w:t>
      </w:r>
    </w:p>
    <w:p>
      <w:pPr>
        <w:pStyle w:val="Heading5"/>
      </w:pPr>
      <w:bookmarkStart w:id="240" w:name="_Toc166680540"/>
      <w:r>
        <w:rPr>
          <w:rStyle w:val="CharSectno"/>
        </w:rPr>
        <w:t>103</w:t>
      </w:r>
      <w:r>
        <w:t>.</w:t>
      </w:r>
      <w:r>
        <w:tab/>
        <w:t>Release from storage</w:t>
      </w:r>
      <w:bookmarkEnd w:id="240"/>
    </w:p>
    <w:p>
      <w:pPr>
        <w:pStyle w:val="Subsection"/>
      </w:pPr>
      <w:r>
        <w:tab/>
        <w:t>(1)</w:t>
      </w:r>
      <w:r>
        <w:tab/>
        <w:t>This section applies if a motor vehicle that has been towed is stored in a storage yard.</w:t>
      </w:r>
    </w:p>
    <w:p>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pPr>
        <w:pStyle w:val="Penstart"/>
      </w:pPr>
      <w:r>
        <w:tab/>
        <w:t>Penalty for this subsection: a fine of 100 PU.</w:t>
      </w:r>
    </w:p>
    <w:p>
      <w:pPr>
        <w:pStyle w:val="Subsection"/>
      </w:pPr>
      <w:r>
        <w:tab/>
        <w:t>(3)</w:t>
      </w:r>
      <w:r>
        <w:tab/>
        <w:t>For the purposes of determining when the 4</w:t>
      </w:r>
      <w:r>
        <w:noBreakHyphen/>
        <w:t>hour period referred to in subsection (2) expires, only time between 9 am and 5 pm on a business day is to be counted.</w:t>
      </w:r>
    </w:p>
    <w:p>
      <w:pPr>
        <w:pStyle w:val="Subsection"/>
      </w:pPr>
      <w:r>
        <w:tab/>
        <w:t>(4)</w:t>
      </w:r>
      <w:r>
        <w:tab/>
        <w:t>Regulations may prescribe the steps that must be taken to release the vehicle for the purposes of subsection (2).</w:t>
      </w:r>
    </w:p>
    <w:p>
      <w:pPr>
        <w:pStyle w:val="Footnotesection"/>
      </w:pPr>
      <w:r>
        <w:tab/>
        <w:t>[Section 103 inserted: No. 38 of 2020 s. 5.]</w:t>
      </w:r>
    </w:p>
    <w:p>
      <w:pPr>
        <w:pStyle w:val="Ednotesection"/>
      </w:pPr>
      <w:r>
        <w:t>[</w:t>
      </w:r>
      <w:r>
        <w:rPr>
          <w:b/>
          <w:bCs/>
        </w:rPr>
        <w:t>103A, 103B.</w:t>
      </w:r>
      <w:r>
        <w:rPr>
          <w:b/>
          <w:bCs/>
        </w:rPr>
        <w:tab/>
      </w:r>
      <w:r>
        <w:t>Deleted: No. 54 of 2006 s. 30.]</w:t>
      </w:r>
    </w:p>
    <w:p>
      <w:pPr>
        <w:pStyle w:val="Heading5"/>
      </w:pPr>
      <w:bookmarkStart w:id="241" w:name="_Toc166680541"/>
      <w:r>
        <w:rPr>
          <w:rStyle w:val="CharSectno"/>
        </w:rPr>
        <w:lastRenderedPageBreak/>
        <w:t>104</w:t>
      </w:r>
      <w:r>
        <w:t>.</w:t>
      </w:r>
      <w:r>
        <w:tab/>
        <w:t>Approval of storage yards</w:t>
      </w:r>
      <w:bookmarkEnd w:id="241"/>
    </w:p>
    <w:p>
      <w:pPr>
        <w:pStyle w:val="Subsection"/>
      </w:pPr>
      <w:r>
        <w:tab/>
        <w:t>(1)</w:t>
      </w:r>
      <w:r>
        <w:tab/>
        <w:t>A person may apply to the CEO for approval of 1 or more storage yards to be used to store vehicles towed by a tow truck driver or class of tow truck drivers.</w:t>
      </w:r>
    </w:p>
    <w:p>
      <w:pPr>
        <w:pStyle w:val="Subsection"/>
      </w:pPr>
      <w:r>
        <w:tab/>
        <w:t>(2)</w:t>
      </w:r>
      <w:r>
        <w:tab/>
        <w:t xml:space="preserve">The application must — </w:t>
      </w:r>
    </w:p>
    <w:p>
      <w:pPr>
        <w:pStyle w:val="Indenta"/>
      </w:pPr>
      <w:r>
        <w:tab/>
        <w:t>(a)</w:t>
      </w:r>
      <w:r>
        <w:tab/>
        <w:t>be in the form approved by the CEO; and</w:t>
      </w:r>
    </w:p>
    <w:p>
      <w:pPr>
        <w:pStyle w:val="Indenta"/>
      </w:pPr>
      <w:r>
        <w:tab/>
        <w:t>(b)</w:t>
      </w:r>
      <w:r>
        <w:tab/>
        <w:t>be accompanied by the fee (if any) prescribed by the regulations; and</w:t>
      </w:r>
    </w:p>
    <w:p>
      <w:pPr>
        <w:pStyle w:val="Indenta"/>
      </w:pPr>
      <w:r>
        <w:tab/>
        <w:t>(c)</w:t>
      </w:r>
      <w:r>
        <w:tab/>
        <w:t>comply with any other requirements prescribed by the regulations.</w:t>
      </w:r>
    </w:p>
    <w:p>
      <w:pPr>
        <w:pStyle w:val="Subsection"/>
      </w:pPr>
      <w:r>
        <w:tab/>
        <w:t>(3)</w:t>
      </w:r>
      <w:r>
        <w:tab/>
        <w:t>The CEO may, by written notice, grant or refuse to grant the approval.</w:t>
      </w:r>
    </w:p>
    <w:p>
      <w:pPr>
        <w:pStyle w:val="Subsection"/>
      </w:pPr>
      <w:r>
        <w:tab/>
        <w:t>(4)</w:t>
      </w:r>
      <w:r>
        <w:tab/>
        <w:t>Regulations may prescribe matters that the CEO must consider when granting or refusing to grant an approval under subsection (3).</w:t>
      </w:r>
    </w:p>
    <w:p>
      <w:pPr>
        <w:pStyle w:val="Footnotesection"/>
      </w:pPr>
      <w:r>
        <w:tab/>
        <w:t>[Section 104 inserted: No. 38 of 2020 s. 5.]</w:t>
      </w:r>
    </w:p>
    <w:p>
      <w:pPr>
        <w:pStyle w:val="Ednotesection"/>
      </w:pPr>
      <w:r>
        <w:t>[</w:t>
      </w:r>
      <w:r>
        <w:rPr>
          <w:b/>
        </w:rPr>
        <w:t>104A-104T.</w:t>
      </w:r>
      <w:r>
        <w:tab/>
        <w:t>Deleted: No. 8 of 2012 s. 28.]</w:t>
      </w:r>
    </w:p>
    <w:p>
      <w:pPr>
        <w:pStyle w:val="Heading4"/>
      </w:pPr>
      <w:bookmarkStart w:id="242" w:name="_Toc166659386"/>
      <w:bookmarkStart w:id="243" w:name="_Toc166679720"/>
      <w:bookmarkStart w:id="244" w:name="_Toc166679919"/>
      <w:bookmarkStart w:id="245" w:name="_Toc166680542"/>
      <w:r>
        <w:t>Subdivision 3 — Charges for towing and storage</w:t>
      </w:r>
      <w:bookmarkEnd w:id="242"/>
      <w:bookmarkEnd w:id="243"/>
      <w:bookmarkEnd w:id="244"/>
      <w:bookmarkEnd w:id="245"/>
    </w:p>
    <w:p>
      <w:pPr>
        <w:pStyle w:val="Footnoteheading"/>
      </w:pPr>
      <w:r>
        <w:tab/>
        <w:t>[Heading inserted: No. 38 of 2020 s. 5.]</w:t>
      </w:r>
    </w:p>
    <w:p>
      <w:pPr>
        <w:pStyle w:val="Heading5"/>
      </w:pPr>
      <w:bookmarkStart w:id="246" w:name="_Toc166680543"/>
      <w:r>
        <w:rPr>
          <w:rStyle w:val="CharSectno"/>
        </w:rPr>
        <w:t>105</w:t>
      </w:r>
      <w:r>
        <w:t>.</w:t>
      </w:r>
      <w:r>
        <w:tab/>
        <w:t>Towing charges</w:t>
      </w:r>
      <w:bookmarkEnd w:id="246"/>
    </w:p>
    <w:p>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pPr>
        <w:pStyle w:val="Penstart"/>
      </w:pPr>
      <w:r>
        <w:tab/>
        <w:t>Penalty for this subsection: a fine of 40 PU.</w:t>
      </w:r>
    </w:p>
    <w:p>
      <w:pPr>
        <w:pStyle w:val="Subsection"/>
      </w:pPr>
      <w:r>
        <w:tab/>
        <w:t>(2)</w:t>
      </w:r>
      <w:r>
        <w:tab/>
        <w:t xml:space="preserve">Regulations made for the purposes of subsection (1) may provide for different maximum towing charges amounts that </w:t>
      </w:r>
      <w:r>
        <w:lastRenderedPageBreak/>
        <w:t>apply in different circumstances, including by reference to the amount of work undertaken or distance travelled.</w:t>
      </w:r>
    </w:p>
    <w:p>
      <w:pPr>
        <w:pStyle w:val="Footnotesection"/>
      </w:pPr>
      <w:r>
        <w:tab/>
        <w:t>[Section 105 inserted: No. 38 of 2020 s. 5.]</w:t>
      </w:r>
    </w:p>
    <w:p>
      <w:pPr>
        <w:pStyle w:val="Heading5"/>
      </w:pPr>
      <w:bookmarkStart w:id="247" w:name="_Toc166680544"/>
      <w:r>
        <w:rPr>
          <w:rStyle w:val="CharSectno"/>
        </w:rPr>
        <w:t>105A</w:t>
      </w:r>
      <w:r>
        <w:t>.</w:t>
      </w:r>
      <w:r>
        <w:tab/>
        <w:t>Storage charges</w:t>
      </w:r>
      <w:bookmarkEnd w:id="247"/>
    </w:p>
    <w:p>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pPr>
        <w:pStyle w:val="Penstart"/>
      </w:pPr>
      <w:r>
        <w:tab/>
        <w:t>Penalty for this subsection: a fine of 40 PU.</w:t>
      </w:r>
    </w:p>
    <w:p>
      <w:pPr>
        <w:pStyle w:val="Subsection"/>
      </w:pPr>
      <w:r>
        <w:tab/>
        <w:t>(2)</w:t>
      </w:r>
      <w:r>
        <w:tab/>
        <w:t>Regulations made for the purposes of subsection (1) may provide for different maximum storage charges amounts that apply in different circumstances.</w:t>
      </w:r>
    </w:p>
    <w:p>
      <w:pPr>
        <w:pStyle w:val="Footnotesection"/>
      </w:pPr>
      <w:r>
        <w:tab/>
        <w:t>[Section 105A inserted: No. 38 of 2020 s. 5.]</w:t>
      </w:r>
    </w:p>
    <w:p>
      <w:pPr>
        <w:pStyle w:val="Heading5"/>
      </w:pPr>
      <w:bookmarkStart w:id="248" w:name="_Toc166680545"/>
      <w:r>
        <w:rPr>
          <w:rStyle w:val="CharSectno"/>
        </w:rPr>
        <w:t>105B</w:t>
      </w:r>
      <w:r>
        <w:t>.</w:t>
      </w:r>
      <w:r>
        <w:tab/>
        <w:t>Regulations may prohibit or restrict towing and storage charges</w:t>
      </w:r>
      <w:bookmarkEnd w:id="248"/>
    </w:p>
    <w:p>
      <w:pPr>
        <w:pStyle w:val="Subsection"/>
      </w:pPr>
      <w:r>
        <w:tab/>
      </w:r>
      <w:r>
        <w:tab/>
        <w:t xml:space="preserve">Without limiting sections 105 and 105A, the regulations may make provision for or in relation to the imposition of towing charges and storage charges, including by — </w:t>
      </w:r>
    </w:p>
    <w:p>
      <w:pPr>
        <w:pStyle w:val="Indenta"/>
      </w:pPr>
      <w:r>
        <w:tab/>
        <w:t>(a)</w:t>
      </w:r>
      <w:r>
        <w:tab/>
        <w:t>prohibiting the imposition of towing charges and storage charges of prescribed kinds or in prescribed circumstances; and</w:t>
      </w:r>
    </w:p>
    <w:p>
      <w:pPr>
        <w:pStyle w:val="Indenta"/>
      </w:pPr>
      <w:r>
        <w:tab/>
        <w:t>(b)</w:t>
      </w:r>
      <w:r>
        <w:tab/>
        <w:t>providing for requirements that must be complied with before towing charges and storage charges of prescribed kinds may be imposed.</w:t>
      </w:r>
    </w:p>
    <w:p>
      <w:pPr>
        <w:pStyle w:val="Footnotesection"/>
      </w:pPr>
      <w:r>
        <w:tab/>
        <w:t>[Section 105B inserted: No. 38 of 2020 s. 5.]</w:t>
      </w:r>
    </w:p>
    <w:p>
      <w:pPr>
        <w:pStyle w:val="Heading5"/>
      </w:pPr>
      <w:bookmarkStart w:id="249" w:name="_Toc166680546"/>
      <w:r>
        <w:rPr>
          <w:rStyle w:val="CharSectno"/>
        </w:rPr>
        <w:t>105C</w:t>
      </w:r>
      <w:r>
        <w:t>.</w:t>
      </w:r>
      <w:r>
        <w:tab/>
        <w:t>Liability for towing and storage charges</w:t>
      </w:r>
      <w:bookmarkEnd w:id="249"/>
    </w:p>
    <w:p>
      <w:pPr>
        <w:pStyle w:val="Subsection"/>
      </w:pPr>
      <w:r>
        <w:tab/>
        <w:t>(1)</w:t>
      </w:r>
      <w:r>
        <w:tab/>
        <w:t>This section applies if a motor vehicle has been towed in compliance with the requirements of this Division.</w:t>
      </w:r>
    </w:p>
    <w:p>
      <w:pPr>
        <w:pStyle w:val="Subsection"/>
      </w:pPr>
      <w:r>
        <w:lastRenderedPageBreak/>
        <w:tab/>
        <w:t>(2)</w:t>
      </w:r>
      <w:r>
        <w:tab/>
        <w:t>A relevant person for the vehicle is liable for the payment of towing charges and storage charges imposed in relation to the vehicle in compliance with the requirements of this Division and the regulations.</w:t>
      </w:r>
    </w:p>
    <w:p>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pPr>
        <w:pStyle w:val="Footnotesection"/>
      </w:pPr>
      <w:r>
        <w:tab/>
        <w:t>[Section 105C inserted: No. 38 of 2020 s. 5.]</w:t>
      </w:r>
    </w:p>
    <w:p>
      <w:pPr>
        <w:pStyle w:val="Heading3"/>
      </w:pPr>
      <w:bookmarkStart w:id="250" w:name="_Toc166659391"/>
      <w:bookmarkStart w:id="251" w:name="_Toc166679725"/>
      <w:bookmarkStart w:id="252" w:name="_Toc166679924"/>
      <w:bookmarkStart w:id="253" w:name="_Toc166680547"/>
      <w:r>
        <w:rPr>
          <w:rStyle w:val="CharDivNo"/>
        </w:rPr>
        <w:t>Division 4</w:t>
      </w:r>
      <w:r>
        <w:t> — </w:t>
      </w:r>
      <w:r>
        <w:rPr>
          <w:rStyle w:val="CharDivText"/>
        </w:rPr>
        <w:t>Detention of motor vehicles</w:t>
      </w:r>
      <w:bookmarkEnd w:id="250"/>
      <w:bookmarkEnd w:id="251"/>
      <w:bookmarkEnd w:id="252"/>
      <w:bookmarkEnd w:id="253"/>
    </w:p>
    <w:p>
      <w:pPr>
        <w:pStyle w:val="Footnoteheading"/>
      </w:pPr>
      <w:r>
        <w:tab/>
        <w:t>[Heading inserted: No. 38 of 2020 s. 5.]</w:t>
      </w:r>
    </w:p>
    <w:p>
      <w:pPr>
        <w:pStyle w:val="Heading5"/>
      </w:pPr>
      <w:bookmarkStart w:id="254" w:name="_Toc166680548"/>
      <w:r>
        <w:rPr>
          <w:rStyle w:val="CharSectno"/>
        </w:rPr>
        <w:t>105D</w:t>
      </w:r>
      <w:r>
        <w:t>.</w:t>
      </w:r>
      <w:r>
        <w:tab/>
        <w:t>Application of Division</w:t>
      </w:r>
      <w:bookmarkEnd w:id="254"/>
    </w:p>
    <w:p>
      <w:pPr>
        <w:pStyle w:val="Subsection"/>
      </w:pPr>
      <w:r>
        <w:tab/>
      </w:r>
      <w:r>
        <w:tab/>
        <w:t xml:space="preserve">This Division does not apply to the detention of a motor vehicle — </w:t>
      </w:r>
    </w:p>
    <w:p>
      <w:pPr>
        <w:pStyle w:val="Indenta"/>
      </w:pPr>
      <w:r>
        <w:tab/>
        <w:t>(a)</w:t>
      </w:r>
      <w:r>
        <w:tab/>
        <w:t>by immobilising it as described in section 95(1); or</w:t>
      </w:r>
    </w:p>
    <w:p>
      <w:pPr>
        <w:pStyle w:val="Indenta"/>
      </w:pPr>
      <w:r>
        <w:tab/>
        <w:t>(b)</w:t>
      </w:r>
      <w:r>
        <w:tab/>
        <w:t>after it has been towed.</w:t>
      </w:r>
    </w:p>
    <w:p>
      <w:pPr>
        <w:pStyle w:val="Footnotesection"/>
      </w:pPr>
      <w:r>
        <w:tab/>
        <w:t>[Section 105D inserted: No. 38 of 2020 s. 5.]</w:t>
      </w:r>
    </w:p>
    <w:p>
      <w:pPr>
        <w:pStyle w:val="Heading5"/>
      </w:pPr>
      <w:bookmarkStart w:id="255" w:name="_Toc166680549"/>
      <w:r>
        <w:rPr>
          <w:rStyle w:val="CharSectno"/>
        </w:rPr>
        <w:t>105E</w:t>
      </w:r>
      <w:r>
        <w:t>.</w:t>
      </w:r>
      <w:r>
        <w:tab/>
        <w:t>Motor vehicles not to be detained</w:t>
      </w:r>
      <w:bookmarkEnd w:id="255"/>
    </w:p>
    <w:p>
      <w:pPr>
        <w:pStyle w:val="Subsection"/>
      </w:pPr>
      <w:r>
        <w:tab/>
        <w:t>(1)</w:t>
      </w:r>
      <w:r>
        <w:tab/>
        <w:t xml:space="preserve">A person must not detain a parked motor vehicle by — </w:t>
      </w:r>
    </w:p>
    <w:p>
      <w:pPr>
        <w:pStyle w:val="Indenta"/>
      </w:pPr>
      <w:r>
        <w:tab/>
        <w:t>(a)</w:t>
      </w:r>
      <w:r>
        <w:tab/>
        <w:t>failing to release the vehicle on demand to a relevant person for the vehicle; or</w:t>
      </w:r>
    </w:p>
    <w:p>
      <w:pPr>
        <w:pStyle w:val="Indenta"/>
      </w:pPr>
      <w:r>
        <w:tab/>
        <w:t>(b)</w:t>
      </w:r>
      <w:r>
        <w:tab/>
        <w:t>refusing to release the vehicle unless a relevant person for the vehicle makes any payment for or in relation to the release.</w:t>
      </w:r>
    </w:p>
    <w:p>
      <w:pPr>
        <w:pStyle w:val="Penstart"/>
      </w:pPr>
      <w:r>
        <w:lastRenderedPageBreak/>
        <w:tab/>
        <w:t>Penalty for this subsection: a fine of 100 PU.</w:t>
      </w:r>
    </w:p>
    <w:p>
      <w:pPr>
        <w:pStyle w:val="Subsection"/>
      </w:pPr>
      <w:r>
        <w:tab/>
        <w:t>(2)</w:t>
      </w:r>
      <w:r>
        <w:tab/>
        <w:t xml:space="preserve">Subsection (1) does not apply if the vehicle is detained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under and in accordance with a written law; or</w:t>
      </w:r>
    </w:p>
    <w:p>
      <w:pPr>
        <w:pStyle w:val="Indenta"/>
      </w:pPr>
      <w:r>
        <w:tab/>
        <w:t>(e)</w:t>
      </w:r>
      <w:r>
        <w:tab/>
        <w:t xml:space="preserve">in the exercise of a right under a parking agreement, where — </w:t>
      </w:r>
    </w:p>
    <w:p>
      <w:pPr>
        <w:pStyle w:val="Indenti"/>
      </w:pPr>
      <w:r>
        <w:tab/>
        <w:t>(i)</w:t>
      </w:r>
      <w:r>
        <w:tab/>
        <w:t>the vehicle is parked in a parking facility; and</w:t>
      </w:r>
    </w:p>
    <w:p>
      <w:pPr>
        <w:pStyle w:val="Indenti"/>
      </w:pPr>
      <w:r>
        <w:tab/>
        <w:t>(ii)</w:t>
      </w:r>
      <w:r>
        <w:tab/>
        <w:t>the means of detention is the permanent infrastructure controlling entry to, or exit from, the parking facility; and</w:t>
      </w:r>
    </w:p>
    <w:p>
      <w:pPr>
        <w:pStyle w:val="Indenti"/>
      </w:pPr>
      <w:r>
        <w:tab/>
        <w:t>(iii)</w:t>
      </w:r>
      <w:r>
        <w:tab/>
        <w:t>under the parking agreement, the payment of a fee is a condition of the vehicle being allowed to leave the parking facility;</w:t>
      </w:r>
    </w:p>
    <w:p>
      <w:pPr>
        <w:pStyle w:val="Indenta"/>
      </w:pPr>
      <w:r>
        <w:tab/>
      </w:r>
      <w:r>
        <w:tab/>
        <w:t>or</w:t>
      </w:r>
    </w:p>
    <w:p>
      <w:pPr>
        <w:pStyle w:val="Indenta"/>
      </w:pPr>
      <w:r>
        <w:tab/>
        <w:t>(f)</w:t>
      </w:r>
      <w:r>
        <w:tab/>
        <w:t>in circumstances prescribed by the regulations.</w:t>
      </w:r>
    </w:p>
    <w:p>
      <w:pPr>
        <w:pStyle w:val="Footnotesection"/>
      </w:pPr>
      <w:r>
        <w:tab/>
        <w:t>[Section 105E inserted: No. 38 of 2020 s. 5.]</w:t>
      </w:r>
    </w:p>
    <w:p>
      <w:pPr>
        <w:pStyle w:val="Heading3"/>
      </w:pPr>
      <w:bookmarkStart w:id="256" w:name="_Toc166659394"/>
      <w:bookmarkStart w:id="257" w:name="_Toc166679728"/>
      <w:bookmarkStart w:id="258" w:name="_Toc166679927"/>
      <w:bookmarkStart w:id="259" w:name="_Toc166680550"/>
      <w:r>
        <w:rPr>
          <w:rStyle w:val="CharDivNo"/>
        </w:rPr>
        <w:t>Division 5</w:t>
      </w:r>
      <w:r>
        <w:t> — </w:t>
      </w:r>
      <w:r>
        <w:rPr>
          <w:rStyle w:val="CharDivText"/>
        </w:rPr>
        <w:t>Miscellaneous</w:t>
      </w:r>
      <w:bookmarkEnd w:id="256"/>
      <w:bookmarkEnd w:id="257"/>
      <w:bookmarkEnd w:id="258"/>
      <w:bookmarkEnd w:id="259"/>
    </w:p>
    <w:p>
      <w:pPr>
        <w:pStyle w:val="Footnoteheading"/>
      </w:pPr>
      <w:r>
        <w:tab/>
        <w:t>[Heading inserted: No. 38 of 2020 s. 5.]</w:t>
      </w:r>
    </w:p>
    <w:p>
      <w:pPr>
        <w:pStyle w:val="Heading5"/>
      </w:pPr>
      <w:bookmarkStart w:id="260" w:name="_Toc166680551"/>
      <w:r>
        <w:rPr>
          <w:rStyle w:val="CharSectno"/>
        </w:rPr>
        <w:t>105F</w:t>
      </w:r>
      <w:r>
        <w:t>.</w:t>
      </w:r>
      <w:r>
        <w:tab/>
        <w:t>Abolition of distress damage feasant in relation to motor vehicles</w:t>
      </w:r>
      <w:bookmarkEnd w:id="260"/>
    </w:p>
    <w:p>
      <w:pPr>
        <w:pStyle w:val="Subsection"/>
      </w:pPr>
      <w:r>
        <w:tab/>
      </w:r>
      <w:r>
        <w:tab/>
        <w:t>The common law remedy of distress damage feasant in relation to trespass on land by a motor vehicle is abolished to the extent that it is inconsistent with this Part.</w:t>
      </w:r>
    </w:p>
    <w:p>
      <w:pPr>
        <w:pStyle w:val="Footnotesection"/>
      </w:pPr>
      <w:r>
        <w:tab/>
        <w:t>[Section 105F inserted: No. 38 of 2020 s. 5.]</w:t>
      </w:r>
    </w:p>
    <w:p>
      <w:pPr>
        <w:pStyle w:val="Heading5"/>
      </w:pPr>
      <w:bookmarkStart w:id="261" w:name="_Toc166680552"/>
      <w:r>
        <w:rPr>
          <w:rStyle w:val="CharSectno"/>
        </w:rPr>
        <w:lastRenderedPageBreak/>
        <w:t>105G</w:t>
      </w:r>
      <w:r>
        <w:t>.</w:t>
      </w:r>
      <w:r>
        <w:tab/>
        <w:t>Part does not confer right to immobilise, tow or detain motor vehicle</w:t>
      </w:r>
      <w:bookmarkEnd w:id="261"/>
    </w:p>
    <w:p>
      <w:pPr>
        <w:pStyle w:val="Subsection"/>
      </w:pPr>
      <w:r>
        <w:tab/>
      </w:r>
      <w:r>
        <w:tab/>
        <w:t>Nothing in this Part gives any person a right to immobilise, tow or detain a motor vehicle if the person does not have that right apart from this Part.</w:t>
      </w:r>
    </w:p>
    <w:p>
      <w:pPr>
        <w:pStyle w:val="Footnotesection"/>
      </w:pPr>
      <w:r>
        <w:tab/>
        <w:t>[Section 105G inserted: No. 38 of 2020 s. 5.]</w:t>
      </w:r>
    </w:p>
    <w:p>
      <w:pPr>
        <w:pStyle w:val="Heading5"/>
      </w:pPr>
      <w:bookmarkStart w:id="262" w:name="_Toc166680553"/>
      <w:r>
        <w:rPr>
          <w:rStyle w:val="CharSectno"/>
        </w:rPr>
        <w:t>105H</w:t>
      </w:r>
      <w:r>
        <w:t>.</w:t>
      </w:r>
      <w:r>
        <w:tab/>
        <w:t>Agreements for prohibited immobilisation, towing and detention services</w:t>
      </w:r>
      <w:bookmarkEnd w:id="262"/>
    </w:p>
    <w:p>
      <w:pPr>
        <w:pStyle w:val="Subsection"/>
      </w:pPr>
      <w:r>
        <w:tab/>
        <w:t>(1)</w:t>
      </w:r>
      <w:r>
        <w:tab/>
        <w:t xml:space="preserve">In this section — </w:t>
      </w:r>
    </w:p>
    <w:p>
      <w:pPr>
        <w:pStyle w:val="Defstart"/>
      </w:pPr>
      <w:r>
        <w:tab/>
      </w:r>
      <w:r>
        <w:rPr>
          <w:rStyle w:val="CharDefText"/>
        </w:rPr>
        <w:t>provide a prohibited service</w:t>
      </w:r>
      <w:r>
        <w:t xml:space="preserve"> means to immobilise, tow or detain a motor vehicle in contravention of this Part.</w:t>
      </w:r>
    </w:p>
    <w:p>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pPr>
        <w:pStyle w:val="Subsection"/>
      </w:pPr>
      <w:r>
        <w:tab/>
        <w:t>(3)</w:t>
      </w:r>
      <w:r>
        <w:tab/>
        <w:t xml:space="preserve">A party to an agreement that is of no legal effect wholly or partly because of subsection (2) — </w:t>
      </w:r>
    </w:p>
    <w:p>
      <w:pPr>
        <w:pStyle w:val="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pPr>
        <w:pStyle w:val="Subsection"/>
        <w:keepNext/>
      </w:pPr>
      <w:r>
        <w:tab/>
        <w:t>(4)</w:t>
      </w:r>
      <w:r>
        <w:tab/>
        <w:t xml:space="preserve">If a party does not repay money required by subsection (3)(b) to be repaid, the person entitled to be repaid may recover the </w:t>
      </w:r>
      <w:r>
        <w:lastRenderedPageBreak/>
        <w:t>money in a court of competent jurisdiction as a debt due from the party.</w:t>
      </w:r>
    </w:p>
    <w:p>
      <w:pPr>
        <w:pStyle w:val="Footnotesection"/>
      </w:pPr>
      <w:r>
        <w:tab/>
        <w:t>[Section 105H inserted: No. 38 of 2020 s. 5.]</w:t>
      </w:r>
    </w:p>
    <w:p>
      <w:pPr>
        <w:pStyle w:val="Heading2"/>
      </w:pPr>
      <w:bookmarkStart w:id="263" w:name="_Toc166659398"/>
      <w:bookmarkStart w:id="264" w:name="_Toc166679732"/>
      <w:bookmarkStart w:id="265" w:name="_Toc166679931"/>
      <w:bookmarkStart w:id="266" w:name="_Toc166680554"/>
      <w:r>
        <w:rPr>
          <w:rStyle w:val="CharPartNo"/>
        </w:rPr>
        <w:lastRenderedPageBreak/>
        <w:t>Part VII</w:t>
      </w:r>
      <w:r>
        <w:rPr>
          <w:rStyle w:val="CharDivNo"/>
        </w:rPr>
        <w:t> </w:t>
      </w:r>
      <w:r>
        <w:t>—</w:t>
      </w:r>
      <w:r>
        <w:rPr>
          <w:rStyle w:val="CharDivText"/>
        </w:rPr>
        <w:t> </w:t>
      </w:r>
      <w:r>
        <w:rPr>
          <w:rStyle w:val="CharPartText"/>
        </w:rPr>
        <w:t>Offences and penalties</w:t>
      </w:r>
      <w:bookmarkEnd w:id="263"/>
      <w:bookmarkEnd w:id="264"/>
      <w:bookmarkEnd w:id="265"/>
      <w:bookmarkEnd w:id="266"/>
    </w:p>
    <w:p>
      <w:pPr>
        <w:pStyle w:val="Heading5"/>
        <w:spacing w:before="180"/>
      </w:pPr>
      <w:bookmarkStart w:id="267" w:name="_Toc166680555"/>
      <w:r>
        <w:rPr>
          <w:rStyle w:val="CharSectno"/>
        </w:rPr>
        <w:t>106</w:t>
      </w:r>
      <w:r>
        <w:t>.</w:t>
      </w:r>
      <w:r>
        <w:tab/>
        <w:t>Sentencing for certain offences</w:t>
      </w:r>
      <w:bookmarkEnd w:id="267"/>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67 or 67AD(6); or</w:t>
      </w:r>
    </w:p>
    <w:p>
      <w:pPr>
        <w:pStyle w:val="Indenta"/>
        <w:keepNext/>
        <w:keepLines/>
      </w:pPr>
      <w:r>
        <w:tab/>
        <w:t>(b)</w:t>
      </w:r>
      <w:r>
        <w:tab/>
        <w:t>an offence against section 64, 64B(3), 67AD(4)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lastRenderedPageBreak/>
        <w:tab/>
        <w:t>(b)</w:t>
      </w:r>
      <w:r>
        <w:tab/>
        <w:t>a second or subsequent offence against section 63, 67 or 67AD(6),</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lastRenderedPageBreak/>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 No. 27 of 2020 s. 40.]</w:t>
      </w:r>
    </w:p>
    <w:p>
      <w:pPr>
        <w:pStyle w:val="Heading5"/>
      </w:pPr>
      <w:bookmarkStart w:id="268" w:name="_Toc166680556"/>
      <w:r>
        <w:rPr>
          <w:rStyle w:val="CharSectno"/>
        </w:rPr>
        <w:t>106A</w:t>
      </w:r>
      <w:r>
        <w:t>.</w:t>
      </w:r>
      <w:r>
        <w:tab/>
        <w:t>Mandatory disqualification</w:t>
      </w:r>
      <w:bookmarkEnd w:id="26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lastRenderedPageBreak/>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269" w:name="_Toc166659401"/>
      <w:bookmarkStart w:id="270" w:name="_Toc166679735"/>
      <w:bookmarkStart w:id="271" w:name="_Toc166679934"/>
      <w:bookmarkStart w:id="272" w:name="_Toc166680557"/>
      <w:r>
        <w:rPr>
          <w:rStyle w:val="CharPartNo"/>
        </w:rPr>
        <w:lastRenderedPageBreak/>
        <w:t>Part VIII</w:t>
      </w:r>
      <w:r>
        <w:rPr>
          <w:rStyle w:val="CharDivNo"/>
        </w:rPr>
        <w:t> </w:t>
      </w:r>
      <w:r>
        <w:t>—</w:t>
      </w:r>
      <w:r>
        <w:rPr>
          <w:rStyle w:val="CharDivText"/>
        </w:rPr>
        <w:t> </w:t>
      </w:r>
      <w:r>
        <w:rPr>
          <w:rStyle w:val="CharPartText"/>
        </w:rPr>
        <w:t>Transitional and savings provisions</w:t>
      </w:r>
      <w:bookmarkEnd w:id="269"/>
      <w:bookmarkEnd w:id="270"/>
      <w:bookmarkEnd w:id="271"/>
      <w:bookmarkEnd w:id="272"/>
    </w:p>
    <w:p>
      <w:pPr>
        <w:pStyle w:val="Footnoteheading"/>
      </w:pPr>
      <w:r>
        <w:tab/>
        <w:t>[Heading amended: No. 51 of 2016 s. 46.]</w:t>
      </w:r>
    </w:p>
    <w:p>
      <w:pPr>
        <w:pStyle w:val="Heading5"/>
        <w:rPr>
          <w:snapToGrid w:val="0"/>
        </w:rPr>
      </w:pPr>
      <w:bookmarkStart w:id="273" w:name="_Toc166680558"/>
      <w:r>
        <w:rPr>
          <w:rStyle w:val="CharSectno"/>
        </w:rPr>
        <w:t>108</w:t>
      </w:r>
      <w:r>
        <w:rPr>
          <w:snapToGrid w:val="0"/>
        </w:rPr>
        <w:t>.</w:t>
      </w:r>
      <w:r>
        <w:rPr>
          <w:snapToGrid w:val="0"/>
        </w:rPr>
        <w:tab/>
        <w:t xml:space="preserve">Savings as to </w:t>
      </w:r>
      <w:r>
        <w:rPr>
          <w:i/>
          <w:snapToGrid w:val="0"/>
        </w:rPr>
        <w:t>Traffic Act 1919</w:t>
      </w:r>
      <w:bookmarkEnd w:id="27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74" w:name="_Toc166680559"/>
      <w:r>
        <w:rPr>
          <w:rStyle w:val="CharSectno"/>
        </w:rPr>
        <w:t>109</w:t>
      </w:r>
      <w:r>
        <w:t>.</w:t>
      </w:r>
      <w:r>
        <w:tab/>
        <w:t xml:space="preserve">Transitional and savings provisions for the </w:t>
      </w:r>
      <w:r>
        <w:rPr>
          <w:i/>
        </w:rPr>
        <w:t>Road Traffic Amendment (Impounding and Confiscation of Vehicles) Act 2016</w:t>
      </w:r>
      <w:bookmarkEnd w:id="274"/>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lastRenderedPageBreak/>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275" w:name="_Toc166680560"/>
      <w:r>
        <w:rPr>
          <w:rStyle w:val="CharSectno"/>
        </w:rPr>
        <w:lastRenderedPageBreak/>
        <w:t>110</w:t>
      </w:r>
      <w:r>
        <w:t>.</w:t>
      </w:r>
      <w:r>
        <w:tab/>
        <w:t xml:space="preserve">Savings provisions for the </w:t>
      </w:r>
      <w:r>
        <w:rPr>
          <w:i/>
        </w:rPr>
        <w:t>Road Traffic Amendment (Blood Alcohol Content) Act 2019</w:t>
      </w:r>
      <w:bookmarkEnd w:id="275"/>
    </w:p>
    <w:p>
      <w:pPr>
        <w:pStyle w:val="Subsection"/>
        <w:keepNext/>
        <w:keepLines/>
      </w:pPr>
      <w:r>
        <w:tab/>
        <w:t>(1)</w:t>
      </w:r>
      <w:r>
        <w:tab/>
        <w:t>In this section —</w:t>
      </w:r>
    </w:p>
    <w:p>
      <w:pPr>
        <w:pStyle w:val="Defstart"/>
        <w:keepNex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keepNext/>
        <w:keepLines/>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5"/>
      </w:pPr>
      <w:bookmarkStart w:id="276" w:name="_Toc166680561"/>
      <w:r>
        <w:rPr>
          <w:rStyle w:val="CharSectno"/>
        </w:rPr>
        <w:t>110A</w:t>
      </w:r>
      <w:r>
        <w:t>.</w:t>
      </w:r>
      <w:r>
        <w:tab/>
        <w:t xml:space="preserve">Transitional provision for the </w:t>
      </w:r>
      <w:r>
        <w:rPr>
          <w:i/>
        </w:rPr>
        <w:t>Road Traffic Amendment (Impaired Driving and Penalties) Act 2020</w:t>
      </w:r>
      <w:bookmarkEnd w:id="276"/>
    </w:p>
    <w:p>
      <w:pPr>
        <w:pStyle w:val="Subsection"/>
      </w:pPr>
      <w:r>
        <w:tab/>
        <w:t>(1)</w:t>
      </w:r>
      <w:r>
        <w:tab/>
        <w:t xml:space="preserve">In this section — </w:t>
      </w:r>
    </w:p>
    <w:p>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pPr>
        <w:pStyle w:val="Subsection"/>
      </w:pPr>
      <w:r>
        <w:tab/>
        <w:t>(2)</w:t>
      </w:r>
      <w:r>
        <w:tab/>
        <w:t xml:space="preserve">This section applies if — </w:t>
      </w:r>
    </w:p>
    <w:p>
      <w:pPr>
        <w:pStyle w:val="Indenta"/>
      </w:pPr>
      <w:r>
        <w:tab/>
        <w:t>(a)</w:t>
      </w:r>
      <w:r>
        <w:tab/>
        <w:t xml:space="preserve">before the commencement day — </w:t>
      </w:r>
    </w:p>
    <w:p>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pPr>
        <w:pStyle w:val="Indenti"/>
      </w:pPr>
      <w:r>
        <w:lastRenderedPageBreak/>
        <w:tab/>
        <w:t>(ii)</w:t>
      </w:r>
      <w:r>
        <w:tab/>
        <w:t xml:space="preserve">a requirement is made of the first person under section 67(3a) as in force before the commencement day; and </w:t>
      </w:r>
    </w:p>
    <w:p>
      <w:pPr>
        <w:pStyle w:val="Indenti"/>
      </w:pPr>
      <w:r>
        <w:tab/>
        <w:t>(iii)</w:t>
      </w:r>
      <w:r>
        <w:tab/>
        <w:t xml:space="preserve">the person failed to comply with the requirement; </w:t>
      </w:r>
    </w:p>
    <w:p>
      <w:pPr>
        <w:pStyle w:val="Indenta"/>
      </w:pPr>
      <w:r>
        <w:tab/>
      </w:r>
      <w:r>
        <w:tab/>
        <w:t xml:space="preserve">and </w:t>
      </w:r>
    </w:p>
    <w:p>
      <w:pPr>
        <w:pStyle w:val="Indenta"/>
      </w:pPr>
      <w:r>
        <w:tab/>
        <w:t>(b)</w:t>
      </w:r>
      <w:r>
        <w:tab/>
        <w:t>on or after the commencement day, the second person dies.</w:t>
      </w:r>
    </w:p>
    <w:p>
      <w:pPr>
        <w:pStyle w:val="Subsection"/>
      </w:pPr>
      <w:r>
        <w:tab/>
        <w:t>(3)</w:t>
      </w:r>
      <w:r>
        <w:tab/>
        <w:t>The first person may be charged, convicted or sentenced under section 67(3) as in force on or after the commencement day.</w:t>
      </w:r>
    </w:p>
    <w:p>
      <w:pPr>
        <w:pStyle w:val="Footnotesection"/>
      </w:pPr>
      <w:r>
        <w:tab/>
        <w:t>[Section 110A inserted: No. 27 of 2020 s. 41.]</w:t>
      </w:r>
    </w:p>
    <w:p>
      <w:pPr>
        <w:pStyle w:val="Heading2"/>
      </w:pPr>
      <w:bookmarkStart w:id="277" w:name="_Toc166659406"/>
      <w:bookmarkStart w:id="278" w:name="_Toc166679740"/>
      <w:bookmarkStart w:id="279" w:name="_Toc166679939"/>
      <w:bookmarkStart w:id="280" w:name="_Toc166680562"/>
      <w:r>
        <w:rPr>
          <w:rStyle w:val="CharPartNo"/>
        </w:rPr>
        <w:lastRenderedPageBreak/>
        <w:t>Part IX</w:t>
      </w:r>
      <w:r>
        <w:rPr>
          <w:rStyle w:val="CharDivNo"/>
        </w:rPr>
        <w:t> </w:t>
      </w:r>
      <w:r>
        <w:t>—</w:t>
      </w:r>
      <w:r>
        <w:rPr>
          <w:rStyle w:val="CharDivText"/>
        </w:rPr>
        <w:t> </w:t>
      </w:r>
      <w:r>
        <w:rPr>
          <w:rStyle w:val="CharPartText"/>
        </w:rPr>
        <w:t>Regulations</w:t>
      </w:r>
      <w:bookmarkEnd w:id="277"/>
      <w:bookmarkEnd w:id="278"/>
      <w:bookmarkEnd w:id="279"/>
      <w:bookmarkEnd w:id="280"/>
    </w:p>
    <w:p>
      <w:pPr>
        <w:pStyle w:val="Heading5"/>
        <w:rPr>
          <w:snapToGrid w:val="0"/>
        </w:rPr>
      </w:pPr>
      <w:bookmarkStart w:id="281" w:name="_Toc166680563"/>
      <w:r>
        <w:rPr>
          <w:rStyle w:val="CharSectno"/>
        </w:rPr>
        <w:t>111</w:t>
      </w:r>
      <w:r>
        <w:rPr>
          <w:snapToGrid w:val="0"/>
        </w:rPr>
        <w:t>.</w:t>
      </w:r>
      <w:r>
        <w:rPr>
          <w:snapToGrid w:val="0"/>
        </w:rPr>
        <w:tab/>
        <w:t>Regulations etc.</w:t>
      </w:r>
      <w:bookmarkEnd w:id="28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lastRenderedPageBreak/>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lastRenderedPageBreak/>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282" w:name="_Toc166680564"/>
      <w:r>
        <w:rPr>
          <w:rStyle w:val="CharSectno"/>
        </w:rPr>
        <w:t>111AB</w:t>
      </w:r>
      <w:r>
        <w:t>.</w:t>
      </w:r>
      <w:r>
        <w:tab/>
        <w:t>Exemption from specified regulations, regulations may allow grant of</w:t>
      </w:r>
      <w:bookmarkEnd w:id="282"/>
    </w:p>
    <w:p>
      <w:pPr>
        <w:pStyle w:val="Subsection"/>
        <w:spacing w:before="120"/>
      </w:pPr>
      <w:r>
        <w:tab/>
        <w:t>(1)</w:t>
      </w:r>
      <w:r>
        <w:tab/>
        <w:t xml:space="preserve">The regulations may provide for the Minister to declare, in writing in accordance with the regulations, that a specified </w:t>
      </w:r>
      <w:r>
        <w:lastRenderedPageBreak/>
        <w:t>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283" w:name="_Toc166659409"/>
      <w:bookmarkStart w:id="284" w:name="_Toc166679743"/>
      <w:bookmarkStart w:id="285" w:name="_Toc166679942"/>
      <w:bookmarkStart w:id="286" w:name="_Toc166680565"/>
      <w:bookmarkStart w:id="287" w:name="_Hlk166679380"/>
      <w:r>
        <w:lastRenderedPageBreak/>
        <w:t>Notes</w:t>
      </w:r>
      <w:bookmarkEnd w:id="283"/>
      <w:bookmarkEnd w:id="284"/>
      <w:bookmarkEnd w:id="285"/>
      <w:bookmarkEnd w:id="286"/>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288" w:name="_Toc166680566"/>
      <w:r>
        <w:t>Compilation table</w:t>
      </w:r>
      <w:bookmarkEnd w:id="28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lastRenderedPageBreak/>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lastRenderedPageBreak/>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lastRenderedPageBreak/>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before="20"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w:t>
            </w:r>
            <w:r>
              <w:lastRenderedPageBreak/>
              <w:t xml:space="preserve">and </w:t>
            </w:r>
            <w:r>
              <w:rPr>
                <w:i/>
              </w:rPr>
              <w:t>Gazette</w:t>
            </w:r>
            <w:r>
              <w:t xml:space="preserve"> 21 Jul 1989 p. 2212)</w:t>
            </w:r>
          </w:p>
        </w:tc>
      </w:tr>
      <w:tr>
        <w:trPr>
          <w:cantSplit/>
        </w:trPr>
        <w:tc>
          <w:tcPr>
            <w:tcW w:w="2268" w:type="dxa"/>
          </w:tcPr>
          <w:p>
            <w:pPr>
              <w:pStyle w:val="nTable"/>
              <w:spacing w:after="40"/>
              <w:rPr>
                <w:vertAlign w:val="superscript"/>
              </w:rPr>
            </w:pPr>
            <w:r>
              <w:rPr>
                <w:i/>
              </w:rPr>
              <w:lastRenderedPageBreak/>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lastRenderedPageBreak/>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lastRenderedPageBreak/>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lastRenderedPageBreak/>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lastRenderedPageBreak/>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lastRenderedPageBreak/>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lastRenderedPageBreak/>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lastRenderedPageBreak/>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lastRenderedPageBreak/>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lastRenderedPageBreak/>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lastRenderedPageBreak/>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lastRenderedPageBreak/>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shd w:val="clear" w:color="auto" w:fill="auto"/>
          </w:tcPr>
          <w:p>
            <w:pPr>
              <w:pStyle w:val="nTable"/>
              <w:spacing w:after="40"/>
              <w:ind w:right="113"/>
              <w:rPr>
                <w:snapToGrid w:val="0"/>
              </w:rPr>
            </w:pPr>
            <w:r>
              <w:rPr>
                <w:i/>
              </w:rPr>
              <w:lastRenderedPageBreak/>
              <w:t xml:space="preserve">Road Traffic Amendment (Impaired Driving and Penalties) Act 2020 </w:t>
            </w:r>
            <w:r>
              <w:t>Pt. 2</w:t>
            </w:r>
          </w:p>
        </w:tc>
        <w:tc>
          <w:tcPr>
            <w:tcW w:w="1134" w:type="dxa"/>
            <w:shd w:val="clear" w:color="auto" w:fill="auto"/>
          </w:tcPr>
          <w:p>
            <w:pPr>
              <w:pStyle w:val="nTable"/>
              <w:keepNext/>
              <w:spacing w:after="40"/>
            </w:pPr>
            <w:r>
              <w:t>27 of 2020</w:t>
            </w:r>
          </w:p>
        </w:tc>
        <w:tc>
          <w:tcPr>
            <w:tcW w:w="1162" w:type="dxa"/>
            <w:shd w:val="clear" w:color="auto" w:fill="auto"/>
          </w:tcPr>
          <w:p>
            <w:pPr>
              <w:pStyle w:val="nTable"/>
              <w:keepNext/>
              <w:spacing w:after="40"/>
            </w:pPr>
            <w:r>
              <w:t>9 Jul 2020</w:t>
            </w:r>
          </w:p>
        </w:tc>
        <w:tc>
          <w:tcPr>
            <w:tcW w:w="2525" w:type="dxa"/>
            <w:shd w:val="clear" w:color="auto" w:fill="auto"/>
          </w:tcPr>
          <w:p>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br/>
              <w:t>Pt. 2 (other than s. 3, 24, 26, 29(10), 33 and 39): 1 Jul 2021 (see s. 2(1)(b) and SL 2021/54 cl. 2(a)-(c))</w:t>
            </w:r>
          </w:p>
        </w:tc>
      </w:tr>
      <w:tr>
        <w:trPr>
          <w:cantSplit/>
        </w:trPr>
        <w:tc>
          <w:tcPr>
            <w:tcW w:w="2268" w:type="dxa"/>
            <w:tcBorders>
              <w:bottom w:val="single" w:sz="2" w:space="0" w:color="auto"/>
            </w:tcBorders>
            <w:shd w:val="clear" w:color="auto" w:fill="auto"/>
          </w:tcPr>
          <w:p>
            <w:pPr>
              <w:pStyle w:val="nTable"/>
              <w:spacing w:after="40"/>
              <w:ind w:right="113"/>
              <w:rPr>
                <w:i/>
              </w:rPr>
            </w:pPr>
            <w:r>
              <w:rPr>
                <w:i/>
              </w:rPr>
              <w:t>Road Traffic Amendment (Immobilisation, Towing and Detention of Vehicles) Act 2020</w:t>
            </w:r>
            <w:r>
              <w:t xml:space="preserve"> Pt. 2</w:t>
            </w:r>
          </w:p>
        </w:tc>
        <w:tc>
          <w:tcPr>
            <w:tcW w:w="1134" w:type="dxa"/>
            <w:tcBorders>
              <w:bottom w:val="single" w:sz="2" w:space="0" w:color="auto"/>
            </w:tcBorders>
            <w:shd w:val="clear" w:color="auto" w:fill="auto"/>
          </w:tcPr>
          <w:p>
            <w:pPr>
              <w:pStyle w:val="nTable"/>
              <w:keepNext/>
              <w:spacing w:after="40"/>
            </w:pPr>
            <w:r>
              <w:t>38 of 2020</w:t>
            </w:r>
          </w:p>
        </w:tc>
        <w:tc>
          <w:tcPr>
            <w:tcW w:w="1162" w:type="dxa"/>
            <w:tcBorders>
              <w:bottom w:val="single" w:sz="2" w:space="0" w:color="auto"/>
            </w:tcBorders>
            <w:shd w:val="clear" w:color="auto" w:fill="auto"/>
          </w:tcPr>
          <w:p>
            <w:pPr>
              <w:pStyle w:val="nTable"/>
              <w:keepNext/>
              <w:spacing w:after="40"/>
            </w:pPr>
            <w:r>
              <w:t>10 Nov 2020</w:t>
            </w:r>
          </w:p>
        </w:tc>
        <w:tc>
          <w:tcPr>
            <w:tcW w:w="2525" w:type="dxa"/>
            <w:tcBorders>
              <w:bottom w:val="single" w:sz="2" w:space="0" w:color="auto"/>
            </w:tcBorders>
            <w:shd w:val="clear" w:color="auto" w:fill="auto"/>
          </w:tcPr>
          <w:p>
            <w:pPr>
              <w:pStyle w:val="nTable"/>
              <w:keepNext/>
              <w:spacing w:after="40"/>
            </w:pPr>
            <w:r>
              <w:t>14 Dec 2020 (see s. 2(1)(b) and SL 2020/229 cl. 2)</w:t>
            </w:r>
          </w:p>
        </w:tc>
      </w:tr>
    </w:tbl>
    <w:p>
      <w:pPr>
        <w:pStyle w:val="nHeading3"/>
      </w:pPr>
      <w:bookmarkStart w:id="289" w:name="_Toc166680567"/>
      <w:r>
        <w:t>Uncommenced provisions table</w:t>
      </w:r>
      <w:bookmarkEnd w:id="28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225" w:type="dxa"/>
            <w:tcBorders>
              <w:bottom w:val="single" w:sz="8" w:space="0" w:color="auto"/>
            </w:tcBorders>
          </w:tcPr>
          <w:p>
            <w:pPr>
              <w:pStyle w:val="nTable"/>
              <w:keepNext/>
              <w:spacing w:after="40"/>
              <w:rPr>
                <w:b/>
                <w:snapToGrid w:val="0"/>
              </w:rPr>
            </w:pPr>
            <w:r>
              <w:rPr>
                <w:b/>
                <w:snapToGrid w:val="0"/>
              </w:rPr>
              <w:t>Assent</w:t>
            </w:r>
          </w:p>
        </w:tc>
        <w:tc>
          <w:tcPr>
            <w:tcW w:w="246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225" w:type="dxa"/>
            <w:tcBorders>
              <w:top w:val="single" w:sz="8" w:space="0" w:color="auto"/>
              <w:bottom w:val="nil"/>
            </w:tcBorders>
          </w:tcPr>
          <w:p>
            <w:pPr>
              <w:pStyle w:val="nTable"/>
              <w:keepNext/>
              <w:spacing w:after="40"/>
            </w:pPr>
            <w:r>
              <w:t>25 Jul 2016</w:t>
            </w:r>
          </w:p>
        </w:tc>
        <w:tc>
          <w:tcPr>
            <w:tcW w:w="2461" w:type="dxa"/>
            <w:tcBorders>
              <w:top w:val="single" w:sz="8" w:space="0" w:color="auto"/>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rPr>
            </w:pPr>
            <w:r>
              <w:rPr>
                <w:i/>
              </w:rPr>
              <w:t>Road Traffic Legislation Amendment (Infringement Management Reform) Act 2024</w:t>
            </w:r>
            <w:r>
              <w:rPr>
                <w:iCs/>
              </w:rPr>
              <w:t xml:space="preserve"> Pt. 4 Div. 4</w:t>
            </w:r>
          </w:p>
        </w:tc>
        <w:tc>
          <w:tcPr>
            <w:tcW w:w="1134" w:type="dxa"/>
            <w:tcBorders>
              <w:top w:val="nil"/>
              <w:bottom w:val="single" w:sz="4" w:space="0" w:color="auto"/>
            </w:tcBorders>
          </w:tcPr>
          <w:p>
            <w:pPr>
              <w:pStyle w:val="nTable"/>
              <w:keepNext/>
              <w:spacing w:after="40"/>
            </w:pPr>
            <w:r>
              <w:t>15 of 2024</w:t>
            </w:r>
          </w:p>
        </w:tc>
        <w:tc>
          <w:tcPr>
            <w:tcW w:w="1225" w:type="dxa"/>
            <w:tcBorders>
              <w:top w:val="nil"/>
              <w:bottom w:val="single" w:sz="4" w:space="0" w:color="auto"/>
            </w:tcBorders>
          </w:tcPr>
          <w:p>
            <w:pPr>
              <w:pStyle w:val="nTable"/>
              <w:keepNext/>
              <w:spacing w:after="40"/>
            </w:pPr>
            <w:r>
              <w:t>14 May 2024</w:t>
            </w:r>
          </w:p>
        </w:tc>
        <w:tc>
          <w:tcPr>
            <w:tcW w:w="2461" w:type="dxa"/>
            <w:tcBorders>
              <w:top w:val="nil"/>
              <w:bottom w:val="single" w:sz="4" w:space="0" w:color="auto"/>
            </w:tcBorders>
          </w:tcPr>
          <w:p>
            <w:pPr>
              <w:pStyle w:val="nTable"/>
              <w:keepNext/>
              <w:spacing w:after="40"/>
            </w:pPr>
            <w:r>
              <w:t>To be proclaimed (see s. 2(b))</w:t>
            </w:r>
          </w:p>
        </w:tc>
      </w:tr>
    </w:tbl>
    <w:p>
      <w:pPr>
        <w:pStyle w:val="nHeading3"/>
      </w:pPr>
      <w:bookmarkStart w:id="290" w:name="_Toc166680568"/>
      <w:r>
        <w:lastRenderedPageBreak/>
        <w:t>Other notes</w:t>
      </w:r>
      <w:bookmarkEnd w:id="290"/>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lastRenderedPageBreak/>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lastRenderedPageBreak/>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w:t>
      </w:r>
      <w:r>
        <w:lastRenderedPageBreak/>
        <w:t xml:space="preserve">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keepNext/>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lastRenderedPageBreak/>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lastRenderedPageBreak/>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lastRenderedPageBreak/>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lastRenderedPageBreak/>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w:t>
      </w:r>
      <w:r>
        <w:lastRenderedPageBreak/>
        <w:t xml:space="preserve">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bookmarkEnd w:id="287"/>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92" w:name="_Toc166659413"/>
      <w:bookmarkStart w:id="293" w:name="_Toc166679747"/>
      <w:bookmarkStart w:id="294" w:name="_Toc166679946"/>
      <w:bookmarkStart w:id="295" w:name="_Toc166680569"/>
      <w:r>
        <w:rPr>
          <w:sz w:val="28"/>
        </w:rPr>
        <w:lastRenderedPageBreak/>
        <w:t>Defined terms</w:t>
      </w:r>
      <w:bookmarkEnd w:id="292"/>
      <w:bookmarkEnd w:id="293"/>
      <w:bookmarkEnd w:id="294"/>
      <w:bookmarkEnd w:id="2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conduct</w:t>
      </w:r>
      <w:r>
        <w:tab/>
        <w:t>71C(1)</w:t>
      </w:r>
    </w:p>
    <w:p>
      <w:pPr>
        <w:pStyle w:val="DefinedTerms"/>
      </w:pPr>
      <w:r>
        <w:t>alleged offence</w:t>
      </w:r>
      <w:r>
        <w:tab/>
        <w:t>71C(1)</w:t>
      </w:r>
    </w:p>
    <w:p>
      <w:pPr>
        <w:pStyle w:val="DefinedTerms"/>
      </w:pPr>
      <w:r>
        <w:t>alleged offender</w:t>
      </w:r>
      <w:r>
        <w:tab/>
        <w:t>71C(1), 79BCA(1), 79BCD(1), 79D(2) and (6)</w:t>
      </w:r>
    </w:p>
    <w:p>
      <w:pPr>
        <w:pStyle w:val="DefinedTerms"/>
      </w:pPr>
      <w:r>
        <w:t>alternative vehicle</w:t>
      </w:r>
      <w:r>
        <w:tab/>
        <w:t>79BCD(4), 79B(3C)</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enforcement action</w:t>
      </w:r>
      <w:r>
        <w:tab/>
        <w:t>91, 93</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day</w:t>
      </w:r>
      <w:r>
        <w:tab/>
        <w:t>91</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91, 109(1), 110(1), 110A(1)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consent</w:t>
      </w:r>
      <w:r>
        <w:tab/>
        <w:t>91, 92(1)</w:t>
      </w:r>
    </w:p>
    <w:p>
      <w:pPr>
        <w:pStyle w:val="DefinedTerms"/>
      </w:pPr>
      <w:r>
        <w:t>controller</w:t>
      </w:r>
      <w:r>
        <w:tab/>
        <w:t>91</w:t>
      </w:r>
    </w:p>
    <w:p>
      <w:pPr>
        <w:pStyle w:val="DefinedTerms"/>
      </w:pPr>
      <w:r>
        <w:t>day of the offence</w:t>
      </w:r>
      <w:r>
        <w:tab/>
        <w:t>78A(1)</w:t>
      </w:r>
    </w:p>
    <w:p>
      <w:pPr>
        <w:pStyle w:val="DefinedTerms"/>
      </w:pPr>
      <w:r>
        <w:t>debtor</w:t>
      </w:r>
      <w:r>
        <w:tab/>
        <w:t>105C(4)</w:t>
      </w:r>
    </w:p>
    <w:p>
      <w:pPr>
        <w:pStyle w:val="DefinedTerms"/>
      </w:pPr>
      <w:r>
        <w:t>dentist</w:t>
      </w:r>
      <w:r>
        <w:tab/>
        <w:t>65</w:t>
      </w:r>
    </w:p>
    <w:p>
      <w:pPr>
        <w:pStyle w:val="DefinedTerms"/>
      </w:pPr>
      <w:r>
        <w:t>disqualification notice</w:t>
      </w:r>
      <w:r>
        <w:tab/>
        <w:t>71C(2)</w:t>
      </w:r>
    </w:p>
    <w:p>
      <w:pPr>
        <w:pStyle w:val="DefinedTerms"/>
      </w:pPr>
      <w:r>
        <w:t>driver</w:t>
      </w:r>
      <w:r>
        <w:tab/>
        <w:t xml:space="preserve">49A(1), 54(1), (2) and (6), 55(1) and (4), 56(1) and (4), 59(1), 59A(1), </w:t>
      </w:r>
      <w:r>
        <w:tab/>
        <w:t>59BA(1), 79BC(1)</w:t>
      </w:r>
    </w:p>
    <w:p>
      <w:pPr>
        <w:pStyle w:val="DefinedTerms"/>
      </w:pPr>
      <w:r>
        <w:t>driver assessment</w:t>
      </w:r>
      <w:r>
        <w:tab/>
        <w:t>65</w:t>
      </w:r>
    </w:p>
    <w:p>
      <w:pPr>
        <w:pStyle w:val="DefinedTerms"/>
      </w:pPr>
      <w:r>
        <w:t>drug</w:t>
      </w:r>
      <w:r>
        <w:tab/>
        <w:t>65</w:t>
      </w:r>
    </w:p>
    <w:p>
      <w:pPr>
        <w:pStyle w:val="DefinedTerms"/>
      </w:pPr>
      <w:r>
        <w:t>drugs analyst</w:t>
      </w:r>
      <w:r>
        <w:tab/>
        <w:t>65</w:t>
      </w:r>
    </w:p>
    <w:p>
      <w:pPr>
        <w:pStyle w:val="DefinedTerms"/>
      </w:pPr>
      <w:r>
        <w:t>drug testing</w:t>
      </w:r>
      <w:r>
        <w:tab/>
        <w:t>65</w:t>
      </w:r>
    </w:p>
    <w:p>
      <w:pPr>
        <w:pStyle w:val="DefinedTerms"/>
      </w:pPr>
      <w:r>
        <w:t>event</w:t>
      </w:r>
      <w:r>
        <w:tab/>
        <w:t>81A</w:t>
      </w:r>
    </w:p>
    <w:p>
      <w:pPr>
        <w:pStyle w:val="DefinedTerms"/>
      </w:pPr>
      <w:r>
        <w:t>expenses</w:t>
      </w:r>
      <w:r>
        <w:tab/>
        <w:t>80J(1)</w:t>
      </w:r>
    </w:p>
    <w:p>
      <w:pPr>
        <w:pStyle w:val="DefinedTerms"/>
      </w:pPr>
      <w:r>
        <w:lastRenderedPageBreak/>
        <w:t>first person</w:t>
      </w:r>
      <w:r>
        <w:tab/>
        <w:t>110A(2)</w:t>
      </w:r>
    </w:p>
    <w:p>
      <w:pPr>
        <w:pStyle w:val="DefinedTerms"/>
      </w:pPr>
      <w:r>
        <w:t>former</w:t>
      </w:r>
      <w:r>
        <w:tab/>
        <w:t>109(1)</w:t>
      </w:r>
    </w:p>
    <w:p>
      <w:pPr>
        <w:pStyle w:val="DefinedTerms"/>
      </w:pPr>
      <w:r>
        <w:t>former Act</w:t>
      </w:r>
      <w:r>
        <w:tab/>
        <w:t>110(1)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load</w:t>
      </w:r>
      <w:r>
        <w:tab/>
        <w:t>91</w:t>
      </w:r>
    </w:p>
    <w:p>
      <w:pPr>
        <w:pStyle w:val="DefinedTerms"/>
      </w:pPr>
      <w:r>
        <w:t>maximum storage charges amount</w:t>
      </w:r>
      <w:r>
        <w:tab/>
        <w:t>105A(1)</w:t>
      </w:r>
    </w:p>
    <w:p>
      <w:pPr>
        <w:pStyle w:val="DefinedTerms"/>
      </w:pPr>
      <w:r>
        <w:t>maximum towing charges amount</w:t>
      </w:r>
      <w:r>
        <w:tab/>
        <w:t>105(1)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on-site release charge</w:t>
      </w:r>
      <w:r>
        <w:tab/>
        <w:t>91, 100(2)</w:t>
      </w:r>
    </w:p>
    <w:p>
      <w:pPr>
        <w:pStyle w:val="DefinedTerms"/>
      </w:pPr>
      <w:r>
        <w:t>order</w:t>
      </w:r>
      <w:r>
        <w:tab/>
        <w:t>80G(1), 81A</w:t>
      </w:r>
    </w:p>
    <w:p>
      <w:pPr>
        <w:pStyle w:val="DefinedTerms"/>
      </w:pPr>
      <w:r>
        <w:t>parked</w:t>
      </w:r>
      <w:r>
        <w:tab/>
        <w:t>91</w:t>
      </w:r>
    </w:p>
    <w:p>
      <w:pPr>
        <w:pStyle w:val="DefinedTerms"/>
      </w:pPr>
      <w:r>
        <w:t>parking agreement</w:t>
      </w:r>
      <w:r>
        <w:tab/>
        <w:t>91</w:t>
      </w:r>
    </w:p>
    <w:p>
      <w:pPr>
        <w:pStyle w:val="DefinedTerms"/>
      </w:pPr>
      <w:r>
        <w:t>parking facility</w:t>
      </w:r>
      <w:r>
        <w:tab/>
        <w:t>91</w:t>
      </w:r>
    </w:p>
    <w:p>
      <w:pPr>
        <w:pStyle w:val="DefinedTerms"/>
      </w:pPr>
      <w:r>
        <w:t>passenger transport vehicle</w:t>
      </w:r>
      <w:r>
        <w:tab/>
        <w:t>79D(1)</w:t>
      </w:r>
    </w:p>
    <w:p>
      <w:pPr>
        <w:pStyle w:val="DefinedTerms"/>
      </w:pPr>
      <w:r>
        <w:t>police officer</w:t>
      </w:r>
      <w:r>
        <w:tab/>
        <w:t>71C(1), 79BA(1)</w:t>
      </w:r>
    </w:p>
    <w:p>
      <w:pPr>
        <w:pStyle w:val="DefinedTerms"/>
      </w:pPr>
      <w:r>
        <w:t>post-impoundment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lastRenderedPageBreak/>
        <w:t>prescribed sample taker</w:t>
      </w:r>
      <w:r>
        <w:tab/>
        <w:t>65</w:t>
      </w:r>
    </w:p>
    <w:p>
      <w:pPr>
        <w:pStyle w:val="DefinedTerms"/>
      </w:pPr>
      <w:r>
        <w:t>previous offender</w:t>
      </w:r>
      <w:r>
        <w:tab/>
        <w:t>79(1A), 79BC(1)</w:t>
      </w:r>
    </w:p>
    <w:p>
      <w:pPr>
        <w:pStyle w:val="DefinedTerms"/>
      </w:pPr>
      <w:r>
        <w:t>prohibition notice</w:t>
      </w:r>
      <w:r>
        <w:tab/>
        <w:t>71BA(1)</w:t>
      </w:r>
    </w:p>
    <w:p>
      <w:pPr>
        <w:pStyle w:val="DefinedTerms"/>
      </w:pPr>
      <w:r>
        <w:t>provide a prohibited service</w:t>
      </w:r>
      <w:r>
        <w:tab/>
        <w:t>105H(1)</w:t>
      </w:r>
    </w:p>
    <w:p>
      <w:pPr>
        <w:pStyle w:val="DefinedTerms"/>
      </w:pPr>
      <w:r>
        <w:t>provide driving instruction</w:t>
      </w:r>
      <w:r>
        <w:tab/>
        <w:t>49AAA</w:t>
      </w:r>
    </w:p>
    <w:p>
      <w:pPr>
        <w:pStyle w:val="DefinedTerms"/>
      </w:pPr>
      <w:r>
        <w:t>provider of a passenger transport vehicle</w:t>
      </w:r>
      <w:r>
        <w:tab/>
        <w:t>79D(1)</w:t>
      </w:r>
    </w:p>
    <w:p>
      <w:pPr>
        <w:pStyle w:val="DefinedTerms"/>
      </w:pPr>
      <w:r>
        <w:t>public entity</w:t>
      </w:r>
      <w:r>
        <w:tab/>
        <w:t>91</w:t>
      </w:r>
    </w:p>
    <w:p>
      <w:pPr>
        <w:pStyle w:val="DefinedTerms"/>
      </w:pPr>
      <w:r>
        <w:t>radar detector</w:t>
      </w:r>
      <w:r>
        <w:tab/>
        <w:t>81G(1)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relevant person</w:t>
      </w:r>
      <w:r>
        <w:tab/>
        <w:t>91</w:t>
      </w:r>
    </w:p>
    <w:p>
      <w:pPr>
        <w:pStyle w:val="DefinedTerms"/>
      </w:pPr>
      <w:r>
        <w:t>relevant premises</w:t>
      </w:r>
      <w:r>
        <w:tab/>
        <w:t>97(1), 100(1)</w:t>
      </w:r>
    </w:p>
    <w:p>
      <w:pPr>
        <w:pStyle w:val="DefinedTerms"/>
      </w:pPr>
      <w:r>
        <w:t>requirement</w:t>
      </w:r>
      <w:r>
        <w:tab/>
        <w:t>67(1), 67AC(1), 67AD(1),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second person</w:t>
      </w:r>
      <w:r>
        <w:tab/>
        <w:t>110A(2)</w:t>
      </w:r>
    </w:p>
    <w:p>
      <w:pPr>
        <w:pStyle w:val="DefinedTerms"/>
      </w:pPr>
      <w:r>
        <w:t>security interest</w:t>
      </w:r>
      <w:r>
        <w:tab/>
        <w:t>91</w:t>
      </w:r>
    </w:p>
    <w:p>
      <w:pPr>
        <w:pStyle w:val="DefinedTerms"/>
      </w:pPr>
      <w:r>
        <w:t>security power</w:t>
      </w:r>
      <w:r>
        <w:tab/>
        <w:t>91</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storage charges</w:t>
      </w:r>
      <w:r>
        <w:tab/>
        <w:t>91</w:t>
      </w:r>
    </w:p>
    <w:p>
      <w:pPr>
        <w:pStyle w:val="DefinedTerms"/>
      </w:pPr>
      <w:r>
        <w:t>storage yard</w:t>
      </w:r>
      <w:r>
        <w:tab/>
        <w:t>91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tow</w:t>
      </w:r>
      <w:r>
        <w:tab/>
        <w:t>91</w:t>
      </w:r>
    </w:p>
    <w:p>
      <w:pPr>
        <w:pStyle w:val="DefinedTerms"/>
      </w:pPr>
      <w:r>
        <w:t>towing arrangement</w:t>
      </w:r>
      <w:r>
        <w:tab/>
        <w:t>91, 94(1)</w:t>
      </w:r>
    </w:p>
    <w:p>
      <w:pPr>
        <w:pStyle w:val="DefinedTerms"/>
      </w:pPr>
      <w:r>
        <w:t>towing charges</w:t>
      </w:r>
      <w:r>
        <w:tab/>
        <w:t>91</w:t>
      </w:r>
    </w:p>
    <w:p>
      <w:pPr>
        <w:pStyle w:val="DefinedTerms"/>
      </w:pPr>
      <w:r>
        <w:t>towing service provider</w:t>
      </w:r>
      <w:r>
        <w:tab/>
        <w:t>91, 94(1)</w:t>
      </w:r>
    </w:p>
    <w:p>
      <w:pPr>
        <w:pStyle w:val="DefinedTerms"/>
      </w:pPr>
      <w:r>
        <w:t>tow truck</w:t>
      </w:r>
      <w:r>
        <w:tab/>
        <w:t>91</w:t>
      </w:r>
    </w:p>
    <w:p>
      <w:pPr>
        <w:pStyle w:val="DefinedTerms"/>
      </w:pPr>
      <w:r>
        <w:lastRenderedPageBreak/>
        <w:t>tow truck driver</w:t>
      </w:r>
      <w:r>
        <w:tab/>
        <w:t>91</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3B32E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E2E013A" w14:textId="31BB19FB" w:rsidR="00BF77F8" w:rsidRDefault="00BF77F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5F20642" w14:textId="77777777" w:rsidR="00BF77F8" w:rsidRDefault="00BF77F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E6D2F0" w14:textId="3958BABA" w:rsidR="00BF77F8" w:rsidRDefault="00BF77F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2372D89" w14:textId="77777777" w:rsidR="00BF77F8" w:rsidRDefault="00BF77F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6" w:name="DefinedTerms"/>
    <w:bookmarkEnd w:id="2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513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 w:name="WAFER_2024051509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5136_GUID" w:val="03867716-f1d8-4372-99e5-5ec09221f2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3E05-2F6B-41DA-A84D-E08F5AE2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68710</Words>
  <Characters>314010</Characters>
  <Application>Microsoft Office Word</Application>
  <DocSecurity>0</DocSecurity>
  <Lines>9235</Lines>
  <Paragraphs>4667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378053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1974 - 14-q0-00</dc:title>
  <dc:subject/>
  <dc:creator/>
  <cp:keywords/>
  <dc:description/>
  <cp:lastModifiedBy>Master Repository Process</cp:lastModifiedBy>
  <cp:revision>4</cp:revision>
  <cp:lastPrinted>2019-09-12T01:10:00Z</cp:lastPrinted>
  <dcterms:created xsi:type="dcterms:W3CDTF">2025-06-05T02:22:00Z</dcterms:created>
  <dcterms:modified xsi:type="dcterms:W3CDTF">2025-06-05T02:23:00Z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AsAtDate">
    <vt:lpwstr>14 May 2024</vt:lpwstr>
  </property>
  <property fmtid="{D5CDD505-2E9C-101B-9397-08002B2CF9AE}" pid="12" name="Suffix">
    <vt:lpwstr>14-q0-00</vt:lpwstr>
  </property>
  <property fmtid="{D5CDD505-2E9C-101B-9397-08002B2CF9AE}" pid="13" name="Official">
    <vt:lpwstr/>
  </property>
</Properties>
</file>